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9533" w14:textId="77777777" w:rsidR="00E17880" w:rsidRPr="007202FA" w:rsidRDefault="000B4F21" w:rsidP="007202FA">
      <w:pPr>
        <w:pStyle w:val="Header"/>
        <w:rPr>
          <w:rFonts w:cs="Arial"/>
          <w:b/>
          <w:bCs/>
          <w:color w:val="BF2296"/>
          <w:kern w:val="28"/>
          <w:sz w:val="96"/>
          <w:szCs w:val="96"/>
        </w:rPr>
      </w:pPr>
      <w:bookmarkStart w:id="0" w:name="_Toc50719718"/>
      <w:bookmarkStart w:id="1" w:name="_Toc50721417"/>
      <w:bookmarkStart w:id="2" w:name="_Toc50721504"/>
      <w:bookmarkStart w:id="3" w:name="_Toc50722622"/>
      <w:bookmarkStart w:id="4" w:name="_Toc56170443"/>
      <w:bookmarkStart w:id="5" w:name="_Toc56422697"/>
      <w:bookmarkStart w:id="6" w:name="_Toc56426021"/>
      <w:bookmarkStart w:id="7" w:name="_Toc56440422"/>
      <w:bookmarkStart w:id="8" w:name="_Toc56497131"/>
      <w:bookmarkStart w:id="9" w:name="_Toc57297130"/>
      <w:bookmarkStart w:id="10" w:name="_Toc57297405"/>
      <w:bookmarkStart w:id="11" w:name="_Toc57300069"/>
      <w:bookmarkStart w:id="12" w:name="_Toc57374333"/>
      <w:bookmarkStart w:id="13" w:name="_Toc57392094"/>
      <w:bookmarkStart w:id="14" w:name="_Toc57392669"/>
      <w:bookmarkStart w:id="15" w:name="_Toc62833862"/>
      <w:bookmarkStart w:id="16" w:name="_Toc81552483"/>
      <w:bookmarkStart w:id="17" w:name="_Toc81554206"/>
      <w:bookmarkStart w:id="18" w:name="_Toc82165606"/>
      <w:bookmarkStart w:id="19" w:name="_Toc82174908"/>
      <w:r>
        <w:rPr>
          <w:rFonts w:ascii="Gill Sans" w:hAnsi="Gill Sans"/>
          <w:noProof/>
          <w:lang w:val="ga"/>
        </w:rPr>
        <w:drawing>
          <wp:inline distT="0" distB="0" distL="0" distR="0" wp14:anchorId="1E8096C0" wp14:editId="4623F6DA">
            <wp:extent cx="2179320" cy="1569720"/>
            <wp:effectExtent l="0" t="0" r="0" b="0"/>
            <wp:docPr id="1688948771" name="Picture 2" descr="Lógó an Údaráis Náisiúnta Míchum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48771" name="Picture 1" descr="National Disability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79320" cy="1569720"/>
                    </a:xfrm>
                    <a:prstGeom prst="rect">
                      <a:avLst/>
                    </a:prstGeom>
                    <a:noFill/>
                    <a:ln>
                      <a:noFill/>
                    </a:ln>
                  </pic:spPr>
                </pic:pic>
              </a:graphicData>
            </a:graphic>
          </wp:inline>
        </w:drawing>
      </w:r>
    </w:p>
    <w:p w14:paraId="767BF282" w14:textId="77777777" w:rsidR="00E17880" w:rsidRPr="007202FA" w:rsidRDefault="00E17880" w:rsidP="007202FA">
      <w:pPr>
        <w:pStyle w:val="Header"/>
        <w:rPr>
          <w:rFonts w:cs="Arial"/>
          <w:b/>
          <w:bCs/>
          <w:color w:val="BF2296"/>
          <w:kern w:val="28"/>
          <w:sz w:val="96"/>
          <w:szCs w:val="96"/>
        </w:rPr>
      </w:pPr>
    </w:p>
    <w:p w14:paraId="3F65AA6E" w14:textId="7EC8C008" w:rsidR="00590BEF" w:rsidRPr="00EE61A8" w:rsidRDefault="000B4F21" w:rsidP="007202FA">
      <w:pPr>
        <w:pStyle w:val="Header"/>
        <w:rPr>
          <w:rFonts w:cs="Arial"/>
          <w:b/>
          <w:bCs/>
          <w:color w:val="BF2296"/>
          <w:kern w:val="28"/>
          <w:sz w:val="90"/>
          <w:szCs w:val="90"/>
          <w:lang w:val="de-DE"/>
        </w:rPr>
      </w:pPr>
      <w:r w:rsidRPr="00EE61A8">
        <w:rPr>
          <w:rFonts w:cs="Arial"/>
          <w:b/>
          <w:bCs/>
          <w:color w:val="BF2296"/>
          <w:kern w:val="28"/>
          <w:sz w:val="90"/>
          <w:szCs w:val="90"/>
          <w:lang w:val="ga"/>
        </w:rPr>
        <w:t xml:space="preserve">Tuarascáil ar Chomhlíonadh Chuid 5 den Acht um Míchumas 2005 do </w:t>
      </w:r>
    </w:p>
    <w:p w14:paraId="3A481CBF" w14:textId="77777777" w:rsidR="00590BEF" w:rsidRPr="00EE61A8" w:rsidRDefault="000B4F21" w:rsidP="007202FA">
      <w:pPr>
        <w:pStyle w:val="Header"/>
        <w:rPr>
          <w:rFonts w:cs="Arial"/>
          <w:b/>
          <w:bCs/>
          <w:color w:val="BF2296"/>
          <w:kern w:val="28"/>
          <w:sz w:val="90"/>
          <w:szCs w:val="90"/>
          <w:lang w:val="de-DE"/>
        </w:rPr>
      </w:pPr>
      <w:r w:rsidRPr="00EE61A8">
        <w:rPr>
          <w:rFonts w:cs="Arial"/>
          <w:b/>
          <w:bCs/>
          <w:color w:val="BF2296"/>
          <w:kern w:val="28"/>
          <w:sz w:val="90"/>
          <w:szCs w:val="90"/>
          <w:lang w:val="ga"/>
        </w:rPr>
        <w:t>20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EE61A8">
        <w:rPr>
          <w:rFonts w:cs="Arial"/>
          <w:b/>
          <w:bCs/>
          <w:color w:val="BF2296"/>
          <w:kern w:val="28"/>
          <w:sz w:val="90"/>
          <w:szCs w:val="90"/>
          <w:lang w:val="ga"/>
        </w:rPr>
        <w:t>2</w:t>
      </w:r>
      <w:bookmarkEnd w:id="16"/>
      <w:bookmarkEnd w:id="17"/>
      <w:bookmarkEnd w:id="18"/>
      <w:bookmarkEnd w:id="19"/>
      <w:r w:rsidRPr="00EE61A8">
        <w:rPr>
          <w:rFonts w:cs="Arial"/>
          <w:b/>
          <w:bCs/>
          <w:color w:val="BF2296"/>
          <w:kern w:val="28"/>
          <w:sz w:val="90"/>
          <w:szCs w:val="90"/>
          <w:lang w:val="ga"/>
        </w:rPr>
        <w:t>4</w:t>
      </w:r>
    </w:p>
    <w:p w14:paraId="031BE29E" w14:textId="0C134BF5" w:rsidR="00590BEF" w:rsidRPr="00EE61A8" w:rsidRDefault="00590BEF" w:rsidP="007202FA">
      <w:pPr>
        <w:rPr>
          <w:rFonts w:ascii="Gill Sans" w:hAnsi="Gill Sans"/>
          <w:lang w:val="de-DE"/>
        </w:rPr>
      </w:pPr>
    </w:p>
    <w:p w14:paraId="5FD1880F" w14:textId="77777777" w:rsidR="00590BEF" w:rsidRPr="00EE61A8" w:rsidRDefault="00590BEF" w:rsidP="007202FA">
      <w:pPr>
        <w:spacing w:after="0"/>
        <w:rPr>
          <w:rFonts w:ascii="Gill Sans" w:hAnsi="Gill Sans"/>
          <w:kern w:val="0"/>
          <w:lang w:val="de-DE"/>
          <w14:ligatures w14:val="none"/>
        </w:rPr>
        <w:sectPr w:rsidR="00590BEF" w:rsidRPr="00EE61A8" w:rsidSect="00590BEF">
          <w:pgSz w:w="12240" w:h="15840"/>
          <w:pgMar w:top="1418" w:right="1758" w:bottom="1418" w:left="1758" w:header="709" w:footer="709" w:gutter="0"/>
          <w:pgNumType w:start="1"/>
          <w:cols w:space="720"/>
        </w:sectPr>
      </w:pPr>
    </w:p>
    <w:p w14:paraId="045D9E4B" w14:textId="77777777" w:rsidR="00590BEF" w:rsidRPr="00EE61A8" w:rsidRDefault="000B4F21" w:rsidP="007202FA">
      <w:pPr>
        <w:pStyle w:val="Heading1"/>
        <w:rPr>
          <w:color w:val="BF2296"/>
          <w:lang w:val="de-DE"/>
        </w:rPr>
      </w:pPr>
      <w:bookmarkStart w:id="20" w:name="_Toc208657364"/>
      <w:bookmarkStart w:id="21" w:name="_Toc208656759"/>
      <w:bookmarkStart w:id="22" w:name="_Toc208410031"/>
      <w:bookmarkStart w:id="23" w:name="_Toc208230514"/>
      <w:bookmarkStart w:id="24" w:name="_Toc183113229"/>
      <w:bookmarkStart w:id="25" w:name="_Toc214033605"/>
      <w:r>
        <w:rPr>
          <w:bCs/>
          <w:color w:val="BF2296"/>
          <w:lang w:val="ga"/>
        </w:rPr>
        <w:lastRenderedPageBreak/>
        <w:t>Buíochas</w:t>
      </w:r>
      <w:bookmarkEnd w:id="20"/>
      <w:bookmarkEnd w:id="21"/>
      <w:bookmarkEnd w:id="22"/>
      <w:bookmarkEnd w:id="23"/>
      <w:bookmarkEnd w:id="24"/>
      <w:bookmarkEnd w:id="25"/>
    </w:p>
    <w:p w14:paraId="168E4A83" w14:textId="77777777" w:rsidR="00590BEF" w:rsidRPr="00EE61A8" w:rsidRDefault="000B4F21" w:rsidP="007202FA">
      <w:pPr>
        <w:rPr>
          <w:color w:val="000000"/>
          <w:lang w:val="de-DE"/>
        </w:rPr>
      </w:pPr>
      <w:r>
        <w:rPr>
          <w:color w:val="000000"/>
          <w:lang w:val="ga"/>
        </w:rPr>
        <w:t>Is mór ag an Údarás Náisiúnta Míchumais an comhar a fuaireamar ó Choistí Faireacháin na Ranna agus ó chomhlachtaí poiblí a chinntigh gur cuireadh tuairisceáin bhliantúla Chuid 5 uathu isteach faoin spriocdháta reachtúil, mar a bhí an 30 Meitheamh 2025.</w:t>
      </w:r>
    </w:p>
    <w:p w14:paraId="6BCD3DF5" w14:textId="77777777" w:rsidR="00590BEF" w:rsidRPr="00EE61A8" w:rsidRDefault="000B4F21" w:rsidP="007202FA">
      <w:pPr>
        <w:rPr>
          <w:color w:val="000000"/>
          <w:lang w:val="de-DE"/>
        </w:rPr>
      </w:pPr>
      <w:r>
        <w:rPr>
          <w:color w:val="000000"/>
          <w:lang w:val="ga"/>
        </w:rPr>
        <w:t>Leanann an tÚdarás Náisiúnta Míchumais ar aghaidh ag cur in iúl do Choistí Faireacháin agus do chomhlachtaí poiblí go bhfuil sé de fhreagracht orthu sonraí cruinne Chuid 5 a sholáthar don Údarás Náisiúnta Míchumais.</w:t>
      </w:r>
    </w:p>
    <w:p w14:paraId="3BCECCF3" w14:textId="77777777" w:rsidR="00590BEF" w:rsidRPr="00EE61A8" w:rsidRDefault="000B4F21" w:rsidP="007202FA">
      <w:pPr>
        <w:spacing w:after="0"/>
        <w:rPr>
          <w:rFonts w:ascii="Gill Sans" w:hAnsi="Gill Sans" w:cs="Arial"/>
          <w:b/>
          <w:bCs/>
          <w:color w:val="CC3399"/>
          <w:kern w:val="32"/>
          <w:sz w:val="56"/>
          <w:szCs w:val="56"/>
          <w:lang w:val="de-DE"/>
        </w:rPr>
      </w:pPr>
      <w:r>
        <w:rPr>
          <w:lang w:val="ga"/>
        </w:rPr>
        <w:t>Ní raibh aon earráidí ann sna sonraí a foilsíodh go dtí seo.</w:t>
      </w:r>
    </w:p>
    <w:p w14:paraId="07996451" w14:textId="77777777" w:rsidR="00590BEF" w:rsidRPr="00EE61A8" w:rsidRDefault="000B4F21" w:rsidP="007202FA">
      <w:pPr>
        <w:pStyle w:val="Heading2"/>
        <w:rPr>
          <w:rFonts w:ascii="Gill Sans" w:hAnsi="Gill Sans"/>
          <w:color w:val="D60093"/>
          <w:lang w:val="de-DE"/>
        </w:rPr>
      </w:pPr>
      <w:r>
        <w:rPr>
          <w:rFonts w:ascii="Gill Sans" w:hAnsi="Gill Sans"/>
          <w:b w:val="0"/>
          <w:color w:val="D60093"/>
          <w:kern w:val="0"/>
          <w:lang w:val="ga"/>
          <w14:ligatures w14:val="none"/>
        </w:rPr>
        <w:br w:type="page"/>
      </w:r>
    </w:p>
    <w:p w14:paraId="22AA2955" w14:textId="77777777" w:rsidR="00590BEF" w:rsidRPr="00445CD4" w:rsidRDefault="000B4F21" w:rsidP="00E3084D">
      <w:pPr>
        <w:pStyle w:val="TOC1"/>
      </w:pPr>
      <w:r w:rsidRPr="00445CD4">
        <w:lastRenderedPageBreak/>
        <w:t>Clár Ábhar</w:t>
      </w:r>
    </w:p>
    <w:sdt>
      <w:sdtPr>
        <w:rPr>
          <w:rFonts w:eastAsiaTheme="minorHAnsi" w:cs="Times New Roman"/>
          <w:noProof w:val="0"/>
          <w:kern w:val="0"/>
          <w:lang w:val="en-GB"/>
          <w14:ligatures w14:val="standardContextual"/>
        </w:rPr>
        <w:id w:val="677312487"/>
        <w:docPartObj>
          <w:docPartGallery w:val="Table of Contents"/>
          <w:docPartUnique/>
        </w:docPartObj>
      </w:sdtPr>
      <w:sdtEndPr>
        <w:rPr>
          <w:rFonts w:eastAsia="Times New Roman"/>
          <w:noProof/>
          <w14:ligatures w14:val="none"/>
        </w:rPr>
      </w:sdtEndPr>
      <w:sdtContent>
        <w:p w14:paraId="5437468F" w14:textId="015ED25F" w:rsidR="00C94F55" w:rsidRPr="00445CD4" w:rsidRDefault="000B4F21" w:rsidP="00E3084D">
          <w:pPr>
            <w:pStyle w:val="TOC1"/>
            <w:rPr>
              <w:rFonts w:eastAsiaTheme="minorEastAsia" w:cstheme="minorBidi"/>
              <w:kern w:val="2"/>
              <w:lang w:eastAsia="en-IE"/>
              <w14:ligatures w14:val="standardContextual"/>
            </w:rPr>
          </w:pPr>
          <w:r w:rsidRPr="00445CD4">
            <w:fldChar w:fldCharType="begin"/>
          </w:r>
          <w:r w:rsidRPr="00445CD4">
            <w:instrText xml:space="preserve"> TOC \o "1-3" \h \z \u </w:instrText>
          </w:r>
          <w:r w:rsidRPr="00445CD4">
            <w:fldChar w:fldCharType="separate"/>
          </w:r>
          <w:hyperlink w:anchor="_Toc214033605" w:history="1"/>
          <w:hyperlink w:anchor="_Toc214033606" w:history="1">
            <w:r w:rsidR="00C94F55" w:rsidRPr="00445CD4">
              <w:rPr>
                <w:rStyle w:val="Hyperlink"/>
              </w:rPr>
              <w:t>Achoimre Fheidhmeach</w:t>
            </w:r>
            <w:r w:rsidR="00C94F55" w:rsidRPr="00445CD4">
              <w:rPr>
                <w:webHidden/>
              </w:rPr>
              <w:tab/>
            </w:r>
            <w:r w:rsidR="00C94F55" w:rsidRPr="00445CD4">
              <w:rPr>
                <w:webHidden/>
              </w:rPr>
              <w:fldChar w:fldCharType="begin"/>
            </w:r>
            <w:r w:rsidR="00C94F55" w:rsidRPr="00445CD4">
              <w:rPr>
                <w:webHidden/>
              </w:rPr>
              <w:instrText xml:space="preserve"> PAGEREF _Toc214033606 \h </w:instrText>
            </w:r>
            <w:r w:rsidR="00C94F55" w:rsidRPr="00445CD4">
              <w:rPr>
                <w:webHidden/>
              </w:rPr>
            </w:r>
            <w:r w:rsidR="00C94F55" w:rsidRPr="00445CD4">
              <w:rPr>
                <w:webHidden/>
              </w:rPr>
              <w:fldChar w:fldCharType="separate"/>
            </w:r>
            <w:r w:rsidR="00C114C4">
              <w:rPr>
                <w:webHidden/>
              </w:rPr>
              <w:t>6</w:t>
            </w:r>
            <w:r w:rsidR="00C94F55" w:rsidRPr="00445CD4">
              <w:rPr>
                <w:webHidden/>
              </w:rPr>
              <w:fldChar w:fldCharType="end"/>
            </w:r>
          </w:hyperlink>
        </w:p>
        <w:p w14:paraId="679AC107" w14:textId="1B94B547"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07" w:history="1">
            <w:r w:rsidRPr="00445CD4">
              <w:rPr>
                <w:rStyle w:val="Hyperlink"/>
                <w:rFonts w:ascii="Verdana" w:hAnsi="Verdana"/>
                <w:bCs/>
                <w:noProof/>
                <w:sz w:val="24"/>
                <w:lang w:val="ga"/>
              </w:rPr>
              <w:t>Feidhmeannacht na Seirbhíse Sláinte (FSS)</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_Toc214033607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8</w:t>
            </w:r>
            <w:r w:rsidRPr="00445CD4">
              <w:rPr>
                <w:rFonts w:ascii="Verdana" w:hAnsi="Verdana"/>
                <w:noProof/>
                <w:webHidden/>
                <w:sz w:val="24"/>
              </w:rPr>
              <w:fldChar w:fldCharType="end"/>
            </w:r>
          </w:hyperlink>
        </w:p>
        <w:p w14:paraId="36EC04A8" w14:textId="677FADFC"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08" w:history="1">
            <w:r w:rsidRPr="00445CD4">
              <w:rPr>
                <w:rStyle w:val="Hyperlink"/>
                <w:rFonts w:ascii="Verdana" w:hAnsi="Verdana"/>
                <w:bCs/>
                <w:noProof/>
                <w:sz w:val="24"/>
                <w:lang w:val="ga"/>
              </w:rPr>
              <w:t>Treochtaí i dtreo na híos-sprice reachtúla fostaíochta a bhaint amach don tréimhse 2007-2024</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_Toc214033608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8</w:t>
            </w:r>
            <w:r w:rsidRPr="00445CD4">
              <w:rPr>
                <w:rFonts w:ascii="Verdana" w:hAnsi="Verdana"/>
                <w:noProof/>
                <w:webHidden/>
                <w:sz w:val="24"/>
              </w:rPr>
              <w:fldChar w:fldCharType="end"/>
            </w:r>
          </w:hyperlink>
        </w:p>
        <w:p w14:paraId="766D96F5" w14:textId="1B230A5A"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10" w:history="1">
            <w:r w:rsidRPr="00445CD4">
              <w:rPr>
                <w:rStyle w:val="Hyperlink"/>
                <w:rFonts w:ascii="Verdana" w:hAnsi="Verdana"/>
                <w:bCs/>
                <w:noProof/>
                <w:sz w:val="24"/>
                <w:lang w:val="ga"/>
              </w:rPr>
              <w:t>Feabhsú ar fheidhmíocht na gcomhlachtaí poiblí</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_Toc214033610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9</w:t>
            </w:r>
            <w:r w:rsidRPr="00445CD4">
              <w:rPr>
                <w:rFonts w:ascii="Verdana" w:hAnsi="Verdana"/>
                <w:noProof/>
                <w:webHidden/>
                <w:sz w:val="24"/>
              </w:rPr>
              <w:fldChar w:fldCharType="end"/>
            </w:r>
          </w:hyperlink>
        </w:p>
        <w:p w14:paraId="65452FF6" w14:textId="7B75FE50"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11" w:history="1">
            <w:r w:rsidRPr="00445CD4">
              <w:rPr>
                <w:rStyle w:val="Hyperlink"/>
                <w:rFonts w:ascii="Verdana" w:hAnsi="Verdana"/>
                <w:bCs/>
                <w:noProof/>
                <w:sz w:val="24"/>
                <w:lang w:val="ga"/>
              </w:rPr>
              <w:t>Na príomhbhearta a rinne comhlachtaí poiblí sa bhliain 2024 chun feabhas a chur ar an dóigh a gcomhlíonann siad Cuid 5</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_Toc214033611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10</w:t>
            </w:r>
            <w:r w:rsidRPr="00445CD4">
              <w:rPr>
                <w:rFonts w:ascii="Verdana" w:hAnsi="Verdana"/>
                <w:noProof/>
                <w:webHidden/>
                <w:sz w:val="24"/>
              </w:rPr>
              <w:fldChar w:fldCharType="end"/>
            </w:r>
          </w:hyperlink>
        </w:p>
        <w:p w14:paraId="2A4DCD0E" w14:textId="38676811" w:rsidR="00C94F55" w:rsidRPr="00445CD4" w:rsidRDefault="00C94F55" w:rsidP="00E3084D">
          <w:pPr>
            <w:pStyle w:val="TOC1"/>
            <w:rPr>
              <w:rFonts w:eastAsiaTheme="minorEastAsia" w:cstheme="minorBidi"/>
              <w:kern w:val="2"/>
              <w:lang w:eastAsia="en-IE"/>
              <w14:ligatures w14:val="standardContextual"/>
            </w:rPr>
          </w:pPr>
          <w:hyperlink w:anchor="_Toc214033612" w:history="1">
            <w:r w:rsidRPr="00445CD4">
              <w:rPr>
                <w:rStyle w:val="Hyperlink"/>
              </w:rPr>
              <w:t>1 Réamhrá</w:t>
            </w:r>
            <w:r w:rsidRPr="00445CD4">
              <w:rPr>
                <w:webHidden/>
              </w:rPr>
              <w:tab/>
            </w:r>
            <w:r w:rsidRPr="00445CD4">
              <w:rPr>
                <w:webHidden/>
              </w:rPr>
              <w:fldChar w:fldCharType="begin"/>
            </w:r>
            <w:r w:rsidRPr="00445CD4">
              <w:rPr>
                <w:webHidden/>
              </w:rPr>
              <w:instrText xml:space="preserve"> PAGEREF _Toc214033612 \h </w:instrText>
            </w:r>
            <w:r w:rsidRPr="00445CD4">
              <w:rPr>
                <w:webHidden/>
              </w:rPr>
            </w:r>
            <w:r w:rsidRPr="00445CD4">
              <w:rPr>
                <w:webHidden/>
              </w:rPr>
              <w:fldChar w:fldCharType="separate"/>
            </w:r>
            <w:r w:rsidR="00C114C4">
              <w:rPr>
                <w:webHidden/>
              </w:rPr>
              <w:t>13</w:t>
            </w:r>
            <w:r w:rsidRPr="00445CD4">
              <w:rPr>
                <w:webHidden/>
              </w:rPr>
              <w:fldChar w:fldCharType="end"/>
            </w:r>
          </w:hyperlink>
        </w:p>
        <w:p w14:paraId="05C06004" w14:textId="70E7AAF3"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13" w:history="1">
            <w:r w:rsidRPr="00445CD4">
              <w:rPr>
                <w:rStyle w:val="Hyperlink"/>
                <w:rFonts w:ascii="Verdana" w:hAnsi="Verdana"/>
                <w:bCs/>
                <w:noProof/>
                <w:sz w:val="24"/>
                <w:lang w:val="ga"/>
              </w:rPr>
              <w:t>1.1 An cúlra reachtach</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_Toc214033613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13</w:t>
            </w:r>
            <w:r w:rsidRPr="00445CD4">
              <w:rPr>
                <w:rFonts w:ascii="Verdana" w:hAnsi="Verdana"/>
                <w:noProof/>
                <w:webHidden/>
                <w:sz w:val="24"/>
              </w:rPr>
              <w:fldChar w:fldCharType="end"/>
            </w:r>
          </w:hyperlink>
        </w:p>
        <w:p w14:paraId="40302955" w14:textId="571B3215"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14" w:history="1">
            <w:r w:rsidRPr="00445CD4">
              <w:rPr>
                <w:rStyle w:val="Hyperlink"/>
                <w:rFonts w:ascii="Verdana" w:hAnsi="Verdana"/>
                <w:bCs/>
                <w:noProof/>
                <w:sz w:val="24"/>
                <w:lang w:val="ga"/>
              </w:rPr>
              <w:t>1.2 An líon fostaithe a bhfuil míchumas orthu a chomhaireamh</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_Toc214033614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13</w:t>
            </w:r>
            <w:r w:rsidRPr="00445CD4">
              <w:rPr>
                <w:rFonts w:ascii="Verdana" w:hAnsi="Verdana"/>
                <w:noProof/>
                <w:webHidden/>
                <w:sz w:val="24"/>
              </w:rPr>
              <w:fldChar w:fldCharType="end"/>
            </w:r>
          </w:hyperlink>
        </w:p>
        <w:p w14:paraId="12AE7E58" w14:textId="195CC31F"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15" w:history="1">
            <w:r w:rsidRPr="00445CD4">
              <w:rPr>
                <w:rStyle w:val="Hyperlink"/>
                <w:rFonts w:ascii="Verdana" w:hAnsi="Verdana"/>
                <w:bCs/>
                <w:noProof/>
                <w:sz w:val="24"/>
                <w:lang w:val="ga"/>
              </w:rPr>
              <w:t>1.3 Modhanna Bailithe Sonraí</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_Toc214033615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15</w:t>
            </w:r>
            <w:r w:rsidRPr="00445CD4">
              <w:rPr>
                <w:rFonts w:ascii="Verdana" w:hAnsi="Verdana"/>
                <w:noProof/>
                <w:webHidden/>
                <w:sz w:val="24"/>
              </w:rPr>
              <w:fldChar w:fldCharType="end"/>
            </w:r>
          </w:hyperlink>
        </w:p>
        <w:p w14:paraId="4B31AEFD" w14:textId="66AE3331"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16" w:history="1">
            <w:r w:rsidRPr="00445CD4">
              <w:rPr>
                <w:rStyle w:val="Hyperlink"/>
                <w:rFonts w:ascii="Verdana" w:hAnsi="Verdana"/>
                <w:bCs/>
                <w:noProof/>
                <w:sz w:val="24"/>
                <w:lang w:val="ga"/>
              </w:rPr>
              <w:t>1.4 Feabhas a chur ar an bpróiseas bailithe sonraí le haghaidh Chuid 5</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_Toc214033616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16</w:t>
            </w:r>
            <w:r w:rsidRPr="00445CD4">
              <w:rPr>
                <w:rFonts w:ascii="Verdana" w:hAnsi="Verdana"/>
                <w:noProof/>
                <w:webHidden/>
                <w:sz w:val="24"/>
              </w:rPr>
              <w:fldChar w:fldCharType="end"/>
            </w:r>
          </w:hyperlink>
        </w:p>
        <w:p w14:paraId="4C130284" w14:textId="3B58D8C8" w:rsidR="00C94F55" w:rsidRPr="00445CD4" w:rsidRDefault="00C94F55" w:rsidP="00E3084D">
          <w:pPr>
            <w:pStyle w:val="TOC1"/>
            <w:rPr>
              <w:rFonts w:eastAsiaTheme="minorEastAsia" w:cstheme="minorBidi"/>
              <w:kern w:val="2"/>
              <w:lang w:eastAsia="en-IE"/>
              <w14:ligatures w14:val="standardContextual"/>
            </w:rPr>
          </w:pPr>
          <w:hyperlink w:anchor="_Toc214033617" w:history="1">
            <w:r w:rsidRPr="00445CD4">
              <w:rPr>
                <w:rStyle w:val="Hyperlink"/>
              </w:rPr>
              <w:t>2. Na Príomhfhionnachtana don bhliain 2024</w:t>
            </w:r>
            <w:r w:rsidRPr="00445CD4">
              <w:rPr>
                <w:webHidden/>
              </w:rPr>
              <w:tab/>
            </w:r>
            <w:r w:rsidRPr="00445CD4">
              <w:rPr>
                <w:webHidden/>
              </w:rPr>
              <w:fldChar w:fldCharType="begin"/>
            </w:r>
            <w:r w:rsidRPr="00445CD4">
              <w:rPr>
                <w:webHidden/>
              </w:rPr>
              <w:instrText xml:space="preserve"> PAGEREF _Toc214033617 \h </w:instrText>
            </w:r>
            <w:r w:rsidRPr="00445CD4">
              <w:rPr>
                <w:webHidden/>
              </w:rPr>
            </w:r>
            <w:r w:rsidRPr="00445CD4">
              <w:rPr>
                <w:webHidden/>
              </w:rPr>
              <w:fldChar w:fldCharType="separate"/>
            </w:r>
            <w:r w:rsidR="00C114C4">
              <w:rPr>
                <w:webHidden/>
              </w:rPr>
              <w:t>17</w:t>
            </w:r>
            <w:r w:rsidRPr="00445CD4">
              <w:rPr>
                <w:webHidden/>
              </w:rPr>
              <w:fldChar w:fldCharType="end"/>
            </w:r>
          </w:hyperlink>
        </w:p>
        <w:p w14:paraId="10545D4B" w14:textId="2B534FFC"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18" w:history="1">
            <w:r w:rsidRPr="00445CD4">
              <w:rPr>
                <w:rStyle w:val="Hyperlink"/>
                <w:rFonts w:ascii="Verdana" w:hAnsi="Verdana"/>
                <w:bCs/>
                <w:noProof/>
                <w:sz w:val="24"/>
                <w:lang w:val="ga"/>
              </w:rPr>
              <w:t>2.1 Na Príomhfhionnachtana don bhliain 2024</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_Toc214033618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17</w:t>
            </w:r>
            <w:r w:rsidRPr="00445CD4">
              <w:rPr>
                <w:rFonts w:ascii="Verdana" w:hAnsi="Verdana"/>
                <w:noProof/>
                <w:webHidden/>
                <w:sz w:val="24"/>
              </w:rPr>
              <w:fldChar w:fldCharType="end"/>
            </w:r>
          </w:hyperlink>
        </w:p>
        <w:p w14:paraId="0F8BC9D6" w14:textId="75130872"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19" w:history="1">
            <w:r w:rsidRPr="00445CD4">
              <w:rPr>
                <w:rStyle w:val="Hyperlink"/>
                <w:rFonts w:ascii="Verdana" w:hAnsi="Verdana"/>
                <w:bCs/>
                <w:noProof/>
                <w:sz w:val="24"/>
                <w:lang w:val="ga"/>
              </w:rPr>
              <w:t>Treochtaí i dtreo na híos-sprice reachtúla fostaíochta a bhaint amach don tréimhse 2007-2024</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_Toc214033619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18</w:t>
            </w:r>
            <w:r w:rsidRPr="00445CD4">
              <w:rPr>
                <w:rFonts w:ascii="Verdana" w:hAnsi="Verdana"/>
                <w:noProof/>
                <w:webHidden/>
                <w:sz w:val="24"/>
              </w:rPr>
              <w:fldChar w:fldCharType="end"/>
            </w:r>
          </w:hyperlink>
        </w:p>
        <w:p w14:paraId="7DD0E29E" w14:textId="5CC46B3F" w:rsidR="00C94F55" w:rsidRPr="00445CD4" w:rsidRDefault="00C94F55">
          <w:pPr>
            <w:pStyle w:val="TOC3"/>
            <w:rPr>
              <w:rFonts w:eastAsiaTheme="minorEastAsia" w:cstheme="minorBidi"/>
              <w:kern w:val="2"/>
              <w:lang w:eastAsia="en-IE"/>
              <w14:ligatures w14:val="standardContextual"/>
            </w:rPr>
          </w:pPr>
          <w:hyperlink w:anchor="_Toc214033621" w:history="1">
            <w:r w:rsidRPr="00445CD4">
              <w:rPr>
                <w:rStyle w:val="Hyperlink"/>
                <w:bCs/>
                <w:lang w:val="ga"/>
              </w:rPr>
              <w:t>Feabhsú ar fheidhmíocht na gcomhlachtaí poiblí</w:t>
            </w:r>
            <w:r w:rsidRPr="00445CD4">
              <w:rPr>
                <w:webHidden/>
              </w:rPr>
              <w:tab/>
            </w:r>
            <w:r w:rsidRPr="00445CD4">
              <w:rPr>
                <w:webHidden/>
              </w:rPr>
              <w:fldChar w:fldCharType="begin"/>
            </w:r>
            <w:r w:rsidRPr="00445CD4">
              <w:rPr>
                <w:webHidden/>
              </w:rPr>
              <w:instrText xml:space="preserve"> PAGEREF _Toc214033621 \h </w:instrText>
            </w:r>
            <w:r w:rsidRPr="00445CD4">
              <w:rPr>
                <w:webHidden/>
              </w:rPr>
            </w:r>
            <w:r w:rsidRPr="00445CD4">
              <w:rPr>
                <w:webHidden/>
              </w:rPr>
              <w:fldChar w:fldCharType="separate"/>
            </w:r>
            <w:r w:rsidR="00C114C4">
              <w:rPr>
                <w:webHidden/>
              </w:rPr>
              <w:t>19</w:t>
            </w:r>
            <w:r w:rsidRPr="00445CD4">
              <w:rPr>
                <w:webHidden/>
              </w:rPr>
              <w:fldChar w:fldCharType="end"/>
            </w:r>
          </w:hyperlink>
        </w:p>
        <w:p w14:paraId="5192BFCF" w14:textId="73C46494"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22" w:history="1">
            <w:r w:rsidRPr="00445CD4">
              <w:rPr>
                <w:rStyle w:val="Hyperlink"/>
                <w:rFonts w:ascii="Verdana" w:hAnsi="Verdana"/>
                <w:bCs/>
                <w:noProof/>
                <w:sz w:val="24"/>
                <w:lang w:val="ga"/>
              </w:rPr>
              <w:t>2.2 Anailís de réir an chineáil comhlachta earnála poiblí</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_Toc214033622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20</w:t>
            </w:r>
            <w:r w:rsidRPr="00445CD4">
              <w:rPr>
                <w:rFonts w:ascii="Verdana" w:hAnsi="Verdana"/>
                <w:noProof/>
                <w:webHidden/>
                <w:sz w:val="24"/>
              </w:rPr>
              <w:fldChar w:fldCharType="end"/>
            </w:r>
          </w:hyperlink>
        </w:p>
        <w:p w14:paraId="05D549AF" w14:textId="2D3269EA" w:rsidR="00C94F55" w:rsidRPr="00445CD4" w:rsidRDefault="00C94F55">
          <w:pPr>
            <w:pStyle w:val="TOC3"/>
            <w:rPr>
              <w:rFonts w:eastAsiaTheme="minorEastAsia" w:cstheme="minorBidi"/>
              <w:kern w:val="2"/>
              <w:lang w:eastAsia="en-IE"/>
              <w14:ligatures w14:val="standardContextual"/>
            </w:rPr>
          </w:pPr>
          <w:hyperlink w:anchor="_Toc214033623" w:history="1">
            <w:r w:rsidRPr="00445CD4">
              <w:rPr>
                <w:rStyle w:val="Hyperlink"/>
                <w:bCs/>
                <w:lang w:val="ga"/>
              </w:rPr>
              <w:t>Comhlachtaí Tráchtála</w:t>
            </w:r>
            <w:r w:rsidRPr="00445CD4">
              <w:rPr>
                <w:webHidden/>
              </w:rPr>
              <w:tab/>
            </w:r>
            <w:r w:rsidRPr="00445CD4">
              <w:rPr>
                <w:webHidden/>
              </w:rPr>
              <w:fldChar w:fldCharType="begin"/>
            </w:r>
            <w:r w:rsidRPr="00445CD4">
              <w:rPr>
                <w:webHidden/>
              </w:rPr>
              <w:instrText xml:space="preserve"> PAGEREF _Toc214033623 \h </w:instrText>
            </w:r>
            <w:r w:rsidRPr="00445CD4">
              <w:rPr>
                <w:webHidden/>
              </w:rPr>
            </w:r>
            <w:r w:rsidRPr="00445CD4">
              <w:rPr>
                <w:webHidden/>
              </w:rPr>
              <w:fldChar w:fldCharType="separate"/>
            </w:r>
            <w:r w:rsidR="00C114C4">
              <w:rPr>
                <w:webHidden/>
              </w:rPr>
              <w:t>20</w:t>
            </w:r>
            <w:r w:rsidRPr="00445CD4">
              <w:rPr>
                <w:webHidden/>
              </w:rPr>
              <w:fldChar w:fldCharType="end"/>
            </w:r>
          </w:hyperlink>
        </w:p>
        <w:p w14:paraId="62787E1D" w14:textId="1FAD9492" w:rsidR="00C94F55" w:rsidRPr="00445CD4" w:rsidRDefault="00C94F55">
          <w:pPr>
            <w:pStyle w:val="TOC3"/>
            <w:rPr>
              <w:rFonts w:eastAsiaTheme="minorEastAsia" w:cstheme="minorBidi"/>
              <w:kern w:val="2"/>
              <w:lang w:eastAsia="en-IE"/>
              <w14:ligatures w14:val="standardContextual"/>
            </w:rPr>
          </w:pPr>
          <w:hyperlink w:anchor="_Toc214033624" w:history="1">
            <w:r w:rsidRPr="00445CD4">
              <w:rPr>
                <w:rStyle w:val="Hyperlink"/>
                <w:bCs/>
                <w:lang w:val="ga"/>
              </w:rPr>
              <w:t>Ranna Rialtais</w:t>
            </w:r>
            <w:r w:rsidRPr="00445CD4">
              <w:rPr>
                <w:webHidden/>
              </w:rPr>
              <w:tab/>
            </w:r>
            <w:r w:rsidRPr="00445CD4">
              <w:rPr>
                <w:webHidden/>
              </w:rPr>
              <w:fldChar w:fldCharType="begin"/>
            </w:r>
            <w:r w:rsidRPr="00445CD4">
              <w:rPr>
                <w:webHidden/>
              </w:rPr>
              <w:instrText xml:space="preserve"> PAGEREF _Toc214033624 \h </w:instrText>
            </w:r>
            <w:r w:rsidRPr="00445CD4">
              <w:rPr>
                <w:webHidden/>
              </w:rPr>
            </w:r>
            <w:r w:rsidRPr="00445CD4">
              <w:rPr>
                <w:webHidden/>
              </w:rPr>
              <w:fldChar w:fldCharType="separate"/>
            </w:r>
            <w:r w:rsidR="00C114C4">
              <w:rPr>
                <w:webHidden/>
              </w:rPr>
              <w:t>21</w:t>
            </w:r>
            <w:r w:rsidRPr="00445CD4">
              <w:rPr>
                <w:webHidden/>
              </w:rPr>
              <w:fldChar w:fldCharType="end"/>
            </w:r>
          </w:hyperlink>
        </w:p>
        <w:p w14:paraId="438AF993" w14:textId="0E93D653" w:rsidR="00C94F55" w:rsidRPr="00445CD4" w:rsidRDefault="00C94F55">
          <w:pPr>
            <w:pStyle w:val="TOC3"/>
            <w:rPr>
              <w:rFonts w:eastAsiaTheme="minorEastAsia" w:cstheme="minorBidi"/>
              <w:kern w:val="2"/>
              <w:lang w:eastAsia="en-IE"/>
              <w14:ligatures w14:val="standardContextual"/>
            </w:rPr>
          </w:pPr>
          <w:hyperlink w:anchor="_Toc214033625" w:history="1">
            <w:r w:rsidRPr="00445CD4">
              <w:rPr>
                <w:rStyle w:val="Hyperlink"/>
                <w:bCs/>
                <w:lang w:val="ga"/>
              </w:rPr>
              <w:t>Rialtas Áitiúil</w:t>
            </w:r>
            <w:r w:rsidRPr="00445CD4">
              <w:rPr>
                <w:webHidden/>
              </w:rPr>
              <w:tab/>
            </w:r>
            <w:r w:rsidRPr="00445CD4">
              <w:rPr>
                <w:webHidden/>
              </w:rPr>
              <w:fldChar w:fldCharType="begin"/>
            </w:r>
            <w:r w:rsidRPr="00445CD4">
              <w:rPr>
                <w:webHidden/>
              </w:rPr>
              <w:instrText xml:space="preserve"> PAGEREF _Toc214033625 \h </w:instrText>
            </w:r>
            <w:r w:rsidRPr="00445CD4">
              <w:rPr>
                <w:webHidden/>
              </w:rPr>
            </w:r>
            <w:r w:rsidRPr="00445CD4">
              <w:rPr>
                <w:webHidden/>
              </w:rPr>
              <w:fldChar w:fldCharType="separate"/>
            </w:r>
            <w:r w:rsidR="00C114C4">
              <w:rPr>
                <w:webHidden/>
              </w:rPr>
              <w:t>21</w:t>
            </w:r>
            <w:r w:rsidRPr="00445CD4">
              <w:rPr>
                <w:webHidden/>
              </w:rPr>
              <w:fldChar w:fldCharType="end"/>
            </w:r>
          </w:hyperlink>
        </w:p>
        <w:p w14:paraId="45954A7A" w14:textId="6F55F17C" w:rsidR="00C94F55" w:rsidRPr="00445CD4" w:rsidRDefault="00C94F55">
          <w:pPr>
            <w:pStyle w:val="TOC3"/>
            <w:rPr>
              <w:rFonts w:eastAsiaTheme="minorEastAsia" w:cstheme="minorBidi"/>
              <w:kern w:val="2"/>
              <w:lang w:eastAsia="en-IE"/>
              <w14:ligatures w14:val="standardContextual"/>
            </w:rPr>
          </w:pPr>
          <w:hyperlink w:anchor="_Toc214033626" w:history="1">
            <w:r w:rsidRPr="00445CD4">
              <w:rPr>
                <w:rStyle w:val="Hyperlink"/>
                <w:bCs/>
                <w:lang w:val="ga"/>
              </w:rPr>
              <w:t>Comhlachtaí Neamhthráchtála</w:t>
            </w:r>
            <w:r w:rsidRPr="00445CD4">
              <w:rPr>
                <w:webHidden/>
              </w:rPr>
              <w:tab/>
            </w:r>
            <w:r w:rsidRPr="00445CD4">
              <w:rPr>
                <w:webHidden/>
              </w:rPr>
              <w:fldChar w:fldCharType="begin"/>
            </w:r>
            <w:r w:rsidRPr="00445CD4">
              <w:rPr>
                <w:webHidden/>
              </w:rPr>
              <w:instrText xml:space="preserve"> PAGEREF _Toc214033626 \h </w:instrText>
            </w:r>
            <w:r w:rsidRPr="00445CD4">
              <w:rPr>
                <w:webHidden/>
              </w:rPr>
            </w:r>
            <w:r w:rsidRPr="00445CD4">
              <w:rPr>
                <w:webHidden/>
              </w:rPr>
              <w:fldChar w:fldCharType="separate"/>
            </w:r>
            <w:r w:rsidR="00C114C4">
              <w:rPr>
                <w:webHidden/>
              </w:rPr>
              <w:t>21</w:t>
            </w:r>
            <w:r w:rsidRPr="00445CD4">
              <w:rPr>
                <w:webHidden/>
              </w:rPr>
              <w:fldChar w:fldCharType="end"/>
            </w:r>
          </w:hyperlink>
        </w:p>
        <w:p w14:paraId="0B570E81" w14:textId="51A1C82B" w:rsidR="00C94F55" w:rsidRPr="00445CD4" w:rsidRDefault="00C94F55">
          <w:pPr>
            <w:pStyle w:val="TOC3"/>
            <w:rPr>
              <w:rFonts w:eastAsiaTheme="minorEastAsia" w:cstheme="minorBidi"/>
              <w:kern w:val="2"/>
              <w:lang w:eastAsia="en-IE"/>
              <w14:ligatures w14:val="standardContextual"/>
            </w:rPr>
          </w:pPr>
          <w:hyperlink w:anchor="_Toc214033627" w:history="1">
            <w:r w:rsidRPr="00445CD4">
              <w:rPr>
                <w:rStyle w:val="Hyperlink"/>
                <w:bCs/>
                <w:lang w:val="ga"/>
              </w:rPr>
              <w:t>Comhlachtaí Poiblí a bhfuil Státseirbhísigh mar Fhoireann dóibh</w:t>
            </w:r>
            <w:r w:rsidRPr="00445CD4">
              <w:rPr>
                <w:webHidden/>
              </w:rPr>
              <w:tab/>
            </w:r>
            <w:r w:rsidRPr="00445CD4">
              <w:rPr>
                <w:webHidden/>
              </w:rPr>
              <w:fldChar w:fldCharType="begin"/>
            </w:r>
            <w:r w:rsidRPr="00445CD4">
              <w:rPr>
                <w:webHidden/>
              </w:rPr>
              <w:instrText xml:space="preserve"> PAGEREF _Toc214033627 \h </w:instrText>
            </w:r>
            <w:r w:rsidRPr="00445CD4">
              <w:rPr>
                <w:webHidden/>
              </w:rPr>
            </w:r>
            <w:r w:rsidRPr="00445CD4">
              <w:rPr>
                <w:webHidden/>
              </w:rPr>
              <w:fldChar w:fldCharType="separate"/>
            </w:r>
            <w:r w:rsidR="00C114C4">
              <w:rPr>
                <w:webHidden/>
              </w:rPr>
              <w:t>22</w:t>
            </w:r>
            <w:r w:rsidRPr="00445CD4">
              <w:rPr>
                <w:webHidden/>
              </w:rPr>
              <w:fldChar w:fldCharType="end"/>
            </w:r>
          </w:hyperlink>
        </w:p>
        <w:p w14:paraId="25D418B9" w14:textId="119FC8A2" w:rsidR="00C94F55" w:rsidRPr="00445CD4" w:rsidRDefault="00C94F55">
          <w:pPr>
            <w:pStyle w:val="TOC3"/>
            <w:rPr>
              <w:rFonts w:eastAsiaTheme="minorEastAsia" w:cstheme="minorBidi"/>
              <w:kern w:val="2"/>
              <w:lang w:eastAsia="en-IE"/>
              <w14:ligatures w14:val="standardContextual"/>
            </w:rPr>
          </w:pPr>
          <w:hyperlink w:anchor="_Toc214033628" w:history="1">
            <w:r w:rsidRPr="00445CD4">
              <w:rPr>
                <w:rStyle w:val="Hyperlink"/>
                <w:bCs/>
                <w:lang w:val="ga"/>
              </w:rPr>
              <w:t>Achoimre ar an anailís de réir chineál an chomhlachta phoiblí</w:t>
            </w:r>
            <w:r w:rsidRPr="00445CD4">
              <w:rPr>
                <w:webHidden/>
              </w:rPr>
              <w:tab/>
            </w:r>
            <w:r w:rsidRPr="00445CD4">
              <w:rPr>
                <w:webHidden/>
              </w:rPr>
              <w:fldChar w:fldCharType="begin"/>
            </w:r>
            <w:r w:rsidRPr="00445CD4">
              <w:rPr>
                <w:webHidden/>
              </w:rPr>
              <w:instrText xml:space="preserve"> PAGEREF _Toc214033628 \h </w:instrText>
            </w:r>
            <w:r w:rsidRPr="00445CD4">
              <w:rPr>
                <w:webHidden/>
              </w:rPr>
            </w:r>
            <w:r w:rsidRPr="00445CD4">
              <w:rPr>
                <w:webHidden/>
              </w:rPr>
              <w:fldChar w:fldCharType="separate"/>
            </w:r>
            <w:r w:rsidR="00C114C4">
              <w:rPr>
                <w:webHidden/>
              </w:rPr>
              <w:t>22</w:t>
            </w:r>
            <w:r w:rsidRPr="00445CD4">
              <w:rPr>
                <w:webHidden/>
              </w:rPr>
              <w:fldChar w:fldCharType="end"/>
            </w:r>
          </w:hyperlink>
        </w:p>
        <w:p w14:paraId="54C52AFA" w14:textId="7B8F0D5D"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29" w:history="1">
            <w:r w:rsidRPr="00445CD4">
              <w:rPr>
                <w:rStyle w:val="Hyperlink"/>
                <w:rFonts w:ascii="Verdana" w:hAnsi="Verdana"/>
                <w:bCs/>
                <w:noProof/>
                <w:sz w:val="24"/>
                <w:lang w:val="ga"/>
              </w:rPr>
              <w:t>2.3 Anailís de réir mhéid an chomhlachta earnála poiblí</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_Toc214033629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24</w:t>
            </w:r>
            <w:r w:rsidRPr="00445CD4">
              <w:rPr>
                <w:rFonts w:ascii="Verdana" w:hAnsi="Verdana"/>
                <w:noProof/>
                <w:webHidden/>
                <w:sz w:val="24"/>
              </w:rPr>
              <w:fldChar w:fldCharType="end"/>
            </w:r>
          </w:hyperlink>
        </w:p>
        <w:p w14:paraId="2B0E9462" w14:textId="449C7809" w:rsidR="00C94F55" w:rsidRPr="00445CD4" w:rsidRDefault="00C94F55">
          <w:pPr>
            <w:pStyle w:val="TOC3"/>
            <w:rPr>
              <w:rFonts w:eastAsiaTheme="minorEastAsia" w:cstheme="minorBidi"/>
              <w:kern w:val="2"/>
              <w:lang w:eastAsia="en-IE"/>
              <w14:ligatures w14:val="standardContextual"/>
            </w:rPr>
          </w:pPr>
          <w:hyperlink w:anchor="_Toc214033630" w:history="1">
            <w:r w:rsidRPr="00445CD4">
              <w:rPr>
                <w:rStyle w:val="Hyperlink"/>
                <w:bCs/>
                <w:lang w:val="ga"/>
              </w:rPr>
              <w:t>Comhlachtaí poiblí a bhfuil níos lú ná 100 ball foirne acu</w:t>
            </w:r>
            <w:r w:rsidRPr="00445CD4">
              <w:rPr>
                <w:webHidden/>
              </w:rPr>
              <w:tab/>
            </w:r>
            <w:r w:rsidRPr="00445CD4">
              <w:rPr>
                <w:webHidden/>
              </w:rPr>
              <w:fldChar w:fldCharType="begin"/>
            </w:r>
            <w:r w:rsidRPr="00445CD4">
              <w:rPr>
                <w:webHidden/>
              </w:rPr>
              <w:instrText xml:space="preserve"> PAGEREF _Toc214033630 \h </w:instrText>
            </w:r>
            <w:r w:rsidRPr="00445CD4">
              <w:rPr>
                <w:webHidden/>
              </w:rPr>
            </w:r>
            <w:r w:rsidRPr="00445CD4">
              <w:rPr>
                <w:webHidden/>
              </w:rPr>
              <w:fldChar w:fldCharType="separate"/>
            </w:r>
            <w:r w:rsidR="00C114C4">
              <w:rPr>
                <w:webHidden/>
              </w:rPr>
              <w:t>24</w:t>
            </w:r>
            <w:r w:rsidRPr="00445CD4">
              <w:rPr>
                <w:webHidden/>
              </w:rPr>
              <w:fldChar w:fldCharType="end"/>
            </w:r>
          </w:hyperlink>
        </w:p>
        <w:p w14:paraId="695F4C17" w14:textId="777CD47C" w:rsidR="00C94F55" w:rsidRPr="00445CD4" w:rsidRDefault="00C94F55">
          <w:pPr>
            <w:pStyle w:val="TOC3"/>
            <w:rPr>
              <w:rFonts w:eastAsiaTheme="minorEastAsia" w:cstheme="minorBidi"/>
              <w:kern w:val="2"/>
              <w:lang w:eastAsia="en-IE"/>
              <w14:ligatures w14:val="standardContextual"/>
            </w:rPr>
          </w:pPr>
          <w:hyperlink w:anchor="_Toc214033631" w:history="1">
            <w:r w:rsidRPr="00445CD4">
              <w:rPr>
                <w:rStyle w:val="Hyperlink"/>
                <w:bCs/>
                <w:lang w:val="ga"/>
              </w:rPr>
              <w:t>Comhlachtaí poiblí a bhfuil idir 100 ball foirne agus 999 mball foirne acu</w:t>
            </w:r>
            <w:r w:rsidRPr="00445CD4">
              <w:rPr>
                <w:webHidden/>
              </w:rPr>
              <w:tab/>
            </w:r>
            <w:r w:rsidRPr="00445CD4">
              <w:rPr>
                <w:webHidden/>
              </w:rPr>
              <w:fldChar w:fldCharType="begin"/>
            </w:r>
            <w:r w:rsidRPr="00445CD4">
              <w:rPr>
                <w:webHidden/>
              </w:rPr>
              <w:instrText xml:space="preserve"> PAGEREF _Toc214033631 \h </w:instrText>
            </w:r>
            <w:r w:rsidRPr="00445CD4">
              <w:rPr>
                <w:webHidden/>
              </w:rPr>
            </w:r>
            <w:r w:rsidRPr="00445CD4">
              <w:rPr>
                <w:webHidden/>
              </w:rPr>
              <w:fldChar w:fldCharType="separate"/>
            </w:r>
            <w:r w:rsidR="00C114C4">
              <w:rPr>
                <w:webHidden/>
              </w:rPr>
              <w:t>24</w:t>
            </w:r>
            <w:r w:rsidRPr="00445CD4">
              <w:rPr>
                <w:webHidden/>
              </w:rPr>
              <w:fldChar w:fldCharType="end"/>
            </w:r>
          </w:hyperlink>
        </w:p>
        <w:p w14:paraId="07F6FC0E" w14:textId="4B92D9A7" w:rsidR="00C94F55" w:rsidRPr="00445CD4" w:rsidRDefault="00C94F55">
          <w:pPr>
            <w:pStyle w:val="TOC3"/>
            <w:rPr>
              <w:rFonts w:eastAsiaTheme="minorEastAsia" w:cstheme="minorBidi"/>
              <w:kern w:val="2"/>
              <w:lang w:eastAsia="en-IE"/>
              <w14:ligatures w14:val="standardContextual"/>
            </w:rPr>
          </w:pPr>
          <w:hyperlink w:anchor="_Toc214033632" w:history="1">
            <w:r w:rsidRPr="00445CD4">
              <w:rPr>
                <w:rStyle w:val="Hyperlink"/>
                <w:bCs/>
                <w:lang w:val="ga"/>
              </w:rPr>
              <w:t>Comhlachtaí poiblí a bhfuil idir 1,000 ball foirne agus 4,999 mball foirne acu</w:t>
            </w:r>
            <w:r w:rsidRPr="00445CD4">
              <w:rPr>
                <w:webHidden/>
              </w:rPr>
              <w:tab/>
            </w:r>
            <w:r w:rsidRPr="00445CD4">
              <w:rPr>
                <w:webHidden/>
              </w:rPr>
              <w:fldChar w:fldCharType="begin"/>
            </w:r>
            <w:r w:rsidRPr="00445CD4">
              <w:rPr>
                <w:webHidden/>
              </w:rPr>
              <w:instrText xml:space="preserve"> PAGEREF _Toc214033632 \h </w:instrText>
            </w:r>
            <w:r w:rsidRPr="00445CD4">
              <w:rPr>
                <w:webHidden/>
              </w:rPr>
            </w:r>
            <w:r w:rsidRPr="00445CD4">
              <w:rPr>
                <w:webHidden/>
              </w:rPr>
              <w:fldChar w:fldCharType="separate"/>
            </w:r>
            <w:r w:rsidR="00C114C4">
              <w:rPr>
                <w:webHidden/>
              </w:rPr>
              <w:t>24</w:t>
            </w:r>
            <w:r w:rsidRPr="00445CD4">
              <w:rPr>
                <w:webHidden/>
              </w:rPr>
              <w:fldChar w:fldCharType="end"/>
            </w:r>
          </w:hyperlink>
        </w:p>
        <w:p w14:paraId="29305591" w14:textId="4130908B"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33" w:history="1">
            <w:r w:rsidRPr="00445CD4">
              <w:rPr>
                <w:rStyle w:val="Hyperlink"/>
                <w:rFonts w:ascii="Verdana" w:hAnsi="Verdana"/>
                <w:bCs/>
                <w:noProof/>
                <w:sz w:val="24"/>
                <w:lang w:val="ga"/>
              </w:rPr>
              <w:t>Comhlachtaí poiblí a bhfuil níos mó ná 5,000 ball foirne acu</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_Toc214033633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25</w:t>
            </w:r>
            <w:r w:rsidRPr="00445CD4">
              <w:rPr>
                <w:rFonts w:ascii="Verdana" w:hAnsi="Verdana"/>
                <w:noProof/>
                <w:webHidden/>
                <w:sz w:val="24"/>
              </w:rPr>
              <w:fldChar w:fldCharType="end"/>
            </w:r>
          </w:hyperlink>
        </w:p>
        <w:p w14:paraId="3E4F6328" w14:textId="6D53752A"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34" w:history="1">
            <w:r w:rsidRPr="00445CD4">
              <w:rPr>
                <w:rStyle w:val="Hyperlink"/>
                <w:rFonts w:ascii="Verdana" w:hAnsi="Verdana"/>
                <w:bCs/>
                <w:noProof/>
                <w:sz w:val="24"/>
                <w:lang w:val="ga"/>
              </w:rPr>
              <w:t>Achoimre ar an anailís de réir mhéid an chomhlachta phoiblí</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_Toc214033634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25</w:t>
            </w:r>
            <w:r w:rsidRPr="00445CD4">
              <w:rPr>
                <w:rFonts w:ascii="Verdana" w:hAnsi="Verdana"/>
                <w:noProof/>
                <w:webHidden/>
                <w:sz w:val="24"/>
              </w:rPr>
              <w:fldChar w:fldCharType="end"/>
            </w:r>
          </w:hyperlink>
        </w:p>
        <w:p w14:paraId="069BDA50" w14:textId="0BFFAA11"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35" w:history="1">
            <w:r w:rsidRPr="00445CD4">
              <w:rPr>
                <w:rStyle w:val="Hyperlink"/>
                <w:rFonts w:ascii="Verdana" w:hAnsi="Verdana"/>
                <w:bCs/>
                <w:noProof/>
                <w:sz w:val="24"/>
                <w:lang w:val="ga"/>
              </w:rPr>
              <w:t>2.4 Athruithe i méid na gcomhlachtaí poiblí</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_Toc214033635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25</w:t>
            </w:r>
            <w:r w:rsidRPr="00445CD4">
              <w:rPr>
                <w:rFonts w:ascii="Verdana" w:hAnsi="Verdana"/>
                <w:noProof/>
                <w:webHidden/>
                <w:sz w:val="24"/>
              </w:rPr>
              <w:fldChar w:fldCharType="end"/>
            </w:r>
          </w:hyperlink>
        </w:p>
        <w:p w14:paraId="2412EE4E" w14:textId="373F3EB5" w:rsidR="00C94F55" w:rsidRPr="00445CD4" w:rsidRDefault="00C94F55">
          <w:pPr>
            <w:pStyle w:val="TOC3"/>
            <w:rPr>
              <w:rFonts w:eastAsiaTheme="minorEastAsia" w:cstheme="minorBidi"/>
              <w:kern w:val="2"/>
              <w:lang w:eastAsia="en-IE"/>
              <w14:ligatures w14:val="standardContextual"/>
            </w:rPr>
          </w:pPr>
          <w:hyperlink w:anchor="_Toc214033636" w:history="1">
            <w:r w:rsidRPr="00445CD4">
              <w:rPr>
                <w:rStyle w:val="Hyperlink"/>
                <w:bCs/>
                <w:lang w:val="ga"/>
              </w:rPr>
              <w:t>Comhlachtaí poiblí a bhfuil idir 100 fostaí agus 999 bhfostaí acu</w:t>
            </w:r>
            <w:r w:rsidRPr="00445CD4">
              <w:rPr>
                <w:webHidden/>
              </w:rPr>
              <w:tab/>
            </w:r>
            <w:r w:rsidRPr="00445CD4">
              <w:rPr>
                <w:webHidden/>
              </w:rPr>
              <w:fldChar w:fldCharType="begin"/>
            </w:r>
            <w:r w:rsidRPr="00445CD4">
              <w:rPr>
                <w:webHidden/>
              </w:rPr>
              <w:instrText xml:space="preserve"> PAGEREF _Toc214033636 \h </w:instrText>
            </w:r>
            <w:r w:rsidRPr="00445CD4">
              <w:rPr>
                <w:webHidden/>
              </w:rPr>
            </w:r>
            <w:r w:rsidRPr="00445CD4">
              <w:rPr>
                <w:webHidden/>
              </w:rPr>
              <w:fldChar w:fldCharType="separate"/>
            </w:r>
            <w:r w:rsidR="00C114C4">
              <w:rPr>
                <w:webHidden/>
              </w:rPr>
              <w:t>26</w:t>
            </w:r>
            <w:r w:rsidRPr="00445CD4">
              <w:rPr>
                <w:webHidden/>
              </w:rPr>
              <w:fldChar w:fldCharType="end"/>
            </w:r>
          </w:hyperlink>
        </w:p>
        <w:p w14:paraId="054CE581" w14:textId="3C238F59" w:rsidR="00C94F55" w:rsidRPr="00445CD4" w:rsidRDefault="00C94F55">
          <w:pPr>
            <w:pStyle w:val="TOC3"/>
            <w:rPr>
              <w:rFonts w:eastAsiaTheme="minorEastAsia" w:cstheme="minorBidi"/>
              <w:kern w:val="2"/>
              <w:lang w:eastAsia="en-IE"/>
              <w14:ligatures w14:val="standardContextual"/>
            </w:rPr>
          </w:pPr>
          <w:hyperlink w:anchor="_Toc214033637" w:history="1">
            <w:r w:rsidRPr="00445CD4">
              <w:rPr>
                <w:rStyle w:val="Hyperlink"/>
                <w:bCs/>
                <w:lang w:val="ga"/>
              </w:rPr>
              <w:t>Comhlachtaí poiblí a bhfuil 1,000 fostaí nó níos mó acu</w:t>
            </w:r>
            <w:r w:rsidRPr="00445CD4">
              <w:rPr>
                <w:webHidden/>
              </w:rPr>
              <w:tab/>
            </w:r>
            <w:r w:rsidRPr="00445CD4">
              <w:rPr>
                <w:webHidden/>
              </w:rPr>
              <w:fldChar w:fldCharType="begin"/>
            </w:r>
            <w:r w:rsidRPr="00445CD4">
              <w:rPr>
                <w:webHidden/>
              </w:rPr>
              <w:instrText xml:space="preserve"> PAGEREF _Toc214033637 \h </w:instrText>
            </w:r>
            <w:r w:rsidRPr="00445CD4">
              <w:rPr>
                <w:webHidden/>
              </w:rPr>
            </w:r>
            <w:r w:rsidRPr="00445CD4">
              <w:rPr>
                <w:webHidden/>
              </w:rPr>
              <w:fldChar w:fldCharType="separate"/>
            </w:r>
            <w:r w:rsidR="00C114C4">
              <w:rPr>
                <w:webHidden/>
              </w:rPr>
              <w:t>27</w:t>
            </w:r>
            <w:r w:rsidRPr="00445CD4">
              <w:rPr>
                <w:webHidden/>
              </w:rPr>
              <w:fldChar w:fldCharType="end"/>
            </w:r>
          </w:hyperlink>
        </w:p>
        <w:p w14:paraId="0112A822" w14:textId="7DB9DD3C" w:rsidR="00C94F55" w:rsidRPr="00445CD4" w:rsidRDefault="00C94F55" w:rsidP="00E3084D">
          <w:pPr>
            <w:pStyle w:val="TOC1"/>
            <w:rPr>
              <w:rFonts w:eastAsiaTheme="minorEastAsia" w:cstheme="minorBidi"/>
              <w:kern w:val="2"/>
              <w:lang w:eastAsia="en-IE"/>
              <w14:ligatures w14:val="standardContextual"/>
            </w:rPr>
          </w:pPr>
          <w:hyperlink w:anchor="_Toc214033639" w:history="1">
            <w:r w:rsidRPr="00445CD4">
              <w:rPr>
                <w:rStyle w:val="Hyperlink"/>
              </w:rPr>
              <w:t>3. Bearta chun oibleagáidí Chuid 5 a chomhlíonadh sa bhliain 2023</w:t>
            </w:r>
            <w:r w:rsidRPr="00445CD4">
              <w:rPr>
                <w:webHidden/>
              </w:rPr>
              <w:tab/>
            </w:r>
            <w:r w:rsidRPr="00445CD4">
              <w:rPr>
                <w:webHidden/>
              </w:rPr>
              <w:fldChar w:fldCharType="begin"/>
            </w:r>
            <w:r w:rsidRPr="00445CD4">
              <w:rPr>
                <w:webHidden/>
              </w:rPr>
              <w:instrText xml:space="preserve"> PAGEREF _Toc214033639 \h </w:instrText>
            </w:r>
            <w:r w:rsidRPr="00445CD4">
              <w:rPr>
                <w:webHidden/>
              </w:rPr>
            </w:r>
            <w:r w:rsidRPr="00445CD4">
              <w:rPr>
                <w:webHidden/>
              </w:rPr>
              <w:fldChar w:fldCharType="separate"/>
            </w:r>
            <w:r w:rsidR="00C114C4">
              <w:rPr>
                <w:webHidden/>
              </w:rPr>
              <w:t>29</w:t>
            </w:r>
            <w:r w:rsidRPr="00445CD4">
              <w:rPr>
                <w:webHidden/>
              </w:rPr>
              <w:fldChar w:fldCharType="end"/>
            </w:r>
          </w:hyperlink>
        </w:p>
        <w:p w14:paraId="43C8DC5F" w14:textId="06460EA7"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40" w:history="1">
            <w:r w:rsidRPr="00445CD4">
              <w:rPr>
                <w:rStyle w:val="Hyperlink"/>
                <w:rFonts w:ascii="Verdana" w:hAnsi="Verdana"/>
                <w:bCs/>
                <w:noProof/>
                <w:sz w:val="24"/>
                <w:lang w:val="ga"/>
              </w:rPr>
              <w:t>3.1 Earcú daoine faoi mhíchumas a mhéadú</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_Toc214033640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30</w:t>
            </w:r>
            <w:r w:rsidRPr="00445CD4">
              <w:rPr>
                <w:rFonts w:ascii="Verdana" w:hAnsi="Verdana"/>
                <w:noProof/>
                <w:webHidden/>
                <w:sz w:val="24"/>
              </w:rPr>
              <w:fldChar w:fldCharType="end"/>
            </w:r>
          </w:hyperlink>
        </w:p>
        <w:p w14:paraId="0BBAEEF3" w14:textId="2844126B"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41" w:history="1">
            <w:r w:rsidRPr="00445CD4">
              <w:rPr>
                <w:rStyle w:val="Hyperlink"/>
                <w:rFonts w:ascii="Verdana" w:hAnsi="Verdana"/>
                <w:bCs/>
                <w:noProof/>
                <w:sz w:val="24"/>
                <w:lang w:val="ga"/>
              </w:rPr>
              <w:t>3.2 Bearta chun tacú le fostaithe a stádas míchumais a chur in iúl</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_Toc214033641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32</w:t>
            </w:r>
            <w:r w:rsidRPr="00445CD4">
              <w:rPr>
                <w:rFonts w:ascii="Verdana" w:hAnsi="Verdana"/>
                <w:noProof/>
                <w:webHidden/>
                <w:sz w:val="24"/>
              </w:rPr>
              <w:fldChar w:fldCharType="end"/>
            </w:r>
          </w:hyperlink>
        </w:p>
        <w:p w14:paraId="1D6D9554" w14:textId="07705C03"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42" w:history="1">
            <w:r w:rsidRPr="00445CD4">
              <w:rPr>
                <w:rStyle w:val="Hyperlink"/>
                <w:rFonts w:ascii="Verdana" w:hAnsi="Verdana"/>
                <w:bCs/>
                <w:noProof/>
                <w:sz w:val="24"/>
                <w:lang w:val="ga"/>
              </w:rPr>
              <w:t>3.3 Fostaithe a bhfuil míchumas orthu nó nach bhfuil míchumas orthu a choinneáil</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_Toc214033642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33</w:t>
            </w:r>
            <w:r w:rsidRPr="00445CD4">
              <w:rPr>
                <w:rFonts w:ascii="Verdana" w:hAnsi="Verdana"/>
                <w:noProof/>
                <w:webHidden/>
                <w:sz w:val="24"/>
              </w:rPr>
              <w:fldChar w:fldCharType="end"/>
            </w:r>
          </w:hyperlink>
        </w:p>
        <w:p w14:paraId="10068213" w14:textId="53F91C18"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43" w:history="1">
            <w:r w:rsidRPr="00445CD4">
              <w:rPr>
                <w:rStyle w:val="Hyperlink"/>
                <w:rFonts w:ascii="Verdana" w:hAnsi="Verdana"/>
                <w:bCs/>
                <w:noProof/>
                <w:sz w:val="24"/>
                <w:lang w:val="ga"/>
              </w:rPr>
              <w:t>3.4 Socruithe réasúnacha</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_Toc214033643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34</w:t>
            </w:r>
            <w:r w:rsidRPr="00445CD4">
              <w:rPr>
                <w:rFonts w:ascii="Verdana" w:hAnsi="Verdana"/>
                <w:noProof/>
                <w:webHidden/>
                <w:sz w:val="24"/>
              </w:rPr>
              <w:fldChar w:fldCharType="end"/>
            </w:r>
          </w:hyperlink>
        </w:p>
        <w:p w14:paraId="1E157AA1" w14:textId="1E58D978"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45" w:history="1">
            <w:r w:rsidRPr="00445CD4">
              <w:rPr>
                <w:rStyle w:val="Hyperlink"/>
                <w:rFonts w:ascii="Verdana" w:hAnsi="Verdana"/>
                <w:bCs/>
                <w:noProof/>
                <w:sz w:val="24"/>
                <w:lang w:val="ga"/>
              </w:rPr>
              <w:t>3.5 Tacaí do bhainisteoirí líne</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_Toc214033645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36</w:t>
            </w:r>
            <w:r w:rsidRPr="00445CD4">
              <w:rPr>
                <w:rFonts w:ascii="Verdana" w:hAnsi="Verdana"/>
                <w:noProof/>
                <w:webHidden/>
                <w:sz w:val="24"/>
              </w:rPr>
              <w:fldChar w:fldCharType="end"/>
            </w:r>
          </w:hyperlink>
        </w:p>
        <w:p w14:paraId="390E4104" w14:textId="55857F74"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46" w:history="1">
            <w:r w:rsidRPr="00445CD4">
              <w:rPr>
                <w:rStyle w:val="Hyperlink"/>
                <w:rFonts w:ascii="Verdana" w:hAnsi="Verdana"/>
                <w:bCs/>
                <w:noProof/>
                <w:sz w:val="24"/>
                <w:lang w:val="ga"/>
              </w:rPr>
              <w:t>3.6 Cláir taithí oibre</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_Toc214033646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37</w:t>
            </w:r>
            <w:r w:rsidRPr="00445CD4">
              <w:rPr>
                <w:rFonts w:ascii="Verdana" w:hAnsi="Verdana"/>
                <w:noProof/>
                <w:webHidden/>
                <w:sz w:val="24"/>
              </w:rPr>
              <w:fldChar w:fldCharType="end"/>
            </w:r>
          </w:hyperlink>
        </w:p>
        <w:p w14:paraId="72E0F7B6" w14:textId="67895498" w:rsidR="00C94F55" w:rsidRPr="00445CD4" w:rsidRDefault="00C94F55">
          <w:pPr>
            <w:pStyle w:val="TOC3"/>
            <w:rPr>
              <w:rFonts w:eastAsiaTheme="minorEastAsia" w:cstheme="minorBidi"/>
              <w:kern w:val="2"/>
              <w:lang w:eastAsia="en-IE"/>
              <w14:ligatures w14:val="standardContextual"/>
            </w:rPr>
          </w:pPr>
          <w:hyperlink w:anchor="_Toc214033647" w:history="1">
            <w:r w:rsidRPr="00445CD4">
              <w:rPr>
                <w:rStyle w:val="Hyperlink"/>
                <w:bCs/>
                <w:lang w:val="ga"/>
              </w:rPr>
              <w:t>Clár Willing Able Mentoring (WAM) AHEAD</w:t>
            </w:r>
            <w:r w:rsidRPr="00445CD4">
              <w:rPr>
                <w:webHidden/>
              </w:rPr>
              <w:tab/>
            </w:r>
            <w:r w:rsidRPr="00445CD4">
              <w:rPr>
                <w:webHidden/>
              </w:rPr>
              <w:fldChar w:fldCharType="begin"/>
            </w:r>
            <w:r w:rsidRPr="00445CD4">
              <w:rPr>
                <w:webHidden/>
              </w:rPr>
              <w:instrText xml:space="preserve"> PAGEREF _Toc214033647 \h </w:instrText>
            </w:r>
            <w:r w:rsidRPr="00445CD4">
              <w:rPr>
                <w:webHidden/>
              </w:rPr>
            </w:r>
            <w:r w:rsidRPr="00445CD4">
              <w:rPr>
                <w:webHidden/>
              </w:rPr>
              <w:fldChar w:fldCharType="separate"/>
            </w:r>
            <w:r w:rsidR="00C114C4">
              <w:rPr>
                <w:webHidden/>
              </w:rPr>
              <w:t>38</w:t>
            </w:r>
            <w:r w:rsidRPr="00445CD4">
              <w:rPr>
                <w:webHidden/>
              </w:rPr>
              <w:fldChar w:fldCharType="end"/>
            </w:r>
          </w:hyperlink>
        </w:p>
        <w:p w14:paraId="3B8C0956" w14:textId="1F2FCEE9" w:rsidR="00C94F55" w:rsidRPr="00445CD4" w:rsidRDefault="00C94F55">
          <w:pPr>
            <w:pStyle w:val="TOC3"/>
            <w:rPr>
              <w:rFonts w:eastAsiaTheme="minorEastAsia" w:cstheme="minorBidi"/>
              <w:kern w:val="2"/>
              <w:lang w:eastAsia="en-IE"/>
              <w14:ligatures w14:val="standardContextual"/>
            </w:rPr>
          </w:pPr>
          <w:hyperlink w:anchor="_Toc214033648" w:history="1">
            <w:r w:rsidRPr="00445CD4">
              <w:rPr>
                <w:rStyle w:val="Hyperlink"/>
                <w:bCs/>
                <w:lang w:val="ga"/>
              </w:rPr>
              <w:t>Clár oiliúna Foghlama Oibre an Oireachtais (OWL)</w:t>
            </w:r>
            <w:r w:rsidRPr="00445CD4">
              <w:rPr>
                <w:webHidden/>
              </w:rPr>
              <w:tab/>
            </w:r>
            <w:r w:rsidRPr="00445CD4">
              <w:rPr>
                <w:webHidden/>
              </w:rPr>
              <w:fldChar w:fldCharType="begin"/>
            </w:r>
            <w:r w:rsidRPr="00445CD4">
              <w:rPr>
                <w:webHidden/>
              </w:rPr>
              <w:instrText xml:space="preserve"> PAGEREF _Toc214033648 \h </w:instrText>
            </w:r>
            <w:r w:rsidRPr="00445CD4">
              <w:rPr>
                <w:webHidden/>
              </w:rPr>
            </w:r>
            <w:r w:rsidRPr="00445CD4">
              <w:rPr>
                <w:webHidden/>
              </w:rPr>
              <w:fldChar w:fldCharType="separate"/>
            </w:r>
            <w:r w:rsidR="00C114C4">
              <w:rPr>
                <w:webHidden/>
              </w:rPr>
              <w:t>39</w:t>
            </w:r>
            <w:r w:rsidRPr="00445CD4">
              <w:rPr>
                <w:webHidden/>
              </w:rPr>
              <w:fldChar w:fldCharType="end"/>
            </w:r>
          </w:hyperlink>
        </w:p>
        <w:p w14:paraId="064F0AC7" w14:textId="0905BD31" w:rsidR="00C94F55" w:rsidRPr="00445CD4" w:rsidRDefault="00C94F55">
          <w:pPr>
            <w:pStyle w:val="TOC3"/>
            <w:rPr>
              <w:rFonts w:eastAsiaTheme="minorEastAsia" w:cstheme="minorBidi"/>
              <w:kern w:val="2"/>
              <w:lang w:eastAsia="en-IE"/>
              <w14:ligatures w14:val="standardContextual"/>
            </w:rPr>
          </w:pPr>
          <w:hyperlink w:anchor="_Toc214033649" w:history="1">
            <w:r w:rsidRPr="00445CD4">
              <w:rPr>
                <w:rStyle w:val="Hyperlink"/>
                <w:bCs/>
                <w:lang w:val="ga"/>
              </w:rPr>
              <w:t>Cláir Inmheánacha Taithí Oibre do dhaoine faoi mhíchumas</w:t>
            </w:r>
            <w:r w:rsidRPr="00445CD4">
              <w:rPr>
                <w:webHidden/>
              </w:rPr>
              <w:tab/>
            </w:r>
            <w:r w:rsidRPr="00445CD4">
              <w:rPr>
                <w:webHidden/>
              </w:rPr>
              <w:fldChar w:fldCharType="begin"/>
            </w:r>
            <w:r w:rsidRPr="00445CD4">
              <w:rPr>
                <w:webHidden/>
              </w:rPr>
              <w:instrText xml:space="preserve"> PAGEREF _Toc214033649 \h </w:instrText>
            </w:r>
            <w:r w:rsidRPr="00445CD4">
              <w:rPr>
                <w:webHidden/>
              </w:rPr>
            </w:r>
            <w:r w:rsidRPr="00445CD4">
              <w:rPr>
                <w:webHidden/>
              </w:rPr>
              <w:fldChar w:fldCharType="separate"/>
            </w:r>
            <w:r w:rsidR="00C114C4">
              <w:rPr>
                <w:webHidden/>
              </w:rPr>
              <w:t>40</w:t>
            </w:r>
            <w:r w:rsidRPr="00445CD4">
              <w:rPr>
                <w:webHidden/>
              </w:rPr>
              <w:fldChar w:fldCharType="end"/>
            </w:r>
          </w:hyperlink>
        </w:p>
        <w:p w14:paraId="215D224D" w14:textId="41A9C6D8"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50" w:history="1">
            <w:r w:rsidRPr="00445CD4">
              <w:rPr>
                <w:rStyle w:val="Hyperlink"/>
                <w:rFonts w:ascii="Verdana" w:hAnsi="Verdana"/>
                <w:bCs/>
                <w:noProof/>
                <w:sz w:val="24"/>
                <w:lang w:val="ga"/>
              </w:rPr>
              <w:t>3.7 Idirchaidreamh le Coistí Faireacháin</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_Toc214033650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42</w:t>
            </w:r>
            <w:r w:rsidRPr="00445CD4">
              <w:rPr>
                <w:rFonts w:ascii="Verdana" w:hAnsi="Verdana"/>
                <w:noProof/>
                <w:webHidden/>
                <w:sz w:val="24"/>
              </w:rPr>
              <w:fldChar w:fldCharType="end"/>
            </w:r>
          </w:hyperlink>
        </w:p>
        <w:p w14:paraId="56AD0BA5" w14:textId="4D8D562F" w:rsidR="00C94F55" w:rsidRPr="00445CD4" w:rsidRDefault="00C94F55" w:rsidP="00E3084D">
          <w:pPr>
            <w:pStyle w:val="TOC1"/>
            <w:rPr>
              <w:rFonts w:eastAsiaTheme="minorEastAsia" w:cstheme="minorBidi"/>
              <w:kern w:val="2"/>
              <w:lang w:eastAsia="en-IE"/>
              <w14:ligatures w14:val="standardContextual"/>
            </w:rPr>
          </w:pPr>
          <w:hyperlink w:anchor="_Toc214033653" w:history="1">
            <w:r w:rsidRPr="00445CD4">
              <w:rPr>
                <w:rStyle w:val="Hyperlink"/>
              </w:rPr>
              <w:t>4. Faireachán agus Comhlíonadh</w:t>
            </w:r>
            <w:r w:rsidRPr="00445CD4">
              <w:rPr>
                <w:webHidden/>
              </w:rPr>
              <w:tab/>
            </w:r>
            <w:r w:rsidRPr="00445CD4">
              <w:rPr>
                <w:webHidden/>
              </w:rPr>
              <w:fldChar w:fldCharType="begin"/>
            </w:r>
            <w:r w:rsidRPr="00445CD4">
              <w:rPr>
                <w:webHidden/>
              </w:rPr>
              <w:instrText xml:space="preserve"> PAGEREF _Toc214033653 \h </w:instrText>
            </w:r>
            <w:r w:rsidRPr="00445CD4">
              <w:rPr>
                <w:webHidden/>
              </w:rPr>
            </w:r>
            <w:r w:rsidRPr="00445CD4">
              <w:rPr>
                <w:webHidden/>
              </w:rPr>
              <w:fldChar w:fldCharType="separate"/>
            </w:r>
            <w:r w:rsidR="00C114C4">
              <w:rPr>
                <w:webHidden/>
              </w:rPr>
              <w:t>44</w:t>
            </w:r>
            <w:r w:rsidRPr="00445CD4">
              <w:rPr>
                <w:webHidden/>
              </w:rPr>
              <w:fldChar w:fldCharType="end"/>
            </w:r>
          </w:hyperlink>
        </w:p>
        <w:p w14:paraId="47A49F98" w14:textId="4E19A143"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54" w:history="1">
            <w:r w:rsidRPr="00445CD4">
              <w:rPr>
                <w:rStyle w:val="Hyperlink"/>
                <w:rFonts w:ascii="Verdana" w:hAnsi="Verdana"/>
                <w:bCs/>
                <w:noProof/>
                <w:sz w:val="24"/>
                <w:lang w:val="ga"/>
              </w:rPr>
              <w:t>Comhlíonadh faoi Chuid 5 den Acht um Míchumas 2005</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_Toc214033654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44</w:t>
            </w:r>
            <w:r w:rsidRPr="00445CD4">
              <w:rPr>
                <w:rFonts w:ascii="Verdana" w:hAnsi="Verdana"/>
                <w:noProof/>
                <w:webHidden/>
                <w:sz w:val="24"/>
              </w:rPr>
              <w:fldChar w:fldCharType="end"/>
            </w:r>
          </w:hyperlink>
        </w:p>
        <w:p w14:paraId="118B5E37" w14:textId="36752528" w:rsidR="00C94F55" w:rsidRPr="00445CD4" w:rsidRDefault="00C94F55">
          <w:pPr>
            <w:pStyle w:val="TOC3"/>
            <w:rPr>
              <w:rFonts w:eastAsiaTheme="minorEastAsia" w:cstheme="minorBidi"/>
              <w:kern w:val="2"/>
              <w:lang w:eastAsia="en-IE"/>
              <w14:ligatures w14:val="standardContextual"/>
            </w:rPr>
          </w:pPr>
          <w:hyperlink w:anchor="_Toc214033655" w:history="1">
            <w:r w:rsidRPr="00445CD4">
              <w:rPr>
                <w:rStyle w:val="Hyperlink"/>
                <w:bCs/>
                <w:lang w:val="ga"/>
              </w:rPr>
              <w:t>4.1 Comhlíonadh an Achta, 2021 agus 2022</w:t>
            </w:r>
            <w:r w:rsidRPr="00445CD4">
              <w:rPr>
                <w:webHidden/>
              </w:rPr>
              <w:tab/>
            </w:r>
            <w:r w:rsidRPr="00445CD4">
              <w:rPr>
                <w:webHidden/>
              </w:rPr>
              <w:fldChar w:fldCharType="begin"/>
            </w:r>
            <w:r w:rsidRPr="00445CD4">
              <w:rPr>
                <w:webHidden/>
              </w:rPr>
              <w:instrText xml:space="preserve"> PAGEREF _Toc214033655 \h </w:instrText>
            </w:r>
            <w:r w:rsidRPr="00445CD4">
              <w:rPr>
                <w:webHidden/>
              </w:rPr>
            </w:r>
            <w:r w:rsidRPr="00445CD4">
              <w:rPr>
                <w:webHidden/>
              </w:rPr>
              <w:fldChar w:fldCharType="separate"/>
            </w:r>
            <w:r w:rsidR="00C114C4">
              <w:rPr>
                <w:webHidden/>
              </w:rPr>
              <w:t>44</w:t>
            </w:r>
            <w:r w:rsidRPr="00445CD4">
              <w:rPr>
                <w:webHidden/>
              </w:rPr>
              <w:fldChar w:fldCharType="end"/>
            </w:r>
          </w:hyperlink>
        </w:p>
        <w:p w14:paraId="2AAA2F36" w14:textId="174B87CE" w:rsidR="00C94F55" w:rsidRPr="00445CD4" w:rsidRDefault="00C94F55">
          <w:pPr>
            <w:pStyle w:val="TOC3"/>
            <w:rPr>
              <w:rFonts w:eastAsiaTheme="minorEastAsia" w:cstheme="minorBidi"/>
              <w:kern w:val="2"/>
              <w:lang w:eastAsia="en-IE"/>
              <w14:ligatures w14:val="standardContextual"/>
            </w:rPr>
          </w:pPr>
          <w:hyperlink w:anchor="_Toc214033656" w:history="1">
            <w:r w:rsidRPr="00445CD4">
              <w:rPr>
                <w:rStyle w:val="Hyperlink"/>
                <w:bCs/>
                <w:lang w:val="ga"/>
              </w:rPr>
              <w:t>4.2 Comhlíonadh an Achta, 2022 agus 2023</w:t>
            </w:r>
            <w:r w:rsidRPr="00445CD4">
              <w:rPr>
                <w:webHidden/>
              </w:rPr>
              <w:tab/>
            </w:r>
            <w:r w:rsidRPr="00445CD4">
              <w:rPr>
                <w:webHidden/>
              </w:rPr>
              <w:fldChar w:fldCharType="begin"/>
            </w:r>
            <w:r w:rsidRPr="00445CD4">
              <w:rPr>
                <w:webHidden/>
              </w:rPr>
              <w:instrText xml:space="preserve"> PAGEREF _Toc214033656 \h </w:instrText>
            </w:r>
            <w:r w:rsidRPr="00445CD4">
              <w:rPr>
                <w:webHidden/>
              </w:rPr>
            </w:r>
            <w:r w:rsidRPr="00445CD4">
              <w:rPr>
                <w:webHidden/>
              </w:rPr>
              <w:fldChar w:fldCharType="separate"/>
            </w:r>
            <w:r w:rsidR="00C114C4">
              <w:rPr>
                <w:webHidden/>
              </w:rPr>
              <w:t>45</w:t>
            </w:r>
            <w:r w:rsidRPr="00445CD4">
              <w:rPr>
                <w:webHidden/>
              </w:rPr>
              <w:fldChar w:fldCharType="end"/>
            </w:r>
          </w:hyperlink>
        </w:p>
        <w:p w14:paraId="5DE1EC2E" w14:textId="3AA4744D"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57" w:history="1">
            <w:r w:rsidRPr="00445CD4">
              <w:rPr>
                <w:rStyle w:val="Hyperlink"/>
                <w:rFonts w:ascii="Verdana" w:hAnsi="Verdana"/>
                <w:bCs/>
                <w:noProof/>
                <w:sz w:val="24"/>
                <w:lang w:val="ga"/>
              </w:rPr>
              <w:t>4.3 Comhlíonadh an Achta, 2023 agus 2024</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_Toc214033657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46</w:t>
            </w:r>
            <w:r w:rsidRPr="00445CD4">
              <w:rPr>
                <w:rFonts w:ascii="Verdana" w:hAnsi="Verdana"/>
                <w:noProof/>
                <w:webHidden/>
                <w:sz w:val="24"/>
              </w:rPr>
              <w:fldChar w:fldCharType="end"/>
            </w:r>
          </w:hyperlink>
        </w:p>
        <w:p w14:paraId="3F2E7814" w14:textId="0FEDA5B9"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58" w:history="1">
            <w:r w:rsidRPr="00445CD4">
              <w:rPr>
                <w:rStyle w:val="Hyperlink"/>
                <w:rFonts w:ascii="Verdana" w:hAnsi="Verdana"/>
                <w:bCs/>
                <w:noProof/>
                <w:sz w:val="24"/>
                <w:lang w:val="ga"/>
              </w:rPr>
              <w:t>4.4 Comhlíonadh an Achta, 2024</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_Toc214033658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46</w:t>
            </w:r>
            <w:r w:rsidRPr="00445CD4">
              <w:rPr>
                <w:rFonts w:ascii="Verdana" w:hAnsi="Verdana"/>
                <w:noProof/>
                <w:webHidden/>
                <w:sz w:val="24"/>
              </w:rPr>
              <w:fldChar w:fldCharType="end"/>
            </w:r>
          </w:hyperlink>
        </w:p>
        <w:p w14:paraId="3AEC3831" w14:textId="0B08F46F" w:rsidR="00C94F55" w:rsidRPr="00445CD4" w:rsidRDefault="00C94F55">
          <w:pPr>
            <w:pStyle w:val="TOC3"/>
            <w:rPr>
              <w:rFonts w:eastAsiaTheme="minorEastAsia" w:cstheme="minorBidi"/>
              <w:kern w:val="2"/>
              <w:lang w:eastAsia="en-IE"/>
              <w14:ligatures w14:val="standardContextual"/>
            </w:rPr>
          </w:pPr>
          <w:hyperlink w:anchor="_Toc214033660" w:history="1">
            <w:r w:rsidRPr="00445CD4">
              <w:rPr>
                <w:rStyle w:val="Hyperlink"/>
                <w:bCs/>
                <w:lang w:val="ga"/>
              </w:rPr>
              <w:t>4.5 Bearta chun an sprioc atá le teacht isteach a bhaint amach</w:t>
            </w:r>
            <w:r w:rsidRPr="00445CD4">
              <w:rPr>
                <w:webHidden/>
              </w:rPr>
              <w:tab/>
            </w:r>
            <w:r w:rsidRPr="00445CD4">
              <w:rPr>
                <w:webHidden/>
              </w:rPr>
              <w:fldChar w:fldCharType="begin"/>
            </w:r>
            <w:r w:rsidRPr="00445CD4">
              <w:rPr>
                <w:webHidden/>
              </w:rPr>
              <w:instrText xml:space="preserve"> PAGEREF _Toc214033660 \h </w:instrText>
            </w:r>
            <w:r w:rsidRPr="00445CD4">
              <w:rPr>
                <w:webHidden/>
              </w:rPr>
            </w:r>
            <w:r w:rsidRPr="00445CD4">
              <w:rPr>
                <w:webHidden/>
              </w:rPr>
              <w:fldChar w:fldCharType="separate"/>
            </w:r>
            <w:r w:rsidR="00C114C4">
              <w:rPr>
                <w:webHidden/>
              </w:rPr>
              <w:t>47</w:t>
            </w:r>
            <w:r w:rsidRPr="00445CD4">
              <w:rPr>
                <w:webHidden/>
              </w:rPr>
              <w:fldChar w:fldCharType="end"/>
            </w:r>
          </w:hyperlink>
        </w:p>
        <w:p w14:paraId="133471AA" w14:textId="24D8D9E7" w:rsidR="00C94F55" w:rsidRPr="00445CD4" w:rsidRDefault="00C94F55" w:rsidP="00E3084D">
          <w:pPr>
            <w:pStyle w:val="TOC1"/>
            <w:rPr>
              <w:rFonts w:eastAsiaTheme="minorEastAsia" w:cstheme="minorBidi"/>
              <w:kern w:val="2"/>
              <w:lang w:eastAsia="en-IE"/>
              <w14:ligatures w14:val="standardContextual"/>
            </w:rPr>
          </w:pPr>
          <w:hyperlink w:anchor="_Toc214033661" w:history="1">
            <w:r w:rsidRPr="00445CD4">
              <w:rPr>
                <w:rStyle w:val="Hyperlink"/>
              </w:rPr>
              <w:t>Aguisín A – Ranna Rialtais (a bhfuil Státseirbhísigh amháin mar Fhoireann dóibh)</w:t>
            </w:r>
            <w:r w:rsidRPr="00445CD4">
              <w:rPr>
                <w:webHidden/>
              </w:rPr>
              <w:tab/>
            </w:r>
            <w:r w:rsidRPr="00445CD4">
              <w:rPr>
                <w:webHidden/>
              </w:rPr>
              <w:fldChar w:fldCharType="begin"/>
            </w:r>
            <w:r w:rsidRPr="00445CD4">
              <w:rPr>
                <w:webHidden/>
              </w:rPr>
              <w:instrText xml:space="preserve"> PAGEREF _Toc214033661 \h </w:instrText>
            </w:r>
            <w:r w:rsidRPr="00445CD4">
              <w:rPr>
                <w:webHidden/>
              </w:rPr>
            </w:r>
            <w:r w:rsidRPr="00445CD4">
              <w:rPr>
                <w:webHidden/>
              </w:rPr>
              <w:fldChar w:fldCharType="separate"/>
            </w:r>
            <w:r w:rsidR="00C114C4">
              <w:rPr>
                <w:webHidden/>
              </w:rPr>
              <w:t>49</w:t>
            </w:r>
            <w:r w:rsidRPr="00445CD4">
              <w:rPr>
                <w:webHidden/>
              </w:rPr>
              <w:fldChar w:fldCharType="end"/>
            </w:r>
          </w:hyperlink>
        </w:p>
        <w:p w14:paraId="5DF953A2" w14:textId="6F1A3EBD" w:rsidR="00C94F55" w:rsidRPr="00445CD4" w:rsidRDefault="00C94F55" w:rsidP="00E3084D">
          <w:pPr>
            <w:pStyle w:val="TOC1"/>
            <w:rPr>
              <w:rFonts w:eastAsiaTheme="minorEastAsia" w:cstheme="minorBidi"/>
              <w:kern w:val="2"/>
              <w:lang w:eastAsia="en-IE"/>
              <w14:ligatures w14:val="standardContextual"/>
            </w:rPr>
          </w:pPr>
          <w:hyperlink w:anchor="_Toc214033662" w:history="1">
            <w:r w:rsidRPr="00445CD4">
              <w:rPr>
                <w:rStyle w:val="Hyperlink"/>
              </w:rPr>
              <w:t>Aguisín B – Ranna Rialtais agus na comhlachtaí atá faoina gcoimirce</w:t>
            </w:r>
            <w:r w:rsidRPr="00445CD4">
              <w:rPr>
                <w:webHidden/>
              </w:rPr>
              <w:tab/>
            </w:r>
            <w:r w:rsidRPr="00445CD4">
              <w:rPr>
                <w:webHidden/>
              </w:rPr>
              <w:fldChar w:fldCharType="begin"/>
            </w:r>
            <w:r w:rsidRPr="00445CD4">
              <w:rPr>
                <w:webHidden/>
              </w:rPr>
              <w:instrText xml:space="preserve"> PAGEREF _Toc214033662 \h </w:instrText>
            </w:r>
            <w:r w:rsidRPr="00445CD4">
              <w:rPr>
                <w:webHidden/>
              </w:rPr>
            </w:r>
            <w:r w:rsidRPr="00445CD4">
              <w:rPr>
                <w:webHidden/>
              </w:rPr>
              <w:fldChar w:fldCharType="separate"/>
            </w:r>
            <w:r w:rsidR="00C114C4">
              <w:rPr>
                <w:webHidden/>
              </w:rPr>
              <w:t>51</w:t>
            </w:r>
            <w:r w:rsidRPr="00445CD4">
              <w:rPr>
                <w:webHidden/>
              </w:rPr>
              <w:fldChar w:fldCharType="end"/>
            </w:r>
          </w:hyperlink>
        </w:p>
        <w:p w14:paraId="410A55A1" w14:textId="78A0A952"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63" w:history="1">
            <w:r w:rsidRPr="00445CD4">
              <w:rPr>
                <w:rStyle w:val="Hyperlink"/>
                <w:rFonts w:ascii="Verdana" w:hAnsi="Verdana"/>
                <w:bCs/>
                <w:noProof/>
                <w:sz w:val="24"/>
                <w:lang w:val="ga"/>
              </w:rPr>
              <w:t>An Roinn Talmhaíochta, Bia agus Mara</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_Toc214033663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51</w:t>
            </w:r>
            <w:r w:rsidRPr="00445CD4">
              <w:rPr>
                <w:rFonts w:ascii="Verdana" w:hAnsi="Verdana"/>
                <w:noProof/>
                <w:webHidden/>
                <w:sz w:val="24"/>
              </w:rPr>
              <w:fldChar w:fldCharType="end"/>
            </w:r>
          </w:hyperlink>
        </w:p>
        <w:p w14:paraId="4483CAEB" w14:textId="1F8967C8"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64" w:history="1">
            <w:r w:rsidRPr="00445CD4">
              <w:rPr>
                <w:rStyle w:val="Hyperlink"/>
                <w:rFonts w:ascii="Verdana" w:hAnsi="Verdana"/>
                <w:bCs/>
                <w:noProof/>
                <w:sz w:val="24"/>
                <w:lang w:val="ga"/>
              </w:rPr>
              <w:t>An Roinn Leanaí, Comhionannais, Míchumais, Lánpháirtíochta agus Óige</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_Toc214033664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52</w:t>
            </w:r>
            <w:r w:rsidRPr="00445CD4">
              <w:rPr>
                <w:rFonts w:ascii="Verdana" w:hAnsi="Verdana"/>
                <w:noProof/>
                <w:webHidden/>
                <w:sz w:val="24"/>
              </w:rPr>
              <w:fldChar w:fldCharType="end"/>
            </w:r>
          </w:hyperlink>
        </w:p>
        <w:p w14:paraId="0F0C7383" w14:textId="5F403FE8"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65" w:history="1">
            <w:r w:rsidRPr="00445CD4">
              <w:rPr>
                <w:rStyle w:val="Hyperlink"/>
                <w:rFonts w:ascii="Verdana" w:hAnsi="Verdana"/>
                <w:bCs/>
                <w:noProof/>
                <w:sz w:val="24"/>
                <w:lang w:val="ga"/>
              </w:rPr>
              <w:t>An Roinn Fiontar, Trádála agus Fostaíochta</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_Toc214033665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53</w:t>
            </w:r>
            <w:r w:rsidRPr="00445CD4">
              <w:rPr>
                <w:rFonts w:ascii="Verdana" w:hAnsi="Verdana"/>
                <w:noProof/>
                <w:webHidden/>
                <w:sz w:val="24"/>
              </w:rPr>
              <w:fldChar w:fldCharType="end"/>
            </w:r>
          </w:hyperlink>
        </w:p>
        <w:p w14:paraId="6BB82FC5" w14:textId="46B20954"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66" w:history="1">
            <w:r w:rsidRPr="00445CD4">
              <w:rPr>
                <w:rStyle w:val="Hyperlink"/>
                <w:rFonts w:ascii="Verdana" w:hAnsi="Verdana"/>
                <w:bCs/>
                <w:noProof/>
                <w:sz w:val="24"/>
                <w:lang w:val="ga"/>
              </w:rPr>
              <w:t>An Roinn Airgeadais</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_Toc214033666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54</w:t>
            </w:r>
            <w:r w:rsidRPr="00445CD4">
              <w:rPr>
                <w:rFonts w:ascii="Verdana" w:hAnsi="Verdana"/>
                <w:noProof/>
                <w:webHidden/>
                <w:sz w:val="24"/>
              </w:rPr>
              <w:fldChar w:fldCharType="end"/>
            </w:r>
          </w:hyperlink>
        </w:p>
        <w:p w14:paraId="140D87D7" w14:textId="646EA9D5"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67" w:history="1">
            <w:r w:rsidRPr="00445CD4">
              <w:rPr>
                <w:rStyle w:val="Hyperlink"/>
                <w:rFonts w:ascii="Verdana" w:hAnsi="Verdana"/>
                <w:bCs/>
                <w:noProof/>
                <w:sz w:val="24"/>
                <w:lang w:val="ga"/>
              </w:rPr>
              <w:t>An Roinn Breisoideachais agus Ardoideachais, Taighde, Nuálaíochta agus Eolaíochta</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_Toc214033667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55</w:t>
            </w:r>
            <w:r w:rsidRPr="00445CD4">
              <w:rPr>
                <w:rFonts w:ascii="Verdana" w:hAnsi="Verdana"/>
                <w:noProof/>
                <w:webHidden/>
                <w:sz w:val="24"/>
              </w:rPr>
              <w:fldChar w:fldCharType="end"/>
            </w:r>
          </w:hyperlink>
        </w:p>
        <w:p w14:paraId="6620EC8A" w14:textId="44D9B108"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68" w:history="1">
            <w:r w:rsidRPr="00445CD4">
              <w:rPr>
                <w:rStyle w:val="Hyperlink"/>
                <w:rFonts w:ascii="Verdana" w:hAnsi="Verdana"/>
                <w:bCs/>
                <w:noProof/>
                <w:sz w:val="24"/>
                <w:lang w:val="ga"/>
              </w:rPr>
              <w:t>An Roinn Sláinte</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_Toc214033668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57</w:t>
            </w:r>
            <w:r w:rsidRPr="00445CD4">
              <w:rPr>
                <w:rFonts w:ascii="Verdana" w:hAnsi="Verdana"/>
                <w:noProof/>
                <w:webHidden/>
                <w:sz w:val="24"/>
              </w:rPr>
              <w:fldChar w:fldCharType="end"/>
            </w:r>
          </w:hyperlink>
        </w:p>
        <w:p w14:paraId="181F5522" w14:textId="5BB8B9A4" w:rsidR="00C94F55" w:rsidRPr="00445CD4" w:rsidRDefault="00C94F55" w:rsidP="00445CD4">
          <w:pPr>
            <w:pStyle w:val="TOC2"/>
            <w:rPr>
              <w:rFonts w:ascii="Verdana" w:hAnsi="Verdana"/>
              <w:sz w:val="24"/>
            </w:rPr>
          </w:pPr>
          <w:hyperlink w:anchor="_Toc214033669" w:history="1">
            <w:r w:rsidRPr="00445CD4">
              <w:rPr>
                <w:rStyle w:val="Hyperlink"/>
                <w:rFonts w:ascii="Verdana" w:hAnsi="Verdana"/>
                <w:bCs/>
                <w:noProof/>
                <w:sz w:val="24"/>
                <w:lang w:val="ga"/>
              </w:rPr>
              <w:t>An Roinn Tithíochta, Rialtais Áitiúil agus Oidhreachta</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_Toc214033669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59</w:t>
            </w:r>
            <w:r w:rsidRPr="00445CD4">
              <w:rPr>
                <w:rFonts w:ascii="Verdana" w:hAnsi="Verdana"/>
                <w:noProof/>
                <w:webHidden/>
                <w:sz w:val="24"/>
              </w:rPr>
              <w:fldChar w:fldCharType="end"/>
            </w:r>
          </w:hyperlink>
        </w:p>
        <w:p w14:paraId="4326EAA9" w14:textId="630E37AD" w:rsidR="00445CD4" w:rsidRPr="00445CD4" w:rsidRDefault="00445CD4" w:rsidP="00445CD4">
          <w:pPr>
            <w:spacing w:after="120"/>
            <w:ind w:left="284"/>
            <w:rPr>
              <w:szCs w:val="24"/>
              <w:lang w:val="ga"/>
            </w:rPr>
          </w:pPr>
          <w:r w:rsidRPr="00445CD4">
            <w:rPr>
              <w:szCs w:val="24"/>
              <w:lang w:val="ga"/>
            </w:rPr>
            <w:t>An Roinn Caiteachais Phoiblí, Seachadta ar an bPlean Forbartha Náisiúnta, agus Athchóirithe.....................................................6</w:t>
          </w:r>
          <w:r w:rsidR="00E43333">
            <w:rPr>
              <w:szCs w:val="24"/>
              <w:lang w:val="ga"/>
            </w:rPr>
            <w:t>2</w:t>
          </w:r>
        </w:p>
        <w:p w14:paraId="0511BB84" w14:textId="756A0789"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70" w:history="1">
            <w:r w:rsidRPr="00445CD4">
              <w:rPr>
                <w:rStyle w:val="Hyperlink"/>
                <w:rFonts w:ascii="Verdana" w:hAnsi="Verdana"/>
                <w:bCs/>
                <w:noProof/>
                <w:sz w:val="24"/>
                <w:lang w:val="ga"/>
              </w:rPr>
              <w:t>An Roinn Forbartha Tuaithe agus Pobail</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_Toc214033670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65</w:t>
            </w:r>
            <w:r w:rsidRPr="00445CD4">
              <w:rPr>
                <w:rFonts w:ascii="Verdana" w:hAnsi="Verdana"/>
                <w:noProof/>
                <w:webHidden/>
                <w:sz w:val="24"/>
              </w:rPr>
              <w:fldChar w:fldCharType="end"/>
            </w:r>
          </w:hyperlink>
        </w:p>
        <w:p w14:paraId="14537958" w14:textId="1E900654"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71" w:history="1">
            <w:r w:rsidRPr="00445CD4">
              <w:rPr>
                <w:rStyle w:val="Hyperlink"/>
                <w:rFonts w:ascii="Verdana" w:hAnsi="Verdana"/>
                <w:bCs/>
                <w:noProof/>
                <w:sz w:val="24"/>
                <w:lang w:val="ga"/>
              </w:rPr>
              <w:t>An Roinn Coimirce Sóisialaí</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_Toc214033671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66</w:t>
            </w:r>
            <w:r w:rsidRPr="00445CD4">
              <w:rPr>
                <w:rFonts w:ascii="Verdana" w:hAnsi="Verdana"/>
                <w:noProof/>
                <w:webHidden/>
                <w:sz w:val="24"/>
              </w:rPr>
              <w:fldChar w:fldCharType="end"/>
            </w:r>
          </w:hyperlink>
        </w:p>
        <w:p w14:paraId="6162D5E5" w14:textId="06BD2345"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72" w:history="1">
            <w:r w:rsidRPr="00445CD4">
              <w:rPr>
                <w:rStyle w:val="Hyperlink"/>
                <w:rFonts w:ascii="Verdana" w:hAnsi="Verdana"/>
                <w:bCs/>
                <w:noProof/>
                <w:sz w:val="24"/>
                <w:lang w:val="ga"/>
              </w:rPr>
              <w:t>An Roinn Comhshaoil, Aeráide agus Cumarsáide</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_Toc214033672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67</w:t>
            </w:r>
            <w:r w:rsidRPr="00445CD4">
              <w:rPr>
                <w:rFonts w:ascii="Verdana" w:hAnsi="Verdana"/>
                <w:noProof/>
                <w:webHidden/>
                <w:sz w:val="24"/>
              </w:rPr>
              <w:fldChar w:fldCharType="end"/>
            </w:r>
          </w:hyperlink>
        </w:p>
        <w:p w14:paraId="27B4A37C" w14:textId="68C6BDFE"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73" w:history="1">
            <w:r w:rsidRPr="00445CD4">
              <w:rPr>
                <w:rStyle w:val="Hyperlink"/>
                <w:rFonts w:ascii="Verdana" w:hAnsi="Verdana"/>
                <w:bCs/>
                <w:noProof/>
                <w:sz w:val="24"/>
                <w:lang w:val="ga"/>
              </w:rPr>
              <w:t>Roinn an Taoisigh</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_Toc214033673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68</w:t>
            </w:r>
            <w:r w:rsidRPr="00445CD4">
              <w:rPr>
                <w:rFonts w:ascii="Verdana" w:hAnsi="Verdana"/>
                <w:noProof/>
                <w:webHidden/>
                <w:sz w:val="24"/>
              </w:rPr>
              <w:fldChar w:fldCharType="end"/>
            </w:r>
          </w:hyperlink>
        </w:p>
        <w:p w14:paraId="57F09819" w14:textId="0FD9236E"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74" w:history="1">
            <w:r w:rsidRPr="00445CD4">
              <w:rPr>
                <w:rStyle w:val="Hyperlink"/>
                <w:rFonts w:ascii="Verdana" w:hAnsi="Verdana"/>
                <w:bCs/>
                <w:noProof/>
                <w:sz w:val="24"/>
                <w:lang w:val="ga"/>
              </w:rPr>
              <w:t>An Roinn Turasóireachta, Cultúir, Ealaíon, Gaeltachta, Spóirt agus Meán</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_Toc214033674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69</w:t>
            </w:r>
            <w:r w:rsidRPr="00445CD4">
              <w:rPr>
                <w:rFonts w:ascii="Verdana" w:hAnsi="Verdana"/>
                <w:noProof/>
                <w:webHidden/>
                <w:sz w:val="24"/>
              </w:rPr>
              <w:fldChar w:fldCharType="end"/>
            </w:r>
          </w:hyperlink>
        </w:p>
        <w:p w14:paraId="4407DEEF" w14:textId="26CBAAF3" w:rsidR="00C94F55" w:rsidRPr="00445CD4" w:rsidRDefault="00C94F55" w:rsidP="00445CD4">
          <w:pPr>
            <w:pStyle w:val="TOC2"/>
            <w:rPr>
              <w:rFonts w:ascii="Verdana" w:eastAsiaTheme="minorEastAsia" w:hAnsi="Verdana" w:cstheme="minorBidi"/>
              <w:noProof/>
              <w:kern w:val="2"/>
              <w:sz w:val="24"/>
              <w:lang w:eastAsia="en-IE"/>
              <w14:ligatures w14:val="standardContextual"/>
            </w:rPr>
          </w:pPr>
          <w:hyperlink w:anchor="_Toc214033675" w:history="1">
            <w:r w:rsidRPr="00445CD4">
              <w:rPr>
                <w:rStyle w:val="Hyperlink"/>
                <w:rFonts w:ascii="Verdana" w:hAnsi="Verdana"/>
                <w:bCs/>
                <w:noProof/>
                <w:sz w:val="24"/>
                <w:lang w:val="ga"/>
              </w:rPr>
              <w:t>An Roinn Iompair</w:t>
            </w:r>
            <w:r w:rsidRPr="00445CD4">
              <w:rPr>
                <w:rFonts w:ascii="Verdana" w:hAnsi="Verdana"/>
                <w:noProof/>
                <w:webHidden/>
                <w:sz w:val="24"/>
              </w:rPr>
              <w:tab/>
            </w:r>
            <w:r w:rsidRPr="00445CD4">
              <w:rPr>
                <w:rFonts w:ascii="Verdana" w:hAnsi="Verdana"/>
                <w:noProof/>
                <w:webHidden/>
                <w:sz w:val="24"/>
              </w:rPr>
              <w:fldChar w:fldCharType="begin"/>
            </w:r>
            <w:r w:rsidRPr="00445CD4">
              <w:rPr>
                <w:rFonts w:ascii="Verdana" w:hAnsi="Verdana"/>
                <w:noProof/>
                <w:webHidden/>
                <w:sz w:val="24"/>
              </w:rPr>
              <w:instrText xml:space="preserve"> PAGEREF _Toc214033675 \h </w:instrText>
            </w:r>
            <w:r w:rsidRPr="00445CD4">
              <w:rPr>
                <w:rFonts w:ascii="Verdana" w:hAnsi="Verdana"/>
                <w:noProof/>
                <w:webHidden/>
                <w:sz w:val="24"/>
              </w:rPr>
            </w:r>
            <w:r w:rsidRPr="00445CD4">
              <w:rPr>
                <w:rFonts w:ascii="Verdana" w:hAnsi="Verdana"/>
                <w:noProof/>
                <w:webHidden/>
                <w:sz w:val="24"/>
              </w:rPr>
              <w:fldChar w:fldCharType="separate"/>
            </w:r>
            <w:r w:rsidR="00C114C4">
              <w:rPr>
                <w:rFonts w:ascii="Verdana" w:hAnsi="Verdana"/>
                <w:noProof/>
                <w:webHidden/>
                <w:sz w:val="24"/>
              </w:rPr>
              <w:t>70</w:t>
            </w:r>
            <w:r w:rsidRPr="00445CD4">
              <w:rPr>
                <w:rFonts w:ascii="Verdana" w:hAnsi="Verdana"/>
                <w:noProof/>
                <w:webHidden/>
                <w:sz w:val="24"/>
              </w:rPr>
              <w:fldChar w:fldCharType="end"/>
            </w:r>
          </w:hyperlink>
        </w:p>
        <w:p w14:paraId="7D004738" w14:textId="6F82F7BB" w:rsidR="00C94F55" w:rsidRPr="00445CD4" w:rsidRDefault="00C94F55" w:rsidP="00E3084D">
          <w:pPr>
            <w:pStyle w:val="TOC1"/>
            <w:rPr>
              <w:rFonts w:eastAsiaTheme="minorEastAsia" w:cstheme="minorBidi"/>
              <w:kern w:val="2"/>
              <w:lang w:eastAsia="en-IE"/>
              <w14:ligatures w14:val="standardContextual"/>
            </w:rPr>
          </w:pPr>
          <w:hyperlink w:anchor="_Toc214033676" w:history="1">
            <w:r w:rsidRPr="00445CD4">
              <w:rPr>
                <w:rStyle w:val="Hyperlink"/>
              </w:rPr>
              <w:t>Aguisín C – Rátaí Freagartha don Áireamh Foirne</w:t>
            </w:r>
            <w:r w:rsidRPr="00445CD4">
              <w:rPr>
                <w:webHidden/>
              </w:rPr>
              <w:tab/>
            </w:r>
            <w:r w:rsidRPr="00445CD4">
              <w:rPr>
                <w:webHidden/>
              </w:rPr>
              <w:fldChar w:fldCharType="begin"/>
            </w:r>
            <w:r w:rsidRPr="00445CD4">
              <w:rPr>
                <w:webHidden/>
              </w:rPr>
              <w:instrText xml:space="preserve"> PAGEREF _Toc214033676 \h </w:instrText>
            </w:r>
            <w:r w:rsidRPr="00445CD4">
              <w:rPr>
                <w:webHidden/>
              </w:rPr>
            </w:r>
            <w:r w:rsidRPr="00445CD4">
              <w:rPr>
                <w:webHidden/>
              </w:rPr>
              <w:fldChar w:fldCharType="separate"/>
            </w:r>
            <w:r w:rsidR="00C114C4">
              <w:rPr>
                <w:webHidden/>
              </w:rPr>
              <w:t>71</w:t>
            </w:r>
            <w:r w:rsidRPr="00445CD4">
              <w:rPr>
                <w:webHidden/>
              </w:rPr>
              <w:fldChar w:fldCharType="end"/>
            </w:r>
          </w:hyperlink>
        </w:p>
        <w:p w14:paraId="2E17662F" w14:textId="0EB92BBA" w:rsidR="00590BEF" w:rsidRPr="00445CD4" w:rsidRDefault="000B4F21" w:rsidP="00E3084D">
          <w:pPr>
            <w:pStyle w:val="TOC1"/>
          </w:pPr>
          <w:r w:rsidRPr="00445CD4">
            <w:fldChar w:fldCharType="end"/>
          </w:r>
          <w:r w:rsidRPr="00445CD4">
            <w:br w:type="page"/>
          </w:r>
        </w:p>
      </w:sdtContent>
    </w:sdt>
    <w:p w14:paraId="52B7F6A9" w14:textId="77777777" w:rsidR="00590BEF" w:rsidRPr="007202FA" w:rsidRDefault="000B4F21" w:rsidP="007202FA">
      <w:pPr>
        <w:pStyle w:val="Heading1"/>
        <w:rPr>
          <w:color w:val="BF2296"/>
        </w:rPr>
      </w:pPr>
      <w:bookmarkStart w:id="26" w:name="_Toc146113851"/>
      <w:bookmarkStart w:id="27" w:name="_Toc214033606"/>
      <w:r>
        <w:rPr>
          <w:bCs/>
          <w:color w:val="BF2296"/>
          <w:lang w:val="ga"/>
        </w:rPr>
        <w:lastRenderedPageBreak/>
        <w:t>Achoimre Fheidhmeach</w:t>
      </w:r>
      <w:bookmarkEnd w:id="26"/>
      <w:bookmarkEnd w:id="27"/>
    </w:p>
    <w:p w14:paraId="17F04C26" w14:textId="77777777" w:rsidR="0006233E" w:rsidRPr="007202FA" w:rsidRDefault="000B4F21" w:rsidP="007202FA">
      <w:bookmarkStart w:id="28" w:name="_Hlk145926013"/>
      <w:r>
        <w:rPr>
          <w:lang w:val="ga"/>
        </w:rPr>
        <w:t>Faoi Chuid 5 den Acht um Míchumas 2005, tá oibleagáidí ar chomhlachtaí poiblí iomchuí</w:t>
      </w:r>
      <w:r>
        <w:rPr>
          <w:rStyle w:val="FootnoteReference"/>
          <w:lang w:val="ga"/>
        </w:rPr>
        <w:footnoteReference w:id="1"/>
      </w:r>
      <w:r>
        <w:rPr>
          <w:szCs w:val="24"/>
          <w:lang w:val="ga"/>
        </w:rPr>
        <w:t xml:space="preserve"> fostú daoine a bhfuil míchumas orthu san earnáil phoiblí a mhéadú agus a chinntiú go gcomhlíonann siad an íos-sprioc reachtúil fostaíochta le haghaidh fostú daoine faoi mhíchumas. </w:t>
      </w:r>
    </w:p>
    <w:p w14:paraId="78A605A0" w14:textId="77777777" w:rsidR="0006233E" w:rsidRPr="007202FA" w:rsidRDefault="000B4F21" w:rsidP="007202FA">
      <w:pPr>
        <w:rPr>
          <w:color w:val="000000"/>
          <w:szCs w:val="24"/>
        </w:rPr>
      </w:pPr>
      <w:r>
        <w:rPr>
          <w:szCs w:val="24"/>
          <w:lang w:val="ga"/>
        </w:rPr>
        <w:t>Tá ról reachtúil ag an Údarás Náisiúnta Míchumais i bhfaireachán a dhéanamh ar fhostú daoine a bhfuil míchumas orthu san earnáil phoiblí, ar ról é a eascraíonn as Cuid 5 den Acht um Míchumas 2005.</w:t>
      </w:r>
      <w:bookmarkStart w:id="29" w:name="_Hlk212026953"/>
      <w:bookmarkEnd w:id="29"/>
    </w:p>
    <w:p w14:paraId="1432B155" w14:textId="77777777" w:rsidR="0006233E" w:rsidRPr="007202FA" w:rsidRDefault="000B4F21" w:rsidP="007202FA">
      <w:r>
        <w:rPr>
          <w:lang w:val="ga"/>
        </w:rPr>
        <w:t>Is í seo an naoú tuarascáil bhliantúil déag ón Údarás Náisiúnta Míchumais (ÚNM) ar fhostú daoine a bhfuil míchumas orthu san earnáil phoiblí.</w:t>
      </w:r>
    </w:p>
    <w:p w14:paraId="77C9B40F" w14:textId="77777777" w:rsidR="0006233E" w:rsidRPr="00EE61A8" w:rsidRDefault="000B4F21" w:rsidP="007202FA">
      <w:pPr>
        <w:rPr>
          <w:color w:val="000000"/>
          <w:szCs w:val="24"/>
          <w:lang w:val="ga"/>
        </w:rPr>
      </w:pPr>
      <w:r>
        <w:rPr>
          <w:color w:val="000000"/>
          <w:szCs w:val="24"/>
          <w:lang w:val="ga"/>
        </w:rPr>
        <w:t>Sa bhliain 2024, tháinig méadú ar an íos-sprioc reachtúil fostaíochta ó 3% go 4.5%. Sa bhliain 2025, tiocfaidh méadú ar an sprioc sin go 6%.</w:t>
      </w:r>
    </w:p>
    <w:p w14:paraId="100DADC5" w14:textId="77777777" w:rsidR="0006233E" w:rsidRPr="00EE61A8" w:rsidRDefault="000B4F21" w:rsidP="007202FA">
      <w:pPr>
        <w:rPr>
          <w:color w:val="000000"/>
          <w:szCs w:val="24"/>
          <w:lang w:val="ga"/>
        </w:rPr>
      </w:pPr>
      <w:r>
        <w:rPr>
          <w:color w:val="000000"/>
          <w:szCs w:val="24"/>
          <w:lang w:val="ga"/>
        </w:rPr>
        <w:t>Cuireann ÚNM comhlachtaí poiblí ar an eolas arís agus arís eile faoi na méaduithe sin sa sprioc reachtúil fostaíochta agus faoi na bearta is gá dóibh a chur chun feidhme agus ar gá dóibh tuairisciú orthu chun a chinntiú go gcomhlíonann siad na spriocanna sin agus go bhfeidhmíonn siad níos fearr ná iad.</w:t>
      </w:r>
    </w:p>
    <w:p w14:paraId="77D01E07" w14:textId="77777777" w:rsidR="0006233E" w:rsidRPr="00EE61A8" w:rsidRDefault="000B4F21" w:rsidP="007202FA">
      <w:pPr>
        <w:rPr>
          <w:color w:val="000000"/>
          <w:szCs w:val="24"/>
          <w:lang w:val="ga"/>
        </w:rPr>
      </w:pPr>
      <w:r>
        <w:rPr>
          <w:color w:val="000000"/>
          <w:szCs w:val="24"/>
          <w:lang w:val="ga"/>
        </w:rPr>
        <w:t>Is é cuspóir phróiseas Chuid 5 ná an dul chun cinn atá á dhéanamh ag comhlachtaí poiblí agus aon dúshláin a d’fhéadfadh a bheith acu maidir leis an íos-sprioc reachtúil fostaíochta a bhaint amach bliain i ndiaidh bliana a ghabháil agus a chur i gcomparáid. Sa chomhthéacs sin, beimid ag déanamh comparáid idir feidhmíocht na gcomhlachtaí poiblí maidir leis an íos-sprioc reachtúil fostaíochta de 4.5% a bhaint amach sa bhliain 2024 agus feidhmíocht na gcomhlachtaí poiblí a bhain an íos-sprioc reachtúil fostaíochta 3% amach sa bhliain 2023.</w:t>
      </w:r>
    </w:p>
    <w:p w14:paraId="061CECFB" w14:textId="77777777" w:rsidR="0006233E" w:rsidRPr="00EE61A8" w:rsidRDefault="000B4F21" w:rsidP="007202FA">
      <w:pPr>
        <w:pStyle w:val="NDABullet"/>
        <w:rPr>
          <w:lang w:val="ga"/>
        </w:rPr>
      </w:pPr>
      <w:r>
        <w:rPr>
          <w:lang w:val="ga"/>
        </w:rPr>
        <w:t>Sa bhliain 2024, tá áthas ar ÚNM a thabhairt dá aire gur mhéadaigh an céatadán d’fhostaithe a thuairiscigh míchumas go 5.4%. Ba í sin an chéad uair a bhí an céatadán sin níos mó ná 5%.</w:t>
      </w:r>
    </w:p>
    <w:p w14:paraId="1EBC052B" w14:textId="3EB23AF2" w:rsidR="0006233E" w:rsidRPr="00EE61A8" w:rsidRDefault="000B4F21" w:rsidP="007202FA">
      <w:pPr>
        <w:pStyle w:val="NDABullet"/>
        <w:rPr>
          <w:lang w:val="ga"/>
        </w:rPr>
      </w:pPr>
      <w:r>
        <w:rPr>
          <w:lang w:val="ga"/>
        </w:rPr>
        <w:t xml:space="preserve">Tháinig méadú ar an líon fostaithe a thuairiscigh míchumas, agus é ag ardú ó 11,254 fhostaí sa bhliain 2023 (4.1%) go 15,403 fhostaí (5.4%) sa bhliain 2024. Is méadú 4,149 nduine é sin (+36.9%). Féach an rannán maidir leis </w:t>
      </w:r>
      <w:r>
        <w:rPr>
          <w:b/>
          <w:bCs/>
          <w:lang w:val="ga"/>
        </w:rPr>
        <w:t xml:space="preserve">an bhfeabhas ar </w:t>
      </w:r>
      <w:r>
        <w:rPr>
          <w:b/>
          <w:bCs/>
          <w:lang w:val="ga"/>
        </w:rPr>
        <w:lastRenderedPageBreak/>
        <w:t>fheidhmíocht na gcomhlachtaí poiblí</w:t>
      </w:r>
      <w:r>
        <w:rPr>
          <w:lang w:val="ga"/>
        </w:rPr>
        <w:t xml:space="preserve"> le haghaidh cúiseanna féideartha ar tharla an fhorbairt dhearfach sin a fháil.</w:t>
      </w:r>
    </w:p>
    <w:p w14:paraId="2E1F0E00" w14:textId="1702FB48" w:rsidR="0006233E" w:rsidRPr="00EE61A8" w:rsidRDefault="000B4F21" w:rsidP="007202FA">
      <w:pPr>
        <w:pStyle w:val="NDABullet"/>
        <w:rPr>
          <w:lang w:val="ga"/>
        </w:rPr>
      </w:pPr>
      <w:r>
        <w:rPr>
          <w:lang w:val="ga"/>
        </w:rPr>
        <w:t>Tháinig méadú ar an líon comhlachtaí poiblí san earnáil phoiblí, ó 210 gcomhlacht phoiblí sa bhliain 2023 go 216 chomhlacht phoiblí sa bhliain 2024. Ag deireadh na bliana 2024, tháinig méadú 10,058 nduine ar an líon iomlán fostaithe san earnáil phoiblí (+3.7%), ó 273,747 bhfostaí sa bhliain 2023 go 283,805 fhostaí sa bhliain 2024.</w:t>
      </w:r>
    </w:p>
    <w:p w14:paraId="7868E57F" w14:textId="77777777" w:rsidR="0006233E" w:rsidRPr="00EE61A8" w:rsidRDefault="000B4F21" w:rsidP="007202FA">
      <w:pPr>
        <w:pStyle w:val="NDABullet"/>
        <w:rPr>
          <w:lang w:val="ga"/>
        </w:rPr>
      </w:pPr>
      <w:r>
        <w:rPr>
          <w:lang w:val="ga"/>
        </w:rPr>
        <w:t>Sa bhliain 2024, chomhlíon 185 chomhlacht phoiblí (85.6%) an sprioc 4.5%, i gcomparáid le 191 chomhlacht phoiblí (91%) a chomhlíon an sprioc 3% sa bhliain 2023.</w:t>
      </w:r>
    </w:p>
    <w:p w14:paraId="6B392E9F" w14:textId="77777777" w:rsidR="0006233E" w:rsidRPr="00EE61A8" w:rsidRDefault="000B4F21" w:rsidP="007202FA">
      <w:pPr>
        <w:pStyle w:val="NDABullet"/>
        <w:rPr>
          <w:lang w:val="ga"/>
        </w:rPr>
      </w:pPr>
      <w:r>
        <w:rPr>
          <w:lang w:val="ga"/>
        </w:rPr>
        <w:t>Sa bhliain 2024, níor chomhlíon 31 chomhlacht phoiblí (14.4%) an sprioc 4.5%, i gcomparáid le 19 gcomhlacht phoiblí (9.0%) sa bhliain 2023 nár chomhlíon an sprioc 3%.</w:t>
      </w:r>
    </w:p>
    <w:p w14:paraId="0BBE82C6" w14:textId="77777777" w:rsidR="0006233E" w:rsidRPr="00EE61A8" w:rsidRDefault="000B4F21" w:rsidP="007202FA">
      <w:pPr>
        <w:pStyle w:val="NDABullet"/>
        <w:rPr>
          <w:lang w:val="ga"/>
        </w:rPr>
      </w:pPr>
      <w:r>
        <w:rPr>
          <w:lang w:val="ga"/>
        </w:rPr>
        <w:t>Má táthar ag breithniú na bhfigiúirí sin i gcomhthéacs na sprice leasaithe 4.5%, b’amhlaidh sa bhliain 2024 a chomhlíon 185 chomhlacht phoiblí (85.6%) an sprioc sin, i gcomparáid le 160 comhlacht poiblí (76.2%) sa bhliain 2023.</w:t>
      </w:r>
    </w:p>
    <w:p w14:paraId="26ABA6E5" w14:textId="77777777" w:rsidR="0006233E" w:rsidRPr="00EE61A8" w:rsidRDefault="000B4F21" w:rsidP="007202FA">
      <w:pPr>
        <w:pStyle w:val="NDABullet"/>
        <w:rPr>
          <w:lang w:val="ga"/>
        </w:rPr>
      </w:pPr>
      <w:r>
        <w:rPr>
          <w:lang w:val="ga"/>
        </w:rPr>
        <w:t>Sa bhliain 2024, chomhlíon 134 chomhlacht phoiblí (62.6%) an íos-sprioc 6% atá le teacht, i gcomparáid le 110 gcomhlacht phoiblí (52.4%) sa bhliain 2023.</w:t>
      </w:r>
    </w:p>
    <w:p w14:paraId="222E652D" w14:textId="77777777" w:rsidR="0006233E" w:rsidRPr="00EE61A8" w:rsidRDefault="000B4F21" w:rsidP="007202FA">
      <w:pPr>
        <w:pStyle w:val="NDABullet"/>
        <w:rPr>
          <w:lang w:val="ga"/>
        </w:rPr>
      </w:pPr>
      <w:r>
        <w:rPr>
          <w:lang w:val="ga"/>
        </w:rPr>
        <w:t>Ar an iomlán, d’fheidhmigh an earnáil phoiblí níos fearr ná an íos-sprioc reachtúil fostaíochta maidir le daoine a bhfuil míchumas orthu don cheathrú bliain déag as a chéile.</w:t>
      </w:r>
    </w:p>
    <w:p w14:paraId="68EC3BD9" w14:textId="77777777" w:rsidR="0006233E" w:rsidRPr="007202FA" w:rsidRDefault="000B4F21" w:rsidP="007202FA">
      <w:pPr>
        <w:pStyle w:val="ListBullet"/>
        <w:numPr>
          <w:ilvl w:val="0"/>
          <w:numId w:val="0"/>
        </w:numPr>
        <w:tabs>
          <w:tab w:val="left" w:pos="720"/>
        </w:tabs>
        <w:spacing w:before="120"/>
        <w:rPr>
          <w:rFonts w:ascii="Verdana" w:hAnsi="Verdana"/>
          <w:sz w:val="24"/>
        </w:rPr>
      </w:pPr>
      <w:r>
        <w:rPr>
          <w:rFonts w:ascii="Verdana" w:hAnsi="Verdana"/>
          <w:sz w:val="24"/>
          <w:lang w:val="ga"/>
        </w:rPr>
        <w:t>Tugann ÚNM na nithe seo a leanas dá aire freisin:</w:t>
      </w:r>
    </w:p>
    <w:p w14:paraId="49C0DF21" w14:textId="77777777" w:rsidR="0006233E" w:rsidRPr="00EE61A8" w:rsidRDefault="000B4F21" w:rsidP="007202FA">
      <w:pPr>
        <w:pStyle w:val="NDABullet"/>
        <w:rPr>
          <w:lang w:val="ga"/>
        </w:rPr>
      </w:pPr>
      <w:r>
        <w:rPr>
          <w:lang w:val="ga"/>
        </w:rPr>
        <w:t xml:space="preserve">Sa bhliain 2024, bhain ceithre cinn de na cúig chineál comhlachta phoiblí an íos-sprioc amach (Comhlachtaí Tráchtála, Ranna Rialtais, Rialtas Áitiúil, Comhlachtaí Neamhthráchtála, agus Comhlachtaí Poiblí a bhfuil Státseirbhísigh mar fhoireann dóibh). Níor bhain cineál comhlachta phoiblí amháin (Comhlachtaí Neamhthráchtála) an sprioc amach. Is ionann é sin agus an patrún a tuairiscíodh sa bhliain 2023. </w:t>
      </w:r>
    </w:p>
    <w:p w14:paraId="073CD307" w14:textId="77777777" w:rsidR="0006233E" w:rsidRPr="00EE61A8" w:rsidRDefault="000B4F21" w:rsidP="007202FA">
      <w:pPr>
        <w:rPr>
          <w:lang w:val="ga"/>
        </w:rPr>
      </w:pPr>
      <w:r>
        <w:rPr>
          <w:lang w:val="ga"/>
        </w:rPr>
        <w:t>Sa tuarascáil seo, catagóirítear comhlachtaí poiblí ina gceithre mhéid dhifriúla freisin:</w:t>
      </w:r>
    </w:p>
    <w:p w14:paraId="43786572" w14:textId="77777777" w:rsidR="0006233E" w:rsidRPr="007202FA" w:rsidRDefault="000B4F21" w:rsidP="007202FA">
      <w:pPr>
        <w:pStyle w:val="NDABullet"/>
      </w:pPr>
      <w:r>
        <w:rPr>
          <w:lang w:val="ga"/>
        </w:rPr>
        <w:t>0-99 fostaí</w:t>
      </w:r>
    </w:p>
    <w:p w14:paraId="7CD89F33" w14:textId="77777777" w:rsidR="0006233E" w:rsidRPr="007202FA" w:rsidRDefault="000B4F21" w:rsidP="007202FA">
      <w:pPr>
        <w:pStyle w:val="NDABullet"/>
      </w:pPr>
      <w:r>
        <w:rPr>
          <w:lang w:val="ga"/>
        </w:rPr>
        <w:t>100-999 fostaí</w:t>
      </w:r>
    </w:p>
    <w:p w14:paraId="1D607119" w14:textId="77777777" w:rsidR="0006233E" w:rsidRPr="007202FA" w:rsidRDefault="000B4F21" w:rsidP="007202FA">
      <w:pPr>
        <w:pStyle w:val="NDABullet"/>
      </w:pPr>
      <w:r>
        <w:rPr>
          <w:lang w:val="ga"/>
        </w:rPr>
        <w:t>1000-4,999 fostaí</w:t>
      </w:r>
    </w:p>
    <w:p w14:paraId="17DF9271" w14:textId="77777777" w:rsidR="0006233E" w:rsidRPr="007202FA" w:rsidRDefault="000B4F21" w:rsidP="007202FA">
      <w:pPr>
        <w:pStyle w:val="NDABullet"/>
      </w:pPr>
      <w:r>
        <w:rPr>
          <w:lang w:val="ga"/>
        </w:rPr>
        <w:t>5,000 fostaí nó níos mó</w:t>
      </w:r>
    </w:p>
    <w:p w14:paraId="7701C207" w14:textId="77777777" w:rsidR="0006233E" w:rsidRPr="00EE61A8" w:rsidRDefault="000B4F21" w:rsidP="007202FA">
      <w:pPr>
        <w:pStyle w:val="NDABullet"/>
        <w:numPr>
          <w:ilvl w:val="0"/>
          <w:numId w:val="0"/>
        </w:numPr>
        <w:ind w:left="709"/>
        <w:rPr>
          <w:lang w:val="ga"/>
        </w:rPr>
      </w:pPr>
      <w:r>
        <w:rPr>
          <w:lang w:val="ga"/>
        </w:rPr>
        <w:t>Sa bhliain 2024, rinne trí cinn de na ceithre chatagóir méide an íos-sprioc 4.5% a chomhlíonadh nó a shárú. Níor bhain an chatagóir um chomhlachtaí poiblí a bhfuil 5,000 fostaí nó níos mó acu an íos-</w:t>
      </w:r>
      <w:r>
        <w:rPr>
          <w:lang w:val="ga"/>
        </w:rPr>
        <w:lastRenderedPageBreak/>
        <w:t>sprioc 4.5% amach. Sa bhliain 2023, tuairiscíodh na torthaí céanna le haghaidh na gcatagóirí méide sin.</w:t>
      </w:r>
    </w:p>
    <w:p w14:paraId="197D839A" w14:textId="77777777" w:rsidR="0006233E" w:rsidRPr="00EE61A8" w:rsidRDefault="000B4F21" w:rsidP="007202FA">
      <w:pPr>
        <w:pStyle w:val="Heading2"/>
        <w:rPr>
          <w:color w:val="BF2296"/>
          <w:lang w:val="ga"/>
        </w:rPr>
      </w:pPr>
      <w:bookmarkStart w:id="30" w:name="_Toc208656761"/>
      <w:bookmarkStart w:id="31" w:name="_Toc176801603"/>
      <w:bookmarkStart w:id="32" w:name="_Toc214033607"/>
      <w:r>
        <w:rPr>
          <w:bCs/>
          <w:color w:val="BF2296"/>
          <w:lang w:val="ga"/>
        </w:rPr>
        <w:t>Feidhmeannacht na Seirbhíse Sláinte (FSS)</w:t>
      </w:r>
      <w:bookmarkEnd w:id="30"/>
      <w:bookmarkEnd w:id="31"/>
      <w:bookmarkEnd w:id="32"/>
      <w:r>
        <w:rPr>
          <w:bCs/>
          <w:color w:val="BF2296"/>
          <w:lang w:val="ga"/>
        </w:rPr>
        <w:t xml:space="preserve"> </w:t>
      </w:r>
    </w:p>
    <w:p w14:paraId="56AF85E2" w14:textId="1A6297BC" w:rsidR="00F01FF6" w:rsidRPr="00EE61A8" w:rsidRDefault="000B4F21" w:rsidP="007202FA">
      <w:pPr>
        <w:rPr>
          <w:lang w:val="ga"/>
        </w:rPr>
      </w:pPr>
      <w:r>
        <w:rPr>
          <w:lang w:val="ga"/>
        </w:rPr>
        <w:t xml:space="preserve">Is é FSS an comhlacht is mó san earnáil phoiblí. Sa bhliain 2024, tháinig laghdú 1,326 fhostaí ar an líon iomlán fostaithe in FSS, agus é ag ardú ó 105,769 bhfostaí sa bhliain 2023 go 104,443 fhostaí sa bhliain 2024. </w:t>
      </w:r>
    </w:p>
    <w:p w14:paraId="7F2E6490" w14:textId="6F650DD3" w:rsidR="0006233E" w:rsidRPr="00EE61A8" w:rsidRDefault="000B4F21" w:rsidP="007202FA">
      <w:pPr>
        <w:rPr>
          <w:lang w:val="ga"/>
        </w:rPr>
      </w:pPr>
      <w:r>
        <w:rPr>
          <w:lang w:val="ga"/>
        </w:rPr>
        <w:t>Mar sin féin, luaigh FSS gur tháinig méadú 1,077 bhfostaí (+62.1%) ar an líon fostaithe, agus ar an gcéatadán d’fhostaithe, a thuairiscigh míchumas. Sa bhliain 2024, thuairiscigh FSS go raibh 2,812 fhostaí (2.7%) a bhfuil míchumas orthu aige, i gcomparáid le 1,735 fhostaí (1.6%) sa bhliain 2023. Is é sin an líon is airde fostaithe, agus an céatadán is airde d’fhostaithe, a bhfuil míchumas orthu a thuairiscigh FSS go dtí seo. Tugann ÚNM dá aire, áfach, nár bhain FSS an íos-sprioc reachtúil fostaíochta 4.5% amach sa bhliain 2024.</w:t>
      </w:r>
    </w:p>
    <w:p w14:paraId="31D4DC4D" w14:textId="77777777" w:rsidR="0006233E" w:rsidRPr="00EE61A8" w:rsidRDefault="000B4F21" w:rsidP="007202FA">
      <w:pPr>
        <w:pStyle w:val="NormalAfterList"/>
        <w:rPr>
          <w:rFonts w:ascii="Verdana" w:hAnsi="Verdana"/>
          <w:sz w:val="24"/>
          <w:lang w:val="ga"/>
        </w:rPr>
      </w:pPr>
      <w:r>
        <w:rPr>
          <w:rFonts w:ascii="Verdana" w:hAnsi="Verdana"/>
          <w:sz w:val="24"/>
          <w:lang w:val="ga"/>
        </w:rPr>
        <w:t>Ón mbliain 2020 i leith, tá ÚNM ag teacht le chéile ar bhonn ráithiúil le foireann ainmnithe in FSS atá freagrach as feabhas a chur ar fheidhmíocht an chomhlachta phoiblí sin faoi Chuid 5. Tá áthas ar ÚNM a thabhairt dá aire gur tháinig feabhas ar fheidhmíocht FSS sa bhliain 2024. Leanfaimid de chomhairle a thabhairt do FSS agus de chabhrú leis an gcomhlacht poiblí sin dul chun cinn comhsheasmhach a léiriú maidir lena oibleagáidí faoi Chuid 5 a chomhlíonadh.</w:t>
      </w:r>
    </w:p>
    <w:p w14:paraId="4E1456B4" w14:textId="77777777" w:rsidR="0006233E" w:rsidRPr="007202FA" w:rsidRDefault="000B4F21" w:rsidP="007202FA">
      <w:pPr>
        <w:pStyle w:val="Heading2"/>
        <w:rPr>
          <w:color w:val="BF2296"/>
        </w:rPr>
      </w:pPr>
      <w:bookmarkStart w:id="33" w:name="_Toc214033608"/>
      <w:r>
        <w:rPr>
          <w:bCs/>
          <w:color w:val="BF2296"/>
          <w:lang w:val="ga"/>
        </w:rPr>
        <w:t>Treochtaí i dtreo na híos-sprice reachtúla fostaíochta a bhaint amach don tréimhse 2007-2024</w:t>
      </w:r>
      <w:bookmarkEnd w:id="33"/>
    </w:p>
    <w:p w14:paraId="7D4F2455" w14:textId="31E2D88B" w:rsidR="0006233E" w:rsidRPr="00EE61A8" w:rsidRDefault="000B4F21" w:rsidP="007202FA">
      <w:pPr>
        <w:rPr>
          <w:lang w:val="ga"/>
        </w:rPr>
      </w:pPr>
      <w:r>
        <w:rPr>
          <w:lang w:val="ga"/>
        </w:rPr>
        <w:t>Idir na blianta 2007 agus 2013, tháinig laghdú bliain ar bhliain ar an líon iomlán fostaithe san earnáil phoiblí. Bhí luaineacht ann sa líon iomlán fostaithe a thuairiscigh míchumas thar an tréimhse chéanna. Tháinig méadú bliain ar bhliain ar an líon iomlán fostaithe san earnáil phoiblí ón mbliain 2014 i leith. Ag deireadh na bliana 2024, tháinig méadú 10,058 nduine ar an líon iomlán fostaithe sna comhlachtaí earnála poiblí (+3.7%), ó 273,747 bhfostaí sa bhliain 2023 go 283,805 fhostaí sa bhliain 2024.</w:t>
      </w:r>
    </w:p>
    <w:p w14:paraId="6031D520" w14:textId="77777777" w:rsidR="0006233E" w:rsidRPr="00EE61A8" w:rsidRDefault="000B4F21" w:rsidP="007202FA">
      <w:pPr>
        <w:rPr>
          <w:lang w:val="ga"/>
        </w:rPr>
      </w:pPr>
      <w:r>
        <w:rPr>
          <w:lang w:val="ga"/>
        </w:rPr>
        <w:t xml:space="preserve">Tháinig méadú ó bhliain go bliain ón mbliain 2014 go dtí an bhliain 2017 ar an líon fostaithe a thuairiscigh míchumas. Dá ainneoin sin, tháinig laghdú ar an líon agus céatadán sin go 3.3% sa bhliain 2018 agus go 3.1% sa bhliain 2019. </w:t>
      </w:r>
    </w:p>
    <w:p w14:paraId="72CA1D64" w14:textId="77777777" w:rsidR="0006233E" w:rsidRPr="00EE61A8" w:rsidRDefault="000B4F21" w:rsidP="007202FA">
      <w:pPr>
        <w:rPr>
          <w:rFonts w:cs="Arial"/>
          <w:szCs w:val="26"/>
          <w:lang w:val="ga"/>
        </w:rPr>
      </w:pPr>
      <w:r>
        <w:rPr>
          <w:rFonts w:cs="Arial"/>
          <w:szCs w:val="26"/>
          <w:lang w:val="ga"/>
        </w:rPr>
        <w:t xml:space="preserve">Tháinig méadú sa bhliain 2020 an athuair ar an líon fostaithe a thuairiscigh míchumas. Mar gheall ar an méadú foriomlán sa líon fostaithe san earnáil phoiblí, áfach, bhí an céatadán foriomlán d’fhostaithe a thuairiscigh míchumas cothrom le 3.1% go fóill. Sa bhliain 2021, mhéadaigh an céatadán foriomlán d’fhostaithe a thuairiscigh míchumas go 3.6%. Mhéadaigh sé sin go 4.1% sa bhliain 2022 agus d’fhan sé ag 4.1% sa bhliain 2023. Sa bhliain 2024, mhéadaigh an céatadán foriomlán </w:t>
      </w:r>
      <w:r>
        <w:rPr>
          <w:rFonts w:cs="Arial"/>
          <w:szCs w:val="26"/>
          <w:lang w:val="ga"/>
        </w:rPr>
        <w:lastRenderedPageBreak/>
        <w:t>d’fhostaithe a thuairiscigh míchumas go 5.4%. Ba í sin an chéad uair a bhí an céatadán sin níos mó ná 5%.</w:t>
      </w:r>
    </w:p>
    <w:p w14:paraId="4ED66D54" w14:textId="77777777" w:rsidR="0006233E" w:rsidRPr="00EE61A8" w:rsidRDefault="000B4F21" w:rsidP="007202FA">
      <w:pPr>
        <w:rPr>
          <w:lang w:val="ga"/>
        </w:rPr>
      </w:pPr>
      <w:r>
        <w:rPr>
          <w:lang w:val="ga"/>
        </w:rPr>
        <w:t>I bh</w:t>
      </w:r>
      <w:r>
        <w:rPr>
          <w:b/>
          <w:bCs/>
          <w:lang w:val="ga"/>
        </w:rPr>
        <w:t>Fíor 1</w:t>
      </w:r>
      <w:r>
        <w:rPr>
          <w:lang w:val="ga"/>
        </w:rPr>
        <w:t>, léirítear an dul chun cinn a rinne an earnáil phoiblí ar an íos-sprioc reachtúil fostaíochta a bhaint amach idir an bhliain 2007</w:t>
      </w:r>
      <w:r>
        <w:rPr>
          <w:rStyle w:val="FootnoteReference"/>
          <w:lang w:val="ga"/>
        </w:rPr>
        <w:footnoteReference w:id="2"/>
      </w:r>
      <w:r>
        <w:rPr>
          <w:lang w:val="ga"/>
        </w:rPr>
        <w:t xml:space="preserve">, tráth a thosaigh ÚNM ag déanamh faireachán ar fhostú daoine a bhfuil míchumas orthu, agus an bhliain 2024. </w:t>
      </w:r>
    </w:p>
    <w:p w14:paraId="132D0DDA" w14:textId="77777777" w:rsidR="0006233E" w:rsidRPr="00EE61A8" w:rsidRDefault="000B4F21" w:rsidP="007202FA">
      <w:pPr>
        <w:pStyle w:val="Heading3"/>
        <w:rPr>
          <w:sz w:val="24"/>
          <w:szCs w:val="24"/>
          <w:lang w:val="ga"/>
        </w:rPr>
      </w:pPr>
      <w:bookmarkStart w:id="34" w:name="_Toc214012306"/>
      <w:bookmarkStart w:id="35" w:name="_Toc214033609"/>
      <w:r>
        <w:rPr>
          <w:bCs/>
          <w:sz w:val="24"/>
          <w:szCs w:val="24"/>
          <w:lang w:val="ga"/>
        </w:rPr>
        <w:t>Fíor 1. Dul chun cinn comhlachtaí poiblí i dtreo na híos-sprice reachtúla fostaíochta</w:t>
      </w:r>
      <w:bookmarkEnd w:id="34"/>
      <w:bookmarkEnd w:id="35"/>
    </w:p>
    <w:p w14:paraId="15FC41C4" w14:textId="5AF869F0" w:rsidR="00905FA7" w:rsidRPr="005D30C3" w:rsidRDefault="006B2BBD" w:rsidP="005D30C3">
      <w:r>
        <w:rPr>
          <w:noProof/>
          <w:lang w:val="ga"/>
        </w:rPr>
        <mc:AlternateContent>
          <mc:Choice Requires="wps">
            <w:drawing>
              <wp:anchor distT="0" distB="0" distL="114300" distR="114300" simplePos="0" relativeHeight="251661312" behindDoc="0" locked="0" layoutInCell="1" allowOverlap="1" wp14:anchorId="18D385A6" wp14:editId="5BE7BD71">
                <wp:simplePos x="0" y="0"/>
                <wp:positionH relativeFrom="column">
                  <wp:posOffset>2959100</wp:posOffset>
                </wp:positionH>
                <wp:positionV relativeFrom="paragraph">
                  <wp:posOffset>2152650</wp:posOffset>
                </wp:positionV>
                <wp:extent cx="2393950" cy="342900"/>
                <wp:effectExtent l="0" t="0" r="6350" b="0"/>
                <wp:wrapNone/>
                <wp:docPr id="483136345" name="Text Box 4"/>
                <wp:cNvGraphicFramePr/>
                <a:graphic xmlns:a="http://schemas.openxmlformats.org/drawingml/2006/main">
                  <a:graphicData uri="http://schemas.microsoft.com/office/word/2010/wordprocessingShape">
                    <wps:wsp>
                      <wps:cNvSpPr txBox="1"/>
                      <wps:spPr>
                        <a:xfrm>
                          <a:off x="0" y="0"/>
                          <a:ext cx="2393950" cy="342900"/>
                        </a:xfrm>
                        <a:prstGeom prst="rect">
                          <a:avLst/>
                        </a:prstGeom>
                        <a:solidFill>
                          <a:schemeClr val="lt1"/>
                        </a:solidFill>
                        <a:ln w="6350">
                          <a:noFill/>
                        </a:ln>
                      </wps:spPr>
                      <wps:txbx>
                        <w:txbxContent>
                          <w:p w14:paraId="33F65E1E" w14:textId="77777777" w:rsidR="006B2BBD" w:rsidRPr="00942EBB" w:rsidRDefault="006B2BBD" w:rsidP="006B2BBD">
                            <w:pPr>
                              <w:rPr>
                                <w:sz w:val="16"/>
                                <w:szCs w:val="16"/>
                              </w:rPr>
                            </w:pPr>
                            <w:r>
                              <w:rPr>
                                <w:sz w:val="16"/>
                                <w:szCs w:val="16"/>
                              </w:rPr>
                              <w:t>An % de na fostaithe iomlána a thuairiscigh míchumas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D385A6" id="_x0000_t202" coordsize="21600,21600" o:spt="202" path="m,l,21600r21600,l21600,xe">
                <v:stroke joinstyle="miter"/>
                <v:path gradientshapeok="t" o:connecttype="rect"/>
              </v:shapetype>
              <v:shape id="Text Box 4" o:spid="_x0000_s1026" type="#_x0000_t202" style="position:absolute;margin-left:233pt;margin-top:169.5pt;width:188.5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" fillcolor="white [3201]" stroked="f" strokeweight=".5pt">
                <v:textbox>
                  <w:txbxContent>
                    <w:p w14:paraId="33F65E1E" w14:textId="77777777" w:rsidR="006B2BBD" w:rsidRPr="00942EBB" w:rsidRDefault="006B2BBD" w:rsidP="006B2BBD">
                      <w:pPr>
                        <w:rPr>
                          <w:sz w:val="16"/>
                          <w:szCs w:val="16"/>
                        </w:rPr>
                      </w:pPr>
                      <w:r>
                        <w:rPr>
                          <w:sz w:val="16"/>
                          <w:szCs w:val="16"/>
                        </w:rPr>
                        <w:t>An % de na fostaithe iomlána a thuairiscigh míchumas</w:t>
                      </w:r>
                    </w:p>
                  </w:txbxContent>
                </v:textbox>
              </v:shape>
            </w:pict>
          </mc:Fallback>
        </mc:AlternateContent>
      </w:r>
      <w:r w:rsidR="005D5B1D">
        <w:rPr>
          <w:noProof/>
          <w:lang w:val="ga"/>
        </w:rPr>
        <mc:AlternateContent>
          <mc:Choice Requires="wps">
            <w:drawing>
              <wp:anchor distT="0" distB="0" distL="114300" distR="114300" simplePos="0" relativeHeight="251659264" behindDoc="0" locked="0" layoutInCell="1" allowOverlap="1" wp14:anchorId="3A16C236" wp14:editId="29631705">
                <wp:simplePos x="0" y="0"/>
                <wp:positionH relativeFrom="column">
                  <wp:posOffset>1123950</wp:posOffset>
                </wp:positionH>
                <wp:positionV relativeFrom="paragraph">
                  <wp:posOffset>2216150</wp:posOffset>
                </wp:positionV>
                <wp:extent cx="1441450" cy="228600"/>
                <wp:effectExtent l="0" t="0" r="6350" b="0"/>
                <wp:wrapNone/>
                <wp:docPr id="1392504972" name="Text Box 1"/>
                <wp:cNvGraphicFramePr/>
                <a:graphic xmlns:a="http://schemas.openxmlformats.org/drawingml/2006/main">
                  <a:graphicData uri="http://schemas.microsoft.com/office/word/2010/wordprocessingShape">
                    <wps:wsp>
                      <wps:cNvSpPr txBox="1"/>
                      <wps:spPr>
                        <a:xfrm>
                          <a:off x="0" y="0"/>
                          <a:ext cx="1441450" cy="228600"/>
                        </a:xfrm>
                        <a:prstGeom prst="rect">
                          <a:avLst/>
                        </a:prstGeom>
                        <a:solidFill>
                          <a:schemeClr val="lt1"/>
                        </a:solidFill>
                        <a:ln w="6350">
                          <a:noFill/>
                        </a:ln>
                      </wps:spPr>
                      <wps:txbx>
                        <w:txbxContent>
                          <w:p w14:paraId="0B6DF55E" w14:textId="77777777" w:rsidR="005D5B1D" w:rsidRPr="0047483B" w:rsidRDefault="005D5B1D" w:rsidP="005D5B1D">
                            <w:pPr>
                              <w:rPr>
                                <w:sz w:val="16"/>
                                <w:szCs w:val="16"/>
                              </w:rPr>
                            </w:pPr>
                            <w:r w:rsidRPr="0047483B">
                              <w:rPr>
                                <w:sz w:val="16"/>
                                <w:szCs w:val="16"/>
                              </w:rPr>
                              <w:t>An líon iomlán fostaithe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16C236" id="Text Box 1" o:spid="_x0000_s1027" type="#_x0000_t202" style="position:absolute;margin-left:88.5pt;margin-top:174.5pt;width:113.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" fillcolor="white [3201]" stroked="f" strokeweight=".5pt">
                <v:textbox>
                  <w:txbxContent>
                    <w:p w14:paraId="0B6DF55E" w14:textId="77777777" w:rsidR="005D5B1D" w:rsidRPr="0047483B" w:rsidRDefault="005D5B1D" w:rsidP="005D5B1D">
                      <w:pPr>
                        <w:rPr>
                          <w:sz w:val="16"/>
                          <w:szCs w:val="16"/>
                        </w:rPr>
                      </w:pPr>
                      <w:r w:rsidRPr="0047483B">
                        <w:rPr>
                          <w:sz w:val="16"/>
                          <w:szCs w:val="16"/>
                        </w:rPr>
                        <w:t>An líon iomlán fostaithe</w:t>
                      </w:r>
                    </w:p>
                  </w:txbxContent>
                </v:textbox>
              </v:shape>
            </w:pict>
          </mc:Fallback>
        </mc:AlternateContent>
      </w:r>
      <w:r w:rsidR="000B4F21">
        <w:rPr>
          <w:noProof/>
          <w:lang w:val="ga"/>
        </w:rPr>
        <w:drawing>
          <wp:inline distT="0" distB="0" distL="0" distR="0" wp14:anchorId="6CC1DE63" wp14:editId="647D69F5">
            <wp:extent cx="5731510" cy="2517140"/>
            <wp:effectExtent l="0" t="0" r="2540" b="16510"/>
            <wp:docPr id="1066004013" name="Chart 1">
              <a:extLst xmlns:a="http://schemas.openxmlformats.org/drawingml/2006/main">
                <a:ext uri="{FF2B5EF4-FFF2-40B4-BE49-F238E27FC236}">
                  <a16:creationId xmlns:a16="http://schemas.microsoft.com/office/drawing/2014/main" id="{16CBB566-EF00-4625-152D-97A99A6325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7EE5C3" w14:textId="1D13A70C" w:rsidR="0006233E" w:rsidRPr="007202FA" w:rsidRDefault="000B4F21" w:rsidP="007202FA">
      <w:pPr>
        <w:pStyle w:val="Heading2"/>
        <w:rPr>
          <w:color w:val="BF2296"/>
        </w:rPr>
      </w:pPr>
      <w:bookmarkStart w:id="36" w:name="_Toc214033610"/>
      <w:r>
        <w:rPr>
          <w:bCs/>
          <w:color w:val="BF2296"/>
          <w:lang w:val="ga"/>
        </w:rPr>
        <w:t>Feabhsú ar fheidhmíocht na gcomhlachtaí poiblí</w:t>
      </w:r>
      <w:bookmarkEnd w:id="36"/>
    </w:p>
    <w:p w14:paraId="25414E8C" w14:textId="77777777" w:rsidR="0006233E" w:rsidRPr="007202FA" w:rsidRDefault="000B4F21" w:rsidP="007202FA">
      <w:pPr>
        <w:spacing w:after="120"/>
      </w:pPr>
      <w:r>
        <w:rPr>
          <w:lang w:val="ga"/>
        </w:rPr>
        <w:t>Tá roinnt tosca ann a d’fhéadfadh a bheith ina gcúis leis an bhfeabhsú suntasach sin ar fheidhmíocht na gcomhlachtaí poiblí sa bhliain 2025:</w:t>
      </w:r>
    </w:p>
    <w:p w14:paraId="556F0921" w14:textId="1A265AF7" w:rsidR="0006233E" w:rsidRPr="00EE61A8" w:rsidRDefault="000B4F21" w:rsidP="007202FA">
      <w:pPr>
        <w:pStyle w:val="NDABullet"/>
        <w:rPr>
          <w:lang w:val="ga"/>
        </w:rPr>
      </w:pPr>
      <w:r>
        <w:rPr>
          <w:lang w:val="ga"/>
        </w:rPr>
        <w:t xml:space="preserve">Chuir ÚNM in iúl do chomhlachtaí poiblí arís agus arís eile go mbeadh an íos-sprioc reachtúil fostaíochta ag méadú go 4.5% sa bhliain 2024 agus go 6% sa bhliain 2025. Thugamar comhairle dóibh freisin maidir leis na bearta is gá dóibh a chur chun feidhme chun na spriocanna sin a bhaint amach agus chun feidhmiú níos fearr ná iad. Mar a mhionsonraítear i </w:t>
      </w:r>
      <w:r>
        <w:rPr>
          <w:b/>
          <w:bCs/>
          <w:lang w:val="ga"/>
        </w:rPr>
        <w:t>Rannán 3 den tuarascáil seo</w:t>
      </w:r>
      <w:r>
        <w:rPr>
          <w:lang w:val="ga"/>
        </w:rPr>
        <w:t>, tá méadú tagtha ar an líon comhlachtaí poiblí atá ag cur roinnt de na bearta sin chun feidhme.</w:t>
      </w:r>
    </w:p>
    <w:p w14:paraId="1FBE20A4" w14:textId="77777777" w:rsidR="0006233E" w:rsidRPr="00EE61A8" w:rsidRDefault="000B4F21" w:rsidP="007202FA">
      <w:pPr>
        <w:pStyle w:val="NDABullet"/>
        <w:rPr>
          <w:lang w:val="ga"/>
        </w:rPr>
      </w:pPr>
      <w:r>
        <w:rPr>
          <w:lang w:val="ga"/>
        </w:rPr>
        <w:t xml:space="preserve">Tá ÚNM ag déanamh idirchaidreamh go seasta le comhlachtaí poiblí, lena n-áirítear FSS, a raibh deacrachtaí acu maidir leis an íos-sprioc reachtúil fostaíochta a bhaint amach, chun cabhrú leo a bhfeidhmíocht a fheabhsú. Sa tréimhse 2015-2016, fuair aon </w:t>
      </w:r>
      <w:r>
        <w:rPr>
          <w:lang w:val="ga"/>
        </w:rPr>
        <w:lastRenderedPageBreak/>
        <w:t>chomhlacht déag phoiblí iarrataí alt 49 toisc nár bhain siad an íos-sprioc amach. Sna blianta 2023 agus 2024, ní bhfaighidh ach ceithre chomhlacht phoiblí iarrataí alt 49.</w:t>
      </w:r>
    </w:p>
    <w:p w14:paraId="0B78827C" w14:textId="2161175A" w:rsidR="00141640" w:rsidRPr="00EE61A8" w:rsidRDefault="000B4F21" w:rsidP="007202FA">
      <w:pPr>
        <w:pStyle w:val="NDABullet"/>
        <w:rPr>
          <w:lang w:val="ga"/>
        </w:rPr>
      </w:pPr>
      <w:r>
        <w:rPr>
          <w:lang w:val="ga"/>
        </w:rPr>
        <w:t xml:space="preserve">I mí na Nollag 2023, leasaíomar na ceisteanna le haghaidh bhailiú sonraí Chuid 5 chun sonraí níos saibhre a fháil i gcomhréir le ceann amháin de na príomh-mholtaí a bhí sa </w:t>
      </w:r>
      <w:r w:rsidR="00141640">
        <w:rPr>
          <w:lang w:val="ga"/>
        </w:rPr>
        <w:t xml:space="preserve">tuarascáil uainn ar an </w:t>
      </w:r>
      <w:hyperlink r:id="rId10" w:history="1">
        <w:r w:rsidR="00141640" w:rsidRPr="00475C58">
          <w:rPr>
            <w:rStyle w:val="Hyperlink"/>
            <w:lang w:val="ga"/>
          </w:rPr>
          <w:t>Athbhreithniú ar Chuid 5</w:t>
        </w:r>
      </w:hyperlink>
      <w:r>
        <w:rPr>
          <w:lang w:val="ga"/>
        </w:rPr>
        <w:t>. I gcás thuarascáil Chuid 5 don bhliain 2024, leanamar de na ceisteanna a athbhreithniú agus a leasú.  D’oibríomar i gcomhar le hOifig Phríomhoifigeach Faisnéise an Rialtais (OCGIO) freisin chun na ceisteanna a aistriú ó dhoiciméad Excel ina bhformáid inrochtana ar líne ar a dtugtar Forms.ie. Tugadh oiliúint agus tacaíocht leanúnach do chomhlachtaí poiblí maidir le conas an córas nua sin a úsáid. A bhuí leis na leasuithe sin ar phróiseas Chuid 5, cabhraíodh linn sonraí níos mine agus níos cruinne a fháil faoi na bearta atá siad ag déanamh chun feabhas a chur ar a gcomhlíonadh faoi Chuid 5, agus an próiseas bailithe sonraí agus an próiseas anailíse sonraí á chuíchóiriú ag an am céanna freisin.</w:t>
      </w:r>
    </w:p>
    <w:p w14:paraId="78AB4A85" w14:textId="354D3589" w:rsidR="0006233E" w:rsidRPr="00EE61A8" w:rsidRDefault="000B4F21" w:rsidP="007202FA">
      <w:pPr>
        <w:pStyle w:val="Heading2"/>
        <w:rPr>
          <w:color w:val="BF2296"/>
          <w:lang w:val="ga"/>
        </w:rPr>
      </w:pPr>
      <w:bookmarkStart w:id="37" w:name="_Toc214033611"/>
      <w:r>
        <w:rPr>
          <w:bCs/>
          <w:color w:val="BF2296"/>
          <w:lang w:val="ga"/>
        </w:rPr>
        <w:t>Na príomhbhearta a rinne comhlachtaí poiblí sa bhliain 2024 chun feabhas a chur ar an dóigh a gcomhlíonann siad Cuid 5</w:t>
      </w:r>
      <w:bookmarkEnd w:id="37"/>
      <w:r>
        <w:rPr>
          <w:bCs/>
          <w:color w:val="BF2296"/>
          <w:lang w:val="ga"/>
        </w:rPr>
        <w:t xml:space="preserve"> </w:t>
      </w:r>
      <w:r>
        <w:rPr>
          <w:bCs/>
          <w:lang w:val="ga"/>
        </w:rPr>
        <w:t xml:space="preserve"> </w:t>
      </w:r>
    </w:p>
    <w:p w14:paraId="5E56DAA2" w14:textId="2D0DF8FF" w:rsidR="0006233E" w:rsidRPr="00EE61A8" w:rsidRDefault="000B4F21" w:rsidP="007202FA">
      <w:pPr>
        <w:spacing w:after="120"/>
        <w:rPr>
          <w:lang w:val="ga"/>
        </w:rPr>
      </w:pPr>
      <w:r>
        <w:rPr>
          <w:lang w:val="ga"/>
        </w:rPr>
        <w:t>Is mar a leanas atá achoimre ar na príomhbhearta atá á ndéanamh ag comhlachtaí poiblí chun feabhas a chur ar an dóigh a gcomhlíonann siad Cuid 5:</w:t>
      </w:r>
    </w:p>
    <w:p w14:paraId="450E5EAE" w14:textId="77777777" w:rsidR="0006233E" w:rsidRPr="00EE61A8" w:rsidRDefault="000B4F21" w:rsidP="007202FA">
      <w:pPr>
        <w:pStyle w:val="NDABullet"/>
        <w:rPr>
          <w:lang w:val="ga"/>
        </w:rPr>
      </w:pPr>
      <w:r>
        <w:rPr>
          <w:b/>
          <w:bCs/>
          <w:lang w:val="ga"/>
        </w:rPr>
        <w:t>An modh bailithe sonraí do thuairisceán Chuid 5:</w:t>
      </w:r>
      <w:r>
        <w:rPr>
          <w:lang w:val="ga"/>
        </w:rPr>
        <w:t xml:space="preserve"> Sa bhliain 2024, ba é an modh bailithe sonraí is coitianta ar thuairiscigh 163 chomhlacht phoiblí (75.5%) é ná áireamh foirne a sheoladh.</w:t>
      </w:r>
    </w:p>
    <w:p w14:paraId="63A4417F" w14:textId="77777777" w:rsidR="0006233E" w:rsidRPr="00EE61A8" w:rsidRDefault="000B4F21" w:rsidP="007202FA">
      <w:pPr>
        <w:pStyle w:val="NDABullet"/>
        <w:rPr>
          <w:lang w:val="ga"/>
        </w:rPr>
      </w:pPr>
      <w:r>
        <w:rPr>
          <w:b/>
          <w:bCs/>
          <w:lang w:val="ga"/>
        </w:rPr>
        <w:t>Earcú daoine a bhfuil míchumas orthu a mhéadú:</w:t>
      </w:r>
      <w:r>
        <w:rPr>
          <w:lang w:val="ga"/>
        </w:rPr>
        <w:t xml:space="preserve"> Sa bhliain 2024, thuairiscigh 210 gcomhlacht phoiblí (97.2%) gurbh é an beart is coitianta a rinne siad chun earcú daoine a bhfuil míchumas orthu a mhéadú ná socruithe réasúnacha a sholáthar i bpróisis earcaíochta.</w:t>
      </w:r>
    </w:p>
    <w:p w14:paraId="2F71A33E" w14:textId="77777777" w:rsidR="0006233E" w:rsidRPr="00EE61A8" w:rsidRDefault="000B4F21" w:rsidP="007202FA">
      <w:pPr>
        <w:pStyle w:val="NDABullet"/>
        <w:rPr>
          <w:lang w:val="ga"/>
        </w:rPr>
      </w:pPr>
      <w:r>
        <w:rPr>
          <w:b/>
          <w:bCs/>
          <w:lang w:val="ga"/>
        </w:rPr>
        <w:t>Tacú le fostaithe a stádas míchumais a chur in iúl:</w:t>
      </w:r>
      <w:r>
        <w:rPr>
          <w:lang w:val="ga"/>
        </w:rPr>
        <w:t xml:space="preserve"> Sa bhliain 2024, ba é an beart is coitianta chun tacú le fostaithe a stádas míchumais a chur in iúl a thuairiscigh 181 chomhlacht phoiblí (83.8%) ná faisnéis a sholáthar do gach fostaí faoi na tacaí atá ar fáil.</w:t>
      </w:r>
    </w:p>
    <w:p w14:paraId="35904FE6" w14:textId="77777777" w:rsidR="0006233E" w:rsidRPr="00EE61A8" w:rsidRDefault="000B4F21" w:rsidP="007202FA">
      <w:pPr>
        <w:pStyle w:val="NDABullet"/>
        <w:rPr>
          <w:lang w:val="ga"/>
        </w:rPr>
      </w:pPr>
      <w:r>
        <w:rPr>
          <w:b/>
          <w:bCs/>
          <w:lang w:val="ga"/>
        </w:rPr>
        <w:t>Fostaithe a bhfuil míchumas orthu agus nach bhfuil míchumas orthu a choinneáil:</w:t>
      </w:r>
      <w:r>
        <w:rPr>
          <w:lang w:val="ga"/>
        </w:rPr>
        <w:t xml:space="preserve"> Sa bhliain 2024, chuir ÚNM ceist ar leith faoi dhaoine a bhfuil míchumas orthu a choinneáil. Sa bhliain 2024, thuairiscigh 213 chomhlacht phoiblí (98.6%) gurbh é an beart coinneála is coitianta a bhí acu ná a chinntiú go raibh socruithe réasúnacha i bhfeidhm sular fhill an fostaí ar an obair tar éis dó/di a bheith ar shaoire bhreoiteachta. </w:t>
      </w:r>
    </w:p>
    <w:p w14:paraId="7C56043E" w14:textId="77777777" w:rsidR="0006233E" w:rsidRPr="00EE61A8" w:rsidRDefault="000B4F21" w:rsidP="007202FA">
      <w:pPr>
        <w:pStyle w:val="NDABullet"/>
        <w:rPr>
          <w:lang w:val="ga"/>
        </w:rPr>
      </w:pPr>
      <w:r>
        <w:rPr>
          <w:b/>
          <w:bCs/>
          <w:lang w:val="ga"/>
        </w:rPr>
        <w:lastRenderedPageBreak/>
        <w:t>Socruithe Réasúnacha:</w:t>
      </w:r>
      <w:r>
        <w:rPr>
          <w:lang w:val="ga"/>
        </w:rPr>
        <w:t xml:space="preserve"> Sa bhliain 2024, luaigh 100 comhlacht poiblí (46.5%) sna freagraí uathu go raibh beartas scríofa acu le haghaidh socruithe réasúnacha a sholáthar.</w:t>
      </w:r>
    </w:p>
    <w:p w14:paraId="0AEDA8A0" w14:textId="77777777" w:rsidR="0006233E" w:rsidRPr="00EE61A8" w:rsidRDefault="000B4F21" w:rsidP="007202FA">
      <w:pPr>
        <w:pStyle w:val="NDABullet"/>
        <w:numPr>
          <w:ilvl w:val="0"/>
          <w:numId w:val="0"/>
        </w:numPr>
        <w:ind w:left="1069"/>
        <w:rPr>
          <w:lang w:val="ga"/>
        </w:rPr>
      </w:pPr>
      <w:r>
        <w:rPr>
          <w:lang w:val="ga"/>
        </w:rPr>
        <w:t xml:space="preserve">Sa bhliain 2024, ba é an socrú réasúnach is coitianta ar sholáthair 205 chomhlacht phoiblí (94.9%) é ná na cúraimí oibre/na róil oibre de chuid fostaithe a choigeartú de réir riachtanais agus chumais an duine aonair. </w:t>
      </w:r>
    </w:p>
    <w:p w14:paraId="5A6ABD64" w14:textId="77777777" w:rsidR="0006233E" w:rsidRPr="00EE61A8" w:rsidRDefault="000B4F21" w:rsidP="007202FA">
      <w:pPr>
        <w:pStyle w:val="NDABullet"/>
        <w:numPr>
          <w:ilvl w:val="0"/>
          <w:numId w:val="0"/>
        </w:numPr>
        <w:ind w:left="1069"/>
        <w:rPr>
          <w:lang w:val="ga"/>
        </w:rPr>
      </w:pPr>
      <w:r>
        <w:rPr>
          <w:lang w:val="ga"/>
        </w:rPr>
        <w:t>Sa bhliain 2024, luaigh 57 gcinn (26.4%) de 216 chomhlacht phoiblí sna freagraí uathu go raibh deacrachtaí acu socruithe réasúnacha a sholáthar. Luaigh ocht gcinn is fiche (49.1%) díobh sin gur le teicneolaíochtaí cúnta a shuiteáil a bhain na príomhdheacrachtaí.</w:t>
      </w:r>
    </w:p>
    <w:p w14:paraId="4BF0992B" w14:textId="77777777" w:rsidR="0006233E" w:rsidRPr="00EE61A8" w:rsidRDefault="000B4F21" w:rsidP="007202FA">
      <w:pPr>
        <w:pStyle w:val="NDABullet"/>
        <w:rPr>
          <w:lang w:val="ga"/>
        </w:rPr>
      </w:pPr>
      <w:r>
        <w:rPr>
          <w:b/>
          <w:bCs/>
          <w:lang w:val="ga"/>
        </w:rPr>
        <w:t>Tacú le Bainisteoirí Líne:</w:t>
      </w:r>
      <w:r>
        <w:rPr>
          <w:lang w:val="ga"/>
        </w:rPr>
        <w:t xml:space="preserve"> Sa bhliain 2024, sholáthair 203 chomhlacht phoiblí (94.0%) tacaíocht do bhainisteoirí líne chun cabhrú le fostaithe faoi mhíchumas socruithe réasúnacha a rochtain nó chun cineálacha eile cúnaimh a thabhairt. Ba iad na bearta is coitianta ná rochtain ar acmhainní, amhail treoir maidir le fostaithe a bhainistiú, a sholáthar dóibh (195 chomhlacht phoiblí, nó 90.3%).</w:t>
      </w:r>
    </w:p>
    <w:p w14:paraId="6830D96A" w14:textId="77777777" w:rsidR="0006233E" w:rsidRPr="00EE61A8" w:rsidRDefault="000B4F21" w:rsidP="007202FA">
      <w:pPr>
        <w:pStyle w:val="NDABullet"/>
        <w:rPr>
          <w:lang w:val="ga"/>
        </w:rPr>
      </w:pPr>
      <w:r>
        <w:rPr>
          <w:b/>
          <w:bCs/>
          <w:lang w:val="ga"/>
        </w:rPr>
        <w:t>Cláir Taithí Oibre do dhaoine faoi mhíchumas:</w:t>
      </w:r>
      <w:r>
        <w:rPr>
          <w:lang w:val="ga"/>
        </w:rPr>
        <w:t xml:space="preserve"> Sa bhliain 2024, thuairiscigh 25 chomhlacht phoiblí (11.6%) gur ghlac siad páirt i gclár Willing Able Mentoring (WAM) AHEAD</w:t>
      </w:r>
      <w:r>
        <w:rPr>
          <w:rStyle w:val="FootnoteReference"/>
          <w:lang w:val="ga"/>
        </w:rPr>
        <w:footnoteReference w:id="3"/>
      </w:r>
      <w:r>
        <w:rPr>
          <w:lang w:val="ga"/>
        </w:rPr>
        <w:t xml:space="preserve"> agus thuairiscigh cúig chomhlacht phoiblí (2.3%) gur ghlac siad páirt i gclár oiliúna Foghlama Oibre an Oireachtais (OWL). Thuairiscigh dhá chomhlacht phoiblí is tríocha (14.8%) freisin go raibh a gcláir inmheánacha taithí oibre féin acu, ar cuireadh daoine faoi mhíchumas ar áireamh iontu. </w:t>
      </w:r>
    </w:p>
    <w:p w14:paraId="3511ACB2" w14:textId="77777777" w:rsidR="0006233E" w:rsidRPr="00EE61A8" w:rsidRDefault="000B4F21" w:rsidP="007202FA">
      <w:pPr>
        <w:pStyle w:val="NDABullet"/>
        <w:rPr>
          <w:lang w:val="ga"/>
        </w:rPr>
      </w:pPr>
      <w:r>
        <w:rPr>
          <w:b/>
          <w:bCs/>
          <w:lang w:val="ga"/>
        </w:rPr>
        <w:t>Idirchaidreamh a Dhéanamh le Coistí Faireacháin:</w:t>
      </w:r>
      <w:r>
        <w:rPr>
          <w:lang w:val="ga"/>
        </w:rPr>
        <w:t xml:space="preserve"> Thuairiscigh cúig chomhlacht phoiblí is nócha (44.0%) go ndearna siad idirchaidreamh leis na Coistí Faireacháin ina máthair-Roinn sa bhliain 2024.</w:t>
      </w:r>
    </w:p>
    <w:p w14:paraId="021B05CE" w14:textId="77777777" w:rsidR="0006233E" w:rsidRPr="00EE61A8" w:rsidRDefault="000B4F21" w:rsidP="007202FA">
      <w:pPr>
        <w:pStyle w:val="NDABullet"/>
        <w:numPr>
          <w:ilvl w:val="0"/>
          <w:numId w:val="0"/>
        </w:numPr>
        <w:ind w:left="1069"/>
        <w:rPr>
          <w:lang w:val="ga"/>
        </w:rPr>
      </w:pPr>
      <w:r>
        <w:rPr>
          <w:lang w:val="ga"/>
        </w:rPr>
        <w:t>Den 121 chomhlacht phoiblí (56.0%) nach ndearna idirchaidreamh lena gCoiste Faireacháin, luaigh 94 cinn (77.7%) nach ndearna siad amhlaidh toisc gur éirigh leo an íos-sprioc 4.5% a bhaint amach.</w:t>
      </w:r>
    </w:p>
    <w:p w14:paraId="61BA5AD8" w14:textId="77777777" w:rsidR="0006233E" w:rsidRPr="00EE61A8" w:rsidRDefault="000B4F21" w:rsidP="007202FA">
      <w:pPr>
        <w:pStyle w:val="NDABullet"/>
        <w:rPr>
          <w:lang w:val="ga"/>
        </w:rPr>
      </w:pPr>
      <w:r>
        <w:rPr>
          <w:b/>
          <w:bCs/>
          <w:lang w:val="ga"/>
        </w:rPr>
        <w:t>Tosca maolaitheacha:</w:t>
      </w:r>
      <w:r>
        <w:rPr>
          <w:lang w:val="ga"/>
        </w:rPr>
        <w:t xml:space="preserve"> Sa bhliain 2024, ba ann do 31 chomhlacht phoiblí (14.4%) nár bhain an íos-sprioc reachtúil fostaíochta 4.5% amach. Ba í an phríomhchúis leis sin, dar le </w:t>
      </w:r>
      <w:r>
        <w:rPr>
          <w:lang w:val="ga"/>
        </w:rPr>
        <w:lastRenderedPageBreak/>
        <w:t>comhlachtaí poiblí (20 comhlacht poiblí, 64.5%), ná méid bheag a n-eagraíochta.</w:t>
      </w:r>
    </w:p>
    <w:p w14:paraId="453BF45A" w14:textId="77777777" w:rsidR="0006233E" w:rsidRPr="00EE61A8" w:rsidRDefault="000B4F21" w:rsidP="007202FA">
      <w:pPr>
        <w:pStyle w:val="NDABullet"/>
        <w:rPr>
          <w:lang w:val="ga"/>
        </w:rPr>
      </w:pPr>
      <w:r>
        <w:rPr>
          <w:b/>
          <w:bCs/>
          <w:lang w:val="ga"/>
        </w:rPr>
        <w:t>Bearta chun na spriocanna atá le teacht isteach a bhaint amach:</w:t>
      </w:r>
      <w:r>
        <w:rPr>
          <w:lang w:val="ga"/>
        </w:rPr>
        <w:t xml:space="preserve"> Sa bhliain 2025, tiocfaidh méadú ar an íos-sprioc reachtúil go 6%. Sa bhliain 2024, fiafraíodh de 31 chomhlacht phoiblí (14.4%) nár bhain an sprioc 4.5% amach cé na bearta a chuirfeadh siad chun feidhme chun an sprioc 6% a bhaint amach. Thuairiscigh dhá cheann déag den 31 chomhlacht phoiblí (38.7%) go ndíreodh siad ar a bpróiseas earcaíochta a athbhreithniú agus a fheabhsú chun iad a dhéanamh níos cuimsithí agus/nó go seolfadh siad feachtas spriocdhírithe chun daoine a bhfuil míchumas orthu a earcú.</w:t>
      </w:r>
    </w:p>
    <w:p w14:paraId="2819F00C" w14:textId="3564BF61" w:rsidR="0006233E" w:rsidRPr="00EE61A8" w:rsidRDefault="000B4F21" w:rsidP="007202FA">
      <w:pPr>
        <w:pStyle w:val="NDABullet"/>
        <w:rPr>
          <w:lang w:val="ga"/>
        </w:rPr>
      </w:pPr>
      <w:r>
        <w:rPr>
          <w:b/>
          <w:bCs/>
          <w:lang w:val="ga"/>
        </w:rPr>
        <w:t>Bearta a fhorbairt sa bhliain 2024:</w:t>
      </w:r>
      <w:r>
        <w:rPr>
          <w:lang w:val="ga"/>
        </w:rPr>
        <w:t xml:space="preserve"> Fiafraíodh de chomhlachtaí poiblí a luaigh go raibh siad ag forbairt na mbeart thuas cá fhad a thógfadh sé chun iad a fhorbairt agus a chur chun feidhme. Ar an iomlán, thuairiscigh comhlachtaí poiblí go mbeadh formhór na mbeart sin curtha chun feidhme acu laistigh de 12 mhí. Mar sin féin, luaigh comhlachtaí poiblí go ndéanfaí bearta chun fostaithe a bhfuil míchumas orthu agus fostaithe nach bhfuil míchumas orthu a choinneáil a chur chun feidhme laistigh de thrí mhí agus go ndéanfaí tacaí do Bhainisteoirí Líne a chur chun feidhme laistigh de thréimhse idir trí mhí agus sé mhí. </w:t>
      </w:r>
    </w:p>
    <w:p w14:paraId="07994BE4" w14:textId="77777777" w:rsidR="0006233E" w:rsidRPr="00EE61A8" w:rsidRDefault="000B4F21" w:rsidP="007202FA">
      <w:pPr>
        <w:rPr>
          <w:lang w:val="ga"/>
        </w:rPr>
      </w:pPr>
      <w:r>
        <w:rPr>
          <w:lang w:val="ga"/>
        </w:rPr>
        <w:t xml:space="preserve">Admhaíonn ÚNM an feabhas leantach ar fheidhmíocht na hearnála poiblí. Mar sin féin, leanaimid de chomhlachtaí poiblí a chur ar an eolas gur gá dóibh an íos-sprioc 6% a bhaint amach, nó feidhmiú níos fearr ná í, sa bhliain 2025 trí chultúir oibre atá Comhionann, Éagsúil agus Cuimsitheach a fhorbairt agus a fheabhsú, ar cultúir iad a dhíríonn ar earcú agus coinneáil daoine a bhfuil míchumas orthu a mhéadú agus ar thacú le fostaithe a bhfuil míchumas orthu a bheith níos compordaí le linn dóibh a stádas míchumais a chur in iúl. </w:t>
      </w:r>
    </w:p>
    <w:p w14:paraId="1F012FE3" w14:textId="77777777" w:rsidR="0006233E" w:rsidRPr="00EE61A8" w:rsidRDefault="000B4F21" w:rsidP="007202FA">
      <w:pPr>
        <w:rPr>
          <w:lang w:val="ga"/>
        </w:rPr>
      </w:pPr>
      <w:r>
        <w:rPr>
          <w:lang w:val="ga"/>
        </w:rPr>
        <w:t>Tá treoir nua á forbairt ag ÚNM chun cabhrú le comhlachtaí poiblí leanúint ar aghaidh ag feabhsú a modhanna bailithe sonraí le haghaidh phróiseas Chuid 5 sa bhliain 2025. Táimid ag fiosrú bealaí freisin chun feabhas a chur ar cháilíocht na sonraí a fhaighimid ó chomhlachtaí poiblí agus chun a chur in iúl cá háit nach bhfuil roinnt sonraí iontaofa, bunaithe ar rátaí freagartha.</w:t>
      </w:r>
    </w:p>
    <w:p w14:paraId="0B96EAF0" w14:textId="77777777" w:rsidR="0006233E" w:rsidRPr="00EE61A8" w:rsidRDefault="000B4F21" w:rsidP="007202FA">
      <w:pPr>
        <w:rPr>
          <w:lang w:val="ga"/>
        </w:rPr>
      </w:pPr>
      <w:r>
        <w:rPr>
          <w:lang w:val="ga"/>
        </w:rPr>
        <w:t>Mar sin féin, leanaimid ar aghaidh ag cur in iúl do Choistí Faireacháin agus do chomhlachtaí poiblí go bhfuil sé de fhreagracht orthu a chinntiú go gcuireann siad sonraí cruinne isteach le haghaidh phróiseas Chuid 5.</w:t>
      </w:r>
    </w:p>
    <w:p w14:paraId="514F7069" w14:textId="77777777" w:rsidR="0006233E" w:rsidRPr="00EE61A8" w:rsidRDefault="0006233E" w:rsidP="007202FA">
      <w:pPr>
        <w:pStyle w:val="Heading3"/>
        <w:rPr>
          <w:color w:val="BF2296"/>
          <w:lang w:val="ga"/>
        </w:rPr>
      </w:pPr>
    </w:p>
    <w:p w14:paraId="6F9840E3" w14:textId="77777777" w:rsidR="0006233E" w:rsidRPr="00EE61A8" w:rsidRDefault="0006233E" w:rsidP="007202FA">
      <w:pPr>
        <w:pStyle w:val="Heading3"/>
        <w:rPr>
          <w:color w:val="BF2296"/>
          <w:lang w:val="ga"/>
        </w:rPr>
      </w:pPr>
    </w:p>
    <w:p w14:paraId="4DA759AD" w14:textId="77777777" w:rsidR="009223B9" w:rsidRPr="00EE61A8" w:rsidRDefault="009223B9" w:rsidP="007202FA">
      <w:pPr>
        <w:rPr>
          <w:lang w:val="ga"/>
        </w:rPr>
      </w:pPr>
    </w:p>
    <w:p w14:paraId="753AF5DA" w14:textId="77777777" w:rsidR="00590BEF" w:rsidRPr="00EE61A8" w:rsidRDefault="000B4F21" w:rsidP="007202FA">
      <w:pPr>
        <w:pStyle w:val="Heading1"/>
        <w:rPr>
          <w:color w:val="BF2296"/>
          <w:lang w:val="ga"/>
        </w:rPr>
      </w:pPr>
      <w:bookmarkStart w:id="38" w:name="_Toc176801604"/>
      <w:bookmarkStart w:id="39" w:name="_Toc18680242"/>
      <w:bookmarkStart w:id="40" w:name="_Toc526435808"/>
      <w:bookmarkStart w:id="41" w:name="_Toc498585826"/>
      <w:bookmarkStart w:id="42" w:name="_Toc214033612"/>
      <w:r>
        <w:rPr>
          <w:rStyle w:val="SubtleReference"/>
          <w:rFonts w:ascii="Verdana" w:hAnsi="Verdana"/>
          <w:bCs/>
          <w:smallCaps w:val="0"/>
          <w:color w:val="BF2296"/>
          <w:u w:val="none"/>
          <w:lang w:val="ga"/>
        </w:rPr>
        <w:lastRenderedPageBreak/>
        <w:t>1 Réamhrá</w:t>
      </w:r>
      <w:bookmarkStart w:id="43" w:name="_Toc526435809"/>
      <w:bookmarkStart w:id="44" w:name="_Toc18680243"/>
      <w:bookmarkStart w:id="45" w:name="_Toc176801605"/>
      <w:bookmarkStart w:id="46" w:name="_Toc498585827"/>
      <w:bookmarkEnd w:id="38"/>
      <w:bookmarkEnd w:id="39"/>
      <w:bookmarkEnd w:id="40"/>
      <w:bookmarkEnd w:id="41"/>
      <w:bookmarkEnd w:id="42"/>
    </w:p>
    <w:p w14:paraId="71F69997" w14:textId="77777777" w:rsidR="00590BEF" w:rsidRPr="00EE61A8" w:rsidRDefault="000B4F21" w:rsidP="007202FA">
      <w:pPr>
        <w:pStyle w:val="Heading2"/>
        <w:rPr>
          <w:color w:val="BF2296"/>
          <w:lang w:val="ga"/>
        </w:rPr>
      </w:pPr>
      <w:bookmarkStart w:id="47" w:name="_Toc214033613"/>
      <w:r>
        <w:rPr>
          <w:bCs/>
          <w:color w:val="BF2296"/>
          <w:lang w:val="ga"/>
        </w:rPr>
        <w:t>1.1 An cúlra reachtach</w:t>
      </w:r>
      <w:bookmarkEnd w:id="43"/>
      <w:bookmarkEnd w:id="44"/>
      <w:bookmarkEnd w:id="45"/>
      <w:bookmarkEnd w:id="46"/>
      <w:bookmarkEnd w:id="47"/>
    </w:p>
    <w:p w14:paraId="1C6F1731" w14:textId="4E8589F9" w:rsidR="00590BEF" w:rsidRPr="00EE61A8" w:rsidRDefault="000B4F21" w:rsidP="007202FA">
      <w:pPr>
        <w:rPr>
          <w:lang w:val="ga"/>
        </w:rPr>
      </w:pPr>
      <w:r>
        <w:rPr>
          <w:lang w:val="ga"/>
        </w:rPr>
        <w:t>I gCuid 5 den Acht um Míchumas 2005, tugtar ról reachtúil don Údarás Náisiúnta Míchumais (ÚNM) i bhfaireachán a dhéanamh ar fhostú daoine a bhfuil míchumas orthu san earnáil phoiblí. Mionsonraítear inti freisin na hoibleagáidí bliantúla tuairiscithe agus faireacháin atá ar chomhlachtaí poiblí agus ar Ranna Rialtais ó thaobh fostú daoine a bhfuil míchumas orthu de.</w:t>
      </w:r>
    </w:p>
    <w:p w14:paraId="6CD9647A" w14:textId="77777777" w:rsidR="00590BEF" w:rsidRPr="00EE61A8" w:rsidRDefault="000B4F21" w:rsidP="007202FA">
      <w:pPr>
        <w:rPr>
          <w:lang w:val="ga"/>
        </w:rPr>
      </w:pPr>
      <w:r>
        <w:rPr>
          <w:lang w:val="ga"/>
        </w:rPr>
        <w:t>Mar achoimre, is iad seo na hoibleagáidí atá mionsonraithe san Acht:</w:t>
      </w:r>
    </w:p>
    <w:p w14:paraId="6AF08691" w14:textId="4CDB0DCF" w:rsidR="00590BEF" w:rsidRPr="00EE61A8" w:rsidRDefault="000B4F21" w:rsidP="007202FA">
      <w:pPr>
        <w:pStyle w:val="NDABullet"/>
        <w:rPr>
          <w:lang w:val="ga"/>
        </w:rPr>
      </w:pPr>
      <w:r>
        <w:rPr>
          <w:lang w:val="ga"/>
        </w:rPr>
        <w:t>A mhéid is féidir, déanfaidh comhlachtaí poiblí gach beart réasúnach chun fostú daoine a bhfuil míchumas orthu acu a chur chun cinn agus chun tacú leis an bhfostú sin (alt 47.1a).</w:t>
      </w:r>
    </w:p>
    <w:p w14:paraId="28675865" w14:textId="4315ADA1" w:rsidR="00590BEF" w:rsidRPr="00EE61A8" w:rsidRDefault="000B4F21" w:rsidP="007202FA">
      <w:pPr>
        <w:pStyle w:val="NDABullet"/>
        <w:rPr>
          <w:lang w:val="ga"/>
        </w:rPr>
      </w:pPr>
      <w:r>
        <w:rPr>
          <w:lang w:val="ga"/>
        </w:rPr>
        <w:t>Cinnteoidh comhlachtaí poiblí go mbainfidh siad aon spriocanna forordaithe comhlíonta amach, ach amháin i gcás go mbeidh dea-chúis ann le gan an méid sin a dhéanamh (alt 47.2).</w:t>
      </w:r>
    </w:p>
    <w:p w14:paraId="1FB6EDF0" w14:textId="0374B44B" w:rsidR="00590BEF" w:rsidRPr="00EE61A8" w:rsidRDefault="000B4F21" w:rsidP="007202FA">
      <w:pPr>
        <w:pStyle w:val="NDABullet"/>
        <w:rPr>
          <w:lang w:val="ga"/>
        </w:rPr>
      </w:pPr>
      <w:r>
        <w:rPr>
          <w:lang w:val="ga"/>
        </w:rPr>
        <w:t>Bunóidh Airí Coiste Faireacháin ina Roinn féin (alt 48.1).</w:t>
      </w:r>
    </w:p>
    <w:p w14:paraId="47D2E275" w14:textId="31B2D354" w:rsidR="00590BEF" w:rsidRPr="00EE61A8" w:rsidRDefault="000B4F21" w:rsidP="007202FA">
      <w:pPr>
        <w:pStyle w:val="NDABullet"/>
        <w:rPr>
          <w:lang w:val="ga"/>
        </w:rPr>
      </w:pPr>
      <w:r>
        <w:rPr>
          <w:lang w:val="ga"/>
        </w:rPr>
        <w:t>Cuirfidh comhlachtaí poiblí tuarascáil bhliantúil ar chomhlíonadh faoi bhráid Choiste Faireacháin a Roinne faoin 31 Márta gach bliain (alt 48.2).</w:t>
      </w:r>
    </w:p>
    <w:p w14:paraId="00468D48" w14:textId="2F355A7E" w:rsidR="00590BEF" w:rsidRPr="00EE61A8" w:rsidRDefault="000B4F21" w:rsidP="007202FA">
      <w:pPr>
        <w:pStyle w:val="NDABullet"/>
        <w:rPr>
          <w:lang w:val="ga"/>
        </w:rPr>
      </w:pPr>
      <w:r>
        <w:rPr>
          <w:lang w:val="ga"/>
        </w:rPr>
        <w:t xml:space="preserve">Cuirfidh an Coiste Faireacháin tuarascáil bhliantúil faoi bhráid ÚNM faoin 30 Meitheamh gach bliain (alt 48.5d). </w:t>
      </w:r>
    </w:p>
    <w:p w14:paraId="2DA6B06A" w14:textId="2CDD64EC" w:rsidR="00590BEF" w:rsidRPr="00EE61A8" w:rsidRDefault="000B4F21" w:rsidP="007202FA">
      <w:pPr>
        <w:pStyle w:val="NDABullet"/>
        <w:rPr>
          <w:lang w:val="ga"/>
        </w:rPr>
      </w:pPr>
      <w:r>
        <w:rPr>
          <w:lang w:val="ga"/>
        </w:rPr>
        <w:t>I gcás go n-iarrfaidh Aire nó ÚNM tuilleadh faisnéise faoi chomhlíonadh, soláthróidh comhlacht poiblí an fhaisnéis sin laistigh de thréimhse trí mhí (alt 49.1)</w:t>
      </w:r>
    </w:p>
    <w:p w14:paraId="6ECAA142" w14:textId="77777777" w:rsidR="00590BEF" w:rsidRPr="00EE61A8" w:rsidRDefault="000B4F21" w:rsidP="007202FA">
      <w:pPr>
        <w:pStyle w:val="NDABullet"/>
        <w:rPr>
          <w:lang w:val="ga"/>
        </w:rPr>
      </w:pPr>
      <w:r>
        <w:rPr>
          <w:lang w:val="ga"/>
        </w:rPr>
        <w:t>I gcás go mbeidh ÚNM den tuairim nach bhfuil comhlacht poiblí comhlíontach tar éis don chomhlacht mainneachtain comhlíonadh ar feadh dhá bhliain as a chéile, féadfaidh sé a iarraidh go ndéanfadh an comhlacht poiblí ‘bearta sonracha’ chun comhlíonadh a bhaint amach.</w:t>
      </w:r>
    </w:p>
    <w:p w14:paraId="6E994587" w14:textId="77777777" w:rsidR="00590BEF" w:rsidRPr="007202FA" w:rsidRDefault="000B4F21" w:rsidP="007202FA">
      <w:pPr>
        <w:pStyle w:val="Heading2"/>
        <w:rPr>
          <w:color w:val="BF2296"/>
        </w:rPr>
      </w:pPr>
      <w:bookmarkStart w:id="48" w:name="_Toc214033614"/>
      <w:bookmarkStart w:id="49" w:name="_Toc498585828"/>
      <w:bookmarkStart w:id="50" w:name="_Toc526435810"/>
      <w:bookmarkStart w:id="51" w:name="_Toc18680244"/>
      <w:bookmarkStart w:id="52" w:name="_Toc176801606"/>
      <w:r>
        <w:rPr>
          <w:bCs/>
          <w:color w:val="BF2296"/>
          <w:lang w:val="ga"/>
        </w:rPr>
        <w:t>1.2 An líon fostaithe a bhfuil míchumas orthu a chomhaireamh</w:t>
      </w:r>
      <w:bookmarkEnd w:id="48"/>
      <w:r>
        <w:rPr>
          <w:bCs/>
          <w:color w:val="BF2296"/>
          <w:lang w:val="ga"/>
        </w:rPr>
        <w:t xml:space="preserve"> </w:t>
      </w:r>
    </w:p>
    <w:bookmarkEnd w:id="49"/>
    <w:bookmarkEnd w:id="50"/>
    <w:bookmarkEnd w:id="51"/>
    <w:bookmarkEnd w:id="52"/>
    <w:p w14:paraId="090D4342" w14:textId="77777777" w:rsidR="00590BEF" w:rsidRPr="007202FA" w:rsidRDefault="000B4F21" w:rsidP="007202FA">
      <w:r>
        <w:rPr>
          <w:lang w:val="ga"/>
        </w:rPr>
        <w:t xml:space="preserve">Luaitear in alt 48(2) den Acht um Míchumas 2005 nach mór do chomhlachtaí poiblí sonraí a bhailiú faoi fhostaithe, agus go háirithe fostaithe a bhfuil míchumas orthu, </w:t>
      </w:r>
      <w:r>
        <w:rPr>
          <w:b/>
          <w:bCs/>
          <w:lang w:val="ga"/>
        </w:rPr>
        <w:t>ar bhonn bliantúil</w:t>
      </w:r>
      <w:r>
        <w:rPr>
          <w:lang w:val="ga"/>
        </w:rPr>
        <w:t>.</w:t>
      </w:r>
    </w:p>
    <w:p w14:paraId="5CD9EE27" w14:textId="77777777" w:rsidR="00590BEF" w:rsidRPr="007202FA" w:rsidRDefault="000B4F21" w:rsidP="007202FA">
      <w:r>
        <w:rPr>
          <w:lang w:val="ga"/>
        </w:rPr>
        <w:t xml:space="preserve">“Faoi réir </w:t>
      </w:r>
      <w:r>
        <w:rPr>
          <w:i/>
          <w:iCs/>
          <w:lang w:val="ga"/>
        </w:rPr>
        <w:t>fho-alt (7)</w:t>
      </w:r>
      <w:r>
        <w:rPr>
          <w:lang w:val="ga"/>
        </w:rPr>
        <w:t xml:space="preserve">, déanfaidh comhlacht poiblí, tráth nach déanaí ná an 31 Márta gach bliain, tuarascáil i scríbhinn a tharraingt suas maidir leis an dóigh ar chomhlíon sé an Chuid seo le linn </w:t>
      </w:r>
      <w:r>
        <w:rPr>
          <w:b/>
          <w:bCs/>
          <w:lang w:val="ga"/>
        </w:rPr>
        <w:t>na bliana roimhe sin</w:t>
      </w:r>
      <w:r>
        <w:rPr>
          <w:lang w:val="ga"/>
        </w:rPr>
        <w:t xml:space="preserve"> agus cuirfidh sé an tuarascáil sin faoi bhráid an choiste faireacháin ábhartha”.</w:t>
      </w:r>
    </w:p>
    <w:p w14:paraId="2F922A55" w14:textId="513A7A62" w:rsidR="00590BEF" w:rsidRPr="00EE61A8" w:rsidRDefault="000B4F21" w:rsidP="007202FA">
      <w:pPr>
        <w:rPr>
          <w:lang w:val="ga"/>
        </w:rPr>
      </w:pPr>
      <w:r>
        <w:rPr>
          <w:lang w:val="ga"/>
        </w:rPr>
        <w:lastRenderedPageBreak/>
        <w:t xml:space="preserve">Ní leagtar amach san Acht aon mhodhanna ar leith le haghaidh fostaithe a bhfuil míchumas orthu a chomhaireamh nó a shainaithint. Tá gach comhlacht poiblí freagrach as roghnú a dhéanamh ar mhodh cuí le haghaidh an líon fostaithe a bhfuil míchumas orthu ina n-eagraíocht a chomhaireamh gach bliain. </w:t>
      </w:r>
    </w:p>
    <w:p w14:paraId="769E9A69" w14:textId="48420C28" w:rsidR="00AF4D1E" w:rsidRPr="00EE61A8" w:rsidRDefault="000B4F21" w:rsidP="007202FA">
      <w:pPr>
        <w:rPr>
          <w:lang w:val="ga"/>
        </w:rPr>
      </w:pPr>
      <w:r>
        <w:rPr>
          <w:lang w:val="ga"/>
        </w:rPr>
        <w:t>Chuir ÚNM in iúl do chomhlachtaí poiblí gur cheart dóibh áireamh dá bhfostaithe uile a sheoladh. Beart tábhachtach maidir le fostaithe a bhfuil míchumas orthu a shainaithint is ea áireamh a dhéanamh ar gach fostaí, áit a dtugtar cuireadh do gach fostaí a chur in iúl cé acu atá nó nach bhfuil míchumas orthu. Tá sé sin difriúil le suirbhé míchumais a reáchtáil a d’fhéadfaí a mheas a bheith ina rud nach mbaineann ach amháin le fostaithe a bhfuil míchumas orthu, in ionad é a bheith bainteach le gach fostaí.</w:t>
      </w:r>
    </w:p>
    <w:p w14:paraId="156EC264" w14:textId="72490701" w:rsidR="00590BEF" w:rsidRPr="00EE61A8" w:rsidRDefault="000B4F21" w:rsidP="007202FA">
      <w:pPr>
        <w:rPr>
          <w:lang w:val="ga"/>
        </w:rPr>
      </w:pPr>
      <w:r>
        <w:rPr>
          <w:lang w:val="ga"/>
        </w:rPr>
        <w:t>Léirítear sna tuairisceáin ó chomhlachtaí poiblí go bhfuil éagsúlacht leathan ann sna rátaí freagartha don áireamh i measc fostaithe. Tá sé dúshlánach timpeallacht a chruthú ina bhfuil fostaithe ar a gcompord a stádas míchumais a chur in iúl nó ina dtuigeann na fostaithe uile a thábhachtaí atá sé freagra a thabhairt ar shuirbhé foirne. Mar sin féin, chuir ÚNM in iúl do chomhlachtaí poiblí gur féidir gur fiú áireamh do na fostaithe uile a sheoladh chun aird a tharraingt ar an tábhacht a bhaineann le fostú daoine a bhfuil míchumas orthu. Is féidir áireamh a úsáid freisin chun tacú le níos mó fostaithe bheith ar a gcompord le linn dóibh a stádas míchumais a chur in iúl.</w:t>
      </w:r>
    </w:p>
    <w:p w14:paraId="5524430E" w14:textId="4385DBDD" w:rsidR="00590BEF" w:rsidRPr="00EE61A8" w:rsidRDefault="000B4F21" w:rsidP="007202FA">
      <w:pPr>
        <w:rPr>
          <w:lang w:val="ga"/>
        </w:rPr>
      </w:pPr>
      <w:r>
        <w:rPr>
          <w:lang w:val="ga"/>
        </w:rPr>
        <w:t>Is eol do ÚNM go mbaineann roinnt comhlachtaí poiblí úsáid as modhanna eile bailithe sonraí, amhail seiceáil a dhéanamh ar thaifid acmhainní daonna de chuid ball foirne a chuaigh isteach sa chomhlacht nó a d’fhág an comhlacht, nó ar iarrataí ar shocruithe réasúnacha, chun sainaithint a dhéanamh gach bliain ar athruithe san idirthréimhse, agus bearta cuí cosanta sonraí i bhfeidhm acu.</w:t>
      </w:r>
    </w:p>
    <w:p w14:paraId="6B2D49EC" w14:textId="77777777" w:rsidR="00590BEF" w:rsidRPr="00EE61A8" w:rsidRDefault="000B4F21" w:rsidP="007202FA">
      <w:pPr>
        <w:rPr>
          <w:lang w:val="ga"/>
        </w:rPr>
      </w:pPr>
      <w:r>
        <w:rPr>
          <w:lang w:val="ga"/>
        </w:rPr>
        <w:t>Is cuma cén modh bailithe sonraí a úsáideann comhlacht poiblí, sonraítear sa reachtaíocht gur cheart faisnéis a thabhairt cothrom le dáta agus a chur faoi bhráid ÚNM ar bhonn bliantúil.</w:t>
      </w:r>
    </w:p>
    <w:p w14:paraId="4379DAC5" w14:textId="77777777" w:rsidR="00590BEF" w:rsidRPr="007202FA" w:rsidRDefault="000B4F21" w:rsidP="007202FA">
      <w:r>
        <w:rPr>
          <w:lang w:val="ga"/>
        </w:rPr>
        <w:t xml:space="preserve">Beag beann ar an bpróiseas a úsáideann comhlachtaí poiblí chun a sonraí a bhailiú, cuireann ÚNM in iúl gurb amhlaidh, i gcomhréir leis </w:t>
      </w:r>
      <w:r>
        <w:rPr>
          <w:b/>
          <w:bCs/>
          <w:lang w:val="ga"/>
        </w:rPr>
        <w:t>an Rialachán Ginearálta maidir le Cosaint Sonraí (RGCS), 2018</w:t>
      </w:r>
      <w:r>
        <w:rPr>
          <w:lang w:val="ga"/>
        </w:rPr>
        <w:t>, is gá do chomhlachtaí poiblí a bhfostaithe uile a chur ar an eolas gur gan ainm atá na sonraí atá á mbailiú agus a mhíniú do na fostaithe uile cén fáth a bhfuil a sonraí á mbailiú. Ba cheart fostaithe a chur ar an eolas freisin go mbíonn a sonraí á stóráil go sábháilte.</w:t>
      </w:r>
    </w:p>
    <w:p w14:paraId="34CA911B" w14:textId="77777777" w:rsidR="00590BEF" w:rsidRPr="007202FA" w:rsidRDefault="000B4F21" w:rsidP="007202FA">
      <w:pPr>
        <w:pStyle w:val="Heading2"/>
        <w:rPr>
          <w:color w:val="BF2296"/>
        </w:rPr>
      </w:pPr>
      <w:bookmarkStart w:id="53" w:name="_Toc214033615"/>
      <w:bookmarkStart w:id="54" w:name="_Toc124367209"/>
      <w:r>
        <w:rPr>
          <w:bCs/>
          <w:color w:val="BF2296"/>
          <w:lang w:val="ga"/>
        </w:rPr>
        <w:lastRenderedPageBreak/>
        <w:t>1.3 Modhanna Bailithe Sonraí</w:t>
      </w:r>
      <w:bookmarkEnd w:id="53"/>
    </w:p>
    <w:p w14:paraId="5A2D94F8" w14:textId="1A6CF535" w:rsidR="00590BEF" w:rsidRPr="007202FA" w:rsidRDefault="000B4F21" w:rsidP="007202FA">
      <w:r>
        <w:rPr>
          <w:lang w:val="ga"/>
        </w:rPr>
        <w:t xml:space="preserve">Fiafraíodh de chomhlachtaí poiblí an ndearna nó nach ndearna siad áireamh a bhí gan ainm agus ag comhlíonadh RGCS ar na fostaithe uile ina n-eagraíocht ón 1 Eanáir 2024 go dtí an 31 Nollaig 2024. </w:t>
      </w:r>
    </w:p>
    <w:p w14:paraId="21B8D7F8" w14:textId="77777777" w:rsidR="00590BEF" w:rsidRPr="007202FA" w:rsidRDefault="000B4F21" w:rsidP="007202FA">
      <w:r>
        <w:rPr>
          <w:lang w:val="ga"/>
        </w:rPr>
        <w:t>Tá áthas ar ÚNM a thabhairt dá aire gurb amhlaidh sa bhliain 2024, ar aon dul leis an gcomhairle chomhsheasmhach uainn, a rinne 163 chomhlacht phoiblí (75.5%) áireamh foirne, i gcomparáid le 156 chomhlacht phoiblí (74.3%) sa bhliain 2023.</w:t>
      </w:r>
    </w:p>
    <w:p w14:paraId="62D50ED9" w14:textId="0C3702FC" w:rsidR="009D3F62" w:rsidRPr="00EE61A8" w:rsidRDefault="000B4F21" w:rsidP="007202FA">
      <w:pPr>
        <w:rPr>
          <w:lang w:val="ga"/>
        </w:rPr>
      </w:pPr>
      <w:r>
        <w:rPr>
          <w:lang w:val="ga"/>
        </w:rPr>
        <w:t xml:space="preserve">Is eol do ÚNM nach mbaineann gach comhlacht poiblí úsáid as áirimh foirne chun sonraí a bhailiú. Chomh maith leis sin, cuireadh ceisteanna ar chomhlachtaí poiblí faoi mhodhanna eile bailithe sonraí ar bhain siad úsáid astu ina n-ionad sin. </w:t>
      </w:r>
    </w:p>
    <w:p w14:paraId="5726CA91" w14:textId="71471FEF" w:rsidR="00AF4D1E" w:rsidRPr="00EE61A8" w:rsidRDefault="000B4F21" w:rsidP="007202FA">
      <w:pPr>
        <w:rPr>
          <w:lang w:val="ga"/>
        </w:rPr>
      </w:pPr>
      <w:r>
        <w:rPr>
          <w:lang w:val="ga"/>
        </w:rPr>
        <w:t>Mionsonraítear i dTábla 1 na modhanna bailithe sonraí ar thuairiscigh comhlachtaí poiblí go raibh siad i bhfeidhm acu sna blianta 2023 agus 2024.</w:t>
      </w:r>
    </w:p>
    <w:p w14:paraId="1AC3E6AA" w14:textId="699DF351" w:rsidR="00590BEF" w:rsidRPr="00EE61A8" w:rsidRDefault="000B4F21" w:rsidP="007202FA">
      <w:pPr>
        <w:pStyle w:val="Caption"/>
        <w:rPr>
          <w:szCs w:val="24"/>
          <w:lang w:val="ga"/>
        </w:rPr>
      </w:pPr>
      <w:r>
        <w:rPr>
          <w:bCs/>
          <w:iCs w:val="0"/>
          <w:szCs w:val="24"/>
          <w:lang w:val="ga"/>
        </w:rPr>
        <w:t>Tábla 1</w:t>
      </w:r>
      <w:r>
        <w:rPr>
          <w:b w:val="0"/>
          <w:iCs w:val="0"/>
          <w:color w:val="000000" w:themeColor="text1"/>
          <w:szCs w:val="24"/>
          <w:lang w:val="ga"/>
        </w:rPr>
        <w:t>.</w:t>
      </w:r>
      <w:r>
        <w:rPr>
          <w:bCs/>
          <w:iCs w:val="0"/>
          <w:color w:val="000000" w:themeColor="text1"/>
          <w:szCs w:val="24"/>
          <w:lang w:val="ga"/>
        </w:rPr>
        <w:t xml:space="preserve"> Modhanna eile bailithe sonraí ar bhain comhlachtaí poiblí úsáid astu sna blianta 2023 agus 2024 </w:t>
      </w:r>
    </w:p>
    <w:tbl>
      <w:tblPr>
        <w:tblStyle w:val="NDATableBlack"/>
        <w:tblW w:w="5000" w:type="pct"/>
        <w:tblLook w:val="04A0" w:firstRow="1" w:lastRow="0" w:firstColumn="1" w:lastColumn="0" w:noHBand="0" w:noVBand="1"/>
      </w:tblPr>
      <w:tblGrid>
        <w:gridCol w:w="2694"/>
        <w:gridCol w:w="1513"/>
        <w:gridCol w:w="1648"/>
        <w:gridCol w:w="1513"/>
        <w:gridCol w:w="1648"/>
      </w:tblGrid>
      <w:tr w:rsidR="00F31303" w:rsidRPr="00EE61A8" w14:paraId="2165E28F" w14:textId="77777777" w:rsidTr="00050DC6">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884" w:type="pct"/>
            <w:vMerge w:val="restart"/>
            <w:vAlign w:val="top"/>
            <w:hideMark/>
          </w:tcPr>
          <w:p w14:paraId="6874BAC8" w14:textId="59A54005" w:rsidR="00723870" w:rsidRPr="00EE61A8" w:rsidRDefault="00723870" w:rsidP="007202FA">
            <w:pPr>
              <w:rPr>
                <w:rFonts w:eastAsia="Times New Roman" w:cs="Arial"/>
                <w:bCs/>
                <w:color w:val="000000"/>
                <w:kern w:val="0"/>
                <w:sz w:val="20"/>
                <w:szCs w:val="20"/>
                <w:lang w:val="ga"/>
                <w14:ligatures w14:val="none"/>
              </w:rPr>
            </w:pPr>
            <w:bookmarkStart w:id="55" w:name="_Hlk208390272"/>
          </w:p>
        </w:tc>
        <w:tc>
          <w:tcPr>
            <w:tcW w:w="1651" w:type="pct"/>
            <w:gridSpan w:val="2"/>
            <w:vAlign w:val="top"/>
          </w:tcPr>
          <w:p w14:paraId="77865F9C" w14:textId="420A5B93" w:rsidR="00723870" w:rsidRPr="0021202C" w:rsidRDefault="000B4F21" w:rsidP="007202FA">
            <w:pPr>
              <w:jc w:val="cente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19"/>
                <w:szCs w:val="19"/>
                <w:lang w:val="ga"/>
                <w14:ligatures w14:val="none"/>
              </w:rPr>
            </w:pPr>
            <w:r w:rsidRPr="0021202C">
              <w:rPr>
                <w:rFonts w:eastAsia="Times New Roman" w:cs="Arial"/>
                <w:bCs/>
                <w:color w:val="000000"/>
                <w:kern w:val="0"/>
                <w:sz w:val="19"/>
                <w:szCs w:val="19"/>
                <w:lang w:val="ga"/>
                <w14:ligatures w14:val="none"/>
              </w:rPr>
              <w:t>An líon iomlán comhlachtaí poiblí sa bhliain 2023 = 210</w:t>
            </w:r>
          </w:p>
        </w:tc>
        <w:tc>
          <w:tcPr>
            <w:tcW w:w="1465" w:type="pct"/>
            <w:gridSpan w:val="2"/>
            <w:vAlign w:val="top"/>
            <w:hideMark/>
          </w:tcPr>
          <w:p w14:paraId="4FD45FA3" w14:textId="3825BEE0" w:rsidR="00723870" w:rsidRPr="0021202C" w:rsidRDefault="000B4F21"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19"/>
                <w:szCs w:val="19"/>
                <w:lang w:val="ga"/>
                <w14:ligatures w14:val="none"/>
              </w:rPr>
            </w:pPr>
            <w:r w:rsidRPr="0021202C">
              <w:rPr>
                <w:rFonts w:eastAsia="Times New Roman" w:cs="Arial"/>
                <w:bCs/>
                <w:color w:val="000000"/>
                <w:kern w:val="0"/>
                <w:sz w:val="19"/>
                <w:szCs w:val="19"/>
                <w:lang w:val="ga"/>
                <w14:ligatures w14:val="none"/>
              </w:rPr>
              <w:t>An líon iomlán comhlachtaí poiblí sa bhliain 2024 = 216</w:t>
            </w:r>
          </w:p>
        </w:tc>
      </w:tr>
      <w:tr w:rsidR="00F31303" w:rsidRPr="00EE61A8" w14:paraId="68ECFFC9" w14:textId="77777777" w:rsidTr="007202FA">
        <w:trPr>
          <w:trHeight w:val="308"/>
        </w:trPr>
        <w:tc>
          <w:tcPr>
            <w:cnfStyle w:val="001000000000" w:firstRow="0" w:lastRow="0" w:firstColumn="1" w:lastColumn="0" w:oddVBand="0" w:evenVBand="0" w:oddHBand="0" w:evenHBand="0" w:firstRowFirstColumn="0" w:firstRowLastColumn="0" w:lastRowFirstColumn="0" w:lastRowLastColumn="0"/>
            <w:tcW w:w="1884" w:type="pct"/>
            <w:vMerge/>
            <w:tcBorders>
              <w:bottom w:val="single" w:sz="4" w:space="0" w:color="auto"/>
            </w:tcBorders>
            <w:vAlign w:val="top"/>
            <w:hideMark/>
          </w:tcPr>
          <w:p w14:paraId="5CB14277" w14:textId="77777777" w:rsidR="00723870" w:rsidRPr="00EE61A8" w:rsidRDefault="00723870" w:rsidP="007202FA">
            <w:pPr>
              <w:rPr>
                <w:rFonts w:eastAsia="Times New Roman" w:cs="Arial"/>
                <w:bCs/>
                <w:color w:val="000000"/>
                <w:kern w:val="0"/>
                <w:sz w:val="20"/>
                <w:szCs w:val="20"/>
                <w:lang w:val="ga"/>
                <w14:ligatures w14:val="none"/>
              </w:rPr>
            </w:pPr>
          </w:p>
        </w:tc>
        <w:tc>
          <w:tcPr>
            <w:tcW w:w="805" w:type="pct"/>
            <w:vAlign w:val="top"/>
          </w:tcPr>
          <w:p w14:paraId="21B9BA91" w14:textId="76D2EB2B" w:rsidR="00723870" w:rsidRPr="0021202C"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19"/>
                <w:szCs w:val="19"/>
                <w:lang w:val="ga"/>
                <w14:ligatures w14:val="none"/>
              </w:rPr>
            </w:pPr>
            <w:r w:rsidRPr="0021202C">
              <w:rPr>
                <w:rFonts w:eastAsia="Times New Roman" w:cs="Arial"/>
                <w:b/>
                <w:bCs/>
                <w:color w:val="000000"/>
                <w:kern w:val="0"/>
                <w:sz w:val="19"/>
                <w:szCs w:val="19"/>
                <w:lang w:val="ga"/>
                <w14:ligatures w14:val="none"/>
              </w:rPr>
              <w:t xml:space="preserve">An líon comhlachtaí poiblí sa bhliain 2023 </w:t>
            </w:r>
          </w:p>
        </w:tc>
        <w:tc>
          <w:tcPr>
            <w:tcW w:w="846" w:type="pct"/>
            <w:vAlign w:val="top"/>
          </w:tcPr>
          <w:p w14:paraId="499C8D77" w14:textId="5FD86D29" w:rsidR="00723870" w:rsidRPr="0021202C"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19"/>
                <w:szCs w:val="19"/>
                <w:lang w:val="fr-FR"/>
                <w14:ligatures w14:val="none"/>
              </w:rPr>
            </w:pPr>
            <w:r w:rsidRPr="0021202C">
              <w:rPr>
                <w:rFonts w:eastAsia="Times New Roman" w:cs="Arial"/>
                <w:b/>
                <w:bCs/>
                <w:color w:val="000000"/>
                <w:kern w:val="0"/>
                <w:sz w:val="19"/>
                <w:szCs w:val="19"/>
                <w:lang w:val="ga"/>
                <w14:ligatures w14:val="none"/>
              </w:rPr>
              <w:t>An céatadán de chomhlachtaí poiblí sa bhliain 2023</w:t>
            </w:r>
          </w:p>
        </w:tc>
        <w:tc>
          <w:tcPr>
            <w:tcW w:w="628" w:type="pct"/>
            <w:vAlign w:val="top"/>
            <w:hideMark/>
          </w:tcPr>
          <w:p w14:paraId="174FCA1E" w14:textId="76EEC1D9" w:rsidR="00723870" w:rsidRPr="0021202C" w:rsidRDefault="000B4F21"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19"/>
                <w:szCs w:val="19"/>
                <w:lang w:val="fr-FR"/>
                <w14:ligatures w14:val="none"/>
              </w:rPr>
            </w:pPr>
            <w:r w:rsidRPr="0021202C">
              <w:rPr>
                <w:rFonts w:eastAsia="Times New Roman" w:cs="Arial"/>
                <w:b/>
                <w:bCs/>
                <w:color w:val="000000"/>
                <w:kern w:val="0"/>
                <w:sz w:val="19"/>
                <w:szCs w:val="19"/>
                <w:lang w:val="ga"/>
                <w14:ligatures w14:val="none"/>
              </w:rPr>
              <w:t>An líon comhlachtaí poiblí sa bhliain 2024</w:t>
            </w:r>
          </w:p>
        </w:tc>
        <w:tc>
          <w:tcPr>
            <w:tcW w:w="837" w:type="pct"/>
            <w:vAlign w:val="top"/>
            <w:hideMark/>
          </w:tcPr>
          <w:p w14:paraId="6B09902D" w14:textId="336BA522" w:rsidR="00723870" w:rsidRPr="0021202C"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19"/>
                <w:szCs w:val="19"/>
                <w:lang w:val="fr-FR"/>
                <w14:ligatures w14:val="none"/>
              </w:rPr>
            </w:pPr>
            <w:r w:rsidRPr="0021202C">
              <w:rPr>
                <w:rFonts w:eastAsia="Times New Roman" w:cs="Arial"/>
                <w:b/>
                <w:bCs/>
                <w:color w:val="000000"/>
                <w:kern w:val="0"/>
                <w:sz w:val="19"/>
                <w:szCs w:val="19"/>
                <w:lang w:val="ga"/>
                <w14:ligatures w14:val="none"/>
              </w:rPr>
              <w:t>An céatadán de chomhlachtaí poiblí sa bhliain 2024</w:t>
            </w:r>
          </w:p>
        </w:tc>
      </w:tr>
      <w:tr w:rsidR="00F31303" w14:paraId="67AACF99" w14:textId="77777777" w:rsidTr="007202FA">
        <w:trPr>
          <w:trHeight w:val="308"/>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671DC285" w14:textId="77777777" w:rsidR="00723870"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Suirbhé d’fhostaithe nua </w:t>
            </w:r>
          </w:p>
        </w:tc>
        <w:tc>
          <w:tcPr>
            <w:tcW w:w="805" w:type="pct"/>
            <w:tcBorders>
              <w:left w:val="single" w:sz="4" w:space="0" w:color="auto"/>
            </w:tcBorders>
            <w:vAlign w:val="top"/>
          </w:tcPr>
          <w:p w14:paraId="77716BC3" w14:textId="40981E7E"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39</w:t>
            </w:r>
          </w:p>
        </w:tc>
        <w:tc>
          <w:tcPr>
            <w:tcW w:w="846" w:type="pct"/>
            <w:vAlign w:val="top"/>
          </w:tcPr>
          <w:p w14:paraId="1843B46B" w14:textId="4F736B9D"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18.6%</w:t>
            </w:r>
          </w:p>
        </w:tc>
        <w:tc>
          <w:tcPr>
            <w:tcW w:w="628" w:type="pct"/>
            <w:noWrap/>
            <w:vAlign w:val="top"/>
            <w:hideMark/>
          </w:tcPr>
          <w:p w14:paraId="7BBC55DC" w14:textId="5573A9E3"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34</w:t>
            </w:r>
          </w:p>
        </w:tc>
        <w:tc>
          <w:tcPr>
            <w:tcW w:w="837" w:type="pct"/>
            <w:noWrap/>
            <w:vAlign w:val="top"/>
            <w:hideMark/>
          </w:tcPr>
          <w:p w14:paraId="0336C832" w14:textId="6D4C7FF8"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 xml:space="preserve"> 15.7%</w:t>
            </w:r>
          </w:p>
        </w:tc>
      </w:tr>
      <w:tr w:rsidR="00F31303" w14:paraId="2D213A94" w14:textId="77777777" w:rsidTr="007202FA">
        <w:trPr>
          <w:trHeight w:val="382"/>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1EEB0B96" w14:textId="77777777" w:rsidR="00723870"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Seiceáladh taifid Acmhainní Daonna </w:t>
            </w:r>
          </w:p>
        </w:tc>
        <w:tc>
          <w:tcPr>
            <w:tcW w:w="805" w:type="pct"/>
            <w:tcBorders>
              <w:left w:val="single" w:sz="4" w:space="0" w:color="auto"/>
            </w:tcBorders>
            <w:vAlign w:val="top"/>
          </w:tcPr>
          <w:p w14:paraId="139FD582" w14:textId="344C3DFA"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43</w:t>
            </w:r>
          </w:p>
        </w:tc>
        <w:tc>
          <w:tcPr>
            <w:tcW w:w="846" w:type="pct"/>
            <w:vAlign w:val="top"/>
          </w:tcPr>
          <w:p w14:paraId="0EC67944" w14:textId="4B0D9C17"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20.5%</w:t>
            </w:r>
          </w:p>
        </w:tc>
        <w:tc>
          <w:tcPr>
            <w:tcW w:w="628" w:type="pct"/>
            <w:noWrap/>
            <w:vAlign w:val="top"/>
          </w:tcPr>
          <w:p w14:paraId="3A282C4B" w14:textId="058D77A5"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28</w:t>
            </w:r>
          </w:p>
        </w:tc>
        <w:tc>
          <w:tcPr>
            <w:tcW w:w="837" w:type="pct"/>
            <w:noWrap/>
            <w:vAlign w:val="top"/>
            <w:hideMark/>
          </w:tcPr>
          <w:p w14:paraId="323818EE" w14:textId="3548DACD"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13.0%</w:t>
            </w:r>
          </w:p>
        </w:tc>
      </w:tr>
      <w:tr w:rsidR="00F31303" w14:paraId="276BEAD1" w14:textId="77777777" w:rsidTr="007202FA">
        <w:trPr>
          <w:trHeight w:val="308"/>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6ED10A9E" w14:textId="77777777" w:rsidR="00723870"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Seiceáladh taifid Sláinte Ceirde </w:t>
            </w:r>
          </w:p>
        </w:tc>
        <w:tc>
          <w:tcPr>
            <w:tcW w:w="805" w:type="pct"/>
            <w:tcBorders>
              <w:left w:val="single" w:sz="4" w:space="0" w:color="auto"/>
            </w:tcBorders>
            <w:vAlign w:val="top"/>
          </w:tcPr>
          <w:p w14:paraId="13823A80" w14:textId="3AEC7346"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22</w:t>
            </w:r>
          </w:p>
        </w:tc>
        <w:tc>
          <w:tcPr>
            <w:tcW w:w="846" w:type="pct"/>
            <w:vAlign w:val="top"/>
          </w:tcPr>
          <w:p w14:paraId="3EEB1C74" w14:textId="49723DB0"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10.5%</w:t>
            </w:r>
          </w:p>
        </w:tc>
        <w:tc>
          <w:tcPr>
            <w:tcW w:w="628" w:type="pct"/>
            <w:noWrap/>
            <w:vAlign w:val="top"/>
          </w:tcPr>
          <w:p w14:paraId="64913AD8" w14:textId="1D635071"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21</w:t>
            </w:r>
          </w:p>
        </w:tc>
        <w:tc>
          <w:tcPr>
            <w:tcW w:w="837" w:type="pct"/>
            <w:noWrap/>
            <w:vAlign w:val="top"/>
            <w:hideMark/>
          </w:tcPr>
          <w:p w14:paraId="328B5C97" w14:textId="1FC68A31"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9.7%</w:t>
            </w:r>
          </w:p>
        </w:tc>
      </w:tr>
      <w:tr w:rsidR="00F31303" w14:paraId="050B8951" w14:textId="77777777" w:rsidTr="007202FA">
        <w:trPr>
          <w:trHeight w:val="308"/>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721C2538" w14:textId="77777777" w:rsidR="00723870"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Suirbhé ar féidir stádas míchumais a athrú ann </w:t>
            </w:r>
          </w:p>
        </w:tc>
        <w:tc>
          <w:tcPr>
            <w:tcW w:w="805" w:type="pct"/>
            <w:tcBorders>
              <w:left w:val="single" w:sz="4" w:space="0" w:color="auto"/>
            </w:tcBorders>
            <w:vAlign w:val="top"/>
          </w:tcPr>
          <w:p w14:paraId="6FD3B1BF" w14:textId="4EEEC5B9"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15</w:t>
            </w:r>
          </w:p>
        </w:tc>
        <w:tc>
          <w:tcPr>
            <w:tcW w:w="846" w:type="pct"/>
            <w:vAlign w:val="top"/>
          </w:tcPr>
          <w:p w14:paraId="5131CE79" w14:textId="521CDCD9"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7.1%</w:t>
            </w:r>
          </w:p>
        </w:tc>
        <w:tc>
          <w:tcPr>
            <w:tcW w:w="628" w:type="pct"/>
            <w:noWrap/>
            <w:vAlign w:val="top"/>
          </w:tcPr>
          <w:p w14:paraId="3CCCD89E" w14:textId="6B840B0A"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15</w:t>
            </w:r>
          </w:p>
        </w:tc>
        <w:tc>
          <w:tcPr>
            <w:tcW w:w="837" w:type="pct"/>
            <w:noWrap/>
            <w:vAlign w:val="top"/>
            <w:hideMark/>
          </w:tcPr>
          <w:p w14:paraId="199F083B" w14:textId="535A16DA"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6.9%</w:t>
            </w:r>
          </w:p>
        </w:tc>
      </w:tr>
      <w:tr w:rsidR="00F31303" w14:paraId="41646940" w14:textId="77777777" w:rsidTr="007202FA">
        <w:trPr>
          <w:trHeight w:val="357"/>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269F9FA6" w14:textId="77777777" w:rsidR="00723870"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Eile </w:t>
            </w:r>
          </w:p>
        </w:tc>
        <w:tc>
          <w:tcPr>
            <w:tcW w:w="805" w:type="pct"/>
            <w:tcBorders>
              <w:left w:val="single" w:sz="4" w:space="0" w:color="auto"/>
            </w:tcBorders>
            <w:vAlign w:val="top"/>
          </w:tcPr>
          <w:p w14:paraId="489D5E32" w14:textId="3851546A"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7</w:t>
            </w:r>
          </w:p>
        </w:tc>
        <w:tc>
          <w:tcPr>
            <w:tcW w:w="846" w:type="pct"/>
            <w:vAlign w:val="top"/>
          </w:tcPr>
          <w:p w14:paraId="48F2ED59" w14:textId="78EAD716"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3.3%</w:t>
            </w:r>
          </w:p>
        </w:tc>
        <w:tc>
          <w:tcPr>
            <w:tcW w:w="628" w:type="pct"/>
            <w:noWrap/>
            <w:vAlign w:val="top"/>
          </w:tcPr>
          <w:p w14:paraId="54BC781F" w14:textId="2D7EFE76"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15</w:t>
            </w:r>
          </w:p>
        </w:tc>
        <w:tc>
          <w:tcPr>
            <w:tcW w:w="837" w:type="pct"/>
            <w:noWrap/>
            <w:vAlign w:val="top"/>
            <w:hideMark/>
          </w:tcPr>
          <w:p w14:paraId="5D592EC7" w14:textId="6BEAE7E6"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6.9%</w:t>
            </w:r>
          </w:p>
        </w:tc>
      </w:tr>
      <w:tr w:rsidR="00F31303" w14:paraId="61B40682" w14:textId="77777777" w:rsidTr="007202FA">
        <w:trPr>
          <w:trHeight w:val="394"/>
        </w:trPr>
        <w:tc>
          <w:tcPr>
            <w:cnfStyle w:val="001000000000" w:firstRow="0" w:lastRow="0" w:firstColumn="1" w:lastColumn="0" w:oddVBand="0" w:evenVBand="0" w:oddHBand="0" w:evenHBand="0" w:firstRowFirstColumn="0" w:firstRowLastColumn="0" w:lastRowFirstColumn="0" w:lastRowLastColumn="0"/>
            <w:tcW w:w="1884" w:type="pct"/>
            <w:tcBorders>
              <w:top w:val="single" w:sz="4" w:space="0" w:color="auto"/>
              <w:left w:val="single" w:sz="4" w:space="0" w:color="auto"/>
              <w:bottom w:val="single" w:sz="4" w:space="0" w:color="auto"/>
              <w:right w:val="single" w:sz="4" w:space="0" w:color="auto"/>
            </w:tcBorders>
            <w:shd w:val="clear" w:color="auto" w:fill="FFFFFF" w:themeFill="background1"/>
            <w:vAlign w:val="top"/>
            <w:hideMark/>
          </w:tcPr>
          <w:p w14:paraId="442697BD" w14:textId="77777777" w:rsidR="00723870"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Seiceáladh taifid um Chomhionannas, Éagsúlacht agus Cuimsiú </w:t>
            </w:r>
          </w:p>
        </w:tc>
        <w:tc>
          <w:tcPr>
            <w:tcW w:w="805" w:type="pct"/>
            <w:tcBorders>
              <w:left w:val="single" w:sz="4" w:space="0" w:color="auto"/>
            </w:tcBorders>
            <w:vAlign w:val="top"/>
          </w:tcPr>
          <w:p w14:paraId="48BDF1D2" w14:textId="1454A720"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12</w:t>
            </w:r>
          </w:p>
        </w:tc>
        <w:tc>
          <w:tcPr>
            <w:tcW w:w="846" w:type="pct"/>
            <w:vAlign w:val="top"/>
          </w:tcPr>
          <w:p w14:paraId="46DC8C24" w14:textId="520F622E"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5.7%</w:t>
            </w:r>
          </w:p>
        </w:tc>
        <w:tc>
          <w:tcPr>
            <w:tcW w:w="628" w:type="pct"/>
            <w:noWrap/>
            <w:vAlign w:val="top"/>
          </w:tcPr>
          <w:p w14:paraId="1797FF2F" w14:textId="7BF4B35B"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8</w:t>
            </w:r>
          </w:p>
        </w:tc>
        <w:tc>
          <w:tcPr>
            <w:tcW w:w="837" w:type="pct"/>
            <w:noWrap/>
            <w:vAlign w:val="top"/>
            <w:hideMark/>
          </w:tcPr>
          <w:p w14:paraId="3D257987" w14:textId="3376AC77" w:rsidR="00723870"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kern w:val="0"/>
                <w:sz w:val="20"/>
                <w:szCs w:val="20"/>
                <w14:ligatures w14:val="none"/>
              </w:rPr>
            </w:pPr>
            <w:r>
              <w:rPr>
                <w:rFonts w:eastAsia="Times New Roman" w:cs="Arial"/>
                <w:color w:val="000000"/>
                <w:kern w:val="0"/>
                <w:sz w:val="20"/>
                <w:szCs w:val="20"/>
                <w:lang w:val="ga"/>
                <w14:ligatures w14:val="none"/>
              </w:rPr>
              <w:t>3.7%</w:t>
            </w:r>
          </w:p>
        </w:tc>
      </w:tr>
    </w:tbl>
    <w:p w14:paraId="0F45E3E5" w14:textId="0EEAADF6" w:rsidR="00590BEF" w:rsidRPr="00EE61A8" w:rsidRDefault="000B4F21" w:rsidP="007202FA">
      <w:pPr>
        <w:spacing w:before="240"/>
        <w:rPr>
          <w:lang w:val="ga"/>
        </w:rPr>
      </w:pPr>
      <w:r>
        <w:rPr>
          <w:lang w:val="ga"/>
        </w:rPr>
        <w:t xml:space="preserve">Sa bhliain 2024, luaigh 15 cinn (6.9%) de 216 chomhlacht phoiblí gur bhain siad úsáid as modhanna eile bailithe sonraí. Luaigh seacht gcinn (46.7%) de na 15 chomhlacht phoiblí sin gur chomhcheangail siad sonraí ó áirimh roimhe le sonraí ó thaifid acmhainní daonna. </w:t>
      </w:r>
    </w:p>
    <w:bookmarkEnd w:id="54"/>
    <w:p w14:paraId="0744729B" w14:textId="62379BA4" w:rsidR="00590BEF" w:rsidRPr="00EE61A8" w:rsidRDefault="000B4F21" w:rsidP="007202FA">
      <w:pPr>
        <w:rPr>
          <w:lang w:val="ga"/>
        </w:rPr>
      </w:pPr>
      <w:r>
        <w:rPr>
          <w:lang w:val="ga"/>
        </w:rPr>
        <w:t xml:space="preserve">Sa bhliain 2023, b’amhlaidh, de na 15 chomhlacht phoiblí a luaigh gur bhailigh siad sonraí ar bhealaí eile, a thuairiscigh seacht gcinn (3.3%) go ndearna siad áirimh na mblianta roimhe a athrú chun dáta trí chineálacha </w:t>
      </w:r>
      <w:r>
        <w:rPr>
          <w:lang w:val="ga"/>
        </w:rPr>
        <w:lastRenderedPageBreak/>
        <w:t>éagsúla cur chuige a ghlacadh, féin-nochtadh fostaithe a úsáid, agus iarraidh ar fhostaithe foirmeacha míchumais a sheoladh chuig an Oifigeach Idirchaidrimh do Dhaoine faoi Mhíchumas de chuid na heagraíochta.</w:t>
      </w:r>
    </w:p>
    <w:p w14:paraId="67ED5070" w14:textId="77777777" w:rsidR="00590BEF" w:rsidRPr="007202FA" w:rsidRDefault="000B4F21" w:rsidP="007202FA">
      <w:pPr>
        <w:pStyle w:val="Heading2"/>
        <w:rPr>
          <w:color w:val="BF2296"/>
        </w:rPr>
      </w:pPr>
      <w:bookmarkStart w:id="56" w:name="_Toc214033616"/>
      <w:bookmarkEnd w:id="55"/>
      <w:r>
        <w:rPr>
          <w:bCs/>
          <w:color w:val="BF2296"/>
          <w:lang w:val="ga"/>
        </w:rPr>
        <w:t>1.4 Feabhas a chur ar an bpróiseas bailithe sonraí le haghaidh Chuid 5</w:t>
      </w:r>
      <w:bookmarkEnd w:id="56"/>
    </w:p>
    <w:p w14:paraId="1633D85E" w14:textId="780FE2B9" w:rsidR="00590BEF" w:rsidRPr="00EE61A8" w:rsidRDefault="000B4F21" w:rsidP="007202FA">
      <w:pPr>
        <w:rPr>
          <w:lang w:val="ga"/>
        </w:rPr>
      </w:pPr>
      <w:r>
        <w:rPr>
          <w:lang w:val="ga"/>
        </w:rPr>
        <w:t>Leanfaidh ÚNM de chur chun feidhme a dhéanamh ar na hathruithe ar phróiseas Chuid 5 chun cabhrú le comhlachtaí poiblí feabhas a chur ar a bpróisis bailithe sonraí i dtaca leis an gcéanna. Áireofar na nithe seo le roinnt de na príomhathruithe sin:</w:t>
      </w:r>
    </w:p>
    <w:p w14:paraId="5E005567" w14:textId="77777777" w:rsidR="00590BEF" w:rsidRPr="00EE61A8" w:rsidRDefault="000B4F21" w:rsidP="007202FA">
      <w:pPr>
        <w:pStyle w:val="NDABullet"/>
        <w:rPr>
          <w:lang w:val="ga"/>
        </w:rPr>
      </w:pPr>
      <w:r>
        <w:rPr>
          <w:lang w:val="ga"/>
        </w:rPr>
        <w:t>Treoir nua a fhorbairt chun cabhrú le comhlachtaí poiblí leanúint ar aghaidh ag feabhsú a modhanna bailithe sonraí le haghaidh phróiseas Chuid 5 sa bhliain 2025.</w:t>
      </w:r>
    </w:p>
    <w:p w14:paraId="4DD946A7" w14:textId="7840275D" w:rsidR="00590BEF" w:rsidRPr="00EE61A8" w:rsidRDefault="000B4F21" w:rsidP="007202FA">
      <w:pPr>
        <w:pStyle w:val="NDABullet"/>
        <w:rPr>
          <w:lang w:val="ga"/>
        </w:rPr>
      </w:pPr>
      <w:r>
        <w:rPr>
          <w:lang w:val="ga"/>
        </w:rPr>
        <w:t>Bealaí a fhiosrú chun feabhas a chur ar cháilíocht na sonraí ó chomhlachtaí poiblí agus chun a chur in iúl cá háit nach bhfuil roinnt sonraí iontaofa, bunaithe ar rátaí freagartha.</w:t>
      </w:r>
    </w:p>
    <w:p w14:paraId="237866A3" w14:textId="39987B2F" w:rsidR="00590BEF" w:rsidRPr="00EE61A8" w:rsidRDefault="000B4F21" w:rsidP="007202FA">
      <w:pPr>
        <w:pStyle w:val="NDABullet"/>
        <w:rPr>
          <w:lang w:val="ga"/>
        </w:rPr>
      </w:pPr>
      <w:r>
        <w:rPr>
          <w:lang w:val="ga"/>
        </w:rPr>
        <w:t>Leanúint d’obair i gcomhar le hOifig Phríomhoifigeach Faisnéise an Rialtais chun an próiseas bailithe agus fíoraithe sonraí a chuíchóiriú ar bhealach a n-uasmhéadóidh rannpháirtíocht do chomhlachtaí poiblí agus a n-éascóidh anailís níos cuimsithí le haghaidh Chuid 5.</w:t>
      </w:r>
    </w:p>
    <w:p w14:paraId="5D063941" w14:textId="36F39493" w:rsidR="008232BD" w:rsidRPr="00EE61A8" w:rsidRDefault="000B4F21" w:rsidP="007202FA">
      <w:pPr>
        <w:rPr>
          <w:lang w:val="ga"/>
        </w:rPr>
      </w:pPr>
      <w:r>
        <w:rPr>
          <w:lang w:val="ga"/>
        </w:rPr>
        <w:t xml:space="preserve">Mar sin féin, leanaimid ar aghaidh ag cur in iúl do Choistí Faireacháin agus do chomhlachtaí poiblí go bhfuil sé de fhreagracht orthu a chinntiú go gcuireann siad sonraí cruinne isteach le haghaidh phróiseas Chuid 5. </w:t>
      </w:r>
    </w:p>
    <w:p w14:paraId="3997A192" w14:textId="77777777" w:rsidR="008232BD" w:rsidRPr="00EE61A8" w:rsidRDefault="000B4F21" w:rsidP="007202FA">
      <w:pPr>
        <w:rPr>
          <w:lang w:val="ga"/>
        </w:rPr>
      </w:pPr>
      <w:r>
        <w:rPr>
          <w:lang w:val="ga"/>
        </w:rPr>
        <w:br w:type="page"/>
      </w:r>
    </w:p>
    <w:p w14:paraId="52CF5BBD" w14:textId="77777777" w:rsidR="00590BEF" w:rsidRPr="00EE61A8" w:rsidRDefault="000B4F21" w:rsidP="007202FA">
      <w:pPr>
        <w:pStyle w:val="Heading1"/>
        <w:rPr>
          <w:color w:val="BF2296"/>
          <w:lang w:val="ga"/>
        </w:rPr>
      </w:pPr>
      <w:bookmarkStart w:id="57" w:name="_Toc214033617"/>
      <w:r>
        <w:rPr>
          <w:bCs/>
          <w:color w:val="BF2296"/>
          <w:lang w:val="ga"/>
        </w:rPr>
        <w:lastRenderedPageBreak/>
        <w:t>2. Na Príomhfhionnachtana don bhliain 2024</w:t>
      </w:r>
      <w:bookmarkStart w:id="58" w:name="_Toc176801610"/>
      <w:bookmarkEnd w:id="57"/>
    </w:p>
    <w:p w14:paraId="77FF356D" w14:textId="77777777" w:rsidR="00590BEF" w:rsidRPr="00EE61A8" w:rsidRDefault="000B4F21" w:rsidP="007202FA">
      <w:pPr>
        <w:pStyle w:val="Heading2"/>
        <w:rPr>
          <w:color w:val="BF2296"/>
          <w:lang w:val="ga"/>
        </w:rPr>
      </w:pPr>
      <w:bookmarkStart w:id="59" w:name="_Toc214033618"/>
      <w:r>
        <w:rPr>
          <w:bCs/>
          <w:color w:val="BF2296"/>
          <w:lang w:val="ga"/>
        </w:rPr>
        <w:t>2.1 Na Príomhfhionnachtana don bhliain 2024</w:t>
      </w:r>
      <w:bookmarkEnd w:id="58"/>
      <w:bookmarkEnd w:id="59"/>
    </w:p>
    <w:p w14:paraId="14B199A6" w14:textId="77777777" w:rsidR="00590BEF" w:rsidRPr="00EE61A8" w:rsidRDefault="000B4F21" w:rsidP="007202FA">
      <w:pPr>
        <w:rPr>
          <w:color w:val="000000"/>
          <w:szCs w:val="24"/>
          <w:lang w:val="ga"/>
        </w:rPr>
      </w:pPr>
      <w:r>
        <w:rPr>
          <w:color w:val="000000"/>
          <w:szCs w:val="24"/>
          <w:lang w:val="ga"/>
        </w:rPr>
        <w:t>Sa bhliain 2024, tháinig méadú ar an íos-sprioc reachtúil fostaíochta ó 3% go 4.5%. Sa bhliain 2025, tiocfaidh méadú ar an sprioc sin go 6%.</w:t>
      </w:r>
    </w:p>
    <w:p w14:paraId="7C60434D" w14:textId="6FF60386" w:rsidR="00590BEF" w:rsidRPr="00EE61A8" w:rsidRDefault="000B4F21" w:rsidP="007202FA">
      <w:pPr>
        <w:rPr>
          <w:color w:val="000000"/>
          <w:szCs w:val="24"/>
          <w:lang w:val="ga"/>
        </w:rPr>
      </w:pPr>
      <w:r>
        <w:rPr>
          <w:color w:val="000000"/>
          <w:szCs w:val="24"/>
          <w:lang w:val="ga"/>
        </w:rPr>
        <w:t xml:space="preserve">Cuireann ÚNM comhlachtaí poiblí ar an eolas arís agus arís eile faoi na méaduithe sin sa </w:t>
      </w:r>
      <w:bookmarkStart w:id="60" w:name="_Hlk212035061"/>
      <w:r>
        <w:rPr>
          <w:color w:val="000000"/>
          <w:szCs w:val="24"/>
          <w:lang w:val="ga"/>
        </w:rPr>
        <w:t xml:space="preserve">sprioc reachtúil fostaíochta </w:t>
      </w:r>
      <w:bookmarkEnd w:id="60"/>
      <w:r>
        <w:rPr>
          <w:color w:val="000000"/>
          <w:szCs w:val="24"/>
          <w:lang w:val="ga"/>
        </w:rPr>
        <w:t>agus faoi na bearta is gá dóibh a chur chun feidhme agus ar gá dóibh tuairisciú orthu chun a chinntiú go gcomhlíonann siad na spriocanna sin agus go bhfeidhmíonn siad níos fearr ná iad.</w:t>
      </w:r>
    </w:p>
    <w:p w14:paraId="1402E48D" w14:textId="77777777" w:rsidR="00590BEF" w:rsidRPr="00EE61A8" w:rsidRDefault="000B4F21" w:rsidP="007202FA">
      <w:pPr>
        <w:rPr>
          <w:color w:val="000000"/>
          <w:szCs w:val="24"/>
          <w:lang w:val="ga"/>
        </w:rPr>
      </w:pPr>
      <w:r>
        <w:rPr>
          <w:color w:val="000000"/>
          <w:szCs w:val="24"/>
          <w:lang w:val="ga"/>
        </w:rPr>
        <w:t>Is é cuspóir phróiseas Chuid 5 ná an dul chun cinn atá á dhéanamh ag comhlachtaí poiblí agus aon dúshláin a d’fhéadfadh a bheith acu maidir leis an íos-sprioc reachtúil fostaíochta a bhaint amach bliain i ndiaidh bliana a ghabháil agus a chur i gcomparáid. Sa chomhthéacs sin, beimid ag déanamh comparáid idir feidhmíocht na gcomhlachtaí poiblí maidir leis an íos-sprioc reachtúil fostaíochta de 4.5% a bhaint amach sa bhliain 2024 agus feidhmíocht na gcomhlachtaí poiblí a bhain an íos-sprioc reachtúil fostaíochta 3% amach sa bhliain 2023.</w:t>
      </w:r>
    </w:p>
    <w:p w14:paraId="4E06A733" w14:textId="77777777" w:rsidR="00590BEF" w:rsidRPr="00EE61A8" w:rsidRDefault="000B4F21" w:rsidP="007202FA">
      <w:pPr>
        <w:rPr>
          <w:color w:val="000000"/>
          <w:szCs w:val="24"/>
          <w:lang w:val="ga"/>
        </w:rPr>
      </w:pPr>
      <w:r>
        <w:rPr>
          <w:color w:val="000000"/>
          <w:szCs w:val="24"/>
          <w:lang w:val="ga"/>
        </w:rPr>
        <w:t>Sa bhliain 2024, tá áthas ar ÚNM a thabhairt dá aire gur mhéadaigh an céatadán d’fhostaithe a thuairiscigh míchumas go 5.4%.</w:t>
      </w:r>
      <w:r>
        <w:rPr>
          <w:szCs w:val="26"/>
          <w:lang w:val="ga"/>
        </w:rPr>
        <w:t xml:space="preserve"> </w:t>
      </w:r>
      <w:r>
        <w:rPr>
          <w:color w:val="000000"/>
          <w:szCs w:val="24"/>
          <w:lang w:val="ga"/>
        </w:rPr>
        <w:t>Ba í sin an chéad uair a bhí an céatadán sin níos mó ná 5%.</w:t>
      </w:r>
    </w:p>
    <w:p w14:paraId="36820FF2" w14:textId="77777777" w:rsidR="00690FB8" w:rsidRPr="00EE61A8" w:rsidRDefault="000B4F21" w:rsidP="007202FA">
      <w:pPr>
        <w:pStyle w:val="NDABullet"/>
        <w:rPr>
          <w:lang w:val="ga"/>
        </w:rPr>
      </w:pPr>
      <w:r>
        <w:rPr>
          <w:lang w:val="ga"/>
        </w:rPr>
        <w:t xml:space="preserve">Tháinig méadú ar an líon fostaithe a thuairiscigh míchumas, agus é ag ardú ó 11,254 fhostaí sa bhliain 2023 (4.1%) go 15,403 fhostaí (5.4%) sa bhliain 2024. Is méadú 4,149 nduine é sin (+36.9%). Féach an rannán maidir leis </w:t>
      </w:r>
      <w:r>
        <w:rPr>
          <w:b/>
          <w:bCs/>
          <w:lang w:val="ga"/>
        </w:rPr>
        <w:t>an bhfeabhas ar fheidhmíocht na gcomhlachtaí poiblí</w:t>
      </w:r>
      <w:r>
        <w:rPr>
          <w:lang w:val="ga"/>
        </w:rPr>
        <w:t xml:space="preserve"> le haghaidh cúiseanna féideartha ar tharla an fhorbairt dhearfach sin a fháil.</w:t>
      </w:r>
    </w:p>
    <w:p w14:paraId="36AA910E" w14:textId="77777777" w:rsidR="00690FB8" w:rsidRPr="00EE61A8" w:rsidRDefault="000B4F21" w:rsidP="007202FA">
      <w:pPr>
        <w:pStyle w:val="NDABullet"/>
        <w:rPr>
          <w:lang w:val="ga"/>
        </w:rPr>
      </w:pPr>
      <w:r>
        <w:rPr>
          <w:lang w:val="ga"/>
        </w:rPr>
        <w:t>Tháinig méadú ar an líon comhlachtaí poiblí san earnáil phoiblí, ó 210 gcomhlacht phoiblí sa bhliain 2023 go 216 chomhlacht phoiblí sa bhliain 2024. Ag deireadh na bliana 2024, tháinig méadú 10,058 nduine ar an líon iomlán fostaithe sna comhlachtaí earnála poiblí (+3.7%), ó 273,747 bhfostaí sa bhliain 2023 go 283,805 fhostaí sa bhliain 2024.</w:t>
      </w:r>
    </w:p>
    <w:p w14:paraId="3DAD1B1E" w14:textId="793FFBD3" w:rsidR="00590BEF" w:rsidRPr="00EE61A8" w:rsidRDefault="000B4F21" w:rsidP="007202FA">
      <w:pPr>
        <w:pStyle w:val="NDABullet"/>
        <w:rPr>
          <w:lang w:val="ga"/>
        </w:rPr>
      </w:pPr>
      <w:r>
        <w:rPr>
          <w:lang w:val="ga"/>
        </w:rPr>
        <w:t xml:space="preserve">Sa bhliain 2024, chomhlíon 185 chomhlacht phoiblí (85.6%) an sprioc 4.5%, i gcomparáid le 191 chomhlacht phoiblí (91%) a chomhlíon an sprioc 3% sa bhliain 2023. </w:t>
      </w:r>
    </w:p>
    <w:p w14:paraId="34F61A54" w14:textId="26ACBDE6" w:rsidR="00590BEF" w:rsidRPr="00EE61A8" w:rsidRDefault="000B4F21" w:rsidP="007202FA">
      <w:pPr>
        <w:pStyle w:val="NDABullet"/>
        <w:rPr>
          <w:lang w:val="ga"/>
        </w:rPr>
      </w:pPr>
      <w:r>
        <w:rPr>
          <w:lang w:val="ga"/>
        </w:rPr>
        <w:t>Sa bhliain 2024, níor chomhlíon 31 chomhlacht phoiblí (14.4%) an sprioc 4.5%, i gcomparáid le 19 gcomhlacht phoiblí (9.0%) sa bhliain 2023 nár chomhlíon an sprioc 3%.</w:t>
      </w:r>
    </w:p>
    <w:p w14:paraId="605CC67B" w14:textId="25EF7179" w:rsidR="00590BEF" w:rsidRPr="00EE61A8" w:rsidRDefault="000B4F21" w:rsidP="007202FA">
      <w:pPr>
        <w:pStyle w:val="NDABullet"/>
        <w:rPr>
          <w:lang w:val="ga"/>
        </w:rPr>
      </w:pPr>
      <w:r>
        <w:rPr>
          <w:lang w:val="ga"/>
        </w:rPr>
        <w:t xml:space="preserve">Má táthar ag breithniú na bhfigiúirí sin i gcomhthéacs na sprice leasaithe 4.5%, b’amhlaidh sa bhliain 2024 a chomhlíon 185 </w:t>
      </w:r>
      <w:r>
        <w:rPr>
          <w:lang w:val="ga"/>
        </w:rPr>
        <w:lastRenderedPageBreak/>
        <w:t>chomhlacht phoiblí (85.6%) an sprioc sin, i gcomparáid le 160 comhlacht poiblí (76.2%) sa bhliain 2023.</w:t>
      </w:r>
    </w:p>
    <w:p w14:paraId="1A26A2BF" w14:textId="6DE0EA4C" w:rsidR="00456234" w:rsidRPr="00EE61A8" w:rsidRDefault="000B4F21" w:rsidP="007202FA">
      <w:pPr>
        <w:pStyle w:val="NDABullet"/>
        <w:rPr>
          <w:lang w:val="ga"/>
        </w:rPr>
      </w:pPr>
      <w:r>
        <w:rPr>
          <w:lang w:val="ga"/>
        </w:rPr>
        <w:t>Sa bhliain 2024, chomhlíon 134 chomhlacht phoiblí (62.6%) an íos-sprioc 6% atá le teacht, i gcomparáid le 110 gcomhlacht phoiblí (52.4%) sa bhliain 2023.</w:t>
      </w:r>
    </w:p>
    <w:p w14:paraId="61985331" w14:textId="49066D6C" w:rsidR="006540F7" w:rsidRPr="00D82230" w:rsidRDefault="000B4F21" w:rsidP="00D82230">
      <w:pPr>
        <w:pStyle w:val="NDABullet"/>
        <w:spacing w:after="240"/>
        <w:ind w:left="1066" w:hanging="357"/>
        <w:rPr>
          <w:lang w:val="ga"/>
        </w:rPr>
      </w:pPr>
      <w:r>
        <w:rPr>
          <w:lang w:val="ga"/>
        </w:rPr>
        <w:t>Ar an iomlán, d’fheidhmigh an earnáil phoiblí níos fearr ná an íos-sprioc reachtúil fostaíochta maidir le daoine a bhfuil míchumas orthu don cheathrú bliain déag as a chéile.</w:t>
      </w:r>
    </w:p>
    <w:p w14:paraId="4E9007AC" w14:textId="77777777" w:rsidR="007150EA" w:rsidRPr="007202FA" w:rsidRDefault="000B4F21" w:rsidP="007202FA">
      <w:pPr>
        <w:pStyle w:val="Heading2"/>
        <w:rPr>
          <w:color w:val="BF2296"/>
        </w:rPr>
      </w:pPr>
      <w:bookmarkStart w:id="61" w:name="_Toc214033619"/>
      <w:r>
        <w:rPr>
          <w:bCs/>
          <w:color w:val="BF2296"/>
          <w:lang w:val="ga"/>
        </w:rPr>
        <w:t>Treochtaí i dtreo na híos-sprice reachtúla fostaíochta a bhaint amach don tréimhse 2007-2024</w:t>
      </w:r>
      <w:bookmarkEnd w:id="61"/>
    </w:p>
    <w:p w14:paraId="0CF580BE" w14:textId="0E44505B" w:rsidR="00690FB8" w:rsidRPr="00EE61A8" w:rsidRDefault="000B4F21" w:rsidP="007202FA">
      <w:pPr>
        <w:rPr>
          <w:lang w:val="ga"/>
        </w:rPr>
      </w:pPr>
      <w:r>
        <w:rPr>
          <w:lang w:val="ga"/>
        </w:rPr>
        <w:t>Idir na blianta 2007 agus 2013, tháinig laghdú bliain ar bhliain ar an líon iomlán fostaithe san earnáil phoiblí. Bhí luaineacht ann sa líon iomlán fostaithe a thuairiscigh míchumas thar an tréimhse chéanna. Tháinig méadú bliain ar bhliain ar an líon iomlán fostaithe san earnáil phoiblí ón mbliain 2014 i leith. Ag deireadh na bliana 2024, tháinig méadú 10,058 nduine ar an líon iomlán fostaithe sna comhlachtaí earnála poiblí (+3.7%), ó 273,747 bhfostaí sa bhliain 2023 go 283,805 fhostaí sa bhliain 2024.</w:t>
      </w:r>
    </w:p>
    <w:p w14:paraId="2F6F5C6B" w14:textId="4158BF4E" w:rsidR="007150EA" w:rsidRPr="00EE61A8" w:rsidRDefault="000B4F21" w:rsidP="007202FA">
      <w:pPr>
        <w:rPr>
          <w:lang w:val="ga"/>
        </w:rPr>
      </w:pPr>
      <w:r>
        <w:rPr>
          <w:color w:val="000000"/>
          <w:lang w:val="ga"/>
        </w:rPr>
        <w:t xml:space="preserve">Ag deireadh na bliana 2024, </w:t>
      </w:r>
      <w:r>
        <w:rPr>
          <w:lang w:val="ga"/>
        </w:rPr>
        <w:t>b’ionann an líon iomlán fostaithe sna comhlachtaí iomchuí earnála poiblí agus 283,805 fhostaí, i gcomparáid le 273,747 bhfostaí sa bhliain 2023</w:t>
      </w:r>
      <w:r>
        <w:rPr>
          <w:color w:val="FF0000"/>
          <w:lang w:val="ga"/>
        </w:rPr>
        <w:t xml:space="preserve"> </w:t>
      </w:r>
      <w:r>
        <w:rPr>
          <w:lang w:val="ga"/>
        </w:rPr>
        <w:t>(+10,058 bhfostaí, +3.7%).</w:t>
      </w:r>
    </w:p>
    <w:p w14:paraId="5E393289" w14:textId="77777777" w:rsidR="007150EA" w:rsidRPr="00EE61A8" w:rsidRDefault="000B4F21" w:rsidP="007202FA">
      <w:pPr>
        <w:rPr>
          <w:lang w:val="ga"/>
        </w:rPr>
      </w:pPr>
      <w:r>
        <w:rPr>
          <w:lang w:val="ga"/>
        </w:rPr>
        <w:t xml:space="preserve">Tháinig méadú ó bhliain go bliain ón mbliain 2014 go dtí an bhliain 2017 ar an líon fostaithe a thuairiscigh míchumas. Dá ainneoin sin, tháinig laghdú ar an líon agus céatadán sin go 3.3% sa bhliain 2018 agus go 3.1% sa bhliain 2019. </w:t>
      </w:r>
    </w:p>
    <w:p w14:paraId="53549E6A" w14:textId="77777777" w:rsidR="007150EA" w:rsidRPr="00EE61A8" w:rsidRDefault="000B4F21" w:rsidP="007202FA">
      <w:pPr>
        <w:rPr>
          <w:rFonts w:cs="Arial"/>
          <w:szCs w:val="26"/>
          <w:lang w:val="ga"/>
        </w:rPr>
      </w:pPr>
      <w:r>
        <w:rPr>
          <w:rFonts w:cs="Arial"/>
          <w:szCs w:val="26"/>
          <w:lang w:val="ga"/>
        </w:rPr>
        <w:t>Tháinig méadú sa bhliain 2020 an athuair ar an líon fostaithe a thuairiscigh míchumas. Mar gheall ar an méadú foriomlán sa líon fostaithe san earnáil phoiblí, áfach, bhí an céatadán foriomlán d’fhostaithe a thuairiscigh míchumas cothrom le 3.1% go fóill. Sa bhliain 2021, mhéadaigh an céatadán foriomlán d’fhostaithe a thuairiscigh míchumas go 3.6%. Mhéadaigh sé sin go 4.1% sa bhliain 2022 agus d’fhan sé ag 4.1% sa bhliain 2023. Sa bhliain 2024, mhéadaigh an céatadán foriomlán d’fhostaithe a thuairiscigh míchumas go 5.4%. Ba í sin an chéad uair a bhí an céatadán sin níos mó ná 5%.</w:t>
      </w:r>
    </w:p>
    <w:p w14:paraId="19C997D8" w14:textId="3001FB1E" w:rsidR="009223B9" w:rsidRPr="006540F7" w:rsidRDefault="000B4F21" w:rsidP="006540F7">
      <w:pPr>
        <w:rPr>
          <w:sz w:val="20"/>
          <w:szCs w:val="20"/>
          <w:lang w:val="ga"/>
        </w:rPr>
      </w:pPr>
      <w:r>
        <w:rPr>
          <w:lang w:val="ga"/>
        </w:rPr>
        <w:t>I bh</w:t>
      </w:r>
      <w:r>
        <w:rPr>
          <w:b/>
          <w:bCs/>
          <w:lang w:val="ga"/>
        </w:rPr>
        <w:t>Fíor 2</w:t>
      </w:r>
      <w:r>
        <w:rPr>
          <w:lang w:val="ga"/>
        </w:rPr>
        <w:t>, léirítear an dul chun cinn a rinne an earnáil phoiblí ar an íos-sprioc reachtúil fostaíochta a bhaint amach idir an bhliain 2007</w:t>
      </w:r>
      <w:r>
        <w:rPr>
          <w:rStyle w:val="FootnoteReference"/>
          <w:lang w:val="ga"/>
        </w:rPr>
        <w:footnoteReference w:id="4"/>
      </w:r>
      <w:r>
        <w:rPr>
          <w:lang w:val="ga"/>
        </w:rPr>
        <w:t xml:space="preserve">, tráth a </w:t>
      </w:r>
      <w:r>
        <w:rPr>
          <w:lang w:val="ga"/>
        </w:rPr>
        <w:lastRenderedPageBreak/>
        <w:t xml:space="preserve">thosaigh ÚNM ag déanamh faireachán ar fhostú daoine a bhfuil míchumas orthu, agus an bhliain 2024. </w:t>
      </w:r>
    </w:p>
    <w:p w14:paraId="4FEED9AC" w14:textId="1B383555" w:rsidR="00590BEF" w:rsidRPr="007202FA" w:rsidRDefault="000B4F21" w:rsidP="007202FA">
      <w:pPr>
        <w:keepNext/>
        <w:keepLines/>
        <w:spacing w:after="120"/>
        <w:rPr>
          <w:b/>
          <w:szCs w:val="24"/>
        </w:rPr>
      </w:pPr>
      <w:r>
        <w:rPr>
          <w:b/>
          <w:bCs/>
          <w:szCs w:val="24"/>
          <w:lang w:val="ga"/>
        </w:rPr>
        <w:t>Fíor 2: Treochtaí i dtreo na híos-sprice reachtúla, 2007-2024</w:t>
      </w:r>
    </w:p>
    <w:p w14:paraId="3B2D7EE2" w14:textId="55FD182C" w:rsidR="00590BEF" w:rsidRPr="007202FA" w:rsidRDefault="002B11FF" w:rsidP="007202FA">
      <w:pPr>
        <w:pStyle w:val="Heading2"/>
        <w:rPr>
          <w:rFonts w:ascii="Gill Sans" w:hAnsi="Gill Sans"/>
          <w:sz w:val="24"/>
          <w:szCs w:val="24"/>
        </w:rPr>
      </w:pPr>
      <w:bookmarkStart w:id="62" w:name="_Toc214012317"/>
      <w:bookmarkStart w:id="63" w:name="_Toc214033620"/>
      <w:bookmarkStart w:id="64" w:name="_Toc176801611"/>
      <w:r>
        <w:rPr>
          <w:noProof/>
          <w:lang w:val="ga"/>
        </w:rPr>
        <mc:AlternateContent>
          <mc:Choice Requires="wps">
            <w:drawing>
              <wp:anchor distT="0" distB="0" distL="114300" distR="114300" simplePos="0" relativeHeight="251665408" behindDoc="0" locked="0" layoutInCell="1" allowOverlap="1" wp14:anchorId="4F85DAAE" wp14:editId="71196117">
                <wp:simplePos x="0" y="0"/>
                <wp:positionH relativeFrom="column">
                  <wp:posOffset>2959100</wp:posOffset>
                </wp:positionH>
                <wp:positionV relativeFrom="paragraph">
                  <wp:posOffset>2146300</wp:posOffset>
                </wp:positionV>
                <wp:extent cx="2393950" cy="342900"/>
                <wp:effectExtent l="0" t="0" r="6350" b="0"/>
                <wp:wrapNone/>
                <wp:docPr id="720323761" name="Text Box 4"/>
                <wp:cNvGraphicFramePr/>
                <a:graphic xmlns:a="http://schemas.openxmlformats.org/drawingml/2006/main">
                  <a:graphicData uri="http://schemas.microsoft.com/office/word/2010/wordprocessingShape">
                    <wps:wsp>
                      <wps:cNvSpPr txBox="1"/>
                      <wps:spPr>
                        <a:xfrm>
                          <a:off x="0" y="0"/>
                          <a:ext cx="2393950" cy="342900"/>
                        </a:xfrm>
                        <a:prstGeom prst="rect">
                          <a:avLst/>
                        </a:prstGeom>
                        <a:solidFill>
                          <a:schemeClr val="lt1"/>
                        </a:solidFill>
                        <a:ln w="6350">
                          <a:noFill/>
                        </a:ln>
                      </wps:spPr>
                      <wps:txbx>
                        <w:txbxContent>
                          <w:p w14:paraId="0F42F660" w14:textId="77777777" w:rsidR="002B11FF" w:rsidRPr="00942EBB" w:rsidRDefault="002B11FF" w:rsidP="002B11FF">
                            <w:pPr>
                              <w:rPr>
                                <w:sz w:val="16"/>
                                <w:szCs w:val="16"/>
                              </w:rPr>
                            </w:pPr>
                            <w:r>
                              <w:rPr>
                                <w:sz w:val="16"/>
                                <w:szCs w:val="16"/>
                              </w:rPr>
                              <w:t>An % de na fostaithe iomlána a thuairiscigh míchumas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85DAAE" id="_x0000_s1028" type="#_x0000_t202" style="position:absolute;margin-left:233pt;margin-top:169pt;width:188.5pt;height: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" fillcolor="white [3201]" stroked="f" strokeweight=".5pt">
                <v:textbox>
                  <w:txbxContent>
                    <w:p w14:paraId="0F42F660" w14:textId="77777777" w:rsidR="002B11FF" w:rsidRPr="00942EBB" w:rsidRDefault="002B11FF" w:rsidP="002B11FF">
                      <w:pPr>
                        <w:rPr>
                          <w:sz w:val="16"/>
                          <w:szCs w:val="16"/>
                        </w:rPr>
                      </w:pPr>
                      <w:r>
                        <w:rPr>
                          <w:sz w:val="16"/>
                          <w:szCs w:val="16"/>
                        </w:rPr>
                        <w:t>An % de na fostaithe iomlána a thuairiscigh míchumas</w:t>
                      </w:r>
                    </w:p>
                  </w:txbxContent>
                </v:textbox>
              </v:shape>
            </w:pict>
          </mc:Fallback>
        </mc:AlternateContent>
      </w:r>
      <w:r w:rsidR="003A6BA6">
        <w:rPr>
          <w:noProof/>
          <w:lang w:val="ga"/>
        </w:rPr>
        <mc:AlternateContent>
          <mc:Choice Requires="wps">
            <w:drawing>
              <wp:anchor distT="0" distB="0" distL="114300" distR="114300" simplePos="0" relativeHeight="251663360" behindDoc="0" locked="0" layoutInCell="1" allowOverlap="1" wp14:anchorId="2AAAC8C9" wp14:editId="1870AA81">
                <wp:simplePos x="0" y="0"/>
                <wp:positionH relativeFrom="column">
                  <wp:posOffset>1117600</wp:posOffset>
                </wp:positionH>
                <wp:positionV relativeFrom="paragraph">
                  <wp:posOffset>2222500</wp:posOffset>
                </wp:positionV>
                <wp:extent cx="1441450" cy="228600"/>
                <wp:effectExtent l="0" t="0" r="6350" b="0"/>
                <wp:wrapNone/>
                <wp:docPr id="1265681964" name="Text Box 1"/>
                <wp:cNvGraphicFramePr/>
                <a:graphic xmlns:a="http://schemas.openxmlformats.org/drawingml/2006/main">
                  <a:graphicData uri="http://schemas.microsoft.com/office/word/2010/wordprocessingShape">
                    <wps:wsp>
                      <wps:cNvSpPr txBox="1"/>
                      <wps:spPr>
                        <a:xfrm>
                          <a:off x="0" y="0"/>
                          <a:ext cx="1441450" cy="228600"/>
                        </a:xfrm>
                        <a:prstGeom prst="rect">
                          <a:avLst/>
                        </a:prstGeom>
                        <a:solidFill>
                          <a:schemeClr val="lt1"/>
                        </a:solidFill>
                        <a:ln w="6350">
                          <a:noFill/>
                        </a:ln>
                      </wps:spPr>
                      <wps:txbx>
                        <w:txbxContent>
                          <w:p w14:paraId="3CCB806C" w14:textId="77777777" w:rsidR="003A6BA6" w:rsidRPr="0047483B" w:rsidRDefault="003A6BA6" w:rsidP="003A6BA6">
                            <w:pPr>
                              <w:rPr>
                                <w:sz w:val="16"/>
                                <w:szCs w:val="16"/>
                              </w:rPr>
                            </w:pPr>
                            <w:r w:rsidRPr="0047483B">
                              <w:rPr>
                                <w:sz w:val="16"/>
                                <w:szCs w:val="16"/>
                              </w:rPr>
                              <w:t>An líon iomlán fostaithe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AAC8C9" id="_x0000_s1029" type="#_x0000_t202" style="position:absolute;margin-left:88pt;margin-top:175pt;width:113.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0BHLwIAAFsEAAAOAAAAZHJzL2Uyb0RvYy54bWysVEtv2zAMvg/YfxB0X+ykadY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" fillcolor="white [3201]" stroked="f" strokeweight=".5pt">
                <v:textbox>
                  <w:txbxContent>
                    <w:p w14:paraId="3CCB806C" w14:textId="77777777" w:rsidR="003A6BA6" w:rsidRPr="0047483B" w:rsidRDefault="003A6BA6" w:rsidP="003A6BA6">
                      <w:pPr>
                        <w:rPr>
                          <w:sz w:val="16"/>
                          <w:szCs w:val="16"/>
                        </w:rPr>
                      </w:pPr>
                      <w:r w:rsidRPr="0047483B">
                        <w:rPr>
                          <w:sz w:val="16"/>
                          <w:szCs w:val="16"/>
                        </w:rPr>
                        <w:t>An líon iomlán fostaithe</w:t>
                      </w:r>
                    </w:p>
                  </w:txbxContent>
                </v:textbox>
              </v:shape>
            </w:pict>
          </mc:Fallback>
        </mc:AlternateContent>
      </w:r>
      <w:r w:rsidR="000B4F21">
        <w:rPr>
          <w:bCs/>
          <w:noProof/>
          <w:lang w:val="ga"/>
        </w:rPr>
        <w:drawing>
          <wp:inline distT="0" distB="0" distL="0" distR="0" wp14:anchorId="3A56CEB8" wp14:editId="2F454635">
            <wp:extent cx="5731510" cy="2517140"/>
            <wp:effectExtent l="0" t="0" r="2540" b="16510"/>
            <wp:docPr id="1995424818" name="Chart 1">
              <a:extLst xmlns:a="http://schemas.openxmlformats.org/drawingml/2006/main">
                <a:ext uri="{FF2B5EF4-FFF2-40B4-BE49-F238E27FC236}">
                  <a16:creationId xmlns:a16="http://schemas.microsoft.com/office/drawing/2014/main" id="{16CBB566-EF00-4625-152D-97A99A6325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End w:id="62"/>
      <w:bookmarkEnd w:id="63"/>
    </w:p>
    <w:p w14:paraId="41F2745A" w14:textId="7E06627C" w:rsidR="00A555FC" w:rsidRPr="007202FA" w:rsidRDefault="00A555FC" w:rsidP="007202FA">
      <w:pPr>
        <w:pStyle w:val="Heading3"/>
        <w:rPr>
          <w:color w:val="BF2296"/>
        </w:rPr>
      </w:pPr>
      <w:bookmarkStart w:id="65" w:name="_Toc213072623"/>
      <w:bookmarkStart w:id="66" w:name="_Toc208656773"/>
    </w:p>
    <w:p w14:paraId="5B6985BB" w14:textId="46E45DE2" w:rsidR="00590BEF" w:rsidRPr="007202FA" w:rsidRDefault="000B4F21" w:rsidP="007202FA">
      <w:pPr>
        <w:pStyle w:val="Heading3"/>
        <w:rPr>
          <w:color w:val="BF2296"/>
        </w:rPr>
      </w:pPr>
      <w:bookmarkStart w:id="67" w:name="_Toc214033621"/>
      <w:r>
        <w:rPr>
          <w:bCs/>
          <w:color w:val="BF2296"/>
          <w:lang w:val="ga"/>
        </w:rPr>
        <w:t>Feabhsú ar fheidhmíocht na gcomhlachtaí poiblí</w:t>
      </w:r>
      <w:bookmarkEnd w:id="65"/>
      <w:bookmarkEnd w:id="66"/>
      <w:bookmarkEnd w:id="67"/>
    </w:p>
    <w:p w14:paraId="760D60B9" w14:textId="77F249A7" w:rsidR="00590BEF" w:rsidRPr="00EE61A8" w:rsidRDefault="000B4F21" w:rsidP="007202FA">
      <w:pPr>
        <w:spacing w:after="120"/>
        <w:rPr>
          <w:lang w:val="ga"/>
        </w:rPr>
      </w:pPr>
      <w:r>
        <w:rPr>
          <w:lang w:val="ga"/>
        </w:rPr>
        <w:t>Tá áthas ar ÚNM a thabhairt dá aire gur mó an líon fostaithe, agus an céatadán d’fhostaithe, a thuairiscigh míchumas ná an íos-sprioc reachtúil fostaíochta 4.5% sa bhliain 2024. Tá roinnt tosca ann a d’fhéadfadh a bheith ina gcúis leis an méadú suntasach sin:</w:t>
      </w:r>
    </w:p>
    <w:p w14:paraId="57BE99F3" w14:textId="30DEC9F3" w:rsidR="00141640" w:rsidRPr="00EE61A8" w:rsidRDefault="000B4F21" w:rsidP="007202FA">
      <w:pPr>
        <w:pStyle w:val="NDABullet"/>
        <w:rPr>
          <w:lang w:val="ga"/>
        </w:rPr>
      </w:pPr>
      <w:r>
        <w:rPr>
          <w:lang w:val="ga"/>
        </w:rPr>
        <w:t xml:space="preserve">Chuir ÚNM in iúl do chomhlachtaí poiblí arís agus arís eile go mbeadh an íos-sprioc reachtúil fostaíochta ag méadú go 4.5% sa bhliain 2024 agus go 6% sa bhliain 2025. Thugamar comhairle dóibh freisin maidir leis na bearta is gá dóibh a chur chun feidhme chun na spriocanna sin a bhaint amach agus chun feidhmiú níos fearr ná iad. Mar a mhionsonraítear i </w:t>
      </w:r>
      <w:r>
        <w:rPr>
          <w:b/>
          <w:bCs/>
          <w:lang w:val="ga"/>
        </w:rPr>
        <w:t>Rannán 3 den tuarascáil seo</w:t>
      </w:r>
      <w:r>
        <w:rPr>
          <w:lang w:val="ga"/>
        </w:rPr>
        <w:t>, tá méadú tagtha ar an líon comhlachtaí poiblí atá ag cur roinnt de na bearta sin chun feidhme.</w:t>
      </w:r>
    </w:p>
    <w:p w14:paraId="4624E9AD" w14:textId="77777777" w:rsidR="00141640" w:rsidRPr="00EE61A8" w:rsidRDefault="000B4F21" w:rsidP="007202FA">
      <w:pPr>
        <w:pStyle w:val="NDABullet"/>
        <w:rPr>
          <w:lang w:val="ga"/>
        </w:rPr>
      </w:pPr>
      <w:r>
        <w:rPr>
          <w:lang w:val="ga"/>
        </w:rPr>
        <w:t>Tá ÚNM ag déanamh idirchaidreamh go seasta le comhlachtaí poiblí, lena n-áirítear FSS, a raibh deacrachtaí acu maidir leis an íos-sprioc reachtúil fostaíochta a bhaint amach, chun cabhrú leo a bhfeidhmíocht a fheabhsú. Sa tréimhse 2015-2016, fuair aon chomhlacht déag phoiblí iarrataí alt 49 toisc nár bhain siad an íos-sprioc amach. Sna blianta 2023 agus 2024, ní bhfaighidh ach ceithre chomhlacht phoiblí iarrataí alt 49.</w:t>
      </w:r>
    </w:p>
    <w:p w14:paraId="00CED7A8" w14:textId="41600CC1" w:rsidR="00141640" w:rsidRPr="00EE61A8" w:rsidRDefault="000B4F21" w:rsidP="007202FA">
      <w:pPr>
        <w:pStyle w:val="NDABullet"/>
        <w:rPr>
          <w:lang w:val="ga"/>
        </w:rPr>
      </w:pPr>
      <w:r>
        <w:rPr>
          <w:lang w:val="ga"/>
        </w:rPr>
        <w:t xml:space="preserve">I mí na Nollag 2023, leasaíomar na ceisteanna le haghaidh bhailiú sonraí Chuid 5 chun sonraí níos saibhre a fháil i gcomhréir le ceann amháin de na príomh-mholtaí a bhí sa </w:t>
      </w:r>
      <w:r w:rsidR="00141640">
        <w:rPr>
          <w:lang w:val="ga"/>
        </w:rPr>
        <w:t xml:space="preserve">tuarascáil uainn </w:t>
      </w:r>
      <w:r w:rsidR="00141640">
        <w:rPr>
          <w:lang w:val="ga"/>
        </w:rPr>
        <w:lastRenderedPageBreak/>
        <w:t xml:space="preserve">ar an </w:t>
      </w:r>
      <w:hyperlink r:id="rId12" w:history="1">
        <w:r w:rsidR="00141640" w:rsidRPr="00475C58">
          <w:rPr>
            <w:rStyle w:val="Hyperlink"/>
            <w:lang w:val="ga"/>
          </w:rPr>
          <w:t>Athbhreithniú ar Chuid 5</w:t>
        </w:r>
      </w:hyperlink>
      <w:r>
        <w:rPr>
          <w:lang w:val="ga"/>
        </w:rPr>
        <w:t>. I gcás thuarascáil Chuid 5 don bhliain 2024, leanamar de na ceisteanna a athbhreithniú agus a leasú.  D’oibríomar i gcomhar le hOifig Phríomhoifigeach Faisnéise an Rialtais (OCGIO) freisin chun na ceisteanna a aistriú ó dhoiciméad Excel ina bhformáid inrochtana ar líne ar a dtugtar Forms.ie. Tugadh oiliúint agus tacaíocht leanúnach do chomhlachtaí poiblí maidir le conas an córas nua sin a úsáid. A bhuí leis na leasuithe sin ar phróiseas Chuid 5, cabhraíodh linn sonraí níos mine agus níos cruinne a fháil faoi na bearta atá siad ag déanamh chun feabhas a chur ar a gcomhlíonadh faoi Chuid 5, agus an próiseas bailithe sonraí agus an próiseas anailíse sonraí á chuíchóiriú ag an am céanna freisin.</w:t>
      </w:r>
    </w:p>
    <w:p w14:paraId="3BACCECF" w14:textId="04899F0A" w:rsidR="00590BEF" w:rsidRPr="00EE61A8" w:rsidRDefault="000B4F21" w:rsidP="007202FA">
      <w:pPr>
        <w:rPr>
          <w:lang w:val="ga"/>
        </w:rPr>
      </w:pPr>
      <w:r>
        <w:rPr>
          <w:lang w:val="ga"/>
        </w:rPr>
        <w:t xml:space="preserve">Admhaíonn ÚNM an feabhas leantach ar fheidhmíocht na hearnála poiblí. Mar sin féin, leanaimid de chomhlachtaí poiblí a chur ar an eolas gur gá dóibh an íos-sprioc 6% a bhaint amach, nó feidhmiú níos fearr ná í, sa bhliain 2025 trí chultúir oibre atá Comhionann, Éagsúil agus Cuimsitheach a fhorbairt agus a fheabhsú, ar cultúir iad a dhíríonn ar earcú agus coinneáil daoine a bhfuil míchumas orthu a mhéadú agus ar thacú le fostaithe a bhfuil míchumas orthu a bheith níos compordaí le linn dóibh a stádas míchumais a chur in iúl. </w:t>
      </w:r>
    </w:p>
    <w:p w14:paraId="6F86B2A3" w14:textId="77777777" w:rsidR="00590BEF" w:rsidRPr="00EE61A8" w:rsidRDefault="000B4F21" w:rsidP="007202FA">
      <w:pPr>
        <w:rPr>
          <w:lang w:val="ga"/>
        </w:rPr>
      </w:pPr>
      <w:r>
        <w:rPr>
          <w:lang w:val="ga"/>
        </w:rPr>
        <w:t>Tá treoir nua á forbairt ag ÚNM chun cabhrú le comhlachtaí poiblí leanúint ar aghaidh ag feabhsú a modhanna bailithe sonraí le haghaidh phróiseas Chuid 5 sa bhliain 2025. Mar sin féin, leanaimid ar aghaidh ag cur in iúl do Choistí Faireacháin agus do chomhlachtaí poiblí go bhfuil sé de fhreagracht orthu a chinntiú go gcuireann siad sonraí cruinne isteach le haghaidh phróiseas Chuid 5.</w:t>
      </w:r>
    </w:p>
    <w:p w14:paraId="1D801672" w14:textId="77777777" w:rsidR="00590BEF" w:rsidRPr="00EE61A8" w:rsidRDefault="000B4F21" w:rsidP="007202FA">
      <w:pPr>
        <w:pStyle w:val="Heading2"/>
        <w:rPr>
          <w:color w:val="BF2296"/>
          <w:lang w:val="ga"/>
        </w:rPr>
      </w:pPr>
      <w:bookmarkStart w:id="68" w:name="_Toc214033622"/>
      <w:r>
        <w:rPr>
          <w:bCs/>
          <w:color w:val="BF2296"/>
          <w:lang w:val="ga"/>
        </w:rPr>
        <w:t>2.2 Anailís de réir an chineáil comhlachta earnála poiblí</w:t>
      </w:r>
      <w:bookmarkEnd w:id="64"/>
      <w:bookmarkEnd w:id="68"/>
    </w:p>
    <w:p w14:paraId="55E9D75F" w14:textId="77777777" w:rsidR="00590BEF" w:rsidRPr="00EE61A8" w:rsidRDefault="000B4F21" w:rsidP="007202FA">
      <w:pPr>
        <w:rPr>
          <w:lang w:val="ga"/>
        </w:rPr>
      </w:pPr>
      <w:r>
        <w:rPr>
          <w:lang w:val="ga"/>
        </w:rPr>
        <w:t>Rinne na cúig chineál comhlachta phoiblí sonraí na bliana 2024 a anailísiú:</w:t>
      </w:r>
    </w:p>
    <w:p w14:paraId="06F84E0D" w14:textId="77777777" w:rsidR="00590BEF" w:rsidRPr="007202FA" w:rsidRDefault="000B4F21" w:rsidP="007202FA">
      <w:pPr>
        <w:pStyle w:val="NDABullet"/>
      </w:pPr>
      <w:r>
        <w:rPr>
          <w:lang w:val="ga"/>
        </w:rPr>
        <w:t>Comhlachtaí Tráchtála</w:t>
      </w:r>
    </w:p>
    <w:p w14:paraId="7ED709D5" w14:textId="77777777" w:rsidR="00590BEF" w:rsidRPr="007202FA" w:rsidRDefault="000B4F21" w:rsidP="007202FA">
      <w:pPr>
        <w:pStyle w:val="NDABullet"/>
      </w:pPr>
      <w:r>
        <w:rPr>
          <w:lang w:val="ga"/>
        </w:rPr>
        <w:t>Ranna Rialtais</w:t>
      </w:r>
    </w:p>
    <w:p w14:paraId="1AA12AAA" w14:textId="77777777" w:rsidR="00590BEF" w:rsidRPr="007202FA" w:rsidRDefault="000B4F21" w:rsidP="007202FA">
      <w:pPr>
        <w:pStyle w:val="NDABullet"/>
      </w:pPr>
      <w:r>
        <w:rPr>
          <w:lang w:val="ga"/>
        </w:rPr>
        <w:t>Comhlachtaí Rialtais Áitiúil</w:t>
      </w:r>
    </w:p>
    <w:p w14:paraId="33EE8005" w14:textId="77777777" w:rsidR="00590BEF" w:rsidRPr="007202FA" w:rsidRDefault="000B4F21" w:rsidP="007202FA">
      <w:pPr>
        <w:pStyle w:val="NDABullet"/>
      </w:pPr>
      <w:r>
        <w:rPr>
          <w:lang w:val="ga"/>
        </w:rPr>
        <w:t xml:space="preserve">Comhlachtaí Neamhthráchtála </w:t>
      </w:r>
    </w:p>
    <w:p w14:paraId="5FB20580" w14:textId="77777777" w:rsidR="00590BEF" w:rsidRPr="007202FA" w:rsidRDefault="000B4F21" w:rsidP="007202FA">
      <w:pPr>
        <w:pStyle w:val="NDABullet"/>
      </w:pPr>
      <w:r>
        <w:rPr>
          <w:lang w:val="ga"/>
        </w:rPr>
        <w:t>Comhlachtaí Poiblí a bhfuil Státseirbhísigh mar Fhoireann dóibh</w:t>
      </w:r>
    </w:p>
    <w:p w14:paraId="4B89D67E" w14:textId="77777777" w:rsidR="00590BEF" w:rsidRPr="007202FA" w:rsidRDefault="000B4F21" w:rsidP="007202FA">
      <w:pPr>
        <w:pStyle w:val="Heading3"/>
        <w:rPr>
          <w:color w:val="BF2296"/>
          <w:sz w:val="24"/>
          <w:szCs w:val="24"/>
        </w:rPr>
      </w:pPr>
      <w:bookmarkStart w:id="69" w:name="_Toc208656775"/>
      <w:bookmarkStart w:id="70" w:name="_Toc177129163"/>
      <w:bookmarkStart w:id="71" w:name="_Toc214033623"/>
      <w:r>
        <w:rPr>
          <w:bCs/>
          <w:color w:val="BF2296"/>
          <w:sz w:val="24"/>
          <w:szCs w:val="24"/>
          <w:lang w:val="ga"/>
        </w:rPr>
        <w:t>Comhlachtaí Tráchtála</w:t>
      </w:r>
      <w:bookmarkEnd w:id="69"/>
      <w:bookmarkEnd w:id="70"/>
      <w:bookmarkEnd w:id="71"/>
    </w:p>
    <w:p w14:paraId="01F67532" w14:textId="35FB0820" w:rsidR="00590BEF" w:rsidRPr="00EE61A8" w:rsidRDefault="000B4F21" w:rsidP="007202FA">
      <w:pPr>
        <w:rPr>
          <w:szCs w:val="24"/>
          <w:lang w:val="ga"/>
        </w:rPr>
      </w:pPr>
      <w:r>
        <w:rPr>
          <w:szCs w:val="24"/>
          <w:lang w:val="ga"/>
        </w:rPr>
        <w:t>Áirítear cuideachtaí iompair agus fuinnimh an Stáit leis an earnáil Comhlachtaí Tráchtála. Sa bhliain 2024, bhí Comhlachtaí Tráchtála freagrach as 15.7% d’fhórsa saothair na hearnála poiblí. Tháinig méadú 2,027 bhfostaí (+4.8%) ar an líon foriomlán fostaithe i gComhlachtaí Tráchtála idir na blianta 2023 agus 2024, agus é ag ardú go 44,632 fhostaí, agus tháinig méadú 677 bhfostaí (+32.5%) ar an líon fostaithe a thuairiscigh míchumas, agus é ag ardú go 2,758 bhfostaí.</w:t>
      </w:r>
      <w:r>
        <w:rPr>
          <w:color w:val="000000"/>
          <w:szCs w:val="24"/>
          <w:lang w:val="ga"/>
        </w:rPr>
        <w:t xml:space="preserve"> </w:t>
      </w:r>
      <w:r>
        <w:rPr>
          <w:szCs w:val="24"/>
          <w:lang w:val="ga"/>
        </w:rPr>
        <w:t xml:space="preserve">Mhéadaigh an céatadán d’fhostaithe a bhfuil míchumas orthu i gComhlachtaí Tráchtála ó </w:t>
      </w:r>
      <w:r>
        <w:rPr>
          <w:szCs w:val="24"/>
          <w:lang w:val="ga"/>
        </w:rPr>
        <w:lastRenderedPageBreak/>
        <w:t>4.9% sa bhliain 2023 go 6.2% sa bhliain 2024. San iomlán, bhain 88.5% de na comhlachtaí sa chatagóir sin an sprioc amach sa bhliain 2024, i gcomparáid le 92.3% sa bhliain 2023.</w:t>
      </w:r>
    </w:p>
    <w:p w14:paraId="66FAB556" w14:textId="77777777" w:rsidR="00590BEF" w:rsidRPr="00EE61A8" w:rsidRDefault="000B4F21" w:rsidP="007202FA">
      <w:pPr>
        <w:pStyle w:val="Heading3"/>
        <w:rPr>
          <w:color w:val="BF2296"/>
          <w:sz w:val="24"/>
          <w:szCs w:val="24"/>
          <w:lang w:val="ga"/>
        </w:rPr>
      </w:pPr>
      <w:bookmarkStart w:id="72" w:name="_Toc208656776"/>
      <w:bookmarkStart w:id="73" w:name="_Toc177129164"/>
      <w:bookmarkStart w:id="74" w:name="_Toc214033624"/>
      <w:r>
        <w:rPr>
          <w:bCs/>
          <w:color w:val="BF2296"/>
          <w:sz w:val="24"/>
          <w:szCs w:val="24"/>
          <w:lang w:val="ga"/>
        </w:rPr>
        <w:t>Ranna Rialtais</w:t>
      </w:r>
      <w:bookmarkEnd w:id="72"/>
      <w:bookmarkEnd w:id="73"/>
      <w:bookmarkEnd w:id="74"/>
    </w:p>
    <w:p w14:paraId="3B0B8A99" w14:textId="75A978C0" w:rsidR="00590BEF" w:rsidRPr="00EE61A8" w:rsidRDefault="000B4F21" w:rsidP="007202FA">
      <w:pPr>
        <w:rPr>
          <w:lang w:val="ga"/>
        </w:rPr>
      </w:pPr>
      <w:r>
        <w:rPr>
          <w:lang w:val="ga"/>
        </w:rPr>
        <w:t>Sa bhliain 2024, bhí fostaithe de chuid Ranna Rialtais freagrach as 9.8% d’fhórsa saothair na hearnála poiblí. Tháinig méadú 1,568 bhfostaí (+6.0%) ar an líon iomlán fostaithe i Ranna Rialtais, agus é ag ardú ó 26,326 fhostaí sa bhliain 2023 go 27,894 fhostaí sa bhliain 2024.</w:t>
      </w:r>
    </w:p>
    <w:p w14:paraId="44D0DEB5" w14:textId="55F781BF" w:rsidR="00590BEF" w:rsidRPr="00EE61A8" w:rsidRDefault="000B4F21" w:rsidP="007202FA">
      <w:pPr>
        <w:rPr>
          <w:lang w:val="ga"/>
        </w:rPr>
      </w:pPr>
      <w:r>
        <w:rPr>
          <w:lang w:val="ga"/>
        </w:rPr>
        <w:t>Tháinig méadú 947 bhfostaí (+53.1%) ar an líon fostaithe a bhfuil míchumas orthu idir na blianta 2023 agus 2024, agus é ag ardú go 2</w:t>
      </w:r>
      <w:r w:rsidR="003C7564">
        <w:rPr>
          <w:lang w:val="ga"/>
        </w:rPr>
        <w:t>,</w:t>
      </w:r>
      <w:r>
        <w:rPr>
          <w:lang w:val="ga"/>
        </w:rPr>
        <w:t xml:space="preserve">730 fostaí. Mhéadaigh an céatadán d’fhostaithe a thuairiscigh míchumas go 9.8% sa bhliain 2024, i gcomparáid le 6.8% sa bhliain 2023. </w:t>
      </w:r>
    </w:p>
    <w:p w14:paraId="1BFC9867" w14:textId="77777777" w:rsidR="00590BEF" w:rsidRPr="00EE61A8" w:rsidRDefault="000B4F21" w:rsidP="007202FA">
      <w:pPr>
        <w:rPr>
          <w:rFonts w:ascii="Gill Sans" w:hAnsi="Gill Sans"/>
          <w:lang w:val="ga"/>
        </w:rPr>
      </w:pPr>
      <w:r>
        <w:rPr>
          <w:lang w:val="ga"/>
        </w:rPr>
        <w:t>D’fheidhmigh na Ranna Rialtais uile níos fearr ná an íos-sprioc reachtúil fostaíochta 4.5% don bhliain 2024 – ba í sin an tríú bliain déag as a chéile inar fheidhmigh na Ranna uile níos fearr ná an sprioc reatha.</w:t>
      </w:r>
    </w:p>
    <w:p w14:paraId="446F684E" w14:textId="77777777" w:rsidR="00590BEF" w:rsidRPr="00EE61A8" w:rsidRDefault="000B4F21" w:rsidP="007202FA">
      <w:pPr>
        <w:pStyle w:val="Heading3"/>
        <w:rPr>
          <w:color w:val="BF2296"/>
          <w:sz w:val="24"/>
          <w:szCs w:val="24"/>
          <w:lang w:val="ga"/>
        </w:rPr>
      </w:pPr>
      <w:bookmarkStart w:id="75" w:name="_Toc208656777"/>
      <w:bookmarkStart w:id="76" w:name="_Toc177129165"/>
      <w:bookmarkStart w:id="77" w:name="_Toc214033625"/>
      <w:r>
        <w:rPr>
          <w:bCs/>
          <w:color w:val="BF2296"/>
          <w:sz w:val="24"/>
          <w:szCs w:val="24"/>
          <w:lang w:val="ga"/>
        </w:rPr>
        <w:t>Rialtas Áitiúil</w:t>
      </w:r>
      <w:bookmarkEnd w:id="75"/>
      <w:bookmarkEnd w:id="76"/>
      <w:bookmarkEnd w:id="77"/>
      <w:r>
        <w:rPr>
          <w:bCs/>
          <w:color w:val="BF2296"/>
          <w:sz w:val="24"/>
          <w:szCs w:val="24"/>
          <w:lang w:val="ga"/>
        </w:rPr>
        <w:t xml:space="preserve"> </w:t>
      </w:r>
    </w:p>
    <w:p w14:paraId="01015DB8" w14:textId="5BC6CF98" w:rsidR="00590BEF" w:rsidRPr="00EE61A8" w:rsidRDefault="000B4F21" w:rsidP="007202FA">
      <w:pPr>
        <w:rPr>
          <w:lang w:val="ga"/>
        </w:rPr>
      </w:pPr>
      <w:r>
        <w:rPr>
          <w:szCs w:val="24"/>
          <w:lang w:val="ga"/>
        </w:rPr>
        <w:t>Áirítear comhairlí cathrach agus contae agus comhlachtaí eile údaráis áitiúil leis an earnáil Rialtais Áitiúil. Sa bhliain 2024, bhí an earnáil seo freagrach as 12.5% d’fhórsa saothair na hearnála poiblí. Tháinig méadú 725 fhostaí (+2.1%) ar an líon foriomlán fostaithe idir na blianta 2024 agus 2023, agus é ag ardú go 35,466 fhostaí.</w:t>
      </w:r>
      <w:r>
        <w:rPr>
          <w:lang w:val="ga"/>
        </w:rPr>
        <w:t xml:space="preserve"> Tháinig méadú 236 dhuine (13.3%) ar an líon fostaithe a thuairiscigh míchumas, agus é ag ardú ó 1,777 bhfostaí go 2,013 fhostaí sa bhliain 2024. Mhéadaigh an céatadán d’fhostaithe a bhfuil míchumas orthu ar fud na catagóire Rialtais Áitiúil ina hiomláine ó 5.1% sa bhliain 2023 go 5.7% sa bhliain 2024. San iomlán, bhain 77.1% de chomhlachtaí poiblí sa chatagóir seo an íos-sprioc amach, i gcomparáid le 97.1% sa bhliain 2023. </w:t>
      </w:r>
    </w:p>
    <w:p w14:paraId="2077FE5F" w14:textId="77777777" w:rsidR="00590BEF" w:rsidRPr="00EE61A8" w:rsidRDefault="000B4F21" w:rsidP="007202FA">
      <w:pPr>
        <w:pStyle w:val="Heading3"/>
        <w:rPr>
          <w:color w:val="BF2296"/>
          <w:sz w:val="24"/>
          <w:szCs w:val="24"/>
          <w:lang w:val="ga"/>
        </w:rPr>
      </w:pPr>
      <w:bookmarkStart w:id="78" w:name="_Toc208656778"/>
      <w:bookmarkStart w:id="79" w:name="_Toc214033626"/>
      <w:r>
        <w:rPr>
          <w:bCs/>
          <w:color w:val="BF2296"/>
          <w:sz w:val="24"/>
          <w:szCs w:val="24"/>
          <w:lang w:val="ga"/>
        </w:rPr>
        <w:t>Comhlachtaí Neamhthráchtála</w:t>
      </w:r>
      <w:bookmarkEnd w:id="78"/>
      <w:bookmarkEnd w:id="79"/>
    </w:p>
    <w:p w14:paraId="36664935" w14:textId="7516D6C1" w:rsidR="00590BEF" w:rsidRPr="00EE61A8" w:rsidRDefault="000B4F21" w:rsidP="007202FA">
      <w:pPr>
        <w:rPr>
          <w:lang w:val="ga"/>
        </w:rPr>
      </w:pPr>
      <w:r>
        <w:rPr>
          <w:lang w:val="ga"/>
        </w:rPr>
        <w:t>Is í seo an earnáil is mó sa tseirbhís phoiblí toisc go gcuimsíonn sí FSS, atá ar an bhfostóir is mó san earnáil phoiblí. Sa bhliain 2024, bhí an earnáil seo freagrach as beagán níos mó ná leath fhórsa saothair na hearnála poiblí (54.1%), i gcomparáid le 55.6% de sa bhliain 2023. Tháinig méadú 1,311 fhostaí (+0.9%) ar an líon fostaithe san earnáil seo idir na blianta 2023 agus 2024, agus é ag ardú go 153,405 fhostaí. Tháinig méadú 1,722 fhostaí (+39.5%) ar an líon fostaithe a bhfuil míchumas orthu, agus é ag ardú go 6,079 bhfostaí. Bhí méadú beag ann sa chéatadán d’fhostaithe a bhfuil míchumas orthu san earnáil seo, agus é ag ardú ó 2.9% sa bhliain 2023 go 4.0% sa bhliain 2024. San iomlán, bhain 83.7% de Chomhlachtaí Neamhthráchtála an sprioc amach sa bhliain 2024, ar laghdú é i gcomparáid le 90.1% sa bhliain 2023.</w:t>
      </w:r>
    </w:p>
    <w:p w14:paraId="0D134B6A" w14:textId="77777777" w:rsidR="00590BEF" w:rsidRPr="00EE61A8" w:rsidRDefault="000B4F21" w:rsidP="007202FA">
      <w:pPr>
        <w:rPr>
          <w:lang w:val="ga"/>
        </w:rPr>
      </w:pPr>
      <w:r>
        <w:rPr>
          <w:lang w:val="ga"/>
        </w:rPr>
        <w:t>Sa bhliain 2024, bhí an chatagóir seo comhlachtaí poiblí ag déileáil leis an athrú seo a leanas:</w:t>
      </w:r>
    </w:p>
    <w:p w14:paraId="3840D283" w14:textId="77777777" w:rsidR="00590BEF" w:rsidRPr="00EE61A8" w:rsidRDefault="000B4F21" w:rsidP="007202FA">
      <w:pPr>
        <w:pStyle w:val="NDABullet"/>
        <w:rPr>
          <w:lang w:val="ga"/>
        </w:rPr>
      </w:pPr>
      <w:r>
        <w:rPr>
          <w:lang w:val="ga"/>
        </w:rPr>
        <w:lastRenderedPageBreak/>
        <w:t>Bunaíodh an Rialálaí Agraibhia, comhlacht poiblí Neamhthráchtála nua.</w:t>
      </w:r>
    </w:p>
    <w:p w14:paraId="29D8BD7D" w14:textId="77777777" w:rsidR="00590BEF" w:rsidRPr="00EE61A8" w:rsidRDefault="000B4F21" w:rsidP="007202FA">
      <w:pPr>
        <w:pStyle w:val="Heading3"/>
        <w:rPr>
          <w:color w:val="BF2296"/>
          <w:sz w:val="24"/>
          <w:szCs w:val="24"/>
          <w:lang w:val="ga"/>
        </w:rPr>
      </w:pPr>
      <w:bookmarkStart w:id="80" w:name="_Toc208656779"/>
      <w:bookmarkStart w:id="81" w:name="_Toc177129166"/>
      <w:bookmarkStart w:id="82" w:name="_Toc214033627"/>
      <w:r>
        <w:rPr>
          <w:bCs/>
          <w:color w:val="BF2296"/>
          <w:sz w:val="24"/>
          <w:szCs w:val="24"/>
          <w:lang w:val="ga"/>
        </w:rPr>
        <w:t>Comhlachtaí Poiblí a bhfuil Státseirbhísigh mar Fhoireann dóibh</w:t>
      </w:r>
      <w:bookmarkEnd w:id="80"/>
      <w:bookmarkEnd w:id="81"/>
      <w:bookmarkEnd w:id="82"/>
    </w:p>
    <w:p w14:paraId="7AEA2C57" w14:textId="682E2EA9" w:rsidR="00590BEF" w:rsidRPr="00EE61A8" w:rsidRDefault="000B4F21" w:rsidP="007202FA">
      <w:pPr>
        <w:rPr>
          <w:lang w:val="ga"/>
        </w:rPr>
      </w:pPr>
      <w:r>
        <w:rPr>
          <w:lang w:val="ga"/>
        </w:rPr>
        <w:t>Áirítear leis an earnáil seo comhlachtaí a bhfuil a bhfostaithe aicmithe mar státseirbhísigh, amhail na Coimisinéirí Ioncaim, an Phríomh-Oifig Staidrimh, Coimisiún na hÉireann um Chearta an Duine agus Comhionannas agus an Chomhairle Náisiúnta um Oideachas Speisialta. Sa bhliain 2024, bhí gníomhaireachtaí den sórt sin freagrach as 7.9% d’fhórsa saothair na hearnála poiblí. Idir an bhliain 2023 agus an bhliain 2024, tháinig méadú 4,427 bhfostaí (+24.6%) ar an líon fostaithe san earnáil seo, agus é ag ardú go 22,408 bhfostaí. Tháinig méadú 567 bhfostaí (+45.1%) ar an líon fostaithe a bhfuil míchumas orthu, agus é ag ardú go 1,823 fhostaí. Bhí méadú beag ann sa chéatadán d’fhostaithe a bhfuil míchumas orthu, agus é ag ardú ó 7.0% sa bhliain 2023 go 8.1% sa bhliain 2024. San iomlán, bhain 88.6% de na comhlachtaí poiblí san earnáil seo an sprioc sin amach, ar méadú é i gcomparáid le 82.1% sa bhliain 2023.</w:t>
      </w:r>
    </w:p>
    <w:p w14:paraId="04B3EDD6" w14:textId="77777777" w:rsidR="00590BEF" w:rsidRPr="00EE61A8" w:rsidRDefault="000B4F21" w:rsidP="007202FA">
      <w:pPr>
        <w:rPr>
          <w:color w:val="000000"/>
          <w:lang w:val="ga"/>
        </w:rPr>
      </w:pPr>
      <w:r>
        <w:rPr>
          <w:color w:val="000000"/>
          <w:lang w:val="ga"/>
        </w:rPr>
        <w:t xml:space="preserve">Sa bhliain 2024, bunaíodh trí chomhlacht phoiblí nua a bhfuil státseirbhísigh mar fhoireann dóibh: </w:t>
      </w:r>
    </w:p>
    <w:p w14:paraId="05B7D156" w14:textId="77777777" w:rsidR="00590BEF" w:rsidRPr="007202FA" w:rsidRDefault="000B4F21" w:rsidP="007202FA">
      <w:pPr>
        <w:pStyle w:val="NDABullet"/>
      </w:pPr>
      <w:r>
        <w:rPr>
          <w:lang w:val="ga"/>
        </w:rPr>
        <w:t>Cuan</w:t>
      </w:r>
    </w:p>
    <w:p w14:paraId="77E67242" w14:textId="77777777" w:rsidR="00590BEF" w:rsidRPr="007202FA" w:rsidRDefault="000B4F21" w:rsidP="007202FA">
      <w:pPr>
        <w:pStyle w:val="NDABullet"/>
      </w:pPr>
      <w:r>
        <w:rPr>
          <w:lang w:val="ga"/>
        </w:rPr>
        <w:t>An tÚdarás Rialála Limistéir Mhuirí</w:t>
      </w:r>
    </w:p>
    <w:p w14:paraId="5EBA39A6" w14:textId="77777777" w:rsidR="00590BEF" w:rsidRPr="007202FA" w:rsidRDefault="000B4F21" w:rsidP="007202FA">
      <w:pPr>
        <w:pStyle w:val="NDABullet"/>
      </w:pPr>
      <w:r>
        <w:rPr>
          <w:lang w:val="ga"/>
        </w:rPr>
        <w:t>Oifig an Stiúrthóra um Idirghabháil Údaraithe</w:t>
      </w:r>
    </w:p>
    <w:p w14:paraId="29426FE5" w14:textId="77777777" w:rsidR="00590BEF" w:rsidRPr="005524D6" w:rsidRDefault="000B4F21" w:rsidP="007202FA">
      <w:pPr>
        <w:rPr>
          <w:color w:val="000000"/>
          <w:lang w:val="ga"/>
        </w:rPr>
      </w:pPr>
      <w:r>
        <w:rPr>
          <w:color w:val="000000"/>
          <w:lang w:val="ga"/>
        </w:rPr>
        <w:t>Faoin Acht um Chinnteoireacht Chuidithe (Cumas) (Leasú), 2022, tugadh baill foirne is sibhialtaigh de chuid an Gharda Síochána ar ais laistigh de théarmaí Chuid 5. Sa bhliain 2024, chuir an Garda Síochána (Fostaithe is Sibhialtaigh) tuairisceán Chuid 5 isteach.</w:t>
      </w:r>
    </w:p>
    <w:p w14:paraId="74CB6ED1" w14:textId="3A410B5B" w:rsidR="00590BEF" w:rsidRPr="005524D6" w:rsidRDefault="000B4F21" w:rsidP="007202FA">
      <w:pPr>
        <w:rPr>
          <w:color w:val="000000"/>
          <w:lang w:val="ga"/>
        </w:rPr>
      </w:pPr>
      <w:r>
        <w:rPr>
          <w:color w:val="000000"/>
          <w:lang w:val="ga"/>
        </w:rPr>
        <w:t>Chuir an Coiste Faireacháin don Roinn Caiteachais Phoiblí, Seachadta ar an bPlean Forbartha Náisiúnta, agus Athchóirithe in iúl dúinn go mbeadh an Bord Parúil ag tosú ar thuairisceán Chuid 5 a dhéanamh ón mbliain 2024 ar aghaidh.</w:t>
      </w:r>
    </w:p>
    <w:p w14:paraId="3B6744D5" w14:textId="77777777" w:rsidR="00590BEF" w:rsidRPr="005524D6" w:rsidRDefault="000B4F21" w:rsidP="007202FA">
      <w:pPr>
        <w:pStyle w:val="Heading3"/>
        <w:rPr>
          <w:color w:val="BF2296"/>
          <w:lang w:val="ga"/>
        </w:rPr>
      </w:pPr>
      <w:bookmarkStart w:id="83" w:name="_Toc208656780"/>
      <w:bookmarkStart w:id="84" w:name="_Toc177129168"/>
      <w:bookmarkStart w:id="85" w:name="_Toc214033628"/>
      <w:r>
        <w:rPr>
          <w:bCs/>
          <w:color w:val="BF2296"/>
          <w:lang w:val="ga"/>
        </w:rPr>
        <w:t>Achoimre ar an anailís de réir chineál an chomhlachta phoiblí</w:t>
      </w:r>
      <w:bookmarkEnd w:id="83"/>
      <w:bookmarkEnd w:id="84"/>
      <w:bookmarkEnd w:id="85"/>
    </w:p>
    <w:p w14:paraId="12FCACBC" w14:textId="06EE19BC" w:rsidR="008343AC" w:rsidRDefault="000B4F21" w:rsidP="007202FA">
      <w:pPr>
        <w:rPr>
          <w:lang w:val="ga"/>
        </w:rPr>
      </w:pPr>
      <w:r>
        <w:rPr>
          <w:lang w:val="ga"/>
        </w:rPr>
        <w:t>Cuirtear achoimre ar an anailís de réir chineál an chomhlachta phoiblí i láthair i dTábla 2.</w:t>
      </w:r>
    </w:p>
    <w:p w14:paraId="7F89A9EA" w14:textId="77777777" w:rsidR="0080201B" w:rsidRDefault="0080201B" w:rsidP="007202FA">
      <w:pPr>
        <w:rPr>
          <w:lang w:val="ga"/>
        </w:rPr>
      </w:pPr>
    </w:p>
    <w:p w14:paraId="79C948EA" w14:textId="77777777" w:rsidR="0080201B" w:rsidRDefault="0080201B" w:rsidP="007202FA">
      <w:pPr>
        <w:rPr>
          <w:lang w:val="ga"/>
        </w:rPr>
      </w:pPr>
    </w:p>
    <w:p w14:paraId="0C266244" w14:textId="77777777" w:rsidR="0080201B" w:rsidRPr="005524D6" w:rsidRDefault="0080201B" w:rsidP="007202FA">
      <w:pPr>
        <w:rPr>
          <w:lang w:val="ga"/>
        </w:rPr>
      </w:pPr>
    </w:p>
    <w:p w14:paraId="3BB43877" w14:textId="66342C05" w:rsidR="00590BEF" w:rsidRPr="005524D6" w:rsidRDefault="000B4F21" w:rsidP="007202FA">
      <w:pPr>
        <w:spacing w:after="120"/>
        <w:jc w:val="center"/>
        <w:rPr>
          <w:b/>
          <w:bCs/>
          <w:lang w:val="ga"/>
        </w:rPr>
      </w:pPr>
      <w:r>
        <w:rPr>
          <w:b/>
          <w:bCs/>
          <w:lang w:val="ga"/>
        </w:rPr>
        <w:lastRenderedPageBreak/>
        <w:t>Tábla 2. Sonraí de réir chineál an chomhlachta phoiblí, 2023 agus 2024</w:t>
      </w:r>
    </w:p>
    <w:tbl>
      <w:tblPr>
        <w:tblStyle w:val="NDATableBlack"/>
        <w:tblpPr w:leftFromText="180" w:rightFromText="180" w:vertAnchor="text" w:horzAnchor="margin" w:tblpXSpec="center" w:tblpY="81"/>
        <w:tblW w:w="5265" w:type="pct"/>
        <w:tblLook w:val="0220" w:firstRow="1" w:lastRow="0" w:firstColumn="0" w:lastColumn="0" w:noHBand="1" w:noVBand="0"/>
      </w:tblPr>
      <w:tblGrid>
        <w:gridCol w:w="2160"/>
        <w:gridCol w:w="1173"/>
        <w:gridCol w:w="1283"/>
        <w:gridCol w:w="1295"/>
        <w:gridCol w:w="1279"/>
        <w:gridCol w:w="1422"/>
        <w:gridCol w:w="1308"/>
      </w:tblGrid>
      <w:tr w:rsidR="00F31303" w14:paraId="1517B394" w14:textId="77777777" w:rsidTr="0080201B">
        <w:trPr>
          <w:cnfStyle w:val="100000000000" w:firstRow="1" w:lastRow="0" w:firstColumn="0" w:lastColumn="0" w:oddVBand="0" w:evenVBand="0" w:oddHBand="0" w:evenHBand="0" w:firstRowFirstColumn="0" w:firstRowLastColumn="0" w:lastRowFirstColumn="0" w:lastRowLastColumn="0"/>
          <w:trHeight w:val="416"/>
        </w:trPr>
        <w:tc>
          <w:tcPr>
            <w:tcW w:w="812" w:type="pct"/>
            <w:vAlign w:val="top"/>
            <w:hideMark/>
          </w:tcPr>
          <w:p w14:paraId="0BE70D38" w14:textId="77777777" w:rsidR="00590BEF" w:rsidRPr="0080201B" w:rsidRDefault="000B4F21" w:rsidP="007202FA">
            <w:pPr>
              <w:keepNext/>
              <w:rPr>
                <w:bCs/>
                <w:color w:val="000000"/>
                <w:sz w:val="16"/>
                <w:szCs w:val="16"/>
              </w:rPr>
            </w:pPr>
            <w:r w:rsidRPr="0080201B">
              <w:rPr>
                <w:bCs/>
                <w:color w:val="000000"/>
                <w:sz w:val="16"/>
                <w:szCs w:val="16"/>
                <w:lang w:val="ga"/>
              </w:rPr>
              <w:t>An cineál comhlachta earnála poiblí</w:t>
            </w:r>
          </w:p>
        </w:tc>
        <w:tc>
          <w:tcPr>
            <w:tcW w:w="748" w:type="pct"/>
            <w:vAlign w:val="top"/>
            <w:hideMark/>
          </w:tcPr>
          <w:p w14:paraId="39F2C49B" w14:textId="696C5A73" w:rsidR="00590BEF" w:rsidRPr="0080201B" w:rsidRDefault="000B4F21" w:rsidP="007202FA">
            <w:pPr>
              <w:keepNext/>
              <w:rPr>
                <w:bCs/>
                <w:color w:val="000000"/>
                <w:sz w:val="16"/>
                <w:szCs w:val="16"/>
              </w:rPr>
            </w:pPr>
            <w:r w:rsidRPr="0080201B">
              <w:rPr>
                <w:bCs/>
                <w:color w:val="000000"/>
                <w:sz w:val="16"/>
                <w:szCs w:val="16"/>
                <w:lang w:val="ga"/>
              </w:rPr>
              <w:t>An líon iomlán fostaithe</w:t>
            </w:r>
          </w:p>
        </w:tc>
        <w:tc>
          <w:tcPr>
            <w:tcW w:w="748" w:type="pct"/>
            <w:vAlign w:val="top"/>
            <w:hideMark/>
          </w:tcPr>
          <w:p w14:paraId="316D4F0B" w14:textId="77777777" w:rsidR="00590BEF" w:rsidRPr="0080201B" w:rsidRDefault="000B4F21" w:rsidP="007202FA">
            <w:pPr>
              <w:keepNext/>
              <w:rPr>
                <w:bCs/>
                <w:color w:val="000000"/>
                <w:sz w:val="16"/>
                <w:szCs w:val="16"/>
              </w:rPr>
            </w:pPr>
            <w:r w:rsidRPr="0080201B">
              <w:rPr>
                <w:bCs/>
                <w:color w:val="000000"/>
                <w:sz w:val="16"/>
                <w:szCs w:val="16"/>
                <w:lang w:val="ga"/>
              </w:rPr>
              <w:t>An líon fostaithe a thuairiscigh míchumas</w:t>
            </w:r>
          </w:p>
        </w:tc>
        <w:tc>
          <w:tcPr>
            <w:tcW w:w="748" w:type="pct"/>
            <w:vAlign w:val="top"/>
            <w:hideMark/>
          </w:tcPr>
          <w:p w14:paraId="497E1F94" w14:textId="77777777" w:rsidR="00590BEF" w:rsidRPr="0080201B" w:rsidRDefault="000B4F21" w:rsidP="007202FA">
            <w:pPr>
              <w:keepNext/>
              <w:rPr>
                <w:bCs/>
                <w:color w:val="000000"/>
                <w:sz w:val="16"/>
                <w:szCs w:val="16"/>
              </w:rPr>
            </w:pPr>
            <w:r w:rsidRPr="0080201B">
              <w:rPr>
                <w:bCs/>
                <w:color w:val="000000"/>
                <w:sz w:val="16"/>
                <w:szCs w:val="16"/>
                <w:lang w:val="ga"/>
              </w:rPr>
              <w:t>An % d’fhostaithe a thuairiscigh míchumas</w:t>
            </w:r>
          </w:p>
        </w:tc>
        <w:tc>
          <w:tcPr>
            <w:tcW w:w="714" w:type="pct"/>
            <w:vAlign w:val="top"/>
            <w:hideMark/>
          </w:tcPr>
          <w:p w14:paraId="068E4EA8" w14:textId="77777777" w:rsidR="00590BEF" w:rsidRPr="0080201B" w:rsidRDefault="000B4F21" w:rsidP="007202FA">
            <w:pPr>
              <w:keepNext/>
              <w:rPr>
                <w:bCs/>
                <w:color w:val="000000"/>
                <w:sz w:val="16"/>
                <w:szCs w:val="16"/>
              </w:rPr>
            </w:pPr>
            <w:r w:rsidRPr="0080201B">
              <w:rPr>
                <w:bCs/>
                <w:color w:val="000000"/>
                <w:sz w:val="16"/>
                <w:szCs w:val="16"/>
                <w:lang w:val="ga"/>
              </w:rPr>
              <w:t>An % d’iomlán an fhórsa saothair ar tuairiscíodh air faoi Chuid 5</w:t>
            </w:r>
          </w:p>
        </w:tc>
        <w:tc>
          <w:tcPr>
            <w:tcW w:w="680" w:type="pct"/>
            <w:vAlign w:val="top"/>
            <w:hideMark/>
          </w:tcPr>
          <w:p w14:paraId="1C6C2700" w14:textId="77777777" w:rsidR="00590BEF" w:rsidRPr="0080201B" w:rsidRDefault="000B4F21" w:rsidP="007202FA">
            <w:pPr>
              <w:keepNext/>
              <w:rPr>
                <w:bCs/>
                <w:color w:val="000000"/>
                <w:sz w:val="16"/>
                <w:szCs w:val="16"/>
              </w:rPr>
            </w:pPr>
            <w:r w:rsidRPr="0080201B">
              <w:rPr>
                <w:bCs/>
                <w:color w:val="000000"/>
                <w:sz w:val="16"/>
                <w:szCs w:val="16"/>
                <w:lang w:val="ga"/>
              </w:rPr>
              <w:t>An % de chomhlachtaí a bhain an sprioc amach</w:t>
            </w:r>
          </w:p>
        </w:tc>
        <w:tc>
          <w:tcPr>
            <w:tcW w:w="549" w:type="pct"/>
            <w:vAlign w:val="top"/>
            <w:hideMark/>
          </w:tcPr>
          <w:p w14:paraId="7C20E5AA" w14:textId="77777777" w:rsidR="00590BEF" w:rsidRPr="0080201B" w:rsidRDefault="000B4F21" w:rsidP="007202FA">
            <w:pPr>
              <w:keepNext/>
              <w:rPr>
                <w:bCs/>
                <w:color w:val="000000"/>
                <w:sz w:val="16"/>
                <w:szCs w:val="16"/>
              </w:rPr>
            </w:pPr>
            <w:r w:rsidRPr="0080201B">
              <w:rPr>
                <w:bCs/>
                <w:color w:val="000000"/>
                <w:sz w:val="16"/>
                <w:szCs w:val="16"/>
                <w:lang w:val="ga"/>
              </w:rPr>
              <w:t>An líon comhlachtaí poiblí</w:t>
            </w:r>
          </w:p>
        </w:tc>
      </w:tr>
      <w:tr w:rsidR="00F31303" w14:paraId="6B8D84BB" w14:textId="77777777" w:rsidTr="00050DC6">
        <w:trPr>
          <w:trHeight w:val="234"/>
        </w:trPr>
        <w:tc>
          <w:tcPr>
            <w:tcW w:w="812" w:type="pct"/>
            <w:vAlign w:val="top"/>
            <w:hideMark/>
          </w:tcPr>
          <w:p w14:paraId="49510251" w14:textId="77777777" w:rsidR="00590BEF" w:rsidRPr="007202FA" w:rsidRDefault="000B4F21" w:rsidP="007202FA">
            <w:pPr>
              <w:keepNext/>
              <w:rPr>
                <w:b/>
                <w:color w:val="000000"/>
                <w:sz w:val="20"/>
                <w:szCs w:val="20"/>
              </w:rPr>
            </w:pPr>
            <w:r>
              <w:rPr>
                <w:b/>
                <w:bCs/>
                <w:color w:val="000000"/>
                <w:sz w:val="20"/>
                <w:szCs w:val="20"/>
                <w:lang w:val="ga"/>
              </w:rPr>
              <w:t>Comhlacht Tráchtála 2024</w:t>
            </w:r>
          </w:p>
        </w:tc>
        <w:tc>
          <w:tcPr>
            <w:tcW w:w="748" w:type="pct"/>
            <w:vAlign w:val="top"/>
            <w:hideMark/>
          </w:tcPr>
          <w:p w14:paraId="43D2B731" w14:textId="77777777" w:rsidR="00590BEF" w:rsidRPr="007202FA" w:rsidRDefault="000B4F21" w:rsidP="007202FA">
            <w:pPr>
              <w:jc w:val="right"/>
              <w:rPr>
                <w:rFonts w:cs="Arial"/>
                <w:bCs/>
                <w:color w:val="000000"/>
                <w:sz w:val="20"/>
                <w:szCs w:val="20"/>
              </w:rPr>
            </w:pPr>
            <w:r>
              <w:rPr>
                <w:rFonts w:cs="Arial"/>
                <w:color w:val="000000"/>
                <w:sz w:val="20"/>
                <w:szCs w:val="20"/>
                <w:lang w:val="ga"/>
              </w:rPr>
              <w:t>44,632</w:t>
            </w:r>
          </w:p>
        </w:tc>
        <w:tc>
          <w:tcPr>
            <w:tcW w:w="748" w:type="pct"/>
            <w:vAlign w:val="top"/>
            <w:hideMark/>
          </w:tcPr>
          <w:p w14:paraId="05CA9D82" w14:textId="77777777" w:rsidR="00590BEF" w:rsidRPr="007202FA" w:rsidRDefault="000B4F21" w:rsidP="007202FA">
            <w:pPr>
              <w:jc w:val="right"/>
              <w:rPr>
                <w:rFonts w:cs="Arial"/>
                <w:bCs/>
                <w:color w:val="000000"/>
                <w:sz w:val="20"/>
                <w:szCs w:val="20"/>
              </w:rPr>
            </w:pPr>
            <w:r>
              <w:rPr>
                <w:rFonts w:cs="Arial"/>
                <w:color w:val="000000"/>
                <w:sz w:val="20"/>
                <w:szCs w:val="20"/>
                <w:lang w:val="ga"/>
              </w:rPr>
              <w:t>2,758</w:t>
            </w:r>
          </w:p>
        </w:tc>
        <w:tc>
          <w:tcPr>
            <w:tcW w:w="748" w:type="pct"/>
            <w:vAlign w:val="top"/>
            <w:hideMark/>
          </w:tcPr>
          <w:p w14:paraId="49093B60" w14:textId="77777777" w:rsidR="00590BEF" w:rsidRPr="007202FA" w:rsidRDefault="000B4F21" w:rsidP="007202FA">
            <w:pPr>
              <w:keepNext/>
              <w:jc w:val="right"/>
              <w:rPr>
                <w:color w:val="000000"/>
                <w:sz w:val="20"/>
                <w:szCs w:val="20"/>
              </w:rPr>
            </w:pPr>
            <w:r>
              <w:rPr>
                <w:color w:val="000000"/>
                <w:sz w:val="20"/>
                <w:szCs w:val="20"/>
                <w:lang w:val="ga"/>
              </w:rPr>
              <w:t>6.2%</w:t>
            </w:r>
          </w:p>
        </w:tc>
        <w:tc>
          <w:tcPr>
            <w:tcW w:w="714" w:type="pct"/>
            <w:vAlign w:val="top"/>
            <w:hideMark/>
          </w:tcPr>
          <w:p w14:paraId="02379FBB" w14:textId="77777777" w:rsidR="00590BEF" w:rsidRPr="007202FA" w:rsidRDefault="000B4F21" w:rsidP="007202FA">
            <w:pPr>
              <w:jc w:val="right"/>
              <w:rPr>
                <w:rFonts w:cs="Arial"/>
                <w:bCs/>
                <w:color w:val="000000"/>
                <w:sz w:val="20"/>
                <w:szCs w:val="20"/>
              </w:rPr>
            </w:pPr>
            <w:r>
              <w:rPr>
                <w:rFonts w:cs="Arial"/>
                <w:color w:val="000000"/>
                <w:sz w:val="20"/>
                <w:szCs w:val="20"/>
                <w:lang w:val="ga"/>
              </w:rPr>
              <w:t>15.7%</w:t>
            </w:r>
          </w:p>
        </w:tc>
        <w:tc>
          <w:tcPr>
            <w:tcW w:w="680" w:type="pct"/>
            <w:vAlign w:val="top"/>
            <w:hideMark/>
          </w:tcPr>
          <w:p w14:paraId="2AF771D9" w14:textId="77777777" w:rsidR="00590BEF" w:rsidRPr="007202FA" w:rsidRDefault="000B4F21" w:rsidP="007202FA">
            <w:pPr>
              <w:jc w:val="right"/>
              <w:rPr>
                <w:rFonts w:cs="Arial"/>
                <w:bCs/>
                <w:color w:val="000000"/>
                <w:sz w:val="20"/>
                <w:szCs w:val="20"/>
              </w:rPr>
            </w:pPr>
            <w:r>
              <w:rPr>
                <w:rFonts w:cs="Arial"/>
                <w:color w:val="000000"/>
                <w:sz w:val="20"/>
                <w:szCs w:val="20"/>
                <w:lang w:val="ga"/>
              </w:rPr>
              <w:t>88.5%</w:t>
            </w:r>
          </w:p>
        </w:tc>
        <w:tc>
          <w:tcPr>
            <w:tcW w:w="549" w:type="pct"/>
            <w:vAlign w:val="top"/>
            <w:hideMark/>
          </w:tcPr>
          <w:p w14:paraId="71D74C0D" w14:textId="77777777" w:rsidR="00590BEF" w:rsidRPr="007202FA" w:rsidRDefault="000B4F21" w:rsidP="007202FA">
            <w:pPr>
              <w:keepNext/>
              <w:jc w:val="right"/>
              <w:rPr>
                <w:color w:val="000000"/>
                <w:sz w:val="20"/>
                <w:szCs w:val="20"/>
              </w:rPr>
            </w:pPr>
            <w:r>
              <w:rPr>
                <w:color w:val="000000"/>
                <w:sz w:val="20"/>
                <w:szCs w:val="20"/>
                <w:lang w:val="ga"/>
              </w:rPr>
              <w:t>26</w:t>
            </w:r>
          </w:p>
        </w:tc>
      </w:tr>
      <w:tr w:rsidR="00F31303" w14:paraId="481AA6C9" w14:textId="77777777" w:rsidTr="00050DC6">
        <w:trPr>
          <w:trHeight w:val="234"/>
        </w:trPr>
        <w:tc>
          <w:tcPr>
            <w:tcW w:w="812" w:type="pct"/>
            <w:vAlign w:val="top"/>
            <w:hideMark/>
          </w:tcPr>
          <w:p w14:paraId="2F29FD6F" w14:textId="77777777" w:rsidR="00590BEF" w:rsidRPr="007202FA" w:rsidRDefault="000B4F21" w:rsidP="007202FA">
            <w:pPr>
              <w:keepNext/>
              <w:rPr>
                <w:b/>
                <w:color w:val="000000"/>
                <w:sz w:val="20"/>
                <w:szCs w:val="20"/>
              </w:rPr>
            </w:pPr>
            <w:r>
              <w:rPr>
                <w:b/>
                <w:bCs/>
                <w:color w:val="000000"/>
                <w:sz w:val="20"/>
                <w:szCs w:val="20"/>
                <w:lang w:val="ga"/>
              </w:rPr>
              <w:t>Comhlacht Tráchtála 2023</w:t>
            </w:r>
          </w:p>
        </w:tc>
        <w:tc>
          <w:tcPr>
            <w:tcW w:w="748" w:type="pct"/>
            <w:vAlign w:val="top"/>
            <w:hideMark/>
          </w:tcPr>
          <w:p w14:paraId="78EC5CC5" w14:textId="77777777" w:rsidR="00590BEF" w:rsidRPr="007202FA" w:rsidRDefault="000B4F21" w:rsidP="007202FA">
            <w:pPr>
              <w:jc w:val="right"/>
              <w:rPr>
                <w:rFonts w:cs="Arial"/>
                <w:bCs/>
                <w:color w:val="000000"/>
                <w:sz w:val="20"/>
                <w:szCs w:val="20"/>
              </w:rPr>
            </w:pPr>
            <w:r>
              <w:rPr>
                <w:rFonts w:cs="Arial"/>
                <w:color w:val="000000"/>
                <w:sz w:val="20"/>
                <w:szCs w:val="20"/>
                <w:lang w:val="ga"/>
              </w:rPr>
              <w:t>42,605</w:t>
            </w:r>
          </w:p>
        </w:tc>
        <w:tc>
          <w:tcPr>
            <w:tcW w:w="748" w:type="pct"/>
            <w:vAlign w:val="top"/>
            <w:hideMark/>
          </w:tcPr>
          <w:p w14:paraId="1EAFDC6B" w14:textId="77777777" w:rsidR="00590BEF" w:rsidRPr="007202FA" w:rsidRDefault="000B4F21" w:rsidP="007202FA">
            <w:pPr>
              <w:jc w:val="right"/>
              <w:rPr>
                <w:rFonts w:cs="Arial"/>
                <w:bCs/>
                <w:color w:val="000000"/>
                <w:sz w:val="20"/>
                <w:szCs w:val="20"/>
              </w:rPr>
            </w:pPr>
            <w:r>
              <w:rPr>
                <w:rFonts w:cs="Arial"/>
                <w:color w:val="000000"/>
                <w:sz w:val="20"/>
                <w:szCs w:val="20"/>
                <w:lang w:val="ga"/>
              </w:rPr>
              <w:t>2,081</w:t>
            </w:r>
          </w:p>
        </w:tc>
        <w:tc>
          <w:tcPr>
            <w:tcW w:w="748" w:type="pct"/>
            <w:vAlign w:val="top"/>
            <w:hideMark/>
          </w:tcPr>
          <w:p w14:paraId="5BA7A93F" w14:textId="77777777" w:rsidR="00590BEF" w:rsidRPr="007202FA" w:rsidRDefault="000B4F21" w:rsidP="007202FA">
            <w:pPr>
              <w:keepNext/>
              <w:jc w:val="right"/>
              <w:rPr>
                <w:color w:val="000000"/>
                <w:sz w:val="20"/>
                <w:szCs w:val="20"/>
              </w:rPr>
            </w:pPr>
            <w:r>
              <w:rPr>
                <w:color w:val="000000"/>
                <w:sz w:val="20"/>
                <w:szCs w:val="20"/>
                <w:lang w:val="ga"/>
              </w:rPr>
              <w:t>4.9%</w:t>
            </w:r>
          </w:p>
        </w:tc>
        <w:tc>
          <w:tcPr>
            <w:tcW w:w="714" w:type="pct"/>
            <w:vAlign w:val="top"/>
            <w:hideMark/>
          </w:tcPr>
          <w:p w14:paraId="4A14AE74" w14:textId="77777777" w:rsidR="00590BEF" w:rsidRPr="007202FA" w:rsidRDefault="000B4F21" w:rsidP="007202FA">
            <w:pPr>
              <w:jc w:val="right"/>
              <w:rPr>
                <w:rFonts w:cs="Arial"/>
                <w:bCs/>
                <w:color w:val="000000"/>
                <w:sz w:val="20"/>
                <w:szCs w:val="20"/>
              </w:rPr>
            </w:pPr>
            <w:r>
              <w:rPr>
                <w:rFonts w:cs="Arial"/>
                <w:color w:val="000000"/>
                <w:sz w:val="20"/>
                <w:szCs w:val="20"/>
                <w:lang w:val="ga"/>
              </w:rPr>
              <w:t>15.6%</w:t>
            </w:r>
          </w:p>
        </w:tc>
        <w:tc>
          <w:tcPr>
            <w:tcW w:w="680" w:type="pct"/>
            <w:vAlign w:val="top"/>
            <w:hideMark/>
          </w:tcPr>
          <w:p w14:paraId="16756672" w14:textId="77777777" w:rsidR="00590BEF" w:rsidRPr="007202FA" w:rsidRDefault="000B4F21" w:rsidP="007202FA">
            <w:pPr>
              <w:jc w:val="right"/>
              <w:rPr>
                <w:rFonts w:cs="Arial"/>
                <w:bCs/>
                <w:color w:val="000000"/>
                <w:sz w:val="20"/>
                <w:szCs w:val="20"/>
              </w:rPr>
            </w:pPr>
            <w:r>
              <w:rPr>
                <w:rFonts w:cs="Arial"/>
                <w:color w:val="000000"/>
                <w:sz w:val="20"/>
                <w:szCs w:val="20"/>
                <w:lang w:val="ga"/>
              </w:rPr>
              <w:t>92.3%</w:t>
            </w:r>
          </w:p>
        </w:tc>
        <w:tc>
          <w:tcPr>
            <w:tcW w:w="549" w:type="pct"/>
            <w:vAlign w:val="top"/>
            <w:hideMark/>
          </w:tcPr>
          <w:p w14:paraId="30E7CFC6" w14:textId="77777777" w:rsidR="00590BEF" w:rsidRPr="007202FA" w:rsidRDefault="000B4F21" w:rsidP="007202FA">
            <w:pPr>
              <w:keepNext/>
              <w:jc w:val="right"/>
              <w:rPr>
                <w:color w:val="000000"/>
                <w:sz w:val="20"/>
                <w:szCs w:val="20"/>
              </w:rPr>
            </w:pPr>
            <w:r>
              <w:rPr>
                <w:color w:val="000000"/>
                <w:sz w:val="20"/>
                <w:szCs w:val="20"/>
                <w:lang w:val="ga"/>
              </w:rPr>
              <w:t>26</w:t>
            </w:r>
          </w:p>
        </w:tc>
      </w:tr>
      <w:tr w:rsidR="00F31303" w14:paraId="6FB4747D" w14:textId="77777777" w:rsidTr="00050DC6">
        <w:trPr>
          <w:trHeight w:val="543"/>
        </w:trPr>
        <w:tc>
          <w:tcPr>
            <w:tcW w:w="812" w:type="pct"/>
            <w:vAlign w:val="top"/>
            <w:hideMark/>
          </w:tcPr>
          <w:p w14:paraId="417D4E47" w14:textId="77777777" w:rsidR="00590BEF" w:rsidRPr="007202FA" w:rsidRDefault="000B4F21" w:rsidP="007202FA">
            <w:pPr>
              <w:keepNext/>
              <w:rPr>
                <w:b/>
                <w:color w:val="000000"/>
                <w:sz w:val="20"/>
                <w:szCs w:val="20"/>
              </w:rPr>
            </w:pPr>
            <w:r>
              <w:rPr>
                <w:b/>
                <w:bCs/>
                <w:color w:val="000000"/>
                <w:sz w:val="20"/>
                <w:szCs w:val="20"/>
                <w:lang w:val="ga"/>
              </w:rPr>
              <w:t>Athrú 2023/2024</w:t>
            </w:r>
          </w:p>
        </w:tc>
        <w:tc>
          <w:tcPr>
            <w:tcW w:w="748" w:type="pct"/>
            <w:vAlign w:val="top"/>
            <w:hideMark/>
          </w:tcPr>
          <w:p w14:paraId="7F30CAC9" w14:textId="77777777" w:rsidR="00590BEF" w:rsidRPr="007202FA" w:rsidRDefault="000B4F21" w:rsidP="007202FA">
            <w:pPr>
              <w:keepNext/>
              <w:jc w:val="right"/>
              <w:rPr>
                <w:b/>
                <w:color w:val="000000"/>
                <w:sz w:val="20"/>
                <w:szCs w:val="20"/>
              </w:rPr>
            </w:pPr>
            <w:r>
              <w:rPr>
                <w:b/>
                <w:bCs/>
                <w:color w:val="000000"/>
                <w:sz w:val="20"/>
                <w:szCs w:val="20"/>
                <w:lang w:val="ga"/>
              </w:rPr>
              <w:t>+2,027</w:t>
            </w:r>
          </w:p>
        </w:tc>
        <w:tc>
          <w:tcPr>
            <w:tcW w:w="748" w:type="pct"/>
            <w:vAlign w:val="top"/>
            <w:hideMark/>
          </w:tcPr>
          <w:p w14:paraId="0DE08ECA" w14:textId="77777777" w:rsidR="00590BEF" w:rsidRPr="007202FA" w:rsidRDefault="000B4F21" w:rsidP="007202FA">
            <w:pPr>
              <w:keepNext/>
              <w:jc w:val="right"/>
              <w:rPr>
                <w:b/>
                <w:color w:val="000000"/>
                <w:sz w:val="20"/>
                <w:szCs w:val="20"/>
              </w:rPr>
            </w:pPr>
            <w:r>
              <w:rPr>
                <w:b/>
                <w:bCs/>
                <w:color w:val="000000"/>
                <w:sz w:val="20"/>
                <w:szCs w:val="20"/>
                <w:lang w:val="ga"/>
              </w:rPr>
              <w:t>+677</w:t>
            </w:r>
          </w:p>
        </w:tc>
        <w:tc>
          <w:tcPr>
            <w:tcW w:w="748" w:type="pct"/>
            <w:vAlign w:val="top"/>
            <w:hideMark/>
          </w:tcPr>
          <w:p w14:paraId="7AD281F8" w14:textId="77777777" w:rsidR="00590BEF" w:rsidRPr="007202FA" w:rsidRDefault="000B4F21" w:rsidP="007202FA">
            <w:pPr>
              <w:keepNext/>
              <w:jc w:val="right"/>
              <w:rPr>
                <w:b/>
                <w:color w:val="000000"/>
                <w:sz w:val="20"/>
                <w:szCs w:val="20"/>
              </w:rPr>
            </w:pPr>
            <w:r>
              <w:rPr>
                <w:b/>
                <w:bCs/>
                <w:color w:val="000000"/>
                <w:sz w:val="20"/>
                <w:szCs w:val="20"/>
                <w:lang w:val="ga"/>
              </w:rPr>
              <w:t>+1.3</w:t>
            </w:r>
          </w:p>
        </w:tc>
        <w:tc>
          <w:tcPr>
            <w:tcW w:w="714" w:type="pct"/>
            <w:vAlign w:val="top"/>
            <w:hideMark/>
          </w:tcPr>
          <w:p w14:paraId="78D0F5D6" w14:textId="77777777" w:rsidR="00590BEF" w:rsidRPr="007202FA" w:rsidRDefault="000B4F21" w:rsidP="007202FA">
            <w:pPr>
              <w:keepNext/>
              <w:jc w:val="right"/>
              <w:rPr>
                <w:b/>
                <w:color w:val="000000"/>
                <w:sz w:val="20"/>
                <w:szCs w:val="20"/>
              </w:rPr>
            </w:pPr>
            <w:r>
              <w:rPr>
                <w:b/>
                <w:bCs/>
                <w:color w:val="000000"/>
                <w:sz w:val="20"/>
                <w:szCs w:val="20"/>
                <w:lang w:val="ga"/>
              </w:rPr>
              <w:t>-0.1</w:t>
            </w:r>
          </w:p>
        </w:tc>
        <w:tc>
          <w:tcPr>
            <w:tcW w:w="680" w:type="pct"/>
            <w:vAlign w:val="top"/>
            <w:hideMark/>
          </w:tcPr>
          <w:p w14:paraId="0373FE91" w14:textId="77777777" w:rsidR="00590BEF" w:rsidRPr="007202FA" w:rsidRDefault="000B4F21" w:rsidP="007202FA">
            <w:pPr>
              <w:keepNext/>
              <w:jc w:val="right"/>
              <w:rPr>
                <w:b/>
                <w:color w:val="000000"/>
                <w:sz w:val="20"/>
                <w:szCs w:val="20"/>
              </w:rPr>
            </w:pPr>
            <w:r>
              <w:rPr>
                <w:b/>
                <w:bCs/>
                <w:color w:val="000000"/>
                <w:sz w:val="20"/>
                <w:szCs w:val="20"/>
                <w:lang w:val="ga"/>
              </w:rPr>
              <w:t>-3.8</w:t>
            </w:r>
          </w:p>
        </w:tc>
        <w:tc>
          <w:tcPr>
            <w:tcW w:w="549" w:type="pct"/>
            <w:vAlign w:val="top"/>
            <w:hideMark/>
          </w:tcPr>
          <w:p w14:paraId="13F9C2D7" w14:textId="77777777" w:rsidR="00590BEF" w:rsidRPr="007202FA" w:rsidRDefault="000B4F21" w:rsidP="007202FA">
            <w:pPr>
              <w:keepNext/>
              <w:jc w:val="right"/>
              <w:rPr>
                <w:b/>
                <w:color w:val="000000"/>
                <w:sz w:val="20"/>
                <w:szCs w:val="20"/>
              </w:rPr>
            </w:pPr>
            <w:r>
              <w:rPr>
                <w:b/>
                <w:bCs/>
                <w:color w:val="000000"/>
                <w:sz w:val="20"/>
                <w:szCs w:val="20"/>
                <w:lang w:val="ga"/>
              </w:rPr>
              <w:t>0</w:t>
            </w:r>
          </w:p>
        </w:tc>
      </w:tr>
      <w:tr w:rsidR="00F31303" w14:paraId="255EA02E" w14:textId="77777777" w:rsidTr="00C76B28">
        <w:trPr>
          <w:trHeight w:val="265"/>
        </w:trPr>
        <w:tc>
          <w:tcPr>
            <w:tcW w:w="5000" w:type="pct"/>
            <w:gridSpan w:val="7"/>
          </w:tcPr>
          <w:p w14:paraId="78E5DD10" w14:textId="77777777" w:rsidR="00590BEF" w:rsidRPr="007202FA" w:rsidRDefault="00590BEF" w:rsidP="007202FA">
            <w:pPr>
              <w:keepNext/>
              <w:rPr>
                <w:color w:val="000000"/>
                <w:sz w:val="20"/>
                <w:szCs w:val="20"/>
              </w:rPr>
            </w:pPr>
          </w:p>
        </w:tc>
      </w:tr>
      <w:tr w:rsidR="00F31303" w14:paraId="64799617" w14:textId="77777777" w:rsidTr="00050DC6">
        <w:trPr>
          <w:trHeight w:val="486"/>
        </w:trPr>
        <w:tc>
          <w:tcPr>
            <w:tcW w:w="812" w:type="pct"/>
            <w:vAlign w:val="top"/>
          </w:tcPr>
          <w:p w14:paraId="71EAE488" w14:textId="158B9275" w:rsidR="00590BEF" w:rsidRPr="007202FA" w:rsidRDefault="000B4F21" w:rsidP="007202FA">
            <w:pPr>
              <w:keepNext/>
              <w:rPr>
                <w:b/>
                <w:color w:val="000000"/>
                <w:sz w:val="20"/>
                <w:szCs w:val="20"/>
              </w:rPr>
            </w:pPr>
            <w:r>
              <w:rPr>
                <w:b/>
                <w:bCs/>
                <w:color w:val="000000"/>
                <w:sz w:val="20"/>
                <w:szCs w:val="20"/>
                <w:lang w:val="ga"/>
              </w:rPr>
              <w:t>Roinn Rialtais 2024</w:t>
            </w:r>
          </w:p>
        </w:tc>
        <w:tc>
          <w:tcPr>
            <w:tcW w:w="748" w:type="pct"/>
            <w:vAlign w:val="top"/>
            <w:hideMark/>
          </w:tcPr>
          <w:p w14:paraId="5B4E286B" w14:textId="77777777" w:rsidR="00590BEF" w:rsidRPr="007202FA" w:rsidRDefault="000B4F21" w:rsidP="007202FA">
            <w:pPr>
              <w:keepNext/>
              <w:jc w:val="right"/>
              <w:rPr>
                <w:color w:val="000000"/>
                <w:sz w:val="20"/>
                <w:szCs w:val="20"/>
              </w:rPr>
            </w:pPr>
            <w:r>
              <w:rPr>
                <w:color w:val="000000"/>
                <w:sz w:val="20"/>
                <w:szCs w:val="20"/>
                <w:lang w:val="ga"/>
              </w:rPr>
              <w:t>27,894</w:t>
            </w:r>
          </w:p>
        </w:tc>
        <w:tc>
          <w:tcPr>
            <w:tcW w:w="748" w:type="pct"/>
            <w:vAlign w:val="top"/>
            <w:hideMark/>
          </w:tcPr>
          <w:p w14:paraId="60718A2E" w14:textId="77777777" w:rsidR="00590BEF" w:rsidRPr="007202FA" w:rsidRDefault="000B4F21" w:rsidP="007202FA">
            <w:pPr>
              <w:keepNext/>
              <w:jc w:val="right"/>
              <w:rPr>
                <w:color w:val="000000"/>
                <w:sz w:val="20"/>
                <w:szCs w:val="20"/>
              </w:rPr>
            </w:pPr>
            <w:r>
              <w:rPr>
                <w:color w:val="000000"/>
                <w:sz w:val="20"/>
                <w:szCs w:val="20"/>
                <w:lang w:val="ga"/>
              </w:rPr>
              <w:t>2,730</w:t>
            </w:r>
          </w:p>
        </w:tc>
        <w:tc>
          <w:tcPr>
            <w:tcW w:w="748" w:type="pct"/>
            <w:vAlign w:val="top"/>
            <w:hideMark/>
          </w:tcPr>
          <w:p w14:paraId="7ECEE378" w14:textId="77777777" w:rsidR="00590BEF" w:rsidRPr="007202FA" w:rsidRDefault="000B4F21" w:rsidP="007202FA">
            <w:pPr>
              <w:keepNext/>
              <w:jc w:val="right"/>
              <w:rPr>
                <w:color w:val="000000"/>
                <w:sz w:val="20"/>
                <w:szCs w:val="20"/>
              </w:rPr>
            </w:pPr>
            <w:r>
              <w:rPr>
                <w:color w:val="000000"/>
                <w:sz w:val="20"/>
                <w:szCs w:val="20"/>
                <w:lang w:val="ga"/>
              </w:rPr>
              <w:t>9.8%</w:t>
            </w:r>
          </w:p>
        </w:tc>
        <w:tc>
          <w:tcPr>
            <w:tcW w:w="714" w:type="pct"/>
            <w:vAlign w:val="top"/>
            <w:hideMark/>
          </w:tcPr>
          <w:p w14:paraId="61F96DD9" w14:textId="77777777" w:rsidR="00590BEF" w:rsidRPr="007202FA" w:rsidRDefault="000B4F21" w:rsidP="007202FA">
            <w:pPr>
              <w:keepNext/>
              <w:jc w:val="right"/>
              <w:rPr>
                <w:color w:val="000000"/>
                <w:sz w:val="20"/>
                <w:szCs w:val="20"/>
              </w:rPr>
            </w:pPr>
            <w:r>
              <w:rPr>
                <w:color w:val="000000"/>
                <w:sz w:val="20"/>
                <w:szCs w:val="20"/>
                <w:lang w:val="ga"/>
              </w:rPr>
              <w:t>9.8%</w:t>
            </w:r>
          </w:p>
        </w:tc>
        <w:tc>
          <w:tcPr>
            <w:tcW w:w="680" w:type="pct"/>
            <w:vAlign w:val="top"/>
            <w:hideMark/>
          </w:tcPr>
          <w:p w14:paraId="38F81664" w14:textId="77777777" w:rsidR="00590BEF" w:rsidRPr="007202FA" w:rsidRDefault="000B4F21" w:rsidP="007202FA">
            <w:pPr>
              <w:keepNext/>
              <w:jc w:val="right"/>
              <w:rPr>
                <w:color w:val="000000"/>
                <w:sz w:val="20"/>
                <w:szCs w:val="20"/>
              </w:rPr>
            </w:pPr>
            <w:r>
              <w:rPr>
                <w:color w:val="000000"/>
                <w:sz w:val="20"/>
                <w:szCs w:val="20"/>
                <w:lang w:val="ga"/>
              </w:rPr>
              <w:t>100.0%</w:t>
            </w:r>
          </w:p>
        </w:tc>
        <w:tc>
          <w:tcPr>
            <w:tcW w:w="549" w:type="pct"/>
            <w:vAlign w:val="top"/>
            <w:hideMark/>
          </w:tcPr>
          <w:p w14:paraId="207FDE23" w14:textId="77777777" w:rsidR="00590BEF" w:rsidRPr="007202FA" w:rsidRDefault="000B4F21" w:rsidP="007202FA">
            <w:pPr>
              <w:keepNext/>
              <w:jc w:val="right"/>
              <w:rPr>
                <w:color w:val="000000"/>
                <w:sz w:val="20"/>
                <w:szCs w:val="20"/>
              </w:rPr>
            </w:pPr>
            <w:r>
              <w:rPr>
                <w:color w:val="000000"/>
                <w:sz w:val="20"/>
                <w:szCs w:val="20"/>
                <w:lang w:val="ga"/>
              </w:rPr>
              <w:t>19</w:t>
            </w:r>
          </w:p>
        </w:tc>
      </w:tr>
      <w:tr w:rsidR="00F31303" w14:paraId="64CCB0E6" w14:textId="77777777" w:rsidTr="00050DC6">
        <w:trPr>
          <w:trHeight w:val="531"/>
        </w:trPr>
        <w:tc>
          <w:tcPr>
            <w:tcW w:w="812" w:type="pct"/>
            <w:vAlign w:val="top"/>
            <w:hideMark/>
          </w:tcPr>
          <w:p w14:paraId="277FE518" w14:textId="77777777" w:rsidR="00590BEF" w:rsidRPr="007202FA" w:rsidRDefault="000B4F21" w:rsidP="007202FA">
            <w:pPr>
              <w:keepNext/>
              <w:rPr>
                <w:b/>
                <w:color w:val="000000"/>
                <w:sz w:val="20"/>
                <w:szCs w:val="20"/>
              </w:rPr>
            </w:pPr>
            <w:r>
              <w:rPr>
                <w:b/>
                <w:bCs/>
                <w:color w:val="000000"/>
                <w:sz w:val="20"/>
                <w:szCs w:val="20"/>
                <w:lang w:val="ga"/>
              </w:rPr>
              <w:t>Roinn Rialtais 2023</w:t>
            </w:r>
          </w:p>
        </w:tc>
        <w:tc>
          <w:tcPr>
            <w:tcW w:w="748" w:type="pct"/>
            <w:vAlign w:val="top"/>
            <w:hideMark/>
          </w:tcPr>
          <w:p w14:paraId="7084A368" w14:textId="77777777" w:rsidR="00590BEF" w:rsidRPr="007202FA" w:rsidRDefault="000B4F21" w:rsidP="007202FA">
            <w:pPr>
              <w:keepNext/>
              <w:jc w:val="right"/>
              <w:rPr>
                <w:color w:val="000000"/>
                <w:sz w:val="20"/>
                <w:szCs w:val="20"/>
              </w:rPr>
            </w:pPr>
            <w:r>
              <w:rPr>
                <w:color w:val="000000"/>
                <w:sz w:val="20"/>
                <w:szCs w:val="20"/>
                <w:lang w:val="ga"/>
              </w:rPr>
              <w:t>26,326</w:t>
            </w:r>
          </w:p>
        </w:tc>
        <w:tc>
          <w:tcPr>
            <w:tcW w:w="748" w:type="pct"/>
            <w:vAlign w:val="top"/>
            <w:hideMark/>
          </w:tcPr>
          <w:p w14:paraId="2B7DB6E2" w14:textId="77777777" w:rsidR="00590BEF" w:rsidRPr="007202FA" w:rsidRDefault="000B4F21" w:rsidP="007202FA">
            <w:pPr>
              <w:keepNext/>
              <w:jc w:val="right"/>
              <w:rPr>
                <w:color w:val="000000"/>
                <w:sz w:val="20"/>
                <w:szCs w:val="20"/>
              </w:rPr>
            </w:pPr>
            <w:r>
              <w:rPr>
                <w:color w:val="000000"/>
                <w:sz w:val="20"/>
                <w:szCs w:val="20"/>
                <w:lang w:val="ga"/>
              </w:rPr>
              <w:t>1,783</w:t>
            </w:r>
          </w:p>
        </w:tc>
        <w:tc>
          <w:tcPr>
            <w:tcW w:w="748" w:type="pct"/>
            <w:vAlign w:val="top"/>
            <w:hideMark/>
          </w:tcPr>
          <w:p w14:paraId="10DDB760" w14:textId="77777777" w:rsidR="00590BEF" w:rsidRPr="007202FA" w:rsidRDefault="000B4F21" w:rsidP="007202FA">
            <w:pPr>
              <w:keepNext/>
              <w:jc w:val="right"/>
              <w:rPr>
                <w:color w:val="000000"/>
                <w:sz w:val="20"/>
                <w:szCs w:val="20"/>
              </w:rPr>
            </w:pPr>
            <w:r>
              <w:rPr>
                <w:color w:val="000000"/>
                <w:sz w:val="20"/>
                <w:szCs w:val="20"/>
                <w:lang w:val="ga"/>
              </w:rPr>
              <w:t>6.8%</w:t>
            </w:r>
          </w:p>
        </w:tc>
        <w:tc>
          <w:tcPr>
            <w:tcW w:w="714" w:type="pct"/>
            <w:vAlign w:val="top"/>
            <w:hideMark/>
          </w:tcPr>
          <w:p w14:paraId="24D084FD" w14:textId="77777777" w:rsidR="00590BEF" w:rsidRPr="007202FA" w:rsidRDefault="000B4F21" w:rsidP="007202FA">
            <w:pPr>
              <w:keepNext/>
              <w:jc w:val="right"/>
              <w:rPr>
                <w:color w:val="000000"/>
                <w:sz w:val="20"/>
                <w:szCs w:val="20"/>
              </w:rPr>
            </w:pPr>
            <w:r>
              <w:rPr>
                <w:color w:val="000000"/>
                <w:sz w:val="20"/>
                <w:szCs w:val="20"/>
                <w:lang w:val="ga"/>
              </w:rPr>
              <w:t>9.6%</w:t>
            </w:r>
          </w:p>
        </w:tc>
        <w:tc>
          <w:tcPr>
            <w:tcW w:w="680" w:type="pct"/>
            <w:vAlign w:val="top"/>
            <w:hideMark/>
          </w:tcPr>
          <w:p w14:paraId="6E8AB0B4" w14:textId="77777777" w:rsidR="00590BEF" w:rsidRPr="007202FA" w:rsidRDefault="000B4F21" w:rsidP="007202FA">
            <w:pPr>
              <w:keepNext/>
              <w:jc w:val="right"/>
              <w:rPr>
                <w:color w:val="000000"/>
                <w:sz w:val="20"/>
                <w:szCs w:val="20"/>
              </w:rPr>
            </w:pPr>
            <w:r>
              <w:rPr>
                <w:color w:val="000000"/>
                <w:sz w:val="20"/>
                <w:szCs w:val="20"/>
                <w:lang w:val="ga"/>
              </w:rPr>
              <w:t>100.0%</w:t>
            </w:r>
          </w:p>
        </w:tc>
        <w:tc>
          <w:tcPr>
            <w:tcW w:w="549" w:type="pct"/>
            <w:vAlign w:val="top"/>
            <w:hideMark/>
          </w:tcPr>
          <w:p w14:paraId="59A9DE94" w14:textId="77777777" w:rsidR="00590BEF" w:rsidRPr="007202FA" w:rsidRDefault="000B4F21" w:rsidP="007202FA">
            <w:pPr>
              <w:keepNext/>
              <w:jc w:val="right"/>
              <w:rPr>
                <w:color w:val="000000"/>
                <w:sz w:val="20"/>
                <w:szCs w:val="20"/>
              </w:rPr>
            </w:pPr>
            <w:r>
              <w:rPr>
                <w:color w:val="000000"/>
                <w:sz w:val="20"/>
                <w:szCs w:val="20"/>
                <w:lang w:val="ga"/>
              </w:rPr>
              <w:t>19</w:t>
            </w:r>
          </w:p>
        </w:tc>
      </w:tr>
      <w:tr w:rsidR="00F31303" w14:paraId="31A60DCB" w14:textId="77777777" w:rsidTr="00050DC6">
        <w:trPr>
          <w:trHeight w:val="543"/>
        </w:trPr>
        <w:tc>
          <w:tcPr>
            <w:tcW w:w="812" w:type="pct"/>
            <w:vAlign w:val="top"/>
            <w:hideMark/>
          </w:tcPr>
          <w:p w14:paraId="1BAB5F4B" w14:textId="77777777" w:rsidR="00590BEF" w:rsidRPr="007202FA" w:rsidRDefault="000B4F21" w:rsidP="007202FA">
            <w:pPr>
              <w:keepNext/>
              <w:rPr>
                <w:b/>
                <w:color w:val="000000"/>
                <w:sz w:val="20"/>
                <w:szCs w:val="20"/>
              </w:rPr>
            </w:pPr>
            <w:r>
              <w:rPr>
                <w:b/>
                <w:bCs/>
                <w:color w:val="000000"/>
                <w:sz w:val="20"/>
                <w:szCs w:val="20"/>
                <w:lang w:val="ga"/>
              </w:rPr>
              <w:t>Athrú 2023/2024</w:t>
            </w:r>
          </w:p>
        </w:tc>
        <w:tc>
          <w:tcPr>
            <w:tcW w:w="748" w:type="pct"/>
            <w:vAlign w:val="top"/>
            <w:hideMark/>
          </w:tcPr>
          <w:p w14:paraId="18737DC4" w14:textId="77777777" w:rsidR="00590BEF" w:rsidRPr="007202FA" w:rsidRDefault="000B4F21" w:rsidP="007202FA">
            <w:pPr>
              <w:keepNext/>
              <w:jc w:val="right"/>
              <w:rPr>
                <w:b/>
                <w:color w:val="000000"/>
                <w:sz w:val="20"/>
                <w:szCs w:val="20"/>
              </w:rPr>
            </w:pPr>
            <w:r>
              <w:rPr>
                <w:b/>
                <w:bCs/>
                <w:color w:val="000000"/>
                <w:sz w:val="20"/>
                <w:szCs w:val="20"/>
                <w:lang w:val="ga"/>
              </w:rPr>
              <w:t>+1,568</w:t>
            </w:r>
          </w:p>
        </w:tc>
        <w:tc>
          <w:tcPr>
            <w:tcW w:w="748" w:type="pct"/>
            <w:vAlign w:val="top"/>
            <w:hideMark/>
          </w:tcPr>
          <w:p w14:paraId="21AC808D" w14:textId="77777777" w:rsidR="00590BEF" w:rsidRPr="007202FA" w:rsidRDefault="000B4F21" w:rsidP="007202FA">
            <w:pPr>
              <w:keepNext/>
              <w:jc w:val="right"/>
              <w:rPr>
                <w:b/>
                <w:color w:val="000000"/>
                <w:sz w:val="20"/>
                <w:szCs w:val="20"/>
              </w:rPr>
            </w:pPr>
            <w:r>
              <w:rPr>
                <w:b/>
                <w:bCs/>
                <w:color w:val="000000"/>
                <w:sz w:val="20"/>
                <w:szCs w:val="20"/>
                <w:lang w:val="ga"/>
              </w:rPr>
              <w:t>+947</w:t>
            </w:r>
          </w:p>
        </w:tc>
        <w:tc>
          <w:tcPr>
            <w:tcW w:w="748" w:type="pct"/>
            <w:vAlign w:val="top"/>
            <w:hideMark/>
          </w:tcPr>
          <w:p w14:paraId="71CC6B79" w14:textId="77777777" w:rsidR="00590BEF" w:rsidRPr="007202FA" w:rsidRDefault="000B4F21" w:rsidP="007202FA">
            <w:pPr>
              <w:keepNext/>
              <w:jc w:val="right"/>
              <w:rPr>
                <w:b/>
                <w:color w:val="000000"/>
                <w:sz w:val="20"/>
                <w:szCs w:val="20"/>
              </w:rPr>
            </w:pPr>
            <w:r>
              <w:rPr>
                <w:b/>
                <w:bCs/>
                <w:color w:val="000000"/>
                <w:sz w:val="20"/>
                <w:szCs w:val="20"/>
                <w:lang w:val="ga"/>
              </w:rPr>
              <w:t>+3.0</w:t>
            </w:r>
          </w:p>
        </w:tc>
        <w:tc>
          <w:tcPr>
            <w:tcW w:w="714" w:type="pct"/>
            <w:vAlign w:val="top"/>
            <w:hideMark/>
          </w:tcPr>
          <w:p w14:paraId="4A440162" w14:textId="77777777" w:rsidR="00590BEF" w:rsidRPr="007202FA" w:rsidRDefault="000B4F21" w:rsidP="007202FA">
            <w:pPr>
              <w:keepNext/>
              <w:jc w:val="right"/>
              <w:rPr>
                <w:b/>
                <w:color w:val="000000"/>
                <w:sz w:val="20"/>
                <w:szCs w:val="20"/>
              </w:rPr>
            </w:pPr>
            <w:r>
              <w:rPr>
                <w:b/>
                <w:bCs/>
                <w:color w:val="000000"/>
                <w:sz w:val="20"/>
                <w:szCs w:val="20"/>
                <w:lang w:val="ga"/>
              </w:rPr>
              <w:t>+0.2</w:t>
            </w:r>
          </w:p>
        </w:tc>
        <w:tc>
          <w:tcPr>
            <w:tcW w:w="680" w:type="pct"/>
            <w:vAlign w:val="top"/>
            <w:hideMark/>
          </w:tcPr>
          <w:p w14:paraId="2DF5F354" w14:textId="77777777" w:rsidR="00590BEF" w:rsidRPr="007202FA" w:rsidRDefault="000B4F21" w:rsidP="007202FA">
            <w:pPr>
              <w:keepNext/>
              <w:jc w:val="right"/>
              <w:rPr>
                <w:b/>
                <w:color w:val="000000"/>
                <w:sz w:val="20"/>
                <w:szCs w:val="20"/>
              </w:rPr>
            </w:pPr>
            <w:r>
              <w:rPr>
                <w:b/>
                <w:bCs/>
                <w:color w:val="000000"/>
                <w:sz w:val="20"/>
                <w:szCs w:val="20"/>
                <w:lang w:val="ga"/>
              </w:rPr>
              <w:t>0</w:t>
            </w:r>
          </w:p>
        </w:tc>
        <w:tc>
          <w:tcPr>
            <w:tcW w:w="549" w:type="pct"/>
            <w:vAlign w:val="top"/>
            <w:hideMark/>
          </w:tcPr>
          <w:p w14:paraId="4F84B87A" w14:textId="77777777" w:rsidR="00590BEF" w:rsidRPr="007202FA" w:rsidRDefault="000B4F21" w:rsidP="007202FA">
            <w:pPr>
              <w:keepNext/>
              <w:jc w:val="right"/>
              <w:rPr>
                <w:b/>
                <w:color w:val="000000"/>
                <w:sz w:val="20"/>
                <w:szCs w:val="20"/>
              </w:rPr>
            </w:pPr>
            <w:r>
              <w:rPr>
                <w:b/>
                <w:bCs/>
                <w:color w:val="000000"/>
                <w:sz w:val="20"/>
                <w:szCs w:val="20"/>
                <w:lang w:val="ga"/>
              </w:rPr>
              <w:t>0</w:t>
            </w:r>
          </w:p>
        </w:tc>
      </w:tr>
      <w:tr w:rsidR="00F31303" w14:paraId="287D9B6C" w14:textId="77777777" w:rsidTr="00C76B28">
        <w:trPr>
          <w:trHeight w:val="265"/>
        </w:trPr>
        <w:tc>
          <w:tcPr>
            <w:tcW w:w="5000" w:type="pct"/>
            <w:gridSpan w:val="7"/>
          </w:tcPr>
          <w:p w14:paraId="4A6BE6AF" w14:textId="77777777" w:rsidR="00590BEF" w:rsidRPr="007202FA" w:rsidRDefault="00590BEF" w:rsidP="007202FA">
            <w:pPr>
              <w:keepNext/>
              <w:jc w:val="right"/>
              <w:rPr>
                <w:b/>
                <w:color w:val="000000"/>
                <w:sz w:val="20"/>
                <w:szCs w:val="20"/>
              </w:rPr>
            </w:pPr>
          </w:p>
        </w:tc>
      </w:tr>
      <w:tr w:rsidR="00F31303" w14:paraId="72BD950E" w14:textId="77777777" w:rsidTr="00050DC6">
        <w:trPr>
          <w:trHeight w:val="531"/>
        </w:trPr>
        <w:tc>
          <w:tcPr>
            <w:tcW w:w="812" w:type="pct"/>
            <w:vAlign w:val="top"/>
            <w:hideMark/>
          </w:tcPr>
          <w:p w14:paraId="75C03B86" w14:textId="77777777" w:rsidR="00590BEF" w:rsidRPr="007202FA" w:rsidRDefault="000B4F21" w:rsidP="007202FA">
            <w:pPr>
              <w:keepNext/>
              <w:rPr>
                <w:b/>
                <w:color w:val="000000"/>
                <w:sz w:val="20"/>
                <w:szCs w:val="20"/>
              </w:rPr>
            </w:pPr>
            <w:r>
              <w:rPr>
                <w:b/>
                <w:bCs/>
                <w:color w:val="000000"/>
                <w:sz w:val="20"/>
                <w:szCs w:val="20"/>
                <w:lang w:val="ga"/>
              </w:rPr>
              <w:t>Rialtas Áitiúil 2024</w:t>
            </w:r>
          </w:p>
        </w:tc>
        <w:tc>
          <w:tcPr>
            <w:tcW w:w="748" w:type="pct"/>
            <w:vAlign w:val="top"/>
            <w:hideMark/>
          </w:tcPr>
          <w:p w14:paraId="6AB873D8" w14:textId="77777777" w:rsidR="00590BEF" w:rsidRPr="007202FA" w:rsidRDefault="000B4F21" w:rsidP="007202FA">
            <w:pPr>
              <w:keepNext/>
              <w:jc w:val="right"/>
              <w:rPr>
                <w:color w:val="000000"/>
                <w:sz w:val="20"/>
                <w:szCs w:val="20"/>
              </w:rPr>
            </w:pPr>
            <w:r>
              <w:rPr>
                <w:color w:val="000000"/>
                <w:sz w:val="20"/>
                <w:szCs w:val="20"/>
                <w:lang w:val="ga"/>
              </w:rPr>
              <w:t>35,466</w:t>
            </w:r>
          </w:p>
        </w:tc>
        <w:tc>
          <w:tcPr>
            <w:tcW w:w="748" w:type="pct"/>
            <w:vAlign w:val="top"/>
            <w:hideMark/>
          </w:tcPr>
          <w:p w14:paraId="41412286" w14:textId="77777777" w:rsidR="00590BEF" w:rsidRPr="007202FA" w:rsidRDefault="000B4F21" w:rsidP="007202FA">
            <w:pPr>
              <w:keepNext/>
              <w:jc w:val="right"/>
              <w:rPr>
                <w:color w:val="000000"/>
                <w:sz w:val="20"/>
                <w:szCs w:val="20"/>
              </w:rPr>
            </w:pPr>
            <w:r>
              <w:rPr>
                <w:color w:val="000000"/>
                <w:sz w:val="20"/>
                <w:szCs w:val="20"/>
                <w:lang w:val="ga"/>
              </w:rPr>
              <w:t>2,013</w:t>
            </w:r>
          </w:p>
        </w:tc>
        <w:tc>
          <w:tcPr>
            <w:tcW w:w="748" w:type="pct"/>
            <w:vAlign w:val="top"/>
            <w:hideMark/>
          </w:tcPr>
          <w:p w14:paraId="7AD64E96" w14:textId="77777777" w:rsidR="00590BEF" w:rsidRPr="007202FA" w:rsidRDefault="000B4F21" w:rsidP="007202FA">
            <w:pPr>
              <w:keepNext/>
              <w:jc w:val="right"/>
              <w:rPr>
                <w:color w:val="000000"/>
                <w:sz w:val="20"/>
                <w:szCs w:val="20"/>
              </w:rPr>
            </w:pPr>
            <w:r>
              <w:rPr>
                <w:color w:val="000000"/>
                <w:sz w:val="20"/>
                <w:szCs w:val="20"/>
                <w:lang w:val="ga"/>
              </w:rPr>
              <w:t>5.7%</w:t>
            </w:r>
          </w:p>
        </w:tc>
        <w:tc>
          <w:tcPr>
            <w:tcW w:w="714" w:type="pct"/>
            <w:vAlign w:val="top"/>
            <w:hideMark/>
          </w:tcPr>
          <w:p w14:paraId="0A91BD84" w14:textId="77777777" w:rsidR="00590BEF" w:rsidRPr="007202FA" w:rsidRDefault="000B4F21" w:rsidP="007202FA">
            <w:pPr>
              <w:keepNext/>
              <w:jc w:val="right"/>
              <w:rPr>
                <w:color w:val="000000"/>
                <w:sz w:val="20"/>
                <w:szCs w:val="20"/>
              </w:rPr>
            </w:pPr>
            <w:r>
              <w:rPr>
                <w:color w:val="000000"/>
                <w:sz w:val="20"/>
                <w:szCs w:val="20"/>
                <w:lang w:val="ga"/>
              </w:rPr>
              <w:t>12.5%</w:t>
            </w:r>
          </w:p>
        </w:tc>
        <w:tc>
          <w:tcPr>
            <w:tcW w:w="680" w:type="pct"/>
            <w:vAlign w:val="top"/>
            <w:hideMark/>
          </w:tcPr>
          <w:p w14:paraId="14202F85" w14:textId="77777777" w:rsidR="00590BEF" w:rsidRPr="007202FA" w:rsidRDefault="000B4F21" w:rsidP="007202FA">
            <w:pPr>
              <w:keepNext/>
              <w:jc w:val="right"/>
              <w:rPr>
                <w:color w:val="000000"/>
                <w:sz w:val="20"/>
                <w:szCs w:val="20"/>
              </w:rPr>
            </w:pPr>
            <w:r>
              <w:rPr>
                <w:color w:val="000000"/>
                <w:sz w:val="20"/>
                <w:szCs w:val="20"/>
                <w:lang w:val="ga"/>
              </w:rPr>
              <w:t>77.1%</w:t>
            </w:r>
          </w:p>
        </w:tc>
        <w:tc>
          <w:tcPr>
            <w:tcW w:w="549" w:type="pct"/>
            <w:vAlign w:val="top"/>
            <w:hideMark/>
          </w:tcPr>
          <w:p w14:paraId="31CBCE7E" w14:textId="77777777" w:rsidR="00590BEF" w:rsidRPr="007202FA" w:rsidRDefault="000B4F21" w:rsidP="007202FA">
            <w:pPr>
              <w:keepNext/>
              <w:jc w:val="right"/>
              <w:rPr>
                <w:color w:val="000000"/>
                <w:sz w:val="20"/>
                <w:szCs w:val="20"/>
              </w:rPr>
            </w:pPr>
            <w:r>
              <w:rPr>
                <w:color w:val="000000"/>
                <w:sz w:val="20"/>
                <w:szCs w:val="20"/>
                <w:lang w:val="ga"/>
              </w:rPr>
              <w:t>35</w:t>
            </w:r>
          </w:p>
        </w:tc>
      </w:tr>
      <w:tr w:rsidR="00F31303" w14:paraId="4412C7A9" w14:textId="77777777" w:rsidTr="00050DC6">
        <w:trPr>
          <w:trHeight w:val="543"/>
        </w:trPr>
        <w:tc>
          <w:tcPr>
            <w:tcW w:w="812" w:type="pct"/>
            <w:vAlign w:val="top"/>
            <w:hideMark/>
          </w:tcPr>
          <w:p w14:paraId="6E0C3FC1" w14:textId="77777777" w:rsidR="00590BEF" w:rsidRPr="007202FA" w:rsidRDefault="000B4F21" w:rsidP="007202FA">
            <w:pPr>
              <w:keepNext/>
              <w:rPr>
                <w:b/>
                <w:color w:val="000000"/>
                <w:sz w:val="20"/>
                <w:szCs w:val="20"/>
              </w:rPr>
            </w:pPr>
            <w:r>
              <w:rPr>
                <w:b/>
                <w:bCs/>
                <w:color w:val="000000"/>
                <w:sz w:val="20"/>
                <w:szCs w:val="20"/>
                <w:lang w:val="ga"/>
              </w:rPr>
              <w:t>Rialtas Áitiúil 2023</w:t>
            </w:r>
          </w:p>
        </w:tc>
        <w:tc>
          <w:tcPr>
            <w:tcW w:w="748" w:type="pct"/>
            <w:vAlign w:val="top"/>
            <w:hideMark/>
          </w:tcPr>
          <w:p w14:paraId="66F6D11D" w14:textId="77777777" w:rsidR="00590BEF" w:rsidRPr="007202FA" w:rsidRDefault="000B4F21" w:rsidP="007202FA">
            <w:pPr>
              <w:keepNext/>
              <w:jc w:val="right"/>
              <w:rPr>
                <w:color w:val="000000"/>
                <w:sz w:val="20"/>
                <w:szCs w:val="20"/>
              </w:rPr>
            </w:pPr>
            <w:r>
              <w:rPr>
                <w:color w:val="000000"/>
                <w:sz w:val="20"/>
                <w:szCs w:val="20"/>
                <w:lang w:val="ga"/>
              </w:rPr>
              <w:t>34,741</w:t>
            </w:r>
          </w:p>
        </w:tc>
        <w:tc>
          <w:tcPr>
            <w:tcW w:w="748" w:type="pct"/>
            <w:vAlign w:val="top"/>
            <w:hideMark/>
          </w:tcPr>
          <w:p w14:paraId="25C12512" w14:textId="77777777" w:rsidR="00590BEF" w:rsidRPr="007202FA" w:rsidRDefault="000B4F21" w:rsidP="007202FA">
            <w:pPr>
              <w:keepNext/>
              <w:jc w:val="right"/>
              <w:rPr>
                <w:color w:val="000000"/>
                <w:sz w:val="20"/>
                <w:szCs w:val="20"/>
              </w:rPr>
            </w:pPr>
            <w:r>
              <w:rPr>
                <w:color w:val="000000"/>
                <w:sz w:val="20"/>
                <w:szCs w:val="20"/>
                <w:lang w:val="ga"/>
              </w:rPr>
              <w:t>1,777</w:t>
            </w:r>
          </w:p>
        </w:tc>
        <w:tc>
          <w:tcPr>
            <w:tcW w:w="748" w:type="pct"/>
            <w:vAlign w:val="top"/>
            <w:hideMark/>
          </w:tcPr>
          <w:p w14:paraId="7DB7EDB7" w14:textId="77777777" w:rsidR="00590BEF" w:rsidRPr="007202FA" w:rsidRDefault="000B4F21" w:rsidP="007202FA">
            <w:pPr>
              <w:keepNext/>
              <w:jc w:val="right"/>
              <w:rPr>
                <w:color w:val="000000"/>
                <w:sz w:val="20"/>
                <w:szCs w:val="20"/>
              </w:rPr>
            </w:pPr>
            <w:r>
              <w:rPr>
                <w:color w:val="000000"/>
                <w:sz w:val="20"/>
                <w:szCs w:val="20"/>
                <w:lang w:val="ga"/>
              </w:rPr>
              <w:t>5.1%</w:t>
            </w:r>
          </w:p>
        </w:tc>
        <w:tc>
          <w:tcPr>
            <w:tcW w:w="714" w:type="pct"/>
            <w:vAlign w:val="top"/>
            <w:hideMark/>
          </w:tcPr>
          <w:p w14:paraId="14277EF1" w14:textId="77777777" w:rsidR="00590BEF" w:rsidRPr="007202FA" w:rsidRDefault="000B4F21" w:rsidP="007202FA">
            <w:pPr>
              <w:keepNext/>
              <w:jc w:val="right"/>
              <w:rPr>
                <w:color w:val="000000"/>
                <w:sz w:val="20"/>
                <w:szCs w:val="20"/>
              </w:rPr>
            </w:pPr>
            <w:r>
              <w:rPr>
                <w:color w:val="000000"/>
                <w:sz w:val="20"/>
                <w:szCs w:val="20"/>
                <w:lang w:val="ga"/>
              </w:rPr>
              <w:t>12.7%</w:t>
            </w:r>
          </w:p>
        </w:tc>
        <w:tc>
          <w:tcPr>
            <w:tcW w:w="680" w:type="pct"/>
            <w:vAlign w:val="top"/>
            <w:hideMark/>
          </w:tcPr>
          <w:p w14:paraId="4A3DA7F6" w14:textId="77777777" w:rsidR="00590BEF" w:rsidRPr="007202FA" w:rsidRDefault="000B4F21" w:rsidP="007202FA">
            <w:pPr>
              <w:keepNext/>
              <w:jc w:val="right"/>
              <w:rPr>
                <w:color w:val="000000"/>
                <w:sz w:val="20"/>
                <w:szCs w:val="20"/>
              </w:rPr>
            </w:pPr>
            <w:r>
              <w:rPr>
                <w:color w:val="000000"/>
                <w:sz w:val="20"/>
                <w:szCs w:val="20"/>
                <w:lang w:val="ga"/>
              </w:rPr>
              <w:t>97.1%</w:t>
            </w:r>
          </w:p>
        </w:tc>
        <w:tc>
          <w:tcPr>
            <w:tcW w:w="549" w:type="pct"/>
            <w:vAlign w:val="top"/>
            <w:hideMark/>
          </w:tcPr>
          <w:p w14:paraId="3A615BFD" w14:textId="77777777" w:rsidR="00590BEF" w:rsidRPr="007202FA" w:rsidRDefault="000B4F21" w:rsidP="007202FA">
            <w:pPr>
              <w:keepNext/>
              <w:jc w:val="right"/>
              <w:rPr>
                <w:color w:val="000000"/>
                <w:sz w:val="20"/>
                <w:szCs w:val="20"/>
              </w:rPr>
            </w:pPr>
            <w:r>
              <w:rPr>
                <w:color w:val="000000"/>
                <w:sz w:val="20"/>
                <w:szCs w:val="20"/>
                <w:lang w:val="ga"/>
              </w:rPr>
              <w:t>35</w:t>
            </w:r>
          </w:p>
        </w:tc>
      </w:tr>
      <w:tr w:rsidR="00F31303" w14:paraId="0EBE7519" w14:textId="77777777" w:rsidTr="00050DC6">
        <w:trPr>
          <w:trHeight w:val="531"/>
        </w:trPr>
        <w:tc>
          <w:tcPr>
            <w:tcW w:w="812" w:type="pct"/>
            <w:vAlign w:val="top"/>
            <w:hideMark/>
          </w:tcPr>
          <w:p w14:paraId="1F827490" w14:textId="77777777" w:rsidR="00590BEF" w:rsidRPr="007202FA" w:rsidRDefault="000B4F21" w:rsidP="007202FA">
            <w:pPr>
              <w:keepNext/>
              <w:rPr>
                <w:b/>
                <w:color w:val="000000"/>
                <w:sz w:val="20"/>
                <w:szCs w:val="20"/>
              </w:rPr>
            </w:pPr>
            <w:r>
              <w:rPr>
                <w:b/>
                <w:bCs/>
                <w:color w:val="000000"/>
                <w:sz w:val="20"/>
                <w:szCs w:val="20"/>
                <w:lang w:val="ga"/>
              </w:rPr>
              <w:t>Athrú 2023/2024</w:t>
            </w:r>
          </w:p>
        </w:tc>
        <w:tc>
          <w:tcPr>
            <w:tcW w:w="748" w:type="pct"/>
            <w:vAlign w:val="top"/>
            <w:hideMark/>
          </w:tcPr>
          <w:p w14:paraId="6ABE8DCE" w14:textId="77777777" w:rsidR="00590BEF" w:rsidRPr="007202FA" w:rsidRDefault="000B4F21" w:rsidP="007202FA">
            <w:pPr>
              <w:keepNext/>
              <w:jc w:val="right"/>
              <w:rPr>
                <w:b/>
                <w:color w:val="000000"/>
                <w:sz w:val="20"/>
                <w:szCs w:val="20"/>
              </w:rPr>
            </w:pPr>
            <w:r>
              <w:rPr>
                <w:b/>
                <w:bCs/>
                <w:color w:val="000000"/>
                <w:sz w:val="20"/>
                <w:szCs w:val="20"/>
                <w:lang w:val="ga"/>
              </w:rPr>
              <w:t>+725</w:t>
            </w:r>
          </w:p>
        </w:tc>
        <w:tc>
          <w:tcPr>
            <w:tcW w:w="748" w:type="pct"/>
            <w:vAlign w:val="top"/>
            <w:hideMark/>
          </w:tcPr>
          <w:p w14:paraId="2B52FB58" w14:textId="77777777" w:rsidR="00590BEF" w:rsidRPr="007202FA" w:rsidRDefault="000B4F21" w:rsidP="007202FA">
            <w:pPr>
              <w:keepNext/>
              <w:jc w:val="right"/>
              <w:rPr>
                <w:b/>
                <w:color w:val="000000"/>
                <w:sz w:val="20"/>
                <w:szCs w:val="20"/>
              </w:rPr>
            </w:pPr>
            <w:r>
              <w:rPr>
                <w:b/>
                <w:bCs/>
                <w:color w:val="000000"/>
                <w:sz w:val="20"/>
                <w:szCs w:val="20"/>
                <w:lang w:val="ga"/>
              </w:rPr>
              <w:t>+236</w:t>
            </w:r>
          </w:p>
        </w:tc>
        <w:tc>
          <w:tcPr>
            <w:tcW w:w="748" w:type="pct"/>
            <w:vAlign w:val="top"/>
            <w:hideMark/>
          </w:tcPr>
          <w:p w14:paraId="29811AD7" w14:textId="77777777" w:rsidR="00590BEF" w:rsidRPr="007202FA" w:rsidRDefault="000B4F21" w:rsidP="007202FA">
            <w:pPr>
              <w:keepNext/>
              <w:jc w:val="right"/>
              <w:rPr>
                <w:b/>
                <w:color w:val="000000"/>
                <w:sz w:val="20"/>
                <w:szCs w:val="20"/>
              </w:rPr>
            </w:pPr>
            <w:r>
              <w:rPr>
                <w:b/>
                <w:bCs/>
                <w:color w:val="000000"/>
                <w:sz w:val="20"/>
                <w:szCs w:val="20"/>
                <w:lang w:val="ga"/>
              </w:rPr>
              <w:t>+0.6%</w:t>
            </w:r>
          </w:p>
        </w:tc>
        <w:tc>
          <w:tcPr>
            <w:tcW w:w="714" w:type="pct"/>
            <w:vAlign w:val="top"/>
            <w:hideMark/>
          </w:tcPr>
          <w:p w14:paraId="58EF629A" w14:textId="77777777" w:rsidR="00590BEF" w:rsidRPr="007202FA" w:rsidRDefault="000B4F21" w:rsidP="007202FA">
            <w:pPr>
              <w:keepNext/>
              <w:jc w:val="right"/>
              <w:rPr>
                <w:b/>
                <w:color w:val="000000"/>
                <w:sz w:val="20"/>
                <w:szCs w:val="20"/>
              </w:rPr>
            </w:pPr>
            <w:r>
              <w:rPr>
                <w:b/>
                <w:bCs/>
                <w:color w:val="000000"/>
                <w:sz w:val="20"/>
                <w:szCs w:val="20"/>
                <w:lang w:val="ga"/>
              </w:rPr>
              <w:t>-0.2</w:t>
            </w:r>
          </w:p>
        </w:tc>
        <w:tc>
          <w:tcPr>
            <w:tcW w:w="680" w:type="pct"/>
            <w:vAlign w:val="top"/>
            <w:hideMark/>
          </w:tcPr>
          <w:p w14:paraId="72A68622" w14:textId="77777777" w:rsidR="00590BEF" w:rsidRPr="007202FA" w:rsidRDefault="000B4F21" w:rsidP="007202FA">
            <w:pPr>
              <w:keepNext/>
              <w:jc w:val="right"/>
              <w:rPr>
                <w:b/>
                <w:color w:val="000000"/>
                <w:sz w:val="20"/>
                <w:szCs w:val="20"/>
              </w:rPr>
            </w:pPr>
            <w:r>
              <w:rPr>
                <w:b/>
                <w:bCs/>
                <w:color w:val="000000"/>
                <w:sz w:val="20"/>
                <w:szCs w:val="20"/>
                <w:lang w:val="ga"/>
              </w:rPr>
              <w:t>-20</w:t>
            </w:r>
          </w:p>
        </w:tc>
        <w:tc>
          <w:tcPr>
            <w:tcW w:w="549" w:type="pct"/>
            <w:vAlign w:val="top"/>
            <w:hideMark/>
          </w:tcPr>
          <w:p w14:paraId="7974BE89" w14:textId="77777777" w:rsidR="00590BEF" w:rsidRPr="007202FA" w:rsidRDefault="000B4F21" w:rsidP="007202FA">
            <w:pPr>
              <w:keepNext/>
              <w:jc w:val="right"/>
              <w:rPr>
                <w:b/>
                <w:color w:val="000000"/>
                <w:sz w:val="20"/>
                <w:szCs w:val="20"/>
              </w:rPr>
            </w:pPr>
            <w:r>
              <w:rPr>
                <w:b/>
                <w:bCs/>
                <w:color w:val="000000"/>
                <w:sz w:val="20"/>
                <w:szCs w:val="20"/>
                <w:lang w:val="ga"/>
              </w:rPr>
              <w:t>0</w:t>
            </w:r>
          </w:p>
        </w:tc>
      </w:tr>
      <w:tr w:rsidR="00F31303" w14:paraId="30D2CE11" w14:textId="77777777" w:rsidTr="00050DC6">
        <w:trPr>
          <w:trHeight w:val="265"/>
        </w:trPr>
        <w:tc>
          <w:tcPr>
            <w:tcW w:w="5000" w:type="pct"/>
            <w:gridSpan w:val="7"/>
          </w:tcPr>
          <w:p w14:paraId="5DA22784" w14:textId="77777777" w:rsidR="00050DC6" w:rsidRPr="007202FA" w:rsidRDefault="00050DC6" w:rsidP="007202FA">
            <w:pPr>
              <w:keepNext/>
              <w:rPr>
                <w:color w:val="000000"/>
                <w:sz w:val="20"/>
                <w:szCs w:val="20"/>
              </w:rPr>
            </w:pPr>
          </w:p>
        </w:tc>
      </w:tr>
      <w:tr w:rsidR="00F31303" w14:paraId="23981717" w14:textId="77777777" w:rsidTr="00050DC6">
        <w:trPr>
          <w:trHeight w:val="543"/>
        </w:trPr>
        <w:tc>
          <w:tcPr>
            <w:tcW w:w="812" w:type="pct"/>
            <w:vAlign w:val="top"/>
            <w:hideMark/>
          </w:tcPr>
          <w:p w14:paraId="22383739" w14:textId="77777777" w:rsidR="00590BEF" w:rsidRPr="007202FA" w:rsidRDefault="000B4F21" w:rsidP="007202FA">
            <w:pPr>
              <w:keepNext/>
              <w:rPr>
                <w:b/>
                <w:color w:val="000000"/>
                <w:sz w:val="20"/>
                <w:szCs w:val="20"/>
              </w:rPr>
            </w:pPr>
            <w:r>
              <w:rPr>
                <w:b/>
                <w:bCs/>
                <w:color w:val="000000"/>
                <w:sz w:val="20"/>
                <w:szCs w:val="20"/>
                <w:lang w:val="ga"/>
              </w:rPr>
              <w:t>Comhlacht Neamhthráchtála 2024</w:t>
            </w:r>
          </w:p>
        </w:tc>
        <w:tc>
          <w:tcPr>
            <w:tcW w:w="748" w:type="pct"/>
            <w:vAlign w:val="top"/>
            <w:hideMark/>
          </w:tcPr>
          <w:p w14:paraId="61AB3F66" w14:textId="77777777" w:rsidR="00590BEF" w:rsidRPr="007202FA" w:rsidRDefault="000B4F21" w:rsidP="007202FA">
            <w:pPr>
              <w:jc w:val="right"/>
              <w:rPr>
                <w:rFonts w:cs="Arial"/>
                <w:bCs/>
                <w:color w:val="000000"/>
                <w:sz w:val="20"/>
                <w:szCs w:val="20"/>
              </w:rPr>
            </w:pPr>
            <w:r>
              <w:rPr>
                <w:rFonts w:cs="Arial"/>
                <w:color w:val="000000"/>
                <w:sz w:val="20"/>
                <w:szCs w:val="20"/>
                <w:lang w:val="ga"/>
              </w:rPr>
              <w:t>153,405</w:t>
            </w:r>
          </w:p>
        </w:tc>
        <w:tc>
          <w:tcPr>
            <w:tcW w:w="748" w:type="pct"/>
            <w:vAlign w:val="top"/>
            <w:hideMark/>
          </w:tcPr>
          <w:p w14:paraId="01AC2704" w14:textId="77777777" w:rsidR="00590BEF" w:rsidRPr="007202FA" w:rsidRDefault="000B4F21" w:rsidP="007202FA">
            <w:pPr>
              <w:jc w:val="right"/>
              <w:rPr>
                <w:rFonts w:cs="Arial"/>
                <w:bCs/>
                <w:color w:val="000000"/>
                <w:sz w:val="20"/>
                <w:szCs w:val="20"/>
              </w:rPr>
            </w:pPr>
            <w:r>
              <w:rPr>
                <w:rFonts w:cs="Arial"/>
                <w:color w:val="000000"/>
                <w:sz w:val="20"/>
                <w:szCs w:val="20"/>
                <w:lang w:val="ga"/>
              </w:rPr>
              <w:t>6,079</w:t>
            </w:r>
          </w:p>
        </w:tc>
        <w:tc>
          <w:tcPr>
            <w:tcW w:w="748" w:type="pct"/>
            <w:vAlign w:val="top"/>
            <w:hideMark/>
          </w:tcPr>
          <w:p w14:paraId="44617AB4" w14:textId="77777777" w:rsidR="00590BEF" w:rsidRPr="007202FA" w:rsidRDefault="000B4F21" w:rsidP="007202FA">
            <w:pPr>
              <w:keepNext/>
              <w:jc w:val="right"/>
              <w:rPr>
                <w:color w:val="000000"/>
                <w:sz w:val="20"/>
                <w:szCs w:val="20"/>
              </w:rPr>
            </w:pPr>
            <w:r>
              <w:rPr>
                <w:color w:val="000000"/>
                <w:sz w:val="20"/>
                <w:szCs w:val="20"/>
                <w:lang w:val="ga"/>
              </w:rPr>
              <w:t>4.0%</w:t>
            </w:r>
          </w:p>
        </w:tc>
        <w:tc>
          <w:tcPr>
            <w:tcW w:w="714" w:type="pct"/>
            <w:vAlign w:val="top"/>
            <w:hideMark/>
          </w:tcPr>
          <w:p w14:paraId="6AAD1259" w14:textId="77777777" w:rsidR="00590BEF" w:rsidRPr="007202FA" w:rsidRDefault="000B4F21" w:rsidP="007202FA">
            <w:pPr>
              <w:keepNext/>
              <w:jc w:val="right"/>
              <w:rPr>
                <w:color w:val="000000"/>
                <w:sz w:val="20"/>
                <w:szCs w:val="20"/>
              </w:rPr>
            </w:pPr>
            <w:r>
              <w:rPr>
                <w:color w:val="000000"/>
                <w:sz w:val="20"/>
                <w:szCs w:val="20"/>
                <w:lang w:val="ga"/>
              </w:rPr>
              <w:t>54.1%</w:t>
            </w:r>
          </w:p>
        </w:tc>
        <w:tc>
          <w:tcPr>
            <w:tcW w:w="680" w:type="pct"/>
            <w:vAlign w:val="top"/>
            <w:hideMark/>
          </w:tcPr>
          <w:p w14:paraId="0CA5D1B4" w14:textId="77777777" w:rsidR="00590BEF" w:rsidRPr="007202FA" w:rsidRDefault="000B4F21" w:rsidP="007202FA">
            <w:pPr>
              <w:keepNext/>
              <w:spacing w:line="360" w:lineRule="auto"/>
              <w:jc w:val="right"/>
              <w:rPr>
                <w:color w:val="000000"/>
                <w:sz w:val="20"/>
                <w:szCs w:val="20"/>
              </w:rPr>
            </w:pPr>
            <w:r>
              <w:rPr>
                <w:color w:val="000000"/>
                <w:sz w:val="20"/>
                <w:szCs w:val="20"/>
                <w:lang w:val="ga"/>
              </w:rPr>
              <w:t>83.7%</w:t>
            </w:r>
          </w:p>
        </w:tc>
        <w:tc>
          <w:tcPr>
            <w:tcW w:w="549" w:type="pct"/>
            <w:vAlign w:val="top"/>
            <w:hideMark/>
          </w:tcPr>
          <w:p w14:paraId="506A930C" w14:textId="77777777" w:rsidR="00590BEF" w:rsidRPr="007202FA" w:rsidRDefault="000B4F21" w:rsidP="007202FA">
            <w:pPr>
              <w:keepNext/>
              <w:jc w:val="right"/>
              <w:rPr>
                <w:color w:val="000000"/>
                <w:sz w:val="20"/>
                <w:szCs w:val="20"/>
              </w:rPr>
            </w:pPr>
            <w:r>
              <w:rPr>
                <w:color w:val="000000"/>
                <w:sz w:val="20"/>
                <w:szCs w:val="20"/>
                <w:lang w:val="ga"/>
              </w:rPr>
              <w:t>92</w:t>
            </w:r>
          </w:p>
        </w:tc>
      </w:tr>
      <w:tr w:rsidR="00F31303" w14:paraId="6F6F96CF" w14:textId="77777777" w:rsidTr="00050DC6">
        <w:trPr>
          <w:trHeight w:val="531"/>
        </w:trPr>
        <w:tc>
          <w:tcPr>
            <w:tcW w:w="812" w:type="pct"/>
            <w:vAlign w:val="top"/>
            <w:hideMark/>
          </w:tcPr>
          <w:p w14:paraId="1CBA9E21" w14:textId="77777777" w:rsidR="00590BEF" w:rsidRPr="007202FA" w:rsidRDefault="000B4F21" w:rsidP="007202FA">
            <w:pPr>
              <w:keepNext/>
              <w:rPr>
                <w:b/>
                <w:color w:val="000000"/>
                <w:sz w:val="20"/>
                <w:szCs w:val="20"/>
              </w:rPr>
            </w:pPr>
            <w:r>
              <w:rPr>
                <w:b/>
                <w:bCs/>
                <w:color w:val="000000"/>
                <w:sz w:val="20"/>
                <w:szCs w:val="20"/>
                <w:lang w:val="ga"/>
              </w:rPr>
              <w:t>Comhlacht Neamhthráchtála 2023</w:t>
            </w:r>
          </w:p>
        </w:tc>
        <w:tc>
          <w:tcPr>
            <w:tcW w:w="748" w:type="pct"/>
            <w:vAlign w:val="top"/>
            <w:hideMark/>
          </w:tcPr>
          <w:p w14:paraId="3E512A7C" w14:textId="77777777" w:rsidR="00590BEF" w:rsidRPr="007202FA" w:rsidRDefault="000B4F21" w:rsidP="007202FA">
            <w:pPr>
              <w:jc w:val="right"/>
              <w:rPr>
                <w:rFonts w:cs="Arial"/>
                <w:bCs/>
                <w:color w:val="000000"/>
                <w:sz w:val="20"/>
                <w:szCs w:val="20"/>
              </w:rPr>
            </w:pPr>
            <w:r>
              <w:rPr>
                <w:rFonts w:cs="Arial"/>
                <w:color w:val="000000"/>
                <w:sz w:val="20"/>
                <w:szCs w:val="20"/>
                <w:lang w:val="ga"/>
              </w:rPr>
              <w:t>152,094</w:t>
            </w:r>
          </w:p>
        </w:tc>
        <w:tc>
          <w:tcPr>
            <w:tcW w:w="748" w:type="pct"/>
            <w:vAlign w:val="top"/>
            <w:hideMark/>
          </w:tcPr>
          <w:p w14:paraId="4AD7B05C" w14:textId="77777777" w:rsidR="00590BEF" w:rsidRPr="007202FA" w:rsidRDefault="000B4F21" w:rsidP="007202FA">
            <w:pPr>
              <w:jc w:val="right"/>
              <w:rPr>
                <w:rFonts w:cs="Arial"/>
                <w:bCs/>
                <w:color w:val="000000"/>
                <w:sz w:val="20"/>
                <w:szCs w:val="20"/>
              </w:rPr>
            </w:pPr>
            <w:r>
              <w:rPr>
                <w:rFonts w:cs="Arial"/>
                <w:color w:val="000000"/>
                <w:sz w:val="20"/>
                <w:szCs w:val="20"/>
                <w:lang w:val="ga"/>
              </w:rPr>
              <w:t>4,357</w:t>
            </w:r>
          </w:p>
        </w:tc>
        <w:tc>
          <w:tcPr>
            <w:tcW w:w="748" w:type="pct"/>
            <w:vAlign w:val="top"/>
            <w:hideMark/>
          </w:tcPr>
          <w:p w14:paraId="4F95A70B" w14:textId="77777777" w:rsidR="00590BEF" w:rsidRPr="007202FA" w:rsidRDefault="000B4F21" w:rsidP="007202FA">
            <w:pPr>
              <w:keepNext/>
              <w:jc w:val="right"/>
              <w:rPr>
                <w:color w:val="000000"/>
                <w:sz w:val="20"/>
                <w:szCs w:val="20"/>
              </w:rPr>
            </w:pPr>
            <w:r>
              <w:rPr>
                <w:color w:val="000000"/>
                <w:sz w:val="20"/>
                <w:szCs w:val="20"/>
                <w:lang w:val="ga"/>
              </w:rPr>
              <w:t>2.9%</w:t>
            </w:r>
          </w:p>
        </w:tc>
        <w:tc>
          <w:tcPr>
            <w:tcW w:w="714" w:type="pct"/>
            <w:vAlign w:val="top"/>
            <w:hideMark/>
          </w:tcPr>
          <w:p w14:paraId="3B3620DF" w14:textId="77777777" w:rsidR="00590BEF" w:rsidRPr="007202FA" w:rsidRDefault="000B4F21" w:rsidP="007202FA">
            <w:pPr>
              <w:keepNext/>
              <w:jc w:val="right"/>
              <w:rPr>
                <w:color w:val="000000"/>
                <w:sz w:val="20"/>
                <w:szCs w:val="20"/>
              </w:rPr>
            </w:pPr>
            <w:r>
              <w:rPr>
                <w:color w:val="000000"/>
                <w:sz w:val="20"/>
                <w:szCs w:val="20"/>
                <w:lang w:val="ga"/>
              </w:rPr>
              <w:t>55.6%</w:t>
            </w:r>
          </w:p>
        </w:tc>
        <w:tc>
          <w:tcPr>
            <w:tcW w:w="680" w:type="pct"/>
            <w:vAlign w:val="top"/>
            <w:hideMark/>
          </w:tcPr>
          <w:p w14:paraId="2697D69E" w14:textId="77777777" w:rsidR="00590BEF" w:rsidRPr="007202FA" w:rsidRDefault="000B4F21" w:rsidP="007202FA">
            <w:pPr>
              <w:keepNext/>
              <w:jc w:val="right"/>
              <w:rPr>
                <w:color w:val="000000"/>
                <w:sz w:val="20"/>
                <w:szCs w:val="20"/>
              </w:rPr>
            </w:pPr>
            <w:r>
              <w:rPr>
                <w:color w:val="000000"/>
                <w:sz w:val="20"/>
                <w:szCs w:val="20"/>
                <w:lang w:val="ga"/>
              </w:rPr>
              <w:t>90.1%</w:t>
            </w:r>
          </w:p>
        </w:tc>
        <w:tc>
          <w:tcPr>
            <w:tcW w:w="549" w:type="pct"/>
            <w:vAlign w:val="top"/>
            <w:hideMark/>
          </w:tcPr>
          <w:p w14:paraId="2A112971" w14:textId="77777777" w:rsidR="00590BEF" w:rsidRPr="007202FA" w:rsidRDefault="000B4F21" w:rsidP="007202FA">
            <w:pPr>
              <w:keepNext/>
              <w:jc w:val="right"/>
              <w:rPr>
                <w:color w:val="000000"/>
                <w:sz w:val="20"/>
                <w:szCs w:val="20"/>
              </w:rPr>
            </w:pPr>
            <w:r>
              <w:rPr>
                <w:color w:val="000000"/>
                <w:sz w:val="20"/>
                <w:szCs w:val="20"/>
                <w:lang w:val="ga"/>
              </w:rPr>
              <w:t>91</w:t>
            </w:r>
          </w:p>
        </w:tc>
      </w:tr>
      <w:tr w:rsidR="00F31303" w14:paraId="74A88764" w14:textId="77777777" w:rsidTr="00050DC6">
        <w:trPr>
          <w:trHeight w:val="531"/>
        </w:trPr>
        <w:tc>
          <w:tcPr>
            <w:tcW w:w="812" w:type="pct"/>
            <w:vAlign w:val="top"/>
            <w:hideMark/>
          </w:tcPr>
          <w:p w14:paraId="26F97D56" w14:textId="77777777" w:rsidR="00590BEF" w:rsidRPr="007202FA" w:rsidRDefault="000B4F21" w:rsidP="007202FA">
            <w:pPr>
              <w:keepNext/>
              <w:rPr>
                <w:b/>
                <w:color w:val="000000"/>
                <w:sz w:val="20"/>
                <w:szCs w:val="20"/>
              </w:rPr>
            </w:pPr>
            <w:r>
              <w:rPr>
                <w:b/>
                <w:bCs/>
                <w:color w:val="000000"/>
                <w:sz w:val="20"/>
                <w:szCs w:val="20"/>
                <w:lang w:val="ga"/>
              </w:rPr>
              <w:t>Athrú 2023/2024</w:t>
            </w:r>
          </w:p>
        </w:tc>
        <w:tc>
          <w:tcPr>
            <w:tcW w:w="748" w:type="pct"/>
            <w:vAlign w:val="top"/>
            <w:hideMark/>
          </w:tcPr>
          <w:p w14:paraId="4C4A02B7" w14:textId="77777777" w:rsidR="00590BEF" w:rsidRPr="007202FA" w:rsidRDefault="000B4F21" w:rsidP="007202FA">
            <w:pPr>
              <w:keepNext/>
              <w:jc w:val="right"/>
              <w:rPr>
                <w:b/>
                <w:color w:val="000000"/>
                <w:sz w:val="20"/>
                <w:szCs w:val="20"/>
              </w:rPr>
            </w:pPr>
            <w:r>
              <w:rPr>
                <w:b/>
                <w:bCs/>
                <w:color w:val="000000"/>
                <w:sz w:val="20"/>
                <w:szCs w:val="20"/>
                <w:lang w:val="ga"/>
              </w:rPr>
              <w:t>+1,311</w:t>
            </w:r>
          </w:p>
        </w:tc>
        <w:tc>
          <w:tcPr>
            <w:tcW w:w="748" w:type="pct"/>
            <w:vAlign w:val="top"/>
            <w:hideMark/>
          </w:tcPr>
          <w:p w14:paraId="4E570258" w14:textId="77777777" w:rsidR="00590BEF" w:rsidRPr="007202FA" w:rsidRDefault="000B4F21" w:rsidP="007202FA">
            <w:pPr>
              <w:keepNext/>
              <w:jc w:val="right"/>
              <w:rPr>
                <w:b/>
                <w:color w:val="000000"/>
                <w:sz w:val="20"/>
                <w:szCs w:val="20"/>
              </w:rPr>
            </w:pPr>
            <w:r>
              <w:rPr>
                <w:b/>
                <w:bCs/>
                <w:color w:val="000000"/>
                <w:sz w:val="20"/>
                <w:szCs w:val="20"/>
                <w:lang w:val="ga"/>
              </w:rPr>
              <w:t>+1,722</w:t>
            </w:r>
          </w:p>
        </w:tc>
        <w:tc>
          <w:tcPr>
            <w:tcW w:w="748" w:type="pct"/>
            <w:vAlign w:val="top"/>
            <w:hideMark/>
          </w:tcPr>
          <w:p w14:paraId="7B01B7F7" w14:textId="77777777" w:rsidR="00590BEF" w:rsidRPr="007202FA" w:rsidRDefault="000B4F21" w:rsidP="007202FA">
            <w:pPr>
              <w:keepNext/>
              <w:jc w:val="right"/>
              <w:rPr>
                <w:b/>
                <w:color w:val="000000"/>
                <w:sz w:val="20"/>
                <w:szCs w:val="20"/>
              </w:rPr>
            </w:pPr>
            <w:r>
              <w:rPr>
                <w:b/>
                <w:bCs/>
                <w:color w:val="000000"/>
                <w:sz w:val="20"/>
                <w:szCs w:val="20"/>
                <w:lang w:val="ga"/>
              </w:rPr>
              <w:t>+1.1</w:t>
            </w:r>
          </w:p>
        </w:tc>
        <w:tc>
          <w:tcPr>
            <w:tcW w:w="714" w:type="pct"/>
            <w:vAlign w:val="top"/>
            <w:hideMark/>
          </w:tcPr>
          <w:p w14:paraId="0BFB824F" w14:textId="77777777" w:rsidR="00590BEF" w:rsidRPr="007202FA" w:rsidRDefault="000B4F21" w:rsidP="007202FA">
            <w:pPr>
              <w:keepNext/>
              <w:jc w:val="right"/>
              <w:rPr>
                <w:b/>
                <w:color w:val="000000"/>
                <w:sz w:val="20"/>
                <w:szCs w:val="20"/>
              </w:rPr>
            </w:pPr>
            <w:r>
              <w:rPr>
                <w:b/>
                <w:bCs/>
                <w:color w:val="000000"/>
                <w:sz w:val="20"/>
                <w:szCs w:val="20"/>
                <w:lang w:val="ga"/>
              </w:rPr>
              <w:t>-1.5</w:t>
            </w:r>
          </w:p>
        </w:tc>
        <w:tc>
          <w:tcPr>
            <w:tcW w:w="680" w:type="pct"/>
            <w:vAlign w:val="top"/>
            <w:hideMark/>
          </w:tcPr>
          <w:p w14:paraId="4AC2C2AD" w14:textId="77777777" w:rsidR="00590BEF" w:rsidRPr="007202FA" w:rsidRDefault="000B4F21" w:rsidP="007202FA">
            <w:pPr>
              <w:keepNext/>
              <w:jc w:val="right"/>
              <w:rPr>
                <w:b/>
                <w:color w:val="000000"/>
                <w:sz w:val="20"/>
                <w:szCs w:val="20"/>
              </w:rPr>
            </w:pPr>
            <w:r>
              <w:rPr>
                <w:b/>
                <w:bCs/>
                <w:color w:val="000000"/>
                <w:sz w:val="20"/>
                <w:szCs w:val="20"/>
                <w:lang w:val="ga"/>
              </w:rPr>
              <w:t>-6.4</w:t>
            </w:r>
          </w:p>
        </w:tc>
        <w:tc>
          <w:tcPr>
            <w:tcW w:w="549" w:type="pct"/>
            <w:vAlign w:val="top"/>
            <w:hideMark/>
          </w:tcPr>
          <w:p w14:paraId="2CB3469C" w14:textId="77777777" w:rsidR="00590BEF" w:rsidRPr="007202FA" w:rsidRDefault="000B4F21" w:rsidP="007202FA">
            <w:pPr>
              <w:keepNext/>
              <w:jc w:val="right"/>
              <w:rPr>
                <w:b/>
                <w:color w:val="000000"/>
                <w:sz w:val="20"/>
                <w:szCs w:val="20"/>
              </w:rPr>
            </w:pPr>
            <w:r>
              <w:rPr>
                <w:b/>
                <w:bCs/>
                <w:color w:val="000000"/>
                <w:sz w:val="20"/>
                <w:szCs w:val="20"/>
                <w:lang w:val="ga"/>
              </w:rPr>
              <w:t>+1</w:t>
            </w:r>
          </w:p>
        </w:tc>
      </w:tr>
      <w:tr w:rsidR="00F31303" w14:paraId="55D3BF0E" w14:textId="77777777" w:rsidTr="00C76B28">
        <w:trPr>
          <w:trHeight w:val="277"/>
        </w:trPr>
        <w:tc>
          <w:tcPr>
            <w:tcW w:w="5000" w:type="pct"/>
            <w:gridSpan w:val="7"/>
          </w:tcPr>
          <w:p w14:paraId="005EF46E" w14:textId="77777777" w:rsidR="00590BEF" w:rsidRPr="007202FA" w:rsidRDefault="00590BEF" w:rsidP="007202FA">
            <w:pPr>
              <w:keepNext/>
              <w:rPr>
                <w:color w:val="000000"/>
                <w:sz w:val="20"/>
                <w:szCs w:val="20"/>
              </w:rPr>
            </w:pPr>
          </w:p>
        </w:tc>
      </w:tr>
      <w:tr w:rsidR="00F31303" w14:paraId="21753283" w14:textId="77777777" w:rsidTr="00050DC6">
        <w:trPr>
          <w:trHeight w:val="265"/>
        </w:trPr>
        <w:tc>
          <w:tcPr>
            <w:tcW w:w="812" w:type="pct"/>
            <w:vAlign w:val="top"/>
            <w:hideMark/>
          </w:tcPr>
          <w:p w14:paraId="3755648A" w14:textId="77777777" w:rsidR="00590BEF" w:rsidRPr="007202FA" w:rsidRDefault="000B4F21" w:rsidP="007202FA">
            <w:pPr>
              <w:keepNext/>
              <w:rPr>
                <w:b/>
                <w:color w:val="000000"/>
                <w:sz w:val="20"/>
                <w:szCs w:val="20"/>
              </w:rPr>
            </w:pPr>
            <w:r>
              <w:rPr>
                <w:b/>
                <w:bCs/>
                <w:color w:val="000000"/>
                <w:sz w:val="20"/>
                <w:szCs w:val="20"/>
                <w:lang w:val="ga"/>
              </w:rPr>
              <w:t>Comhlachtaí Poiblí a bhfuil Státseirbhísigh mar Fhoireann dóibh 2024</w:t>
            </w:r>
          </w:p>
        </w:tc>
        <w:tc>
          <w:tcPr>
            <w:tcW w:w="748" w:type="pct"/>
            <w:vAlign w:val="top"/>
            <w:hideMark/>
          </w:tcPr>
          <w:p w14:paraId="61FECBEF" w14:textId="77777777" w:rsidR="00590BEF" w:rsidRPr="007202FA" w:rsidRDefault="000B4F21" w:rsidP="007202FA">
            <w:pPr>
              <w:keepNext/>
              <w:jc w:val="right"/>
              <w:rPr>
                <w:color w:val="000000"/>
                <w:sz w:val="20"/>
                <w:szCs w:val="20"/>
              </w:rPr>
            </w:pPr>
            <w:r>
              <w:rPr>
                <w:color w:val="000000"/>
                <w:sz w:val="20"/>
                <w:szCs w:val="20"/>
                <w:lang w:val="ga"/>
              </w:rPr>
              <w:t>22,408</w:t>
            </w:r>
          </w:p>
        </w:tc>
        <w:tc>
          <w:tcPr>
            <w:tcW w:w="748" w:type="pct"/>
            <w:vAlign w:val="top"/>
            <w:hideMark/>
          </w:tcPr>
          <w:p w14:paraId="06E28CCF" w14:textId="77777777" w:rsidR="00590BEF" w:rsidRPr="007202FA" w:rsidRDefault="000B4F21" w:rsidP="007202FA">
            <w:pPr>
              <w:keepNext/>
              <w:jc w:val="right"/>
              <w:rPr>
                <w:color w:val="000000"/>
                <w:sz w:val="20"/>
                <w:szCs w:val="20"/>
              </w:rPr>
            </w:pPr>
            <w:r>
              <w:rPr>
                <w:color w:val="000000"/>
                <w:sz w:val="20"/>
                <w:szCs w:val="20"/>
                <w:lang w:val="ga"/>
              </w:rPr>
              <w:t>1,823</w:t>
            </w:r>
          </w:p>
        </w:tc>
        <w:tc>
          <w:tcPr>
            <w:tcW w:w="748" w:type="pct"/>
            <w:vAlign w:val="top"/>
            <w:hideMark/>
          </w:tcPr>
          <w:p w14:paraId="3C4093C7" w14:textId="77777777" w:rsidR="00590BEF" w:rsidRPr="007202FA" w:rsidRDefault="000B4F21" w:rsidP="007202FA">
            <w:pPr>
              <w:keepNext/>
              <w:jc w:val="right"/>
              <w:rPr>
                <w:color w:val="000000"/>
                <w:sz w:val="20"/>
                <w:szCs w:val="20"/>
              </w:rPr>
            </w:pPr>
            <w:r>
              <w:rPr>
                <w:color w:val="000000"/>
                <w:sz w:val="20"/>
                <w:szCs w:val="20"/>
                <w:lang w:val="ga"/>
              </w:rPr>
              <w:t>8.1%</w:t>
            </w:r>
          </w:p>
        </w:tc>
        <w:tc>
          <w:tcPr>
            <w:tcW w:w="714" w:type="pct"/>
            <w:vAlign w:val="top"/>
            <w:hideMark/>
          </w:tcPr>
          <w:p w14:paraId="14720413" w14:textId="77777777" w:rsidR="00590BEF" w:rsidRPr="007202FA" w:rsidRDefault="000B4F21" w:rsidP="007202FA">
            <w:pPr>
              <w:keepNext/>
              <w:jc w:val="right"/>
              <w:rPr>
                <w:color w:val="000000"/>
                <w:sz w:val="20"/>
                <w:szCs w:val="20"/>
              </w:rPr>
            </w:pPr>
            <w:r>
              <w:rPr>
                <w:color w:val="000000"/>
                <w:sz w:val="20"/>
                <w:szCs w:val="20"/>
                <w:lang w:val="ga"/>
              </w:rPr>
              <w:t>7.9%</w:t>
            </w:r>
          </w:p>
        </w:tc>
        <w:tc>
          <w:tcPr>
            <w:tcW w:w="680" w:type="pct"/>
            <w:vAlign w:val="top"/>
            <w:hideMark/>
          </w:tcPr>
          <w:p w14:paraId="75130B04" w14:textId="77777777" w:rsidR="00590BEF" w:rsidRPr="007202FA" w:rsidRDefault="000B4F21" w:rsidP="007202FA">
            <w:pPr>
              <w:keepNext/>
              <w:jc w:val="right"/>
              <w:rPr>
                <w:color w:val="000000"/>
                <w:sz w:val="20"/>
                <w:szCs w:val="20"/>
              </w:rPr>
            </w:pPr>
            <w:r>
              <w:rPr>
                <w:color w:val="000000"/>
                <w:sz w:val="20"/>
                <w:szCs w:val="20"/>
                <w:lang w:val="ga"/>
              </w:rPr>
              <w:t>88.6%</w:t>
            </w:r>
          </w:p>
        </w:tc>
        <w:tc>
          <w:tcPr>
            <w:tcW w:w="549" w:type="pct"/>
            <w:vAlign w:val="top"/>
            <w:hideMark/>
          </w:tcPr>
          <w:p w14:paraId="769A888B" w14:textId="77777777" w:rsidR="00590BEF" w:rsidRPr="007202FA" w:rsidRDefault="000B4F21" w:rsidP="007202FA">
            <w:pPr>
              <w:keepNext/>
              <w:jc w:val="right"/>
              <w:rPr>
                <w:color w:val="000000"/>
                <w:sz w:val="20"/>
                <w:szCs w:val="20"/>
              </w:rPr>
            </w:pPr>
            <w:r>
              <w:rPr>
                <w:color w:val="000000"/>
                <w:sz w:val="20"/>
                <w:szCs w:val="20"/>
                <w:lang w:val="ga"/>
              </w:rPr>
              <w:t>44</w:t>
            </w:r>
          </w:p>
        </w:tc>
      </w:tr>
      <w:tr w:rsidR="00F31303" w14:paraId="04ED916C" w14:textId="77777777" w:rsidTr="00050DC6">
        <w:trPr>
          <w:trHeight w:val="265"/>
        </w:trPr>
        <w:tc>
          <w:tcPr>
            <w:tcW w:w="812" w:type="pct"/>
            <w:vAlign w:val="top"/>
            <w:hideMark/>
          </w:tcPr>
          <w:p w14:paraId="281F825D" w14:textId="77777777" w:rsidR="00590BEF" w:rsidRPr="007202FA" w:rsidRDefault="000B4F21" w:rsidP="007202FA">
            <w:pPr>
              <w:keepNext/>
              <w:rPr>
                <w:b/>
                <w:color w:val="000000"/>
                <w:sz w:val="20"/>
                <w:szCs w:val="20"/>
              </w:rPr>
            </w:pPr>
            <w:r>
              <w:rPr>
                <w:b/>
                <w:bCs/>
                <w:color w:val="000000"/>
                <w:sz w:val="20"/>
                <w:szCs w:val="20"/>
                <w:lang w:val="ga"/>
              </w:rPr>
              <w:t>Comhlachtaí Poiblí a bhfuil Státseirbhísigh mar Fhoireann dóibh 2023</w:t>
            </w:r>
          </w:p>
        </w:tc>
        <w:tc>
          <w:tcPr>
            <w:tcW w:w="748" w:type="pct"/>
            <w:vAlign w:val="top"/>
            <w:hideMark/>
          </w:tcPr>
          <w:p w14:paraId="5BD8FB28" w14:textId="77777777" w:rsidR="00590BEF" w:rsidRPr="007202FA" w:rsidRDefault="000B4F21" w:rsidP="007202FA">
            <w:pPr>
              <w:keepNext/>
              <w:jc w:val="right"/>
              <w:rPr>
                <w:color w:val="000000"/>
                <w:sz w:val="20"/>
                <w:szCs w:val="20"/>
              </w:rPr>
            </w:pPr>
            <w:r>
              <w:rPr>
                <w:color w:val="000000"/>
                <w:sz w:val="20"/>
                <w:szCs w:val="20"/>
                <w:lang w:val="ga"/>
              </w:rPr>
              <w:t>17,981</w:t>
            </w:r>
          </w:p>
        </w:tc>
        <w:tc>
          <w:tcPr>
            <w:tcW w:w="748" w:type="pct"/>
            <w:vAlign w:val="top"/>
            <w:hideMark/>
          </w:tcPr>
          <w:p w14:paraId="2E281169" w14:textId="77777777" w:rsidR="00590BEF" w:rsidRPr="007202FA" w:rsidRDefault="000B4F21" w:rsidP="007202FA">
            <w:pPr>
              <w:keepNext/>
              <w:jc w:val="right"/>
              <w:rPr>
                <w:color w:val="000000"/>
                <w:sz w:val="20"/>
                <w:szCs w:val="20"/>
              </w:rPr>
            </w:pPr>
            <w:r>
              <w:rPr>
                <w:color w:val="000000"/>
                <w:sz w:val="20"/>
                <w:szCs w:val="20"/>
                <w:lang w:val="ga"/>
              </w:rPr>
              <w:t>1,256</w:t>
            </w:r>
          </w:p>
        </w:tc>
        <w:tc>
          <w:tcPr>
            <w:tcW w:w="748" w:type="pct"/>
            <w:vAlign w:val="top"/>
            <w:hideMark/>
          </w:tcPr>
          <w:p w14:paraId="5230C7DA" w14:textId="77777777" w:rsidR="00590BEF" w:rsidRPr="007202FA" w:rsidRDefault="000B4F21" w:rsidP="007202FA">
            <w:pPr>
              <w:keepNext/>
              <w:jc w:val="right"/>
              <w:rPr>
                <w:color w:val="000000"/>
                <w:sz w:val="20"/>
                <w:szCs w:val="20"/>
              </w:rPr>
            </w:pPr>
            <w:r>
              <w:rPr>
                <w:color w:val="000000"/>
                <w:sz w:val="20"/>
                <w:szCs w:val="20"/>
                <w:lang w:val="ga"/>
              </w:rPr>
              <w:t>7.0%</w:t>
            </w:r>
          </w:p>
        </w:tc>
        <w:tc>
          <w:tcPr>
            <w:tcW w:w="714" w:type="pct"/>
            <w:vAlign w:val="top"/>
            <w:hideMark/>
          </w:tcPr>
          <w:p w14:paraId="346FE6D0" w14:textId="77777777" w:rsidR="00590BEF" w:rsidRPr="007202FA" w:rsidRDefault="000B4F21" w:rsidP="007202FA">
            <w:pPr>
              <w:keepNext/>
              <w:jc w:val="right"/>
              <w:rPr>
                <w:color w:val="000000"/>
                <w:sz w:val="20"/>
                <w:szCs w:val="20"/>
              </w:rPr>
            </w:pPr>
            <w:r>
              <w:rPr>
                <w:color w:val="000000"/>
                <w:sz w:val="20"/>
                <w:szCs w:val="20"/>
                <w:lang w:val="ga"/>
              </w:rPr>
              <w:t>6.6%</w:t>
            </w:r>
          </w:p>
        </w:tc>
        <w:tc>
          <w:tcPr>
            <w:tcW w:w="680" w:type="pct"/>
            <w:vAlign w:val="top"/>
            <w:hideMark/>
          </w:tcPr>
          <w:p w14:paraId="43F693A0" w14:textId="77777777" w:rsidR="00590BEF" w:rsidRPr="007202FA" w:rsidRDefault="000B4F21" w:rsidP="007202FA">
            <w:pPr>
              <w:keepNext/>
              <w:jc w:val="right"/>
              <w:rPr>
                <w:color w:val="000000"/>
                <w:sz w:val="20"/>
                <w:szCs w:val="20"/>
              </w:rPr>
            </w:pPr>
            <w:r>
              <w:rPr>
                <w:color w:val="000000"/>
                <w:sz w:val="20"/>
                <w:szCs w:val="20"/>
                <w:lang w:val="ga"/>
              </w:rPr>
              <w:t>82.1%</w:t>
            </w:r>
          </w:p>
        </w:tc>
        <w:tc>
          <w:tcPr>
            <w:tcW w:w="549" w:type="pct"/>
            <w:vAlign w:val="top"/>
            <w:hideMark/>
          </w:tcPr>
          <w:p w14:paraId="658A47B3" w14:textId="77777777" w:rsidR="00590BEF" w:rsidRPr="007202FA" w:rsidRDefault="000B4F21" w:rsidP="007202FA">
            <w:pPr>
              <w:keepNext/>
              <w:jc w:val="right"/>
              <w:rPr>
                <w:color w:val="000000"/>
                <w:sz w:val="20"/>
                <w:szCs w:val="20"/>
              </w:rPr>
            </w:pPr>
            <w:r>
              <w:rPr>
                <w:color w:val="000000"/>
                <w:sz w:val="20"/>
                <w:szCs w:val="20"/>
                <w:lang w:val="ga"/>
              </w:rPr>
              <w:t>39</w:t>
            </w:r>
          </w:p>
        </w:tc>
      </w:tr>
      <w:tr w:rsidR="00F31303" w14:paraId="66729019" w14:textId="77777777" w:rsidTr="00050DC6">
        <w:trPr>
          <w:trHeight w:val="531"/>
        </w:trPr>
        <w:tc>
          <w:tcPr>
            <w:tcW w:w="812" w:type="pct"/>
            <w:vAlign w:val="top"/>
            <w:hideMark/>
          </w:tcPr>
          <w:p w14:paraId="28F08539" w14:textId="77777777" w:rsidR="00590BEF" w:rsidRPr="007202FA" w:rsidRDefault="000B4F21" w:rsidP="007202FA">
            <w:pPr>
              <w:keepNext/>
              <w:rPr>
                <w:b/>
                <w:color w:val="000000"/>
                <w:sz w:val="20"/>
                <w:szCs w:val="20"/>
              </w:rPr>
            </w:pPr>
            <w:r>
              <w:rPr>
                <w:b/>
                <w:bCs/>
                <w:color w:val="000000"/>
                <w:sz w:val="20"/>
                <w:szCs w:val="20"/>
                <w:lang w:val="ga"/>
              </w:rPr>
              <w:t>Athrú 2023/2024</w:t>
            </w:r>
          </w:p>
        </w:tc>
        <w:tc>
          <w:tcPr>
            <w:tcW w:w="748" w:type="pct"/>
            <w:vAlign w:val="top"/>
            <w:hideMark/>
          </w:tcPr>
          <w:p w14:paraId="2E339CE5" w14:textId="77777777" w:rsidR="00590BEF" w:rsidRPr="007202FA" w:rsidRDefault="000B4F21" w:rsidP="007202FA">
            <w:pPr>
              <w:keepNext/>
              <w:jc w:val="right"/>
              <w:rPr>
                <w:b/>
                <w:color w:val="000000"/>
                <w:sz w:val="20"/>
                <w:szCs w:val="20"/>
              </w:rPr>
            </w:pPr>
            <w:r>
              <w:rPr>
                <w:b/>
                <w:bCs/>
                <w:color w:val="000000"/>
                <w:sz w:val="20"/>
                <w:szCs w:val="20"/>
                <w:lang w:val="ga"/>
              </w:rPr>
              <w:t>+4,427</w:t>
            </w:r>
          </w:p>
        </w:tc>
        <w:tc>
          <w:tcPr>
            <w:tcW w:w="748" w:type="pct"/>
            <w:vAlign w:val="top"/>
            <w:hideMark/>
          </w:tcPr>
          <w:p w14:paraId="0D16D815" w14:textId="77777777" w:rsidR="00590BEF" w:rsidRPr="007202FA" w:rsidRDefault="000B4F21" w:rsidP="007202FA">
            <w:pPr>
              <w:keepNext/>
              <w:jc w:val="right"/>
              <w:rPr>
                <w:b/>
                <w:color w:val="000000"/>
                <w:sz w:val="20"/>
                <w:szCs w:val="20"/>
              </w:rPr>
            </w:pPr>
            <w:r>
              <w:rPr>
                <w:b/>
                <w:bCs/>
                <w:color w:val="000000"/>
                <w:sz w:val="20"/>
                <w:szCs w:val="20"/>
                <w:lang w:val="ga"/>
              </w:rPr>
              <w:t>+567</w:t>
            </w:r>
          </w:p>
        </w:tc>
        <w:tc>
          <w:tcPr>
            <w:tcW w:w="748" w:type="pct"/>
            <w:vAlign w:val="top"/>
            <w:hideMark/>
          </w:tcPr>
          <w:p w14:paraId="406C5DC5" w14:textId="77777777" w:rsidR="00590BEF" w:rsidRPr="007202FA" w:rsidRDefault="000B4F21" w:rsidP="007202FA">
            <w:pPr>
              <w:keepNext/>
              <w:jc w:val="right"/>
              <w:rPr>
                <w:b/>
                <w:color w:val="000000"/>
                <w:sz w:val="20"/>
                <w:szCs w:val="20"/>
              </w:rPr>
            </w:pPr>
            <w:r>
              <w:rPr>
                <w:b/>
                <w:bCs/>
                <w:color w:val="000000"/>
                <w:sz w:val="20"/>
                <w:szCs w:val="20"/>
                <w:lang w:val="ga"/>
              </w:rPr>
              <w:t>+1.1</w:t>
            </w:r>
          </w:p>
        </w:tc>
        <w:tc>
          <w:tcPr>
            <w:tcW w:w="714" w:type="pct"/>
            <w:vAlign w:val="top"/>
            <w:hideMark/>
          </w:tcPr>
          <w:p w14:paraId="185614A1" w14:textId="77777777" w:rsidR="00590BEF" w:rsidRPr="007202FA" w:rsidRDefault="000B4F21" w:rsidP="007202FA">
            <w:pPr>
              <w:keepNext/>
              <w:jc w:val="right"/>
              <w:rPr>
                <w:b/>
                <w:color w:val="000000"/>
                <w:sz w:val="20"/>
                <w:szCs w:val="20"/>
              </w:rPr>
            </w:pPr>
            <w:r>
              <w:rPr>
                <w:b/>
                <w:bCs/>
                <w:color w:val="000000"/>
                <w:sz w:val="20"/>
                <w:szCs w:val="20"/>
                <w:lang w:val="ga"/>
              </w:rPr>
              <w:t>+1.3</w:t>
            </w:r>
          </w:p>
        </w:tc>
        <w:tc>
          <w:tcPr>
            <w:tcW w:w="680" w:type="pct"/>
            <w:vAlign w:val="top"/>
            <w:hideMark/>
          </w:tcPr>
          <w:p w14:paraId="39621199" w14:textId="77777777" w:rsidR="00590BEF" w:rsidRPr="007202FA" w:rsidRDefault="000B4F21" w:rsidP="007202FA">
            <w:pPr>
              <w:keepNext/>
              <w:jc w:val="right"/>
              <w:rPr>
                <w:b/>
                <w:color w:val="000000"/>
                <w:sz w:val="20"/>
                <w:szCs w:val="20"/>
              </w:rPr>
            </w:pPr>
            <w:r>
              <w:rPr>
                <w:b/>
                <w:bCs/>
                <w:color w:val="000000"/>
                <w:sz w:val="20"/>
                <w:szCs w:val="20"/>
                <w:lang w:val="ga"/>
              </w:rPr>
              <w:t>+6.5</w:t>
            </w:r>
          </w:p>
        </w:tc>
        <w:tc>
          <w:tcPr>
            <w:tcW w:w="549" w:type="pct"/>
            <w:vAlign w:val="top"/>
            <w:hideMark/>
          </w:tcPr>
          <w:p w14:paraId="0249DB66" w14:textId="77777777" w:rsidR="00590BEF" w:rsidRPr="007202FA" w:rsidRDefault="000B4F21" w:rsidP="007202FA">
            <w:pPr>
              <w:keepNext/>
              <w:jc w:val="right"/>
              <w:rPr>
                <w:b/>
                <w:color w:val="000000"/>
                <w:sz w:val="20"/>
                <w:szCs w:val="20"/>
              </w:rPr>
            </w:pPr>
            <w:r>
              <w:rPr>
                <w:b/>
                <w:bCs/>
                <w:color w:val="000000"/>
                <w:sz w:val="20"/>
                <w:szCs w:val="20"/>
                <w:lang w:val="ga"/>
              </w:rPr>
              <w:t>+5</w:t>
            </w:r>
          </w:p>
        </w:tc>
      </w:tr>
      <w:tr w:rsidR="00F31303" w14:paraId="6006D4FD" w14:textId="77777777" w:rsidTr="00050DC6">
        <w:trPr>
          <w:trHeight w:val="265"/>
        </w:trPr>
        <w:tc>
          <w:tcPr>
            <w:tcW w:w="5000" w:type="pct"/>
            <w:gridSpan w:val="7"/>
            <w:vAlign w:val="top"/>
          </w:tcPr>
          <w:p w14:paraId="540F0A31" w14:textId="77777777" w:rsidR="00590BEF" w:rsidRPr="007202FA" w:rsidRDefault="00590BEF" w:rsidP="007202FA">
            <w:pPr>
              <w:keepNext/>
              <w:rPr>
                <w:color w:val="000000"/>
                <w:sz w:val="20"/>
                <w:szCs w:val="20"/>
              </w:rPr>
            </w:pPr>
          </w:p>
        </w:tc>
      </w:tr>
      <w:tr w:rsidR="00F31303" w14:paraId="768BB22A" w14:textId="77777777" w:rsidTr="00050DC6">
        <w:trPr>
          <w:trHeight w:val="265"/>
        </w:trPr>
        <w:tc>
          <w:tcPr>
            <w:tcW w:w="812" w:type="pct"/>
            <w:vAlign w:val="top"/>
            <w:hideMark/>
          </w:tcPr>
          <w:p w14:paraId="0125C9ED" w14:textId="77777777" w:rsidR="00590BEF" w:rsidRPr="007202FA" w:rsidRDefault="000B4F21" w:rsidP="007202FA">
            <w:pPr>
              <w:keepNext/>
              <w:rPr>
                <w:b/>
                <w:color w:val="000000"/>
                <w:sz w:val="20"/>
                <w:szCs w:val="20"/>
              </w:rPr>
            </w:pPr>
            <w:r>
              <w:rPr>
                <w:b/>
                <w:bCs/>
                <w:color w:val="000000"/>
                <w:sz w:val="20"/>
                <w:szCs w:val="20"/>
                <w:lang w:val="ga"/>
              </w:rPr>
              <w:t>Iomláin 2024</w:t>
            </w:r>
          </w:p>
        </w:tc>
        <w:tc>
          <w:tcPr>
            <w:tcW w:w="748" w:type="pct"/>
            <w:vAlign w:val="top"/>
            <w:hideMark/>
          </w:tcPr>
          <w:p w14:paraId="21C03EAC" w14:textId="77777777" w:rsidR="00590BEF" w:rsidRPr="007202FA" w:rsidRDefault="000B4F21" w:rsidP="007202FA">
            <w:pPr>
              <w:keepNext/>
              <w:jc w:val="right"/>
              <w:rPr>
                <w:b/>
                <w:color w:val="000000"/>
                <w:sz w:val="20"/>
                <w:szCs w:val="20"/>
              </w:rPr>
            </w:pPr>
            <w:r>
              <w:rPr>
                <w:b/>
                <w:bCs/>
                <w:color w:val="000000"/>
                <w:sz w:val="20"/>
                <w:szCs w:val="20"/>
                <w:lang w:val="ga"/>
              </w:rPr>
              <w:t>283,805</w:t>
            </w:r>
          </w:p>
        </w:tc>
        <w:tc>
          <w:tcPr>
            <w:tcW w:w="748" w:type="pct"/>
            <w:vAlign w:val="top"/>
            <w:hideMark/>
          </w:tcPr>
          <w:p w14:paraId="67312174" w14:textId="77777777" w:rsidR="00590BEF" w:rsidRPr="007202FA" w:rsidRDefault="000B4F21" w:rsidP="007202FA">
            <w:pPr>
              <w:keepNext/>
              <w:jc w:val="right"/>
              <w:rPr>
                <w:b/>
                <w:bCs/>
                <w:color w:val="000000"/>
                <w:sz w:val="20"/>
                <w:szCs w:val="20"/>
              </w:rPr>
            </w:pPr>
            <w:r>
              <w:rPr>
                <w:b/>
                <w:bCs/>
                <w:color w:val="000000"/>
                <w:sz w:val="20"/>
                <w:szCs w:val="20"/>
                <w:lang w:val="ga"/>
              </w:rPr>
              <w:t>15,403</w:t>
            </w:r>
          </w:p>
        </w:tc>
        <w:tc>
          <w:tcPr>
            <w:tcW w:w="748" w:type="pct"/>
            <w:vAlign w:val="top"/>
            <w:hideMark/>
          </w:tcPr>
          <w:p w14:paraId="62DD43BB" w14:textId="77777777" w:rsidR="00590BEF" w:rsidRPr="007202FA" w:rsidRDefault="000B4F21" w:rsidP="007202FA">
            <w:pPr>
              <w:keepNext/>
              <w:jc w:val="right"/>
              <w:rPr>
                <w:b/>
                <w:bCs/>
                <w:color w:val="000000"/>
                <w:sz w:val="20"/>
                <w:szCs w:val="20"/>
              </w:rPr>
            </w:pPr>
            <w:r>
              <w:rPr>
                <w:b/>
                <w:bCs/>
                <w:color w:val="000000"/>
                <w:sz w:val="20"/>
                <w:szCs w:val="20"/>
                <w:lang w:val="ga"/>
              </w:rPr>
              <w:t>5.4%</w:t>
            </w:r>
          </w:p>
        </w:tc>
        <w:tc>
          <w:tcPr>
            <w:tcW w:w="714" w:type="pct"/>
            <w:vAlign w:val="top"/>
            <w:hideMark/>
          </w:tcPr>
          <w:p w14:paraId="5D7C4455" w14:textId="77777777" w:rsidR="00590BEF" w:rsidRPr="007202FA" w:rsidRDefault="000B4F21" w:rsidP="007202FA">
            <w:pPr>
              <w:keepNext/>
              <w:jc w:val="right"/>
              <w:rPr>
                <w:b/>
                <w:bCs/>
                <w:color w:val="000000"/>
                <w:sz w:val="20"/>
                <w:szCs w:val="20"/>
              </w:rPr>
            </w:pPr>
            <w:r>
              <w:rPr>
                <w:b/>
                <w:bCs/>
                <w:color w:val="000000"/>
                <w:sz w:val="20"/>
                <w:szCs w:val="20"/>
                <w:lang w:val="ga"/>
              </w:rPr>
              <w:t>100.0%</w:t>
            </w:r>
          </w:p>
        </w:tc>
        <w:tc>
          <w:tcPr>
            <w:tcW w:w="680" w:type="pct"/>
            <w:vAlign w:val="top"/>
            <w:hideMark/>
          </w:tcPr>
          <w:p w14:paraId="03566433" w14:textId="77777777" w:rsidR="00590BEF" w:rsidRPr="007202FA" w:rsidRDefault="000B4F21" w:rsidP="007202FA">
            <w:pPr>
              <w:keepNext/>
              <w:jc w:val="right"/>
              <w:rPr>
                <w:b/>
                <w:bCs/>
                <w:color w:val="000000"/>
                <w:sz w:val="20"/>
                <w:szCs w:val="20"/>
              </w:rPr>
            </w:pPr>
            <w:r>
              <w:rPr>
                <w:b/>
                <w:bCs/>
                <w:color w:val="000000"/>
                <w:sz w:val="20"/>
                <w:szCs w:val="20"/>
                <w:lang w:val="ga"/>
              </w:rPr>
              <w:t>85.6%</w:t>
            </w:r>
          </w:p>
        </w:tc>
        <w:tc>
          <w:tcPr>
            <w:tcW w:w="549" w:type="pct"/>
            <w:vAlign w:val="top"/>
            <w:hideMark/>
          </w:tcPr>
          <w:p w14:paraId="244E9A8C" w14:textId="77777777" w:rsidR="00590BEF" w:rsidRPr="007202FA" w:rsidRDefault="000B4F21" w:rsidP="007202FA">
            <w:pPr>
              <w:keepNext/>
              <w:jc w:val="right"/>
              <w:rPr>
                <w:b/>
                <w:bCs/>
                <w:color w:val="000000"/>
                <w:sz w:val="20"/>
                <w:szCs w:val="20"/>
              </w:rPr>
            </w:pPr>
            <w:r>
              <w:rPr>
                <w:b/>
                <w:bCs/>
                <w:color w:val="000000"/>
                <w:sz w:val="20"/>
                <w:szCs w:val="20"/>
                <w:lang w:val="ga"/>
              </w:rPr>
              <w:t>216</w:t>
            </w:r>
          </w:p>
        </w:tc>
      </w:tr>
      <w:tr w:rsidR="00F31303" w14:paraId="1CB31EAC" w14:textId="77777777" w:rsidTr="00050DC6">
        <w:trPr>
          <w:trHeight w:val="265"/>
        </w:trPr>
        <w:tc>
          <w:tcPr>
            <w:tcW w:w="812" w:type="pct"/>
            <w:vAlign w:val="top"/>
            <w:hideMark/>
          </w:tcPr>
          <w:p w14:paraId="683EF622" w14:textId="77777777" w:rsidR="00590BEF" w:rsidRPr="007202FA" w:rsidRDefault="000B4F21" w:rsidP="007202FA">
            <w:pPr>
              <w:keepNext/>
              <w:rPr>
                <w:b/>
                <w:color w:val="000000"/>
                <w:sz w:val="20"/>
                <w:szCs w:val="20"/>
              </w:rPr>
            </w:pPr>
            <w:r>
              <w:rPr>
                <w:b/>
                <w:bCs/>
                <w:color w:val="000000"/>
                <w:sz w:val="20"/>
                <w:szCs w:val="20"/>
                <w:lang w:val="ga"/>
              </w:rPr>
              <w:t>Iomláin 2023</w:t>
            </w:r>
          </w:p>
        </w:tc>
        <w:tc>
          <w:tcPr>
            <w:tcW w:w="748" w:type="pct"/>
            <w:vAlign w:val="top"/>
            <w:hideMark/>
          </w:tcPr>
          <w:p w14:paraId="52756060" w14:textId="77777777" w:rsidR="00590BEF" w:rsidRPr="007202FA" w:rsidRDefault="000B4F21" w:rsidP="007202FA">
            <w:pPr>
              <w:keepNext/>
              <w:jc w:val="right"/>
              <w:rPr>
                <w:color w:val="000000"/>
                <w:sz w:val="20"/>
                <w:szCs w:val="20"/>
              </w:rPr>
            </w:pPr>
            <w:r>
              <w:rPr>
                <w:b/>
                <w:bCs/>
                <w:color w:val="000000"/>
                <w:sz w:val="20"/>
                <w:szCs w:val="20"/>
                <w:lang w:val="ga"/>
              </w:rPr>
              <w:t>273,747</w:t>
            </w:r>
          </w:p>
        </w:tc>
        <w:tc>
          <w:tcPr>
            <w:tcW w:w="748" w:type="pct"/>
            <w:vAlign w:val="top"/>
            <w:hideMark/>
          </w:tcPr>
          <w:p w14:paraId="7BFF1D89" w14:textId="77777777" w:rsidR="00590BEF" w:rsidRPr="007202FA" w:rsidRDefault="000B4F21" w:rsidP="007202FA">
            <w:pPr>
              <w:keepNext/>
              <w:jc w:val="right"/>
              <w:rPr>
                <w:b/>
                <w:bCs/>
                <w:color w:val="000000"/>
                <w:sz w:val="20"/>
                <w:szCs w:val="20"/>
              </w:rPr>
            </w:pPr>
            <w:r>
              <w:rPr>
                <w:b/>
                <w:bCs/>
                <w:color w:val="000000"/>
                <w:sz w:val="20"/>
                <w:szCs w:val="20"/>
                <w:lang w:val="ga"/>
              </w:rPr>
              <w:t>11,254</w:t>
            </w:r>
          </w:p>
        </w:tc>
        <w:tc>
          <w:tcPr>
            <w:tcW w:w="748" w:type="pct"/>
            <w:vAlign w:val="top"/>
            <w:hideMark/>
          </w:tcPr>
          <w:p w14:paraId="051D08BC" w14:textId="77777777" w:rsidR="00590BEF" w:rsidRPr="007202FA" w:rsidRDefault="000B4F21" w:rsidP="007202FA">
            <w:pPr>
              <w:keepNext/>
              <w:jc w:val="right"/>
              <w:rPr>
                <w:b/>
                <w:bCs/>
                <w:color w:val="000000"/>
                <w:sz w:val="20"/>
                <w:szCs w:val="20"/>
              </w:rPr>
            </w:pPr>
            <w:r>
              <w:rPr>
                <w:b/>
                <w:bCs/>
                <w:color w:val="000000"/>
                <w:sz w:val="20"/>
                <w:szCs w:val="20"/>
                <w:lang w:val="ga"/>
              </w:rPr>
              <w:t>4.1%</w:t>
            </w:r>
          </w:p>
        </w:tc>
        <w:tc>
          <w:tcPr>
            <w:tcW w:w="714" w:type="pct"/>
            <w:vAlign w:val="top"/>
            <w:hideMark/>
          </w:tcPr>
          <w:p w14:paraId="45E4C06E" w14:textId="77777777" w:rsidR="00590BEF" w:rsidRPr="007202FA" w:rsidRDefault="000B4F21" w:rsidP="007202FA">
            <w:pPr>
              <w:keepNext/>
              <w:jc w:val="right"/>
              <w:rPr>
                <w:b/>
                <w:bCs/>
                <w:color w:val="000000"/>
                <w:sz w:val="20"/>
                <w:szCs w:val="20"/>
              </w:rPr>
            </w:pPr>
            <w:r>
              <w:rPr>
                <w:b/>
                <w:bCs/>
                <w:color w:val="000000"/>
                <w:sz w:val="20"/>
                <w:szCs w:val="20"/>
                <w:lang w:val="ga"/>
              </w:rPr>
              <w:t>100.0%</w:t>
            </w:r>
          </w:p>
        </w:tc>
        <w:tc>
          <w:tcPr>
            <w:tcW w:w="680" w:type="pct"/>
            <w:vAlign w:val="top"/>
            <w:hideMark/>
          </w:tcPr>
          <w:p w14:paraId="73B71546" w14:textId="77777777" w:rsidR="00590BEF" w:rsidRPr="007202FA" w:rsidRDefault="000B4F21" w:rsidP="007202FA">
            <w:pPr>
              <w:keepNext/>
              <w:jc w:val="right"/>
              <w:rPr>
                <w:b/>
                <w:bCs/>
                <w:color w:val="000000"/>
                <w:sz w:val="20"/>
                <w:szCs w:val="20"/>
              </w:rPr>
            </w:pPr>
            <w:r>
              <w:rPr>
                <w:b/>
                <w:bCs/>
                <w:color w:val="000000"/>
                <w:sz w:val="20"/>
                <w:szCs w:val="20"/>
                <w:lang w:val="ga"/>
              </w:rPr>
              <w:t>91.0%</w:t>
            </w:r>
          </w:p>
        </w:tc>
        <w:tc>
          <w:tcPr>
            <w:tcW w:w="549" w:type="pct"/>
            <w:vAlign w:val="top"/>
            <w:hideMark/>
          </w:tcPr>
          <w:p w14:paraId="51B80C0D" w14:textId="77777777" w:rsidR="00590BEF" w:rsidRPr="007202FA" w:rsidRDefault="000B4F21" w:rsidP="007202FA">
            <w:pPr>
              <w:keepNext/>
              <w:jc w:val="right"/>
              <w:rPr>
                <w:b/>
                <w:bCs/>
                <w:color w:val="000000"/>
                <w:sz w:val="20"/>
                <w:szCs w:val="20"/>
              </w:rPr>
            </w:pPr>
            <w:r>
              <w:rPr>
                <w:b/>
                <w:bCs/>
                <w:color w:val="000000"/>
                <w:sz w:val="20"/>
                <w:szCs w:val="20"/>
                <w:lang w:val="ga"/>
              </w:rPr>
              <w:t>210</w:t>
            </w:r>
          </w:p>
        </w:tc>
      </w:tr>
      <w:tr w:rsidR="00F31303" w14:paraId="1F1A49AD" w14:textId="77777777" w:rsidTr="00050DC6">
        <w:trPr>
          <w:trHeight w:val="543"/>
        </w:trPr>
        <w:tc>
          <w:tcPr>
            <w:tcW w:w="812" w:type="pct"/>
            <w:vAlign w:val="top"/>
            <w:hideMark/>
          </w:tcPr>
          <w:p w14:paraId="1EAC7F0F" w14:textId="77777777" w:rsidR="00590BEF" w:rsidRPr="007202FA" w:rsidRDefault="000B4F21" w:rsidP="007202FA">
            <w:pPr>
              <w:keepNext/>
              <w:rPr>
                <w:b/>
                <w:color w:val="000000"/>
                <w:sz w:val="20"/>
                <w:szCs w:val="20"/>
              </w:rPr>
            </w:pPr>
            <w:r>
              <w:rPr>
                <w:b/>
                <w:bCs/>
                <w:color w:val="000000"/>
                <w:sz w:val="20"/>
                <w:szCs w:val="20"/>
                <w:lang w:val="ga"/>
              </w:rPr>
              <w:lastRenderedPageBreak/>
              <w:t>Athrú 2023/2024</w:t>
            </w:r>
          </w:p>
        </w:tc>
        <w:tc>
          <w:tcPr>
            <w:tcW w:w="748" w:type="pct"/>
            <w:vAlign w:val="top"/>
            <w:hideMark/>
          </w:tcPr>
          <w:p w14:paraId="5A931C5E" w14:textId="68691EEF" w:rsidR="00590BEF" w:rsidRPr="007202FA" w:rsidRDefault="000B4F21" w:rsidP="007202FA">
            <w:pPr>
              <w:jc w:val="right"/>
              <w:rPr>
                <w:b/>
                <w:color w:val="000000"/>
                <w:sz w:val="20"/>
                <w:szCs w:val="20"/>
              </w:rPr>
            </w:pPr>
            <w:r>
              <w:rPr>
                <w:b/>
                <w:bCs/>
                <w:color w:val="000000"/>
                <w:sz w:val="20"/>
                <w:szCs w:val="20"/>
                <w:lang w:val="ga"/>
              </w:rPr>
              <w:t>+10,058</w:t>
            </w:r>
          </w:p>
        </w:tc>
        <w:tc>
          <w:tcPr>
            <w:tcW w:w="748" w:type="pct"/>
            <w:vAlign w:val="top"/>
            <w:hideMark/>
          </w:tcPr>
          <w:p w14:paraId="58B42BA5" w14:textId="23D49503" w:rsidR="00590BEF" w:rsidRPr="007202FA" w:rsidRDefault="000B4F21" w:rsidP="007202FA">
            <w:pPr>
              <w:jc w:val="right"/>
              <w:rPr>
                <w:b/>
                <w:color w:val="000000"/>
                <w:sz w:val="20"/>
                <w:szCs w:val="20"/>
              </w:rPr>
            </w:pPr>
            <w:r>
              <w:rPr>
                <w:b/>
                <w:bCs/>
                <w:color w:val="000000"/>
                <w:sz w:val="20"/>
                <w:szCs w:val="20"/>
                <w:lang w:val="ga"/>
              </w:rPr>
              <w:t>+4,149</w:t>
            </w:r>
          </w:p>
        </w:tc>
        <w:tc>
          <w:tcPr>
            <w:tcW w:w="748" w:type="pct"/>
            <w:vAlign w:val="top"/>
            <w:hideMark/>
          </w:tcPr>
          <w:p w14:paraId="12FB4F8E" w14:textId="77777777" w:rsidR="00590BEF" w:rsidRPr="007202FA" w:rsidRDefault="000B4F21" w:rsidP="007202FA">
            <w:pPr>
              <w:jc w:val="right"/>
              <w:rPr>
                <w:b/>
                <w:color w:val="000000"/>
                <w:sz w:val="20"/>
                <w:szCs w:val="20"/>
              </w:rPr>
            </w:pPr>
            <w:r>
              <w:rPr>
                <w:b/>
                <w:bCs/>
                <w:color w:val="000000"/>
                <w:sz w:val="20"/>
                <w:szCs w:val="20"/>
                <w:lang w:val="ga"/>
              </w:rPr>
              <w:t>+1.3</w:t>
            </w:r>
          </w:p>
        </w:tc>
        <w:tc>
          <w:tcPr>
            <w:tcW w:w="714" w:type="pct"/>
            <w:vAlign w:val="top"/>
            <w:hideMark/>
          </w:tcPr>
          <w:p w14:paraId="4E27C2AB" w14:textId="77777777" w:rsidR="00590BEF" w:rsidRPr="007202FA" w:rsidRDefault="000B4F21" w:rsidP="007202FA">
            <w:pPr>
              <w:jc w:val="right"/>
              <w:rPr>
                <w:b/>
                <w:color w:val="000000"/>
                <w:sz w:val="20"/>
                <w:szCs w:val="20"/>
              </w:rPr>
            </w:pPr>
            <w:r>
              <w:rPr>
                <w:b/>
                <w:bCs/>
                <w:color w:val="000000"/>
                <w:sz w:val="20"/>
                <w:szCs w:val="20"/>
                <w:lang w:val="ga"/>
              </w:rPr>
              <w:t>0</w:t>
            </w:r>
          </w:p>
        </w:tc>
        <w:tc>
          <w:tcPr>
            <w:tcW w:w="680" w:type="pct"/>
            <w:vAlign w:val="top"/>
            <w:hideMark/>
          </w:tcPr>
          <w:p w14:paraId="6663E9EB" w14:textId="77777777" w:rsidR="00590BEF" w:rsidRPr="007202FA" w:rsidRDefault="000B4F21" w:rsidP="007202FA">
            <w:pPr>
              <w:jc w:val="right"/>
              <w:rPr>
                <w:b/>
                <w:color w:val="000000"/>
                <w:sz w:val="20"/>
                <w:szCs w:val="20"/>
              </w:rPr>
            </w:pPr>
            <w:r>
              <w:rPr>
                <w:b/>
                <w:bCs/>
                <w:color w:val="000000"/>
                <w:sz w:val="20"/>
                <w:szCs w:val="20"/>
                <w:lang w:val="ga"/>
              </w:rPr>
              <w:t>-5.4</w:t>
            </w:r>
          </w:p>
        </w:tc>
        <w:tc>
          <w:tcPr>
            <w:tcW w:w="549" w:type="pct"/>
            <w:vAlign w:val="top"/>
            <w:hideMark/>
          </w:tcPr>
          <w:p w14:paraId="2211C75F" w14:textId="77777777" w:rsidR="00590BEF" w:rsidRPr="007202FA" w:rsidRDefault="000B4F21" w:rsidP="007202FA">
            <w:pPr>
              <w:jc w:val="right"/>
              <w:rPr>
                <w:b/>
                <w:color w:val="000000"/>
                <w:sz w:val="20"/>
                <w:szCs w:val="20"/>
              </w:rPr>
            </w:pPr>
            <w:r>
              <w:rPr>
                <w:b/>
                <w:bCs/>
                <w:color w:val="000000"/>
                <w:sz w:val="20"/>
                <w:szCs w:val="20"/>
                <w:lang w:val="ga"/>
              </w:rPr>
              <w:t>+6</w:t>
            </w:r>
          </w:p>
        </w:tc>
      </w:tr>
    </w:tbl>
    <w:p w14:paraId="4E89343C" w14:textId="77777777" w:rsidR="00590BEF" w:rsidRPr="007202FA" w:rsidRDefault="00590BEF" w:rsidP="007202FA">
      <w:pPr>
        <w:pStyle w:val="TableSummary"/>
        <w:rPr>
          <w:rFonts w:ascii="Gill Sans" w:hAnsi="Gill Sans"/>
          <w:sz w:val="12"/>
          <w:szCs w:val="12"/>
        </w:rPr>
      </w:pPr>
    </w:p>
    <w:p w14:paraId="00A5B918" w14:textId="77777777" w:rsidR="00590BEF" w:rsidRPr="007202FA" w:rsidRDefault="000B4F21" w:rsidP="007202FA">
      <w:pPr>
        <w:pStyle w:val="Heading2"/>
        <w:rPr>
          <w:color w:val="BF2296"/>
        </w:rPr>
      </w:pPr>
      <w:bookmarkStart w:id="86" w:name="_Toc176801612"/>
      <w:bookmarkStart w:id="87" w:name="_Toc214033629"/>
      <w:r>
        <w:rPr>
          <w:bCs/>
          <w:color w:val="BF2296"/>
          <w:lang w:val="ga"/>
        </w:rPr>
        <w:t>2.3 Anailís de réir mhéid an chomhlachta earnála poiblí</w:t>
      </w:r>
      <w:bookmarkEnd w:id="86"/>
      <w:bookmarkEnd w:id="87"/>
    </w:p>
    <w:p w14:paraId="70BA7248" w14:textId="77777777" w:rsidR="00590BEF" w:rsidRPr="007202FA" w:rsidRDefault="000B4F21" w:rsidP="007202FA">
      <w:pPr>
        <w:pStyle w:val="Heading3"/>
        <w:rPr>
          <w:color w:val="BF2296"/>
          <w:sz w:val="24"/>
          <w:szCs w:val="24"/>
        </w:rPr>
      </w:pPr>
      <w:bookmarkStart w:id="88" w:name="_Toc208656782"/>
      <w:bookmarkStart w:id="89" w:name="_Toc208409877"/>
      <w:bookmarkStart w:id="90" w:name="_Toc177129170"/>
      <w:bookmarkStart w:id="91" w:name="_Toc214033630"/>
      <w:r>
        <w:rPr>
          <w:bCs/>
          <w:color w:val="BF2296"/>
          <w:sz w:val="24"/>
          <w:szCs w:val="24"/>
          <w:lang w:val="ga"/>
        </w:rPr>
        <w:t>Comhlachtaí poiblí a bhfuil níos lú ná 100 ball foirne acu</w:t>
      </w:r>
      <w:bookmarkEnd w:id="88"/>
      <w:bookmarkEnd w:id="89"/>
      <w:bookmarkEnd w:id="90"/>
      <w:bookmarkEnd w:id="91"/>
    </w:p>
    <w:p w14:paraId="3BBF2693" w14:textId="04BC5B68" w:rsidR="00590BEF" w:rsidRPr="005524D6" w:rsidRDefault="000B4F21" w:rsidP="007202FA">
      <w:pPr>
        <w:rPr>
          <w:lang w:val="ga"/>
        </w:rPr>
      </w:pPr>
      <w:r>
        <w:rPr>
          <w:lang w:val="ga"/>
        </w:rPr>
        <w:t xml:space="preserve">Sa bhliain 2024, ba ann do 63 chomhlacht san earnáil phoiblí a raibh níos lú ná 100 fostaí acu, a d’fhostaigh 0.9% d’iomlán an fhórsa saothair (féach Tábla 3).  Fostaíonn na </w:t>
      </w:r>
      <w:bookmarkStart w:id="92" w:name="_Hlk212035590"/>
      <w:r>
        <w:rPr>
          <w:lang w:val="ga"/>
        </w:rPr>
        <w:t>comhlachtaí poiblí</w:t>
      </w:r>
      <w:bookmarkEnd w:id="92"/>
      <w:r>
        <w:rPr>
          <w:lang w:val="ga"/>
        </w:rPr>
        <w:t xml:space="preserve"> sin 2,592 dhuine agus thuairiscigh 244 fhostaí (9.5%) de na fostaithe sin go raibh míchumas orthu. Ba mhó an líon sin ná an íos-sprioc don bhliain 2024. D’iomlán na ndaoine san fhórsa saothair a thuairiscigh míchumas, fostaíodh 1.6% i gcomhlachtaí poiblí den mhéid sin. </w:t>
      </w:r>
      <w:bookmarkStart w:id="93" w:name="_Hlk145323414"/>
      <w:r>
        <w:rPr>
          <w:lang w:val="ga"/>
        </w:rPr>
        <w:t>Áirítear leis an gcatagóir seo comhlachtaí poiblí atá an-bheag ó thaobh méide de agus a fhostaíonn idir ceathrar agus fiche duine.</w:t>
      </w:r>
    </w:p>
    <w:bookmarkEnd w:id="93"/>
    <w:p w14:paraId="2F37A281" w14:textId="77777777" w:rsidR="00590BEF" w:rsidRPr="005524D6" w:rsidRDefault="000B4F21" w:rsidP="007202FA">
      <w:pPr>
        <w:rPr>
          <w:lang w:val="ga"/>
        </w:rPr>
      </w:pPr>
      <w:r>
        <w:rPr>
          <w:lang w:val="ga"/>
        </w:rPr>
        <w:t>Admhaíonn ÚNM gurb amhlaidh, i gcás gur comhlacht an-bheag a bhfuil níos lú ná 50 ball foirne aige é comhlacht poiblí, go ndéanann méid an chomhlachta difear dá chumas an íos-sprioc a chomhlíonadh. Tá imeacht ball foirne amháin a bhfuil míchumas air/uirthi trí scor, trí shos gairme nó trí scéim iomarcaíochta deonaí ar cheann de na príomhthosca a theip ar chomhlachtaí poiblí beaga an íos-sprioc a bhaint amach. I gcás comhlachtaí den mhéid sin, is ionann ball foirne amháin sa bhreis a chailleadh (nó a fhostú) agus an difríocht idir an íos-sprioc reachtúil fostaíochta a chomhlíonadh agus gan í a chomhlíonadh.</w:t>
      </w:r>
    </w:p>
    <w:p w14:paraId="3F6D9924" w14:textId="2402EAF6" w:rsidR="00590BEF" w:rsidRPr="005524D6" w:rsidRDefault="000B4F21" w:rsidP="007202FA">
      <w:pPr>
        <w:rPr>
          <w:b/>
          <w:lang w:val="ga"/>
        </w:rPr>
      </w:pPr>
      <w:bookmarkStart w:id="94" w:name="_Toc208409878"/>
      <w:bookmarkStart w:id="95" w:name="_Toc208410054"/>
      <w:bookmarkStart w:id="96" w:name="_Toc208656783"/>
      <w:bookmarkStart w:id="97" w:name="_Toc208657388"/>
      <w:r>
        <w:rPr>
          <w:lang w:val="ga"/>
        </w:rPr>
        <w:t>I gcomhlachtaí poiblí den mhéid bheag sin, tá seans ann freisin nach mbeidh fostaithe a bhfuil míchumas orthu ar a gcompord le linn dóibh a stádas míchumais a chur in iúl agus is féidir leis sin difear a dhéanamh freisin do chumas na gcomhlachtaí poiblí sin an dóigh a gcomhlíonann siad na hoibleagáidí atá orthu faoi Chuid 5 den Acht um Míchumas 2005 a thuairisciú go cruinn.</w:t>
      </w:r>
      <w:bookmarkStart w:id="98" w:name="_Toc177129171"/>
      <w:bookmarkEnd w:id="94"/>
      <w:bookmarkEnd w:id="95"/>
      <w:bookmarkEnd w:id="96"/>
      <w:bookmarkEnd w:id="97"/>
    </w:p>
    <w:p w14:paraId="6A98D557" w14:textId="77777777" w:rsidR="00590BEF" w:rsidRPr="005524D6" w:rsidRDefault="000B4F21" w:rsidP="007202FA">
      <w:pPr>
        <w:pStyle w:val="Heading3"/>
        <w:rPr>
          <w:color w:val="BF2296"/>
          <w:sz w:val="24"/>
          <w:szCs w:val="24"/>
          <w:lang w:val="ga"/>
        </w:rPr>
      </w:pPr>
      <w:bookmarkStart w:id="99" w:name="_Toc208656784"/>
      <w:bookmarkStart w:id="100" w:name="_Toc208409879"/>
      <w:bookmarkStart w:id="101" w:name="_Toc214033631"/>
      <w:r>
        <w:rPr>
          <w:bCs/>
          <w:color w:val="BF2296"/>
          <w:sz w:val="24"/>
          <w:szCs w:val="24"/>
          <w:lang w:val="ga"/>
        </w:rPr>
        <w:t>Comhlachtaí poiblí a bhfuil idir 100 ball foirne agus 999 mball foirne acu</w:t>
      </w:r>
      <w:bookmarkEnd w:id="99"/>
      <w:bookmarkEnd w:id="100"/>
      <w:bookmarkEnd w:id="98"/>
      <w:bookmarkEnd w:id="101"/>
    </w:p>
    <w:p w14:paraId="043D4D97" w14:textId="52864F20" w:rsidR="00590BEF" w:rsidRPr="005524D6" w:rsidRDefault="000B4F21" w:rsidP="007202FA">
      <w:pPr>
        <w:rPr>
          <w:lang w:val="ga"/>
        </w:rPr>
      </w:pPr>
      <w:r>
        <w:rPr>
          <w:lang w:val="ga"/>
        </w:rPr>
        <w:t xml:space="preserve">Bhí ag an gcatagóir méide seo an líon ab airde comhlachtaí poiblí (107 gcinn), a d’fhostaigh 14.8% d’iomlán an fhórsa saothair sa bhliain 2024. San iomlán, fostaíodh 42,082 dhuine san iomlán sa chatagóir seo, ar thuairiscigh 3,103 dhuine díobh (7.4%) míchumas. Ba mhó an líon sin ná an íos-sprioc don bhliain 2024. D’iomlán na ndaoine san fhórsa saothair a thuairiscigh míchumas, fostaíodh 20.1% i gcomhlachtaí poiblí den mhéid sin. </w:t>
      </w:r>
    </w:p>
    <w:p w14:paraId="3ED64B4F" w14:textId="77777777" w:rsidR="00590BEF" w:rsidRPr="005524D6" w:rsidRDefault="000B4F21" w:rsidP="007202FA">
      <w:pPr>
        <w:pStyle w:val="Heading3"/>
        <w:rPr>
          <w:color w:val="BF2296"/>
          <w:sz w:val="24"/>
          <w:szCs w:val="24"/>
          <w:lang w:val="ga"/>
        </w:rPr>
      </w:pPr>
      <w:bookmarkStart w:id="102" w:name="_Toc208656785"/>
      <w:bookmarkStart w:id="103" w:name="_Toc208409880"/>
      <w:bookmarkStart w:id="104" w:name="_Toc177129172"/>
      <w:bookmarkStart w:id="105" w:name="_Toc214033632"/>
      <w:r>
        <w:rPr>
          <w:bCs/>
          <w:color w:val="BF2296"/>
          <w:sz w:val="24"/>
          <w:szCs w:val="24"/>
          <w:lang w:val="ga"/>
        </w:rPr>
        <w:t>Comhlachtaí poiblí a bhfuil idir 1,000 ball foirne agus 4,999 mball foirne acu</w:t>
      </w:r>
      <w:bookmarkEnd w:id="102"/>
      <w:bookmarkEnd w:id="103"/>
      <w:bookmarkEnd w:id="104"/>
      <w:bookmarkEnd w:id="105"/>
    </w:p>
    <w:p w14:paraId="3E13EB0B" w14:textId="561FB2A5" w:rsidR="00590BEF" w:rsidRPr="005524D6" w:rsidRDefault="000B4F21" w:rsidP="007202FA">
      <w:pPr>
        <w:rPr>
          <w:b/>
          <w:color w:val="CC3399"/>
          <w:sz w:val="28"/>
          <w:szCs w:val="28"/>
          <w:lang w:val="ga"/>
        </w:rPr>
      </w:pPr>
      <w:r>
        <w:rPr>
          <w:lang w:val="ga"/>
        </w:rPr>
        <w:t xml:space="preserve">Sa bhliain 2024, ba ann do 38 gcomhlacht phoiblí a raibh idir 1,000 fostaí agus 4,999 bhfostaí acu, a d’fhostaigh 30.4% d’iomlán an fhórsa saothair. D’fhostaigh an cohórt seo 86,145 fhostaí, ar thuairiscigh 5,782 fhostaí </w:t>
      </w:r>
      <w:r>
        <w:rPr>
          <w:lang w:val="ga"/>
        </w:rPr>
        <w:lastRenderedPageBreak/>
        <w:t xml:space="preserve">díobh (6.7%) míchumas. Ba mhó é sin ná an íos-sprioc don bhliain 2024. </w:t>
      </w:r>
      <w:r>
        <w:rPr>
          <w:color w:val="000000"/>
          <w:lang w:val="ga"/>
        </w:rPr>
        <w:t>D’iomlán na ndaoine san fhórsa saothair a thuairiscigh míchumas, fostaíodh 37.5% i gcomhlachtaí poiblí den mhéid sin.</w:t>
      </w:r>
      <w:r>
        <w:rPr>
          <w:lang w:val="ga"/>
        </w:rPr>
        <w:t xml:space="preserve"> </w:t>
      </w:r>
    </w:p>
    <w:p w14:paraId="1D2CDA91" w14:textId="77777777" w:rsidR="00590BEF" w:rsidRPr="005524D6" w:rsidRDefault="000B4F21" w:rsidP="007202FA">
      <w:pPr>
        <w:pStyle w:val="Heading2"/>
        <w:rPr>
          <w:color w:val="BF2296"/>
          <w:sz w:val="24"/>
          <w:szCs w:val="24"/>
          <w:lang w:val="ga"/>
        </w:rPr>
      </w:pPr>
      <w:bookmarkStart w:id="106" w:name="_Toc208656786"/>
      <w:bookmarkStart w:id="107" w:name="_Toc208409881"/>
      <w:bookmarkStart w:id="108" w:name="_Toc177129173"/>
      <w:bookmarkStart w:id="109" w:name="_Toc214033633"/>
      <w:r>
        <w:rPr>
          <w:bCs/>
          <w:color w:val="BF2296"/>
          <w:sz w:val="24"/>
          <w:szCs w:val="24"/>
          <w:lang w:val="ga"/>
        </w:rPr>
        <w:t>Comhlachtaí poiblí a bhfuil níos mó ná 5,000 ball foirne acu</w:t>
      </w:r>
      <w:bookmarkEnd w:id="106"/>
      <w:bookmarkEnd w:id="107"/>
      <w:bookmarkEnd w:id="108"/>
      <w:bookmarkEnd w:id="109"/>
    </w:p>
    <w:p w14:paraId="5CC9B0C9" w14:textId="77777777" w:rsidR="00590BEF" w:rsidRPr="005524D6" w:rsidRDefault="000B4F21" w:rsidP="007202FA">
      <w:pPr>
        <w:rPr>
          <w:lang w:val="ga"/>
        </w:rPr>
      </w:pPr>
      <w:r>
        <w:rPr>
          <w:lang w:val="ga"/>
        </w:rPr>
        <w:t>Sa bhliain 2024, bhí ag an gcatagóir méide seo an líon ba lú comhlachtaí poiblí (8 gcinn) agus d’fhostaigh sí 53.9% d’iomlán an fhórsa saothair. Fostaíodh inti 152,996 dhuine, ar thuairiscigh 6,274 dhuine díobh (4.1%) míchumas. Mar sin de, níor bhain an chatagóir seo an íos-sprioc amach don bhliain 2024. D’iomlán na ndaoine san fhórsa saothair a thuairiscigh míchumas, fostaíodh 40.7% sna comhlachtaí poiblí móra sin.</w:t>
      </w:r>
      <w:bookmarkStart w:id="110" w:name="_Toc208409882"/>
      <w:bookmarkStart w:id="111" w:name="_Toc177129174"/>
    </w:p>
    <w:p w14:paraId="408FED21" w14:textId="77777777" w:rsidR="00590BEF" w:rsidRPr="005524D6" w:rsidRDefault="000B4F21" w:rsidP="007202FA">
      <w:pPr>
        <w:pStyle w:val="Heading2"/>
        <w:rPr>
          <w:color w:val="BF2296"/>
          <w:szCs w:val="28"/>
          <w:lang w:val="ga"/>
        </w:rPr>
      </w:pPr>
      <w:bookmarkStart w:id="112" w:name="_Toc208656787"/>
      <w:bookmarkStart w:id="113" w:name="_Toc214033634"/>
      <w:r>
        <w:rPr>
          <w:bCs/>
          <w:color w:val="BF2296"/>
          <w:szCs w:val="28"/>
          <w:lang w:val="ga"/>
        </w:rPr>
        <w:t>Achoimre ar an anailís de réir mhéid an chomhlachta phoiblí</w:t>
      </w:r>
      <w:bookmarkEnd w:id="112"/>
      <w:bookmarkEnd w:id="110"/>
      <w:bookmarkEnd w:id="111"/>
      <w:bookmarkEnd w:id="113"/>
      <w:r>
        <w:rPr>
          <w:bCs/>
          <w:color w:val="BF2296"/>
          <w:szCs w:val="28"/>
          <w:lang w:val="ga"/>
        </w:rPr>
        <w:t xml:space="preserve"> </w:t>
      </w:r>
    </w:p>
    <w:p w14:paraId="6C88EA38" w14:textId="2A304477" w:rsidR="008232BD" w:rsidRPr="005524D6" w:rsidRDefault="000B4F21" w:rsidP="007202FA">
      <w:pPr>
        <w:rPr>
          <w:lang w:val="ga"/>
        </w:rPr>
      </w:pPr>
      <w:r>
        <w:rPr>
          <w:lang w:val="ga"/>
        </w:rPr>
        <w:t>Mionsonraítear an achoimre ar an anailís de réir mhéid an chomhlachta phoiblí i dTábla 3.</w:t>
      </w:r>
    </w:p>
    <w:p w14:paraId="5B8E6160" w14:textId="2F8FC9F0" w:rsidR="00590BEF" w:rsidRPr="005524D6" w:rsidRDefault="000B4F21" w:rsidP="007202FA">
      <w:pPr>
        <w:pStyle w:val="TableTitle"/>
        <w:rPr>
          <w:rFonts w:ascii="Verdana" w:hAnsi="Verdana"/>
          <w:sz w:val="24"/>
          <w:lang w:val="ga"/>
        </w:rPr>
      </w:pPr>
      <w:r>
        <w:rPr>
          <w:rFonts w:ascii="Verdana" w:hAnsi="Verdana"/>
          <w:bCs/>
          <w:sz w:val="24"/>
          <w:lang w:val="ga"/>
        </w:rPr>
        <w:t>Tábla 3. Sonraí de réir mhéid an chomhlachta phoiblí 2024</w:t>
      </w:r>
    </w:p>
    <w:tbl>
      <w:tblPr>
        <w:tblStyle w:val="NDATableBlack"/>
        <w:tblW w:w="5343" w:type="pct"/>
        <w:tblLook w:val="0620" w:firstRow="1" w:lastRow="0" w:firstColumn="0" w:lastColumn="0" w:noHBand="1" w:noVBand="1"/>
      </w:tblPr>
      <w:tblGrid>
        <w:gridCol w:w="1197"/>
        <w:gridCol w:w="1444"/>
        <w:gridCol w:w="1197"/>
        <w:gridCol w:w="1416"/>
        <w:gridCol w:w="1430"/>
        <w:gridCol w:w="1136"/>
        <w:gridCol w:w="1814"/>
      </w:tblGrid>
      <w:tr w:rsidR="00F31303" w14:paraId="1B4D30AF" w14:textId="77777777" w:rsidTr="00050DC6">
        <w:trPr>
          <w:cnfStyle w:val="100000000000" w:firstRow="1" w:lastRow="0" w:firstColumn="0" w:lastColumn="0" w:oddVBand="0" w:evenVBand="0" w:oddHBand="0" w:evenHBand="0" w:firstRowFirstColumn="0" w:firstRowLastColumn="0" w:lastRowFirstColumn="0" w:lastRowLastColumn="0"/>
        </w:trPr>
        <w:tc>
          <w:tcPr>
            <w:tcW w:w="706" w:type="pct"/>
            <w:vAlign w:val="top"/>
          </w:tcPr>
          <w:p w14:paraId="003A839C" w14:textId="77777777" w:rsidR="00590BEF" w:rsidRPr="008500C8" w:rsidRDefault="000B4F21" w:rsidP="007202FA">
            <w:pPr>
              <w:pStyle w:val="TableHead"/>
              <w:keepNext/>
              <w:rPr>
                <w:rFonts w:ascii="Verdana" w:hAnsi="Verdana"/>
                <w:bCs/>
                <w:color w:val="000000"/>
                <w:kern w:val="2"/>
                <w:sz w:val="18"/>
                <w:szCs w:val="18"/>
                <w14:ligatures w14:val="standardContextual"/>
              </w:rPr>
            </w:pPr>
            <w:r w:rsidRPr="008500C8">
              <w:rPr>
                <w:rFonts w:ascii="Verdana" w:hAnsi="Verdana"/>
                <w:b/>
                <w:bCs/>
                <w:color w:val="000000"/>
                <w:kern w:val="2"/>
                <w:sz w:val="18"/>
                <w:szCs w:val="18"/>
                <w:lang w:val="ga"/>
                <w14:ligatures w14:val="standardContextual"/>
              </w:rPr>
              <w:t>An líon fostaithe</w:t>
            </w:r>
          </w:p>
          <w:p w14:paraId="5FD7A214" w14:textId="77777777" w:rsidR="00590BEF" w:rsidRPr="008500C8" w:rsidRDefault="00590BEF" w:rsidP="007202FA">
            <w:pPr>
              <w:pStyle w:val="TableHead"/>
              <w:keepNext/>
              <w:rPr>
                <w:rFonts w:ascii="Verdana" w:hAnsi="Verdana"/>
                <w:bCs/>
                <w:color w:val="000000"/>
                <w:kern w:val="2"/>
                <w:sz w:val="18"/>
                <w:szCs w:val="18"/>
                <w14:ligatures w14:val="standardContextual"/>
              </w:rPr>
            </w:pPr>
          </w:p>
        </w:tc>
        <w:tc>
          <w:tcPr>
            <w:tcW w:w="476" w:type="pct"/>
            <w:vAlign w:val="top"/>
          </w:tcPr>
          <w:p w14:paraId="6E71D220" w14:textId="77777777" w:rsidR="00590BEF" w:rsidRPr="008500C8" w:rsidRDefault="000B4F21" w:rsidP="007202FA">
            <w:pPr>
              <w:pStyle w:val="TableHead"/>
              <w:keepNext/>
              <w:rPr>
                <w:rFonts w:ascii="Verdana" w:hAnsi="Verdana"/>
                <w:bCs/>
                <w:color w:val="000000"/>
                <w:kern w:val="2"/>
                <w:sz w:val="18"/>
                <w:szCs w:val="18"/>
                <w14:ligatures w14:val="standardContextual"/>
              </w:rPr>
            </w:pPr>
            <w:r w:rsidRPr="008500C8">
              <w:rPr>
                <w:rFonts w:ascii="Verdana" w:hAnsi="Verdana"/>
                <w:b/>
                <w:bCs/>
                <w:color w:val="000000"/>
                <w:kern w:val="2"/>
                <w:sz w:val="18"/>
                <w:szCs w:val="18"/>
                <w:lang w:val="ga"/>
                <w14:ligatures w14:val="standardContextual"/>
              </w:rPr>
              <w:t>An líon comhlachtaí poiblí</w:t>
            </w:r>
          </w:p>
          <w:p w14:paraId="1F96FD54" w14:textId="77777777" w:rsidR="00590BEF" w:rsidRPr="008500C8" w:rsidRDefault="00590BEF" w:rsidP="007202FA">
            <w:pPr>
              <w:keepNext/>
              <w:rPr>
                <w:bCs/>
                <w:color w:val="000000"/>
                <w:sz w:val="18"/>
                <w:szCs w:val="18"/>
              </w:rPr>
            </w:pPr>
          </w:p>
        </w:tc>
        <w:tc>
          <w:tcPr>
            <w:tcW w:w="706" w:type="pct"/>
            <w:vAlign w:val="top"/>
          </w:tcPr>
          <w:p w14:paraId="7E8141F9" w14:textId="77777777" w:rsidR="00590BEF" w:rsidRPr="008500C8" w:rsidRDefault="000B4F21" w:rsidP="007202FA">
            <w:pPr>
              <w:pStyle w:val="TableHead"/>
              <w:keepNext/>
              <w:rPr>
                <w:rFonts w:ascii="Verdana" w:hAnsi="Verdana"/>
                <w:bCs/>
                <w:color w:val="000000"/>
                <w:kern w:val="2"/>
                <w:sz w:val="18"/>
                <w:szCs w:val="18"/>
                <w14:ligatures w14:val="standardContextual"/>
              </w:rPr>
            </w:pPr>
            <w:r w:rsidRPr="008500C8">
              <w:rPr>
                <w:rFonts w:ascii="Verdana" w:hAnsi="Verdana"/>
                <w:b/>
                <w:bCs/>
                <w:color w:val="000000"/>
                <w:kern w:val="2"/>
                <w:sz w:val="18"/>
                <w:szCs w:val="18"/>
                <w:lang w:val="ga"/>
                <w14:ligatures w14:val="standardContextual"/>
              </w:rPr>
              <w:t>An líon iomlán fostaithe</w:t>
            </w:r>
          </w:p>
          <w:p w14:paraId="3FCCF215" w14:textId="77777777" w:rsidR="00590BEF" w:rsidRPr="008500C8" w:rsidRDefault="00590BEF" w:rsidP="007202FA">
            <w:pPr>
              <w:keepNext/>
              <w:rPr>
                <w:bCs/>
                <w:color w:val="000000"/>
                <w:sz w:val="18"/>
                <w:szCs w:val="18"/>
              </w:rPr>
            </w:pPr>
          </w:p>
        </w:tc>
        <w:tc>
          <w:tcPr>
            <w:tcW w:w="706" w:type="pct"/>
            <w:vAlign w:val="top"/>
            <w:hideMark/>
          </w:tcPr>
          <w:p w14:paraId="346FD696" w14:textId="77777777" w:rsidR="00590BEF" w:rsidRPr="008500C8" w:rsidRDefault="000B4F21" w:rsidP="007202FA">
            <w:pPr>
              <w:pStyle w:val="TableHead"/>
              <w:keepNext/>
              <w:rPr>
                <w:rFonts w:ascii="Verdana" w:hAnsi="Verdana"/>
                <w:bCs/>
                <w:color w:val="000000"/>
                <w:kern w:val="2"/>
                <w:sz w:val="18"/>
                <w:szCs w:val="18"/>
                <w14:ligatures w14:val="standardContextual"/>
              </w:rPr>
            </w:pPr>
            <w:r w:rsidRPr="008500C8">
              <w:rPr>
                <w:rFonts w:ascii="Verdana" w:hAnsi="Verdana"/>
                <w:b/>
                <w:bCs/>
                <w:color w:val="000000"/>
                <w:kern w:val="2"/>
                <w:sz w:val="18"/>
                <w:szCs w:val="18"/>
                <w:lang w:val="ga"/>
                <w14:ligatures w14:val="standardContextual"/>
              </w:rPr>
              <w:t>An líon fostaithe a thuairiscigh míchumas</w:t>
            </w:r>
          </w:p>
        </w:tc>
        <w:tc>
          <w:tcPr>
            <w:tcW w:w="706" w:type="pct"/>
            <w:vAlign w:val="top"/>
            <w:hideMark/>
          </w:tcPr>
          <w:p w14:paraId="418812DB" w14:textId="77777777" w:rsidR="00590BEF" w:rsidRPr="008500C8" w:rsidRDefault="000B4F21" w:rsidP="007202FA">
            <w:pPr>
              <w:pStyle w:val="TableHead"/>
              <w:keepNext/>
              <w:rPr>
                <w:rFonts w:ascii="Verdana" w:hAnsi="Verdana"/>
                <w:bCs/>
                <w:color w:val="000000"/>
                <w:kern w:val="2"/>
                <w:sz w:val="18"/>
                <w:szCs w:val="18"/>
                <w14:ligatures w14:val="standardContextual"/>
              </w:rPr>
            </w:pPr>
            <w:r w:rsidRPr="008500C8">
              <w:rPr>
                <w:rFonts w:ascii="Verdana" w:hAnsi="Verdana"/>
                <w:b/>
                <w:bCs/>
                <w:color w:val="000000"/>
                <w:kern w:val="2"/>
                <w:sz w:val="18"/>
                <w:szCs w:val="18"/>
                <w:lang w:val="ga"/>
                <w14:ligatures w14:val="standardContextual"/>
              </w:rPr>
              <w:t>An % d’fhostaithe a thuairiscigh míchumas</w:t>
            </w:r>
          </w:p>
        </w:tc>
        <w:tc>
          <w:tcPr>
            <w:tcW w:w="674" w:type="pct"/>
            <w:vAlign w:val="top"/>
            <w:hideMark/>
          </w:tcPr>
          <w:p w14:paraId="1C4837A6" w14:textId="77777777" w:rsidR="00590BEF" w:rsidRPr="008500C8" w:rsidRDefault="000B4F21" w:rsidP="007202FA">
            <w:pPr>
              <w:pStyle w:val="TableHead"/>
              <w:keepNext/>
              <w:rPr>
                <w:rFonts w:ascii="Verdana" w:hAnsi="Verdana"/>
                <w:bCs/>
                <w:color w:val="000000"/>
                <w:kern w:val="2"/>
                <w:sz w:val="18"/>
                <w:szCs w:val="18"/>
                <w14:ligatures w14:val="standardContextual"/>
              </w:rPr>
            </w:pPr>
            <w:r w:rsidRPr="008500C8">
              <w:rPr>
                <w:rFonts w:ascii="Verdana" w:hAnsi="Verdana"/>
                <w:b/>
                <w:bCs/>
                <w:color w:val="000000"/>
                <w:kern w:val="2"/>
                <w:sz w:val="18"/>
                <w:szCs w:val="18"/>
                <w:lang w:val="ga"/>
                <w14:ligatures w14:val="standardContextual"/>
              </w:rPr>
              <w:t xml:space="preserve">An % d’iomlán fhórsa saothair na hearnála poiblí </w:t>
            </w:r>
          </w:p>
        </w:tc>
        <w:tc>
          <w:tcPr>
            <w:tcW w:w="1027" w:type="pct"/>
            <w:vAlign w:val="top"/>
            <w:hideMark/>
          </w:tcPr>
          <w:p w14:paraId="198B97D9" w14:textId="77777777" w:rsidR="00590BEF" w:rsidRPr="008500C8" w:rsidRDefault="000B4F21" w:rsidP="007202FA">
            <w:pPr>
              <w:rPr>
                <w:bCs/>
                <w:color w:val="000000"/>
                <w:sz w:val="18"/>
                <w:szCs w:val="18"/>
              </w:rPr>
            </w:pPr>
            <w:r w:rsidRPr="008500C8">
              <w:rPr>
                <w:bCs/>
                <w:sz w:val="18"/>
                <w:szCs w:val="18"/>
                <w:lang w:val="ga"/>
              </w:rPr>
              <w:t>An % d’fhostaithe a bhfuil míchumas orthu mar chéatadán de na fostaithe uile a bhfuil míchumas orthu</w:t>
            </w:r>
          </w:p>
        </w:tc>
      </w:tr>
      <w:tr w:rsidR="00F31303" w14:paraId="068C8C23" w14:textId="77777777" w:rsidTr="00050DC6">
        <w:trPr>
          <w:trHeight w:val="253"/>
        </w:trPr>
        <w:tc>
          <w:tcPr>
            <w:tcW w:w="706" w:type="pct"/>
            <w:vAlign w:val="top"/>
            <w:hideMark/>
          </w:tcPr>
          <w:p w14:paraId="7B515CAC" w14:textId="77777777" w:rsidR="00590BEF" w:rsidRPr="007202FA" w:rsidRDefault="000B4F21" w:rsidP="007202FA">
            <w:pPr>
              <w:pStyle w:val="TableHead"/>
              <w:keepNext/>
              <w:rPr>
                <w:rFonts w:ascii="Verdana" w:hAnsi="Verdana"/>
                <w:color w:val="000000"/>
                <w:kern w:val="2"/>
                <w:sz w:val="20"/>
                <w:szCs w:val="20"/>
                <w14:ligatures w14:val="standardContextual"/>
              </w:rPr>
            </w:pPr>
            <w:r>
              <w:rPr>
                <w:rFonts w:ascii="Verdana" w:hAnsi="Verdana"/>
                <w:bCs/>
                <w:color w:val="000000"/>
                <w:kern w:val="2"/>
                <w:sz w:val="20"/>
                <w:szCs w:val="20"/>
                <w:lang w:val="ga"/>
                <w14:ligatures w14:val="standardContextual"/>
              </w:rPr>
              <w:t>1-99</w:t>
            </w:r>
          </w:p>
        </w:tc>
        <w:tc>
          <w:tcPr>
            <w:tcW w:w="476" w:type="pct"/>
            <w:vAlign w:val="top"/>
            <w:hideMark/>
          </w:tcPr>
          <w:p w14:paraId="7B5D2E0A" w14:textId="77777777" w:rsidR="00590BEF" w:rsidRPr="007202FA" w:rsidRDefault="000B4F21" w:rsidP="007202FA">
            <w:pPr>
              <w:pStyle w:val="TableCell"/>
              <w:keepNext/>
              <w:rPr>
                <w:rFonts w:ascii="Verdana" w:hAnsi="Verdana"/>
                <w:color w:val="000000"/>
                <w:kern w:val="2"/>
                <w:sz w:val="20"/>
                <w:szCs w:val="20"/>
                <w14:ligatures w14:val="standardContextual"/>
              </w:rPr>
            </w:pPr>
            <w:r>
              <w:rPr>
                <w:rFonts w:ascii="Verdana" w:hAnsi="Verdana"/>
                <w:color w:val="000000"/>
                <w:kern w:val="2"/>
                <w:sz w:val="20"/>
                <w:szCs w:val="20"/>
                <w:lang w:val="ga"/>
                <w14:ligatures w14:val="standardContextual"/>
              </w:rPr>
              <w:t>63</w:t>
            </w:r>
          </w:p>
        </w:tc>
        <w:tc>
          <w:tcPr>
            <w:tcW w:w="706" w:type="pct"/>
            <w:vAlign w:val="top"/>
            <w:hideMark/>
          </w:tcPr>
          <w:p w14:paraId="40BC23B4" w14:textId="77777777" w:rsidR="00590BEF" w:rsidRPr="007202FA" w:rsidRDefault="000B4F21" w:rsidP="007202FA">
            <w:pPr>
              <w:pStyle w:val="TableCell"/>
              <w:keepNext/>
              <w:rPr>
                <w:rFonts w:ascii="Verdana" w:hAnsi="Verdana"/>
                <w:color w:val="000000"/>
                <w:kern w:val="2"/>
                <w:sz w:val="20"/>
                <w:szCs w:val="20"/>
                <w14:ligatures w14:val="standardContextual"/>
              </w:rPr>
            </w:pPr>
            <w:r>
              <w:rPr>
                <w:rFonts w:ascii="Verdana" w:hAnsi="Verdana"/>
                <w:color w:val="000000"/>
                <w:kern w:val="2"/>
                <w:sz w:val="20"/>
                <w:szCs w:val="20"/>
                <w:lang w:val="ga"/>
                <w14:ligatures w14:val="standardContextual"/>
              </w:rPr>
              <w:t>2,582</w:t>
            </w:r>
          </w:p>
        </w:tc>
        <w:tc>
          <w:tcPr>
            <w:tcW w:w="706" w:type="pct"/>
            <w:vAlign w:val="top"/>
            <w:hideMark/>
          </w:tcPr>
          <w:p w14:paraId="0CB283CA" w14:textId="77777777" w:rsidR="00590BEF" w:rsidRPr="007202FA" w:rsidRDefault="000B4F21" w:rsidP="007202FA">
            <w:pPr>
              <w:pStyle w:val="TableCell"/>
              <w:keepNext/>
              <w:rPr>
                <w:rFonts w:ascii="Verdana" w:hAnsi="Verdana"/>
                <w:color w:val="000000"/>
                <w:kern w:val="2"/>
                <w:sz w:val="20"/>
                <w:szCs w:val="20"/>
                <w14:ligatures w14:val="standardContextual"/>
              </w:rPr>
            </w:pPr>
            <w:r>
              <w:rPr>
                <w:rFonts w:ascii="Verdana" w:hAnsi="Verdana"/>
                <w:color w:val="000000"/>
                <w:kern w:val="2"/>
                <w:sz w:val="20"/>
                <w:szCs w:val="20"/>
                <w:lang w:val="ga"/>
                <w14:ligatures w14:val="standardContextual"/>
              </w:rPr>
              <w:t>244</w:t>
            </w:r>
          </w:p>
        </w:tc>
        <w:tc>
          <w:tcPr>
            <w:tcW w:w="706" w:type="pct"/>
            <w:vAlign w:val="top"/>
            <w:hideMark/>
          </w:tcPr>
          <w:p w14:paraId="3776963A" w14:textId="77777777" w:rsidR="00590BEF" w:rsidRPr="007202FA" w:rsidRDefault="000B4F21" w:rsidP="007202FA">
            <w:pPr>
              <w:pStyle w:val="TableCell"/>
              <w:keepNext/>
              <w:jc w:val="center"/>
              <w:rPr>
                <w:rFonts w:ascii="Verdana" w:hAnsi="Verdana"/>
                <w:color w:val="000000"/>
                <w:kern w:val="2"/>
                <w:sz w:val="20"/>
                <w:szCs w:val="20"/>
                <w14:ligatures w14:val="standardContextual"/>
              </w:rPr>
            </w:pPr>
            <w:r>
              <w:rPr>
                <w:rFonts w:ascii="Verdana" w:hAnsi="Verdana"/>
                <w:color w:val="000000"/>
                <w:kern w:val="2"/>
                <w:sz w:val="20"/>
                <w:szCs w:val="20"/>
                <w:lang w:val="ga"/>
                <w14:ligatures w14:val="standardContextual"/>
              </w:rPr>
              <w:t>9.5%</w:t>
            </w:r>
          </w:p>
        </w:tc>
        <w:tc>
          <w:tcPr>
            <w:tcW w:w="674" w:type="pct"/>
            <w:vAlign w:val="top"/>
            <w:hideMark/>
          </w:tcPr>
          <w:p w14:paraId="5B6E119A" w14:textId="77777777" w:rsidR="00590BEF" w:rsidRPr="007202FA" w:rsidRDefault="000B4F21" w:rsidP="007202FA">
            <w:pPr>
              <w:jc w:val="right"/>
              <w:rPr>
                <w:color w:val="000000"/>
                <w:sz w:val="20"/>
                <w:szCs w:val="20"/>
              </w:rPr>
            </w:pPr>
            <w:r>
              <w:rPr>
                <w:color w:val="000000"/>
                <w:sz w:val="20"/>
                <w:szCs w:val="20"/>
                <w:lang w:val="ga"/>
              </w:rPr>
              <w:t>0.9%</w:t>
            </w:r>
          </w:p>
        </w:tc>
        <w:tc>
          <w:tcPr>
            <w:tcW w:w="1027" w:type="pct"/>
            <w:vAlign w:val="top"/>
            <w:hideMark/>
          </w:tcPr>
          <w:p w14:paraId="28A61551" w14:textId="77777777" w:rsidR="00590BEF" w:rsidRPr="007202FA" w:rsidRDefault="000B4F21" w:rsidP="007202FA">
            <w:pPr>
              <w:jc w:val="right"/>
              <w:rPr>
                <w:color w:val="000000"/>
                <w:sz w:val="20"/>
                <w:szCs w:val="20"/>
              </w:rPr>
            </w:pPr>
            <w:r>
              <w:rPr>
                <w:color w:val="000000"/>
                <w:sz w:val="20"/>
                <w:szCs w:val="20"/>
                <w:lang w:val="ga"/>
              </w:rPr>
              <w:t>1.6%</w:t>
            </w:r>
          </w:p>
        </w:tc>
      </w:tr>
      <w:tr w:rsidR="00F31303" w14:paraId="791820DA" w14:textId="77777777" w:rsidTr="00050DC6">
        <w:trPr>
          <w:trHeight w:val="271"/>
        </w:trPr>
        <w:tc>
          <w:tcPr>
            <w:tcW w:w="706" w:type="pct"/>
            <w:vAlign w:val="top"/>
            <w:hideMark/>
          </w:tcPr>
          <w:p w14:paraId="58E8C7AC" w14:textId="77777777" w:rsidR="00590BEF" w:rsidRPr="007202FA" w:rsidRDefault="000B4F21" w:rsidP="007202FA">
            <w:pPr>
              <w:pStyle w:val="TableHead"/>
              <w:rPr>
                <w:rFonts w:ascii="Verdana" w:hAnsi="Verdana"/>
                <w:color w:val="000000"/>
                <w:kern w:val="2"/>
                <w:sz w:val="20"/>
                <w:szCs w:val="20"/>
                <w14:ligatures w14:val="standardContextual"/>
              </w:rPr>
            </w:pPr>
            <w:r>
              <w:rPr>
                <w:rFonts w:ascii="Verdana" w:hAnsi="Verdana"/>
                <w:bCs/>
                <w:color w:val="000000"/>
                <w:kern w:val="2"/>
                <w:sz w:val="20"/>
                <w:szCs w:val="20"/>
                <w:lang w:val="ga"/>
                <w14:ligatures w14:val="standardContextual"/>
              </w:rPr>
              <w:t xml:space="preserve">100-999 </w:t>
            </w:r>
          </w:p>
        </w:tc>
        <w:tc>
          <w:tcPr>
            <w:tcW w:w="476" w:type="pct"/>
            <w:vAlign w:val="top"/>
            <w:hideMark/>
          </w:tcPr>
          <w:p w14:paraId="7540EAB9" w14:textId="77777777" w:rsidR="00590BEF" w:rsidRPr="007202FA" w:rsidRDefault="000B4F21" w:rsidP="007202FA">
            <w:pPr>
              <w:pStyle w:val="TableCell"/>
              <w:rPr>
                <w:rFonts w:ascii="Verdana" w:hAnsi="Verdana"/>
                <w:color w:val="000000"/>
                <w:kern w:val="2"/>
                <w:sz w:val="20"/>
                <w:szCs w:val="20"/>
                <w14:ligatures w14:val="standardContextual"/>
              </w:rPr>
            </w:pPr>
            <w:r>
              <w:rPr>
                <w:rFonts w:ascii="Verdana" w:hAnsi="Verdana"/>
                <w:color w:val="000000"/>
                <w:kern w:val="2"/>
                <w:sz w:val="20"/>
                <w:szCs w:val="20"/>
                <w:lang w:val="ga"/>
                <w14:ligatures w14:val="standardContextual"/>
              </w:rPr>
              <w:t>107</w:t>
            </w:r>
          </w:p>
        </w:tc>
        <w:tc>
          <w:tcPr>
            <w:tcW w:w="706" w:type="pct"/>
            <w:vAlign w:val="top"/>
            <w:hideMark/>
          </w:tcPr>
          <w:p w14:paraId="5679A1DC" w14:textId="77777777" w:rsidR="00590BEF" w:rsidRPr="007202FA" w:rsidRDefault="000B4F21" w:rsidP="007202FA">
            <w:pPr>
              <w:pStyle w:val="TableCell"/>
              <w:rPr>
                <w:rFonts w:ascii="Verdana" w:hAnsi="Verdana"/>
                <w:color w:val="000000"/>
                <w:kern w:val="2"/>
                <w:sz w:val="20"/>
                <w:szCs w:val="20"/>
                <w14:ligatures w14:val="standardContextual"/>
              </w:rPr>
            </w:pPr>
            <w:r>
              <w:rPr>
                <w:rFonts w:ascii="Verdana" w:hAnsi="Verdana"/>
                <w:color w:val="000000"/>
                <w:kern w:val="2"/>
                <w:sz w:val="20"/>
                <w:szCs w:val="20"/>
                <w:lang w:val="ga"/>
                <w14:ligatures w14:val="standardContextual"/>
              </w:rPr>
              <w:t>42,082</w:t>
            </w:r>
          </w:p>
        </w:tc>
        <w:tc>
          <w:tcPr>
            <w:tcW w:w="706" w:type="pct"/>
            <w:vAlign w:val="top"/>
            <w:hideMark/>
          </w:tcPr>
          <w:p w14:paraId="13434912" w14:textId="77777777" w:rsidR="00590BEF" w:rsidRPr="007202FA" w:rsidRDefault="000B4F21" w:rsidP="007202FA">
            <w:pPr>
              <w:pStyle w:val="TableCell"/>
              <w:rPr>
                <w:rFonts w:ascii="Verdana" w:hAnsi="Verdana"/>
                <w:color w:val="000000"/>
                <w:kern w:val="2"/>
                <w:sz w:val="20"/>
                <w:szCs w:val="20"/>
                <w14:ligatures w14:val="standardContextual"/>
              </w:rPr>
            </w:pPr>
            <w:r>
              <w:rPr>
                <w:rFonts w:ascii="Verdana" w:hAnsi="Verdana"/>
                <w:color w:val="000000"/>
                <w:kern w:val="2"/>
                <w:sz w:val="20"/>
                <w:szCs w:val="20"/>
                <w:lang w:val="ga"/>
                <w14:ligatures w14:val="standardContextual"/>
              </w:rPr>
              <w:t>3,103</w:t>
            </w:r>
          </w:p>
        </w:tc>
        <w:tc>
          <w:tcPr>
            <w:tcW w:w="706" w:type="pct"/>
            <w:vAlign w:val="top"/>
            <w:hideMark/>
          </w:tcPr>
          <w:p w14:paraId="1756EA58" w14:textId="77777777" w:rsidR="00590BEF" w:rsidRPr="007202FA" w:rsidRDefault="000B4F21" w:rsidP="007202FA">
            <w:pPr>
              <w:pStyle w:val="TableCell"/>
              <w:rPr>
                <w:rFonts w:ascii="Verdana" w:hAnsi="Verdana"/>
                <w:color w:val="000000"/>
                <w:kern w:val="2"/>
                <w:sz w:val="20"/>
                <w:szCs w:val="20"/>
                <w14:ligatures w14:val="standardContextual"/>
              </w:rPr>
            </w:pPr>
            <w:r>
              <w:rPr>
                <w:rFonts w:ascii="Verdana" w:hAnsi="Verdana"/>
                <w:color w:val="000000"/>
                <w:kern w:val="2"/>
                <w:sz w:val="20"/>
                <w:szCs w:val="20"/>
                <w:lang w:val="ga"/>
                <w14:ligatures w14:val="standardContextual"/>
              </w:rPr>
              <w:t>7.4%</w:t>
            </w:r>
          </w:p>
        </w:tc>
        <w:tc>
          <w:tcPr>
            <w:tcW w:w="674" w:type="pct"/>
            <w:vAlign w:val="top"/>
            <w:hideMark/>
          </w:tcPr>
          <w:p w14:paraId="7C68EB49" w14:textId="77777777" w:rsidR="00590BEF" w:rsidRPr="007202FA" w:rsidRDefault="000B4F21" w:rsidP="007202FA">
            <w:pPr>
              <w:jc w:val="right"/>
              <w:rPr>
                <w:color w:val="000000"/>
                <w:sz w:val="20"/>
                <w:szCs w:val="20"/>
              </w:rPr>
            </w:pPr>
            <w:r>
              <w:rPr>
                <w:color w:val="000000"/>
                <w:sz w:val="20"/>
                <w:szCs w:val="20"/>
                <w:lang w:val="ga"/>
              </w:rPr>
              <w:t>14.8%</w:t>
            </w:r>
          </w:p>
        </w:tc>
        <w:tc>
          <w:tcPr>
            <w:tcW w:w="1027" w:type="pct"/>
            <w:vAlign w:val="top"/>
            <w:hideMark/>
          </w:tcPr>
          <w:p w14:paraId="60174DFF" w14:textId="77777777" w:rsidR="00590BEF" w:rsidRPr="007202FA" w:rsidRDefault="000B4F21" w:rsidP="007202FA">
            <w:pPr>
              <w:jc w:val="right"/>
              <w:rPr>
                <w:color w:val="000000"/>
                <w:sz w:val="20"/>
                <w:szCs w:val="20"/>
              </w:rPr>
            </w:pPr>
            <w:r>
              <w:rPr>
                <w:color w:val="000000"/>
                <w:sz w:val="20"/>
                <w:szCs w:val="20"/>
                <w:lang w:val="ga"/>
              </w:rPr>
              <w:t>20.1%</w:t>
            </w:r>
          </w:p>
        </w:tc>
      </w:tr>
      <w:tr w:rsidR="00F31303" w14:paraId="7FF9E1C9" w14:textId="77777777" w:rsidTr="00050DC6">
        <w:trPr>
          <w:trHeight w:val="510"/>
        </w:trPr>
        <w:tc>
          <w:tcPr>
            <w:tcW w:w="706" w:type="pct"/>
            <w:vAlign w:val="top"/>
            <w:hideMark/>
          </w:tcPr>
          <w:p w14:paraId="2DB136A5" w14:textId="77777777" w:rsidR="00590BEF" w:rsidRPr="007202FA" w:rsidRDefault="000B4F21" w:rsidP="007202FA">
            <w:pPr>
              <w:rPr>
                <w:b/>
                <w:color w:val="000000"/>
                <w:sz w:val="20"/>
                <w:szCs w:val="20"/>
              </w:rPr>
            </w:pPr>
            <w:r>
              <w:rPr>
                <w:b/>
                <w:bCs/>
                <w:color w:val="000000"/>
                <w:sz w:val="20"/>
                <w:szCs w:val="20"/>
                <w:lang w:val="ga"/>
              </w:rPr>
              <w:t xml:space="preserve">1,000-4,999 </w:t>
            </w:r>
          </w:p>
        </w:tc>
        <w:tc>
          <w:tcPr>
            <w:tcW w:w="476" w:type="pct"/>
            <w:vAlign w:val="top"/>
            <w:hideMark/>
          </w:tcPr>
          <w:p w14:paraId="028A1DB4" w14:textId="77777777" w:rsidR="00590BEF" w:rsidRPr="007202FA" w:rsidRDefault="000B4F21" w:rsidP="007202FA">
            <w:pPr>
              <w:jc w:val="right"/>
              <w:rPr>
                <w:color w:val="000000"/>
                <w:sz w:val="20"/>
                <w:szCs w:val="20"/>
              </w:rPr>
            </w:pPr>
            <w:r>
              <w:rPr>
                <w:color w:val="000000"/>
                <w:sz w:val="20"/>
                <w:szCs w:val="20"/>
                <w:lang w:val="ga"/>
              </w:rPr>
              <w:t>38</w:t>
            </w:r>
          </w:p>
        </w:tc>
        <w:tc>
          <w:tcPr>
            <w:tcW w:w="706" w:type="pct"/>
            <w:vAlign w:val="top"/>
            <w:hideMark/>
          </w:tcPr>
          <w:p w14:paraId="07A239FE" w14:textId="77777777" w:rsidR="00590BEF" w:rsidRPr="007202FA" w:rsidRDefault="000B4F21" w:rsidP="007202FA">
            <w:pPr>
              <w:jc w:val="right"/>
              <w:rPr>
                <w:color w:val="000000"/>
                <w:sz w:val="20"/>
                <w:szCs w:val="20"/>
              </w:rPr>
            </w:pPr>
            <w:r>
              <w:rPr>
                <w:color w:val="000000"/>
                <w:sz w:val="20"/>
                <w:szCs w:val="20"/>
                <w:lang w:val="ga"/>
              </w:rPr>
              <w:t>86,145</w:t>
            </w:r>
          </w:p>
        </w:tc>
        <w:tc>
          <w:tcPr>
            <w:tcW w:w="706" w:type="pct"/>
            <w:vAlign w:val="top"/>
            <w:hideMark/>
          </w:tcPr>
          <w:p w14:paraId="75977035" w14:textId="77777777" w:rsidR="00590BEF" w:rsidRPr="007202FA" w:rsidRDefault="000B4F21" w:rsidP="007202FA">
            <w:pPr>
              <w:jc w:val="right"/>
              <w:rPr>
                <w:color w:val="000000"/>
                <w:sz w:val="20"/>
                <w:szCs w:val="20"/>
              </w:rPr>
            </w:pPr>
            <w:r>
              <w:rPr>
                <w:color w:val="000000"/>
                <w:sz w:val="20"/>
                <w:szCs w:val="20"/>
                <w:lang w:val="ga"/>
              </w:rPr>
              <w:t>5,782</w:t>
            </w:r>
          </w:p>
        </w:tc>
        <w:tc>
          <w:tcPr>
            <w:tcW w:w="706" w:type="pct"/>
            <w:vAlign w:val="top"/>
            <w:hideMark/>
          </w:tcPr>
          <w:p w14:paraId="4DB89528" w14:textId="77777777" w:rsidR="00590BEF" w:rsidRPr="007202FA" w:rsidRDefault="000B4F21" w:rsidP="007202FA">
            <w:pPr>
              <w:jc w:val="right"/>
              <w:rPr>
                <w:color w:val="000000"/>
                <w:sz w:val="20"/>
                <w:szCs w:val="20"/>
              </w:rPr>
            </w:pPr>
            <w:r>
              <w:rPr>
                <w:color w:val="000000"/>
                <w:sz w:val="20"/>
                <w:szCs w:val="20"/>
                <w:lang w:val="ga"/>
              </w:rPr>
              <w:t>6.7%</w:t>
            </w:r>
          </w:p>
        </w:tc>
        <w:tc>
          <w:tcPr>
            <w:tcW w:w="674" w:type="pct"/>
            <w:vAlign w:val="top"/>
            <w:hideMark/>
          </w:tcPr>
          <w:p w14:paraId="3D3F1073" w14:textId="77777777" w:rsidR="00590BEF" w:rsidRPr="007202FA" w:rsidRDefault="000B4F21" w:rsidP="007202FA">
            <w:pPr>
              <w:jc w:val="right"/>
              <w:rPr>
                <w:color w:val="000000"/>
                <w:sz w:val="20"/>
                <w:szCs w:val="20"/>
              </w:rPr>
            </w:pPr>
            <w:r>
              <w:rPr>
                <w:color w:val="000000"/>
                <w:sz w:val="20"/>
                <w:szCs w:val="20"/>
                <w:lang w:val="ga"/>
              </w:rPr>
              <w:t>30.4%</w:t>
            </w:r>
          </w:p>
        </w:tc>
        <w:tc>
          <w:tcPr>
            <w:tcW w:w="1027" w:type="pct"/>
            <w:vAlign w:val="top"/>
            <w:hideMark/>
          </w:tcPr>
          <w:p w14:paraId="3766DB5A" w14:textId="77777777" w:rsidR="00590BEF" w:rsidRPr="007202FA" w:rsidRDefault="000B4F21" w:rsidP="007202FA">
            <w:pPr>
              <w:jc w:val="right"/>
              <w:rPr>
                <w:color w:val="000000"/>
                <w:sz w:val="20"/>
                <w:szCs w:val="20"/>
              </w:rPr>
            </w:pPr>
            <w:r>
              <w:rPr>
                <w:color w:val="000000"/>
                <w:sz w:val="20"/>
                <w:szCs w:val="20"/>
                <w:lang w:val="ga"/>
              </w:rPr>
              <w:t>37.5%</w:t>
            </w:r>
          </w:p>
        </w:tc>
      </w:tr>
      <w:tr w:rsidR="00F31303" w14:paraId="655BD5B1" w14:textId="77777777" w:rsidTr="00050DC6">
        <w:trPr>
          <w:trHeight w:val="183"/>
        </w:trPr>
        <w:tc>
          <w:tcPr>
            <w:tcW w:w="706" w:type="pct"/>
            <w:vAlign w:val="top"/>
            <w:hideMark/>
          </w:tcPr>
          <w:p w14:paraId="3057D0E9" w14:textId="77777777" w:rsidR="00590BEF" w:rsidRPr="007202FA" w:rsidRDefault="000B4F21" w:rsidP="007202FA">
            <w:pPr>
              <w:rPr>
                <w:b/>
                <w:color w:val="000000"/>
                <w:sz w:val="20"/>
                <w:szCs w:val="20"/>
              </w:rPr>
            </w:pPr>
            <w:r>
              <w:rPr>
                <w:b/>
                <w:bCs/>
                <w:color w:val="000000"/>
                <w:sz w:val="20"/>
                <w:szCs w:val="20"/>
                <w:lang w:val="ga"/>
              </w:rPr>
              <w:t>5,000+</w:t>
            </w:r>
          </w:p>
        </w:tc>
        <w:tc>
          <w:tcPr>
            <w:tcW w:w="476" w:type="pct"/>
            <w:vAlign w:val="top"/>
            <w:hideMark/>
          </w:tcPr>
          <w:p w14:paraId="33F63BE8" w14:textId="77777777" w:rsidR="00590BEF" w:rsidRPr="007202FA" w:rsidRDefault="000B4F21" w:rsidP="007202FA">
            <w:pPr>
              <w:jc w:val="right"/>
              <w:rPr>
                <w:color w:val="000000"/>
                <w:sz w:val="20"/>
                <w:szCs w:val="20"/>
              </w:rPr>
            </w:pPr>
            <w:r>
              <w:rPr>
                <w:color w:val="000000"/>
                <w:sz w:val="20"/>
                <w:szCs w:val="20"/>
                <w:lang w:val="ga"/>
              </w:rPr>
              <w:t>8</w:t>
            </w:r>
          </w:p>
        </w:tc>
        <w:tc>
          <w:tcPr>
            <w:tcW w:w="706" w:type="pct"/>
            <w:vAlign w:val="top"/>
            <w:hideMark/>
          </w:tcPr>
          <w:p w14:paraId="08651524" w14:textId="77777777" w:rsidR="00590BEF" w:rsidRPr="007202FA" w:rsidRDefault="000B4F21" w:rsidP="007202FA">
            <w:pPr>
              <w:jc w:val="right"/>
              <w:rPr>
                <w:color w:val="000000"/>
                <w:sz w:val="20"/>
                <w:szCs w:val="20"/>
              </w:rPr>
            </w:pPr>
            <w:r>
              <w:rPr>
                <w:color w:val="000000"/>
                <w:sz w:val="20"/>
                <w:szCs w:val="20"/>
                <w:lang w:val="ga"/>
              </w:rPr>
              <w:t>152,996</w:t>
            </w:r>
          </w:p>
        </w:tc>
        <w:tc>
          <w:tcPr>
            <w:tcW w:w="706" w:type="pct"/>
            <w:vAlign w:val="top"/>
            <w:hideMark/>
          </w:tcPr>
          <w:p w14:paraId="28E8C219" w14:textId="77777777" w:rsidR="00590BEF" w:rsidRPr="007202FA" w:rsidRDefault="000B4F21" w:rsidP="007202FA">
            <w:pPr>
              <w:jc w:val="right"/>
              <w:rPr>
                <w:color w:val="000000"/>
                <w:sz w:val="20"/>
                <w:szCs w:val="20"/>
              </w:rPr>
            </w:pPr>
            <w:r>
              <w:rPr>
                <w:color w:val="000000"/>
                <w:sz w:val="20"/>
                <w:szCs w:val="20"/>
                <w:lang w:val="ga"/>
              </w:rPr>
              <w:t>6,274</w:t>
            </w:r>
          </w:p>
        </w:tc>
        <w:tc>
          <w:tcPr>
            <w:tcW w:w="706" w:type="pct"/>
            <w:vAlign w:val="top"/>
            <w:hideMark/>
          </w:tcPr>
          <w:p w14:paraId="046AFF85" w14:textId="77777777" w:rsidR="00590BEF" w:rsidRPr="007202FA" w:rsidRDefault="000B4F21" w:rsidP="007202FA">
            <w:pPr>
              <w:jc w:val="right"/>
              <w:rPr>
                <w:color w:val="000000"/>
                <w:sz w:val="20"/>
                <w:szCs w:val="20"/>
              </w:rPr>
            </w:pPr>
            <w:r>
              <w:rPr>
                <w:color w:val="000000"/>
                <w:sz w:val="20"/>
                <w:szCs w:val="20"/>
                <w:lang w:val="ga"/>
              </w:rPr>
              <w:t>4.1%</w:t>
            </w:r>
          </w:p>
        </w:tc>
        <w:tc>
          <w:tcPr>
            <w:tcW w:w="674" w:type="pct"/>
            <w:vAlign w:val="top"/>
            <w:hideMark/>
          </w:tcPr>
          <w:p w14:paraId="17D93AE8" w14:textId="77777777" w:rsidR="00590BEF" w:rsidRPr="007202FA" w:rsidRDefault="000B4F21" w:rsidP="007202FA">
            <w:pPr>
              <w:jc w:val="right"/>
              <w:rPr>
                <w:color w:val="000000"/>
                <w:sz w:val="20"/>
                <w:szCs w:val="20"/>
              </w:rPr>
            </w:pPr>
            <w:r>
              <w:rPr>
                <w:color w:val="000000"/>
                <w:sz w:val="20"/>
                <w:szCs w:val="20"/>
                <w:lang w:val="ga"/>
              </w:rPr>
              <w:t>53.9%</w:t>
            </w:r>
          </w:p>
        </w:tc>
        <w:tc>
          <w:tcPr>
            <w:tcW w:w="1027" w:type="pct"/>
            <w:vAlign w:val="top"/>
            <w:hideMark/>
          </w:tcPr>
          <w:p w14:paraId="03B5827E" w14:textId="77777777" w:rsidR="00590BEF" w:rsidRPr="007202FA" w:rsidRDefault="000B4F21" w:rsidP="007202FA">
            <w:pPr>
              <w:jc w:val="right"/>
              <w:rPr>
                <w:color w:val="000000"/>
                <w:sz w:val="20"/>
                <w:szCs w:val="20"/>
              </w:rPr>
            </w:pPr>
            <w:r>
              <w:rPr>
                <w:color w:val="000000"/>
                <w:sz w:val="20"/>
                <w:szCs w:val="20"/>
                <w:lang w:val="ga"/>
              </w:rPr>
              <w:t>40.7%</w:t>
            </w:r>
          </w:p>
        </w:tc>
      </w:tr>
      <w:tr w:rsidR="00F31303" w14:paraId="23679E7E" w14:textId="77777777" w:rsidTr="00050DC6">
        <w:trPr>
          <w:trHeight w:val="215"/>
        </w:trPr>
        <w:tc>
          <w:tcPr>
            <w:tcW w:w="706" w:type="pct"/>
            <w:vAlign w:val="top"/>
            <w:hideMark/>
          </w:tcPr>
          <w:p w14:paraId="0F21D0CE" w14:textId="77777777" w:rsidR="00590BEF" w:rsidRPr="007202FA" w:rsidRDefault="000B4F21" w:rsidP="007202FA">
            <w:pPr>
              <w:rPr>
                <w:b/>
                <w:color w:val="000000"/>
                <w:sz w:val="20"/>
                <w:szCs w:val="20"/>
              </w:rPr>
            </w:pPr>
            <w:r>
              <w:rPr>
                <w:b/>
                <w:bCs/>
                <w:color w:val="000000"/>
                <w:sz w:val="20"/>
                <w:szCs w:val="20"/>
                <w:lang w:val="ga"/>
              </w:rPr>
              <w:t>Iomlán 2024</w:t>
            </w:r>
          </w:p>
        </w:tc>
        <w:tc>
          <w:tcPr>
            <w:tcW w:w="476" w:type="pct"/>
            <w:vAlign w:val="top"/>
            <w:hideMark/>
          </w:tcPr>
          <w:p w14:paraId="1F5418B9" w14:textId="77777777" w:rsidR="00590BEF" w:rsidRPr="007202FA" w:rsidRDefault="000B4F21" w:rsidP="007202FA">
            <w:pPr>
              <w:jc w:val="right"/>
              <w:rPr>
                <w:b/>
                <w:color w:val="000000"/>
                <w:sz w:val="20"/>
                <w:szCs w:val="20"/>
              </w:rPr>
            </w:pPr>
            <w:r>
              <w:rPr>
                <w:b/>
                <w:bCs/>
                <w:color w:val="000000"/>
                <w:sz w:val="20"/>
                <w:szCs w:val="20"/>
                <w:lang w:val="ga"/>
              </w:rPr>
              <w:t>216</w:t>
            </w:r>
          </w:p>
        </w:tc>
        <w:tc>
          <w:tcPr>
            <w:tcW w:w="706" w:type="pct"/>
            <w:vAlign w:val="top"/>
            <w:hideMark/>
          </w:tcPr>
          <w:p w14:paraId="78453949" w14:textId="77777777" w:rsidR="00590BEF" w:rsidRPr="007202FA" w:rsidRDefault="000B4F21" w:rsidP="007202FA">
            <w:pPr>
              <w:jc w:val="right"/>
              <w:rPr>
                <w:b/>
                <w:color w:val="000000"/>
                <w:sz w:val="20"/>
                <w:szCs w:val="20"/>
              </w:rPr>
            </w:pPr>
            <w:r>
              <w:rPr>
                <w:b/>
                <w:bCs/>
                <w:color w:val="000000"/>
                <w:sz w:val="20"/>
                <w:szCs w:val="20"/>
                <w:lang w:val="ga"/>
              </w:rPr>
              <w:t>283,805</w:t>
            </w:r>
          </w:p>
        </w:tc>
        <w:tc>
          <w:tcPr>
            <w:tcW w:w="706" w:type="pct"/>
            <w:vAlign w:val="top"/>
            <w:hideMark/>
          </w:tcPr>
          <w:p w14:paraId="12B39BAF" w14:textId="77777777" w:rsidR="00590BEF" w:rsidRPr="007202FA" w:rsidRDefault="000B4F21" w:rsidP="007202FA">
            <w:pPr>
              <w:jc w:val="right"/>
              <w:rPr>
                <w:b/>
                <w:color w:val="000000"/>
                <w:sz w:val="20"/>
                <w:szCs w:val="20"/>
              </w:rPr>
            </w:pPr>
            <w:r>
              <w:rPr>
                <w:b/>
                <w:bCs/>
                <w:color w:val="000000"/>
                <w:sz w:val="20"/>
                <w:szCs w:val="20"/>
                <w:lang w:val="ga"/>
              </w:rPr>
              <w:t>15,403</w:t>
            </w:r>
          </w:p>
        </w:tc>
        <w:tc>
          <w:tcPr>
            <w:tcW w:w="706" w:type="pct"/>
            <w:vAlign w:val="top"/>
            <w:hideMark/>
          </w:tcPr>
          <w:p w14:paraId="0F684D49" w14:textId="77777777" w:rsidR="00590BEF" w:rsidRPr="007202FA" w:rsidRDefault="000B4F21" w:rsidP="007202FA">
            <w:pPr>
              <w:jc w:val="right"/>
              <w:rPr>
                <w:b/>
                <w:color w:val="000000"/>
                <w:sz w:val="20"/>
                <w:szCs w:val="20"/>
              </w:rPr>
            </w:pPr>
            <w:r>
              <w:rPr>
                <w:b/>
                <w:bCs/>
                <w:color w:val="000000"/>
                <w:sz w:val="20"/>
                <w:szCs w:val="20"/>
                <w:lang w:val="ga"/>
              </w:rPr>
              <w:t>5.4%</w:t>
            </w:r>
          </w:p>
        </w:tc>
        <w:tc>
          <w:tcPr>
            <w:tcW w:w="674" w:type="pct"/>
            <w:vAlign w:val="top"/>
            <w:hideMark/>
          </w:tcPr>
          <w:p w14:paraId="2F69B2A7" w14:textId="77777777" w:rsidR="00590BEF" w:rsidRPr="007202FA" w:rsidRDefault="000B4F21" w:rsidP="007202FA">
            <w:pPr>
              <w:jc w:val="right"/>
              <w:rPr>
                <w:b/>
                <w:color w:val="000000"/>
                <w:sz w:val="20"/>
                <w:szCs w:val="20"/>
              </w:rPr>
            </w:pPr>
            <w:r>
              <w:rPr>
                <w:b/>
                <w:bCs/>
                <w:color w:val="000000"/>
                <w:sz w:val="20"/>
                <w:szCs w:val="20"/>
                <w:lang w:val="ga"/>
              </w:rPr>
              <w:t>100%</w:t>
            </w:r>
          </w:p>
        </w:tc>
        <w:tc>
          <w:tcPr>
            <w:tcW w:w="1027" w:type="pct"/>
            <w:vAlign w:val="top"/>
            <w:hideMark/>
          </w:tcPr>
          <w:p w14:paraId="04F76EF0" w14:textId="77777777" w:rsidR="00590BEF" w:rsidRPr="007202FA" w:rsidRDefault="000B4F21" w:rsidP="007202FA">
            <w:pPr>
              <w:jc w:val="right"/>
              <w:rPr>
                <w:b/>
                <w:color w:val="000000"/>
                <w:sz w:val="20"/>
                <w:szCs w:val="20"/>
              </w:rPr>
            </w:pPr>
            <w:r>
              <w:rPr>
                <w:b/>
                <w:bCs/>
                <w:color w:val="000000"/>
                <w:sz w:val="20"/>
                <w:szCs w:val="20"/>
                <w:lang w:val="ga"/>
              </w:rPr>
              <w:t>100%</w:t>
            </w:r>
          </w:p>
        </w:tc>
      </w:tr>
    </w:tbl>
    <w:p w14:paraId="56AB3585" w14:textId="77777777" w:rsidR="00590BEF" w:rsidRPr="007202FA" w:rsidRDefault="000B4F21" w:rsidP="007202FA">
      <w:pPr>
        <w:pStyle w:val="Heading2"/>
        <w:spacing w:before="240"/>
        <w:rPr>
          <w:color w:val="BF2296"/>
        </w:rPr>
      </w:pPr>
      <w:bookmarkStart w:id="114" w:name="_Toc214033635"/>
      <w:r>
        <w:rPr>
          <w:bCs/>
          <w:color w:val="BF2296"/>
          <w:lang w:val="ga"/>
        </w:rPr>
        <w:t>2.4 Athruithe i méid na gcomhlachtaí poiblí</w:t>
      </w:r>
      <w:bookmarkEnd w:id="114"/>
      <w:r>
        <w:rPr>
          <w:bCs/>
          <w:color w:val="BF2296"/>
          <w:lang w:val="ga"/>
        </w:rPr>
        <w:t xml:space="preserve"> </w:t>
      </w:r>
    </w:p>
    <w:p w14:paraId="0131190B" w14:textId="77777777" w:rsidR="00590BEF" w:rsidRPr="007202FA" w:rsidRDefault="000B4F21" w:rsidP="007202FA">
      <w:r>
        <w:rPr>
          <w:lang w:val="ga"/>
        </w:rPr>
        <w:t>Is féidir leis an líon iomlán fostaithe i gcomhlachtaí poiblí agus/nó leis an líon fostaithe a thuairiscigh míchumas athrú ó bhliain go bliain ina lán cásanna. Bhí spéis ag ÚNM sa chúis ar tháinig méaduithe/laghduithe bliain i ndiaidh bliana ar an líon iomlán fostaithe agus ar an líon fostaithe a bhfuil míchumas orthu i gcomhlachtaí poiblí a bhfuil níos mó ná 100 fostaí acu. Sna blianta 2023 agus 2024, chuireamar na ceisteanna seo a leanas:</w:t>
      </w:r>
    </w:p>
    <w:p w14:paraId="539A79C9" w14:textId="657A27C1" w:rsidR="00590BEF" w:rsidRPr="007202FA" w:rsidRDefault="000B4F21" w:rsidP="007202FA">
      <w:pPr>
        <w:pStyle w:val="NDABullet"/>
      </w:pPr>
      <w:r>
        <w:rPr>
          <w:lang w:val="ga"/>
        </w:rPr>
        <w:t>Fiafraíodh de chomhlachtaí poiblí a bhfuil idir 100 fostaí agus 999 bhfostaí acu ar tháinig méadú 10% nó níos mó nó laghdú 10% nó níos mó ar a líon iomlán fostaithe, nó ar a líon iomlán fostaithe a bhfuil míchumas orthu, ón mbliain 2023 i leith nó nár tháinig.</w:t>
      </w:r>
    </w:p>
    <w:p w14:paraId="683EF61A" w14:textId="4E761F5F" w:rsidR="00590BEF" w:rsidRPr="007202FA" w:rsidRDefault="000B4F21" w:rsidP="007202FA">
      <w:pPr>
        <w:pStyle w:val="NDABullet"/>
      </w:pPr>
      <w:r>
        <w:rPr>
          <w:lang w:val="ga"/>
        </w:rPr>
        <w:lastRenderedPageBreak/>
        <w:t>Fiafraíodh de chomhlachtaí poiblí a bhfuil níos mó ná 1,000 fostaí acu ar tháinig méadú 5% nó níos mó nó laghdú 5% nó níos mó ar a líon iomlán fostaithe, nó ar a líon iomlán fostaithe a bhfuil míchumas orthu, ón mbliain 2023 i leith nó nár tháinig.</w:t>
      </w:r>
    </w:p>
    <w:p w14:paraId="52741FD5" w14:textId="77777777" w:rsidR="00590BEF" w:rsidRPr="007202FA" w:rsidRDefault="000B4F21" w:rsidP="007202FA">
      <w:pPr>
        <w:pStyle w:val="Heading3"/>
        <w:rPr>
          <w:color w:val="BF2296"/>
          <w:sz w:val="24"/>
          <w:szCs w:val="24"/>
        </w:rPr>
      </w:pPr>
      <w:bookmarkStart w:id="115" w:name="_Toc208656789"/>
      <w:bookmarkStart w:id="116" w:name="_Toc208409884"/>
      <w:bookmarkStart w:id="117" w:name="_Toc177129176"/>
      <w:bookmarkStart w:id="118" w:name="_Toc214033636"/>
      <w:bookmarkStart w:id="119" w:name="_Hlk208167949"/>
      <w:r>
        <w:rPr>
          <w:bCs/>
          <w:color w:val="BF2296"/>
          <w:sz w:val="24"/>
          <w:szCs w:val="24"/>
          <w:lang w:val="ga"/>
        </w:rPr>
        <w:t>Comhlachtaí poiblí a bhfuil idir 100 fostaí agus 999 bhfostaí acu</w:t>
      </w:r>
      <w:bookmarkEnd w:id="115"/>
      <w:bookmarkEnd w:id="116"/>
      <w:bookmarkEnd w:id="117"/>
      <w:bookmarkEnd w:id="118"/>
      <w:r>
        <w:rPr>
          <w:bCs/>
          <w:color w:val="BF2296"/>
          <w:sz w:val="24"/>
          <w:szCs w:val="24"/>
          <w:lang w:val="ga"/>
        </w:rPr>
        <w:t xml:space="preserve">  </w:t>
      </w:r>
    </w:p>
    <w:p w14:paraId="4BF606CB" w14:textId="77777777" w:rsidR="00590BEF" w:rsidRPr="005524D6" w:rsidRDefault="000B4F21" w:rsidP="007202FA">
      <w:pPr>
        <w:rPr>
          <w:lang w:val="ga"/>
        </w:rPr>
      </w:pPr>
      <w:bookmarkStart w:id="120" w:name="_Hlk176984711"/>
      <w:r>
        <w:rPr>
          <w:lang w:val="ga"/>
        </w:rPr>
        <w:t xml:space="preserve">Sa bhliain 2024, bhí idir 100 fostaí agus 999 bhfostaí ag 107 gcomhlacht phoiblí (49.5%). Tá sé sin cosúil le figiúr na bliana 2023, ab ionann agus 104 chomhlacht phoiblí (49.5%). </w:t>
      </w:r>
    </w:p>
    <w:p w14:paraId="386F8079" w14:textId="77777777" w:rsidR="00590BEF" w:rsidRPr="005524D6" w:rsidRDefault="000B4F21" w:rsidP="007202FA">
      <w:pPr>
        <w:rPr>
          <w:lang w:val="ga"/>
        </w:rPr>
      </w:pPr>
      <w:r>
        <w:rPr>
          <w:lang w:val="ga"/>
        </w:rPr>
        <w:t>Sna blianta 2023 agus 2024, b’amhlaidh, i gcás roinnt de na comhlachtaí sin, a tháinig na hathruithe seo a leanas ar a líon iomlán fostaithe agus ar a líon iomlán fostaithe a bhfuil míchumas orthu:</w:t>
      </w:r>
    </w:p>
    <w:p w14:paraId="28A07CEC" w14:textId="77777777" w:rsidR="00590BEF" w:rsidRPr="005524D6" w:rsidRDefault="000B4F21" w:rsidP="007202FA">
      <w:pPr>
        <w:pStyle w:val="NDABullet"/>
        <w:rPr>
          <w:lang w:val="ga"/>
        </w:rPr>
      </w:pPr>
      <w:r>
        <w:rPr>
          <w:lang w:val="ga"/>
        </w:rPr>
        <w:t xml:space="preserve">Sa bhliain 2024, b’amhlaidh, i gcás 35 cinn de na comhlachtaí poiblí sin (32.7%), i gcomparáid le 29 gcomhlacht poiblí (27.9%) sa bhliain 2023, </w:t>
      </w:r>
      <w:r>
        <w:rPr>
          <w:b/>
          <w:bCs/>
          <w:lang w:val="ga"/>
        </w:rPr>
        <w:t>a tháinig méadú 10% nó níos mó ar a líon iomlán fostaithe</w:t>
      </w:r>
      <w:r>
        <w:rPr>
          <w:lang w:val="ga"/>
        </w:rPr>
        <w:t xml:space="preserve"> ón mbliain 2023 i leith. Ba iad na príomhchúiseanna leis na méaduithe sin ná earcaíocht leanúnach, líonadh folúntas, agus méadú san infheistíocht agus sna ceaduithe le haghaidh poist nua. Ba iad sin na cúiseanna céanna ar thuairiscigh an cohórt seo comhlachtaí poiblí iad sa bhliain 2023.</w:t>
      </w:r>
    </w:p>
    <w:p w14:paraId="2FE530D8" w14:textId="75CF418D" w:rsidR="00590BEF" w:rsidRPr="005524D6" w:rsidRDefault="000B4F21" w:rsidP="007202FA">
      <w:pPr>
        <w:pStyle w:val="NDABullet"/>
        <w:rPr>
          <w:lang w:val="ga"/>
        </w:rPr>
      </w:pPr>
      <w:r>
        <w:rPr>
          <w:lang w:val="ga"/>
        </w:rPr>
        <w:t xml:space="preserve">Sa bhliain 2024, thuairiscigh 55 cinn de na comhlachtaí poiblí sin (51.4%) gur tháinig </w:t>
      </w:r>
      <w:r>
        <w:rPr>
          <w:b/>
          <w:bCs/>
          <w:lang w:val="ga"/>
        </w:rPr>
        <w:t>méadú 10% nó níos mó ar a líon fostaithe a bhfuil míchumas orthu</w:t>
      </w:r>
      <w:r>
        <w:rPr>
          <w:lang w:val="ga"/>
        </w:rPr>
        <w:t>, i gcomparáid le 39 gcomhlacht phoiblí (37.5%) sa bhliain 2023. Sna blianta 2023 agus 2024, thuairiscigh comhlachtaí poiblí gur nithe a rannchuidigh leis na méaduithe sin iad feachtais earcaíochta, fostaithe nua a bheith ag cur a stádais míchumais in iúl, comhlachtaí poiblí a bheith ag méadú feasacht fostaithe ar mhíchumas, agus tacaí d’fhostaithe. Toisc eile a rannchuidigh leis an méadú ar an líon fostaithe a bhfuil míchumas orthu ba ea gur chuir comhlachtaí poiblí in iúl dá bhfostaithe go raibh an t-áireamh gan ainm.</w:t>
      </w:r>
    </w:p>
    <w:p w14:paraId="068F9069" w14:textId="41671040" w:rsidR="00590BEF" w:rsidRPr="005524D6" w:rsidRDefault="000B4F21" w:rsidP="007202FA">
      <w:pPr>
        <w:pStyle w:val="NDABullet"/>
        <w:rPr>
          <w:lang w:val="ga"/>
        </w:rPr>
      </w:pPr>
      <w:r>
        <w:rPr>
          <w:lang w:val="ga"/>
        </w:rPr>
        <w:t xml:space="preserve">Cosúil leis an mbliain 2023, b’amhlaidh, i gcás dhá cheann de na comhlachtaí poiblí sin (1.9%), </w:t>
      </w:r>
      <w:r>
        <w:rPr>
          <w:b/>
          <w:bCs/>
          <w:lang w:val="ga"/>
        </w:rPr>
        <w:t>a tháinig laghdú 10% nó níos mó ar a líon fostaithe</w:t>
      </w:r>
      <w:r>
        <w:rPr>
          <w:lang w:val="ga"/>
        </w:rPr>
        <w:t xml:space="preserve"> sa bhliain 2024. Sna blianta 2023 agus 2024, ba é athstruchtúrú eagraíochtúil an phríomhchúis ar thuairiscigh na comhlachtaí poiblí sin laghdú sa líon iomlán fostaithe. Sa bhliain 2024, thuairiscigh comhlachtaí poiblí gur chúis eile le laghdú sa líon iomlán fostaithe é fostaithe a bheith ag fágáil na heagraíochta.</w:t>
      </w:r>
    </w:p>
    <w:p w14:paraId="401512C8" w14:textId="59CE3B9B" w:rsidR="00590BEF" w:rsidRPr="005524D6" w:rsidRDefault="000B4F21" w:rsidP="007202FA">
      <w:pPr>
        <w:pStyle w:val="NDABullet"/>
        <w:rPr>
          <w:lang w:val="ga"/>
        </w:rPr>
      </w:pPr>
      <w:r>
        <w:rPr>
          <w:lang w:val="ga"/>
        </w:rPr>
        <w:t xml:space="preserve">I gcás seacht gcinn de na comhlachtaí poiblí sin (6.5%), tháinig </w:t>
      </w:r>
      <w:r>
        <w:rPr>
          <w:b/>
          <w:bCs/>
          <w:lang w:val="ga"/>
        </w:rPr>
        <w:t>laghdú 10% nó níos mó ar a líon fostaithe a bhfuil míchumas orthu</w:t>
      </w:r>
      <w:r>
        <w:rPr>
          <w:lang w:val="ga"/>
        </w:rPr>
        <w:t xml:space="preserve"> ón áireamh deireanach i leith, i gcomparáid le sé chomhlacht phoiblí (5.8%) sa bhliain 2023. Cosúil leis an </w:t>
      </w:r>
      <w:r>
        <w:rPr>
          <w:lang w:val="ga"/>
        </w:rPr>
        <w:lastRenderedPageBreak/>
        <w:t>mbliain 2023, b’amhlaidh sa bhliain 2024 a chuir cúig cinn as gach seacht gcomhlacht phoiblí na laghduithe sin síos do bhaill foirne a bhfuil míchumas orthu a bheith ag fágáil na heagraíochta, agus a thuairiscigh trí cinn as gach seacht gcomhlacht phoiblí go raibh drochráta freagartha ann don áireamh foirne. Sa bhliain 2024, luaigh trí cinn as gach seacht gcomhlacht phoiblí freisin go raibh níos lú fostaithe ag cur a stádais míchumais in iúl.</w:t>
      </w:r>
    </w:p>
    <w:p w14:paraId="037E4C77" w14:textId="77777777" w:rsidR="00590BEF" w:rsidRPr="005524D6" w:rsidRDefault="000B4F21" w:rsidP="007202FA">
      <w:pPr>
        <w:pStyle w:val="Heading3"/>
        <w:rPr>
          <w:color w:val="BF2296"/>
          <w:sz w:val="24"/>
          <w:szCs w:val="24"/>
          <w:lang w:val="ga"/>
        </w:rPr>
      </w:pPr>
      <w:bookmarkStart w:id="121" w:name="_Toc208656790"/>
      <w:bookmarkStart w:id="122" w:name="_Toc208409885"/>
      <w:bookmarkStart w:id="123" w:name="_Toc214033637"/>
      <w:r>
        <w:rPr>
          <w:bCs/>
          <w:color w:val="BF2296"/>
          <w:sz w:val="24"/>
          <w:szCs w:val="24"/>
          <w:lang w:val="ga"/>
        </w:rPr>
        <w:t>Comhlachtaí poiblí a bhfuil 1,000 fostaí nó níos mó acu</w:t>
      </w:r>
      <w:bookmarkEnd w:id="121"/>
      <w:bookmarkEnd w:id="122"/>
      <w:bookmarkEnd w:id="123"/>
    </w:p>
    <w:p w14:paraId="1F48217D" w14:textId="77777777" w:rsidR="00590BEF" w:rsidRPr="005524D6" w:rsidRDefault="000B4F21" w:rsidP="007202FA">
      <w:pPr>
        <w:rPr>
          <w:lang w:val="ga"/>
        </w:rPr>
      </w:pPr>
      <w:r>
        <w:rPr>
          <w:lang w:val="ga"/>
        </w:rPr>
        <w:t xml:space="preserve">Sa bhliain 2024, bhí 1,000 fostaí nó níos mó ag 46 chomhlacht phoiblí (21.3%), i gcomparáid le 45 chomhlacht phoiblí (21.4%) sa bhliain 2023. </w:t>
      </w:r>
    </w:p>
    <w:p w14:paraId="2D396AFD" w14:textId="77777777" w:rsidR="00590BEF" w:rsidRPr="007202FA" w:rsidRDefault="000B4F21" w:rsidP="007202FA">
      <w:r>
        <w:rPr>
          <w:lang w:val="ga"/>
        </w:rPr>
        <w:t>Sna blianta 2023 agus 2024, b’amhlaidh, i gcás roinnt de na comhlachtaí sin, a tháinig athruithe ar a líon iomlán fostaithe agus ar a líon iomlán fostaithe a bhfuil míchumas orthu. Bhí na hathruithe sin mar a leanas:</w:t>
      </w:r>
    </w:p>
    <w:p w14:paraId="0ECA36B1" w14:textId="77777777" w:rsidR="00590BEF" w:rsidRPr="005524D6" w:rsidRDefault="000B4F21" w:rsidP="007202FA">
      <w:pPr>
        <w:pStyle w:val="NDABullet"/>
        <w:rPr>
          <w:lang w:val="ga"/>
        </w:rPr>
      </w:pPr>
      <w:r>
        <w:rPr>
          <w:lang w:val="ga"/>
        </w:rPr>
        <w:t xml:space="preserve">Sa bhliain 2024, b’amhlaidh, i gcás 14 cinn de na 46 chomhlacht phoiblí sin (32.7%), </w:t>
      </w:r>
      <w:r>
        <w:rPr>
          <w:b/>
          <w:bCs/>
          <w:lang w:val="ga"/>
        </w:rPr>
        <w:t>a tháinig méadú 5% nó níos mó ar a líon iomlán fostaithe</w:t>
      </w:r>
      <w:r>
        <w:rPr>
          <w:lang w:val="ga"/>
        </w:rPr>
        <w:t>. Sa bhliain 2023, thuairiscigh 14 chomhlacht phoiblí (31.1%) méadú ar an líon fostaithe freisin. Sna blianta 2023 agus 2024, mhínigh comhlachtaí poiblí gurbh iad earcaíocht leanúnach, líonadh folúntas agus ceaduithe le haghaidh poist nua na príomhchúiseanna leis na méaduithe sin sa líon iomlán fostaithe.</w:t>
      </w:r>
    </w:p>
    <w:p w14:paraId="7EA0E26A" w14:textId="3659A9A3" w:rsidR="00590BEF" w:rsidRPr="005524D6" w:rsidRDefault="000B4F21" w:rsidP="007202FA">
      <w:pPr>
        <w:pStyle w:val="NDABullet"/>
        <w:rPr>
          <w:lang w:val="ga"/>
        </w:rPr>
      </w:pPr>
      <w:r>
        <w:rPr>
          <w:lang w:val="ga"/>
        </w:rPr>
        <w:t xml:space="preserve">Sa bhliain 2024, thuairiscigh 27 gcinn de na comhlachtaí poiblí sin (58.7%) gur tháinig </w:t>
      </w:r>
      <w:r>
        <w:rPr>
          <w:b/>
          <w:bCs/>
          <w:lang w:val="ga"/>
        </w:rPr>
        <w:t>méadú 5% nó níos mó ar a líon fostaithe a bhfuil míchumas orthu</w:t>
      </w:r>
      <w:r>
        <w:rPr>
          <w:lang w:val="ga"/>
        </w:rPr>
        <w:t xml:space="preserve">, i gcomparáid le 24 chomhlacht phoiblí (53.3%) sa bhliain 2023. </w:t>
      </w:r>
    </w:p>
    <w:p w14:paraId="7D1AEC99" w14:textId="2ACF5A71" w:rsidR="00590BEF" w:rsidRPr="005524D6" w:rsidRDefault="000B4F21" w:rsidP="007202FA">
      <w:pPr>
        <w:pStyle w:val="NDABullet"/>
        <w:rPr>
          <w:lang w:val="ga"/>
        </w:rPr>
      </w:pPr>
      <w:r>
        <w:rPr>
          <w:lang w:val="ga"/>
        </w:rPr>
        <w:t xml:space="preserve">Sa bhliain 2024, b’amhlaidh, i gcás comhlacht poiblí amháin (2.2%), </w:t>
      </w:r>
      <w:r>
        <w:rPr>
          <w:b/>
          <w:bCs/>
          <w:lang w:val="ga"/>
        </w:rPr>
        <w:t>a</w:t>
      </w:r>
      <w:r>
        <w:rPr>
          <w:lang w:val="ga"/>
        </w:rPr>
        <w:t xml:space="preserve"> </w:t>
      </w:r>
      <w:r>
        <w:rPr>
          <w:b/>
          <w:bCs/>
          <w:lang w:val="ga"/>
        </w:rPr>
        <w:t>tháinig laghdú 5% nó níos mó ar a líon iomlán fostaithe</w:t>
      </w:r>
      <w:r>
        <w:rPr>
          <w:lang w:val="ga"/>
        </w:rPr>
        <w:t>, i gcomparáid le dhá chomhlacht phoiblí (4.4%) sa bhliain 2023. Thuairiscigh an comhlacht poiblí sin gurbh í an chúis leis an laghdú sin ná fostaithe a bheith ag fágáil na heagraíochta. Sa bhliain 2023, thuairiscigh dhá chomhlacht phoiblí freisin gurbh é fostaithe a bheith ag fágáil a n-eagraíochta an chúis leis an laghdú sa líon iomlán fostaithe.</w:t>
      </w:r>
    </w:p>
    <w:p w14:paraId="0CF39F99" w14:textId="4A36B9F8" w:rsidR="00590BEF" w:rsidRPr="005524D6" w:rsidRDefault="000B4F21" w:rsidP="007202FA">
      <w:pPr>
        <w:pStyle w:val="NDABullet"/>
        <w:rPr>
          <w:lang w:val="ga"/>
        </w:rPr>
      </w:pPr>
      <w:r>
        <w:rPr>
          <w:lang w:val="ga"/>
        </w:rPr>
        <w:t xml:space="preserve">Sa bhliain 2024, b’amhlaidh, i gcás trí cinn de na comhlachtaí poiblí sin (6.5%), </w:t>
      </w:r>
      <w:r>
        <w:rPr>
          <w:b/>
          <w:bCs/>
          <w:lang w:val="ga"/>
        </w:rPr>
        <w:t>a</w:t>
      </w:r>
      <w:r>
        <w:rPr>
          <w:lang w:val="ga"/>
        </w:rPr>
        <w:t xml:space="preserve"> </w:t>
      </w:r>
      <w:r>
        <w:rPr>
          <w:b/>
          <w:bCs/>
          <w:lang w:val="ga"/>
        </w:rPr>
        <w:t>tháinig laghdú 5% nó níos mó ar a líon fostaithe a bhfuil míchumas orthu</w:t>
      </w:r>
      <w:r>
        <w:rPr>
          <w:lang w:val="ga"/>
        </w:rPr>
        <w:t xml:space="preserve">. Sa bhliain 2023, bhí laghdú ann i gcás trí chomhlacht phoiblí (6.7%) freisin. Sa bhliain 2024, thuairiscigh comhlachtaí poiblí gurbh é a bhí i gceann de na príomhchúiseanna leis an laghdú sin ná ráta freagartha níos ísle don áireamh foirne. Sa bhliain 2023, thuairiscigh comhlachtaí poiblí sa chohórt seo an toisc seo mar chúis leis an laghdú ar an líon fostaithe a bhfuil míchumas orthu, </w:t>
      </w:r>
      <w:r>
        <w:rPr>
          <w:lang w:val="ga"/>
        </w:rPr>
        <w:lastRenderedPageBreak/>
        <w:t>chomh maith le scor fostaithe faoi mhíchumas ar fhorais sláinte agus le líon níos lú ball foirne a bheith ag nochtadh míchumais.</w:t>
      </w:r>
    </w:p>
    <w:p w14:paraId="35FABC31" w14:textId="77777777" w:rsidR="00AF4D1E" w:rsidRPr="005524D6" w:rsidRDefault="000B4F21" w:rsidP="007202FA">
      <w:pPr>
        <w:pStyle w:val="Heading2"/>
        <w:rPr>
          <w:color w:val="BF2296"/>
          <w:lang w:val="ga"/>
        </w:rPr>
      </w:pPr>
      <w:bookmarkStart w:id="124" w:name="_Toc214012335"/>
      <w:bookmarkStart w:id="125" w:name="_Toc213072640"/>
      <w:bookmarkStart w:id="126" w:name="_Toc208657396"/>
      <w:bookmarkStart w:id="127" w:name="_Toc208656791"/>
      <w:bookmarkStart w:id="128" w:name="_Toc214033638"/>
      <w:r>
        <w:rPr>
          <w:bCs/>
          <w:color w:val="BF2296"/>
          <w:lang w:val="ga"/>
        </w:rPr>
        <w:t>Aguisíní atá ag gabháil leis an Tuarascáil seo</w:t>
      </w:r>
      <w:bookmarkEnd w:id="124"/>
      <w:bookmarkEnd w:id="125"/>
      <w:bookmarkEnd w:id="126"/>
      <w:bookmarkEnd w:id="127"/>
      <w:bookmarkEnd w:id="128"/>
    </w:p>
    <w:p w14:paraId="6F1262D0" w14:textId="77777777" w:rsidR="00AF4D1E" w:rsidRPr="005524D6" w:rsidRDefault="000B4F21" w:rsidP="007202FA">
      <w:pPr>
        <w:pStyle w:val="NDABullet"/>
        <w:numPr>
          <w:ilvl w:val="0"/>
          <w:numId w:val="0"/>
        </w:numPr>
        <w:rPr>
          <w:lang w:val="ga"/>
        </w:rPr>
      </w:pPr>
      <w:r>
        <w:rPr>
          <w:lang w:val="ga"/>
        </w:rPr>
        <w:t xml:space="preserve">Tá trí Aguisín ag gabháil leis an tuarascáil seo. In Aguisín A, tugtar na torthaí do Ranna Rialtais a bhfuil státseirbhísigh amháin mar fhoireann dóibh do na blianta 2023 agus 2024. In Aguisín B, tugtar na torthaí do Ranna Rialtais agus do na comhlachtaí poiblí atá faoina gcoimirce do na blianta 2023 agus 2024. In Aguisín C, tugtar ainm na gcomhlachtaí poiblí, agus an céatadán de na comhlachtaí sin, a rinne áireamh foirne sa bhliain 2024. </w:t>
      </w:r>
    </w:p>
    <w:p w14:paraId="793E675A" w14:textId="2A256511" w:rsidR="00590BEF" w:rsidRPr="005524D6" w:rsidRDefault="00590BEF" w:rsidP="007202FA">
      <w:pPr>
        <w:spacing w:after="0"/>
        <w:rPr>
          <w:lang w:val="ga"/>
        </w:rPr>
      </w:pPr>
      <w:bookmarkStart w:id="129" w:name="_Toc176801613"/>
      <w:bookmarkEnd w:id="119"/>
      <w:bookmarkEnd w:id="120"/>
    </w:p>
    <w:p w14:paraId="10482A34" w14:textId="77777777" w:rsidR="00640587" w:rsidRPr="005524D6" w:rsidRDefault="00640587" w:rsidP="007202FA">
      <w:pPr>
        <w:spacing w:after="0"/>
        <w:rPr>
          <w:lang w:val="ga"/>
        </w:rPr>
      </w:pPr>
    </w:p>
    <w:p w14:paraId="102F0A2E" w14:textId="77777777" w:rsidR="009D376E" w:rsidRPr="005524D6" w:rsidRDefault="009D376E" w:rsidP="007202FA">
      <w:pPr>
        <w:spacing w:after="0"/>
        <w:rPr>
          <w:lang w:val="ga"/>
        </w:rPr>
      </w:pPr>
    </w:p>
    <w:p w14:paraId="2091F358" w14:textId="77777777" w:rsidR="009D376E" w:rsidRPr="005524D6" w:rsidRDefault="009D376E" w:rsidP="007202FA">
      <w:pPr>
        <w:spacing w:after="0"/>
        <w:rPr>
          <w:lang w:val="ga"/>
        </w:rPr>
      </w:pPr>
    </w:p>
    <w:p w14:paraId="7010BBAA" w14:textId="77777777" w:rsidR="009D376E" w:rsidRPr="005524D6" w:rsidRDefault="009D376E" w:rsidP="007202FA">
      <w:pPr>
        <w:spacing w:after="0"/>
        <w:rPr>
          <w:lang w:val="ga"/>
        </w:rPr>
      </w:pPr>
    </w:p>
    <w:p w14:paraId="2ACDD5E0" w14:textId="77777777" w:rsidR="009D376E" w:rsidRPr="005524D6" w:rsidRDefault="009D376E" w:rsidP="007202FA">
      <w:pPr>
        <w:spacing w:after="0"/>
        <w:rPr>
          <w:lang w:val="ga"/>
        </w:rPr>
      </w:pPr>
    </w:p>
    <w:p w14:paraId="1FC48FFB" w14:textId="77777777" w:rsidR="00151E7F" w:rsidRPr="005524D6" w:rsidRDefault="00151E7F" w:rsidP="007202FA">
      <w:pPr>
        <w:spacing w:after="0"/>
        <w:rPr>
          <w:lang w:val="ga"/>
        </w:rPr>
      </w:pPr>
    </w:p>
    <w:p w14:paraId="4E045C5A" w14:textId="77777777" w:rsidR="00151E7F" w:rsidRPr="005524D6" w:rsidRDefault="00151E7F" w:rsidP="007202FA">
      <w:pPr>
        <w:spacing w:after="0"/>
        <w:rPr>
          <w:lang w:val="ga"/>
        </w:rPr>
      </w:pPr>
    </w:p>
    <w:p w14:paraId="717B1316" w14:textId="77777777" w:rsidR="00151E7F" w:rsidRPr="005524D6" w:rsidRDefault="00151E7F" w:rsidP="007202FA">
      <w:pPr>
        <w:spacing w:after="0"/>
        <w:rPr>
          <w:lang w:val="ga"/>
        </w:rPr>
      </w:pPr>
    </w:p>
    <w:p w14:paraId="6D6A7FDB" w14:textId="77777777" w:rsidR="00151E7F" w:rsidRPr="005524D6" w:rsidRDefault="00151E7F" w:rsidP="007202FA">
      <w:pPr>
        <w:spacing w:after="0"/>
        <w:rPr>
          <w:lang w:val="ga"/>
        </w:rPr>
      </w:pPr>
    </w:p>
    <w:p w14:paraId="1C7257F1" w14:textId="77777777" w:rsidR="00151E7F" w:rsidRPr="005524D6" w:rsidRDefault="00151E7F" w:rsidP="007202FA">
      <w:pPr>
        <w:spacing w:after="0"/>
        <w:rPr>
          <w:lang w:val="ga"/>
        </w:rPr>
      </w:pPr>
    </w:p>
    <w:p w14:paraId="6D0484BF" w14:textId="77777777" w:rsidR="00E535D2" w:rsidRDefault="00E535D2">
      <w:pPr>
        <w:rPr>
          <w:rFonts w:eastAsiaTheme="majorEastAsia" w:cstheme="majorBidi"/>
          <w:b/>
          <w:bCs/>
          <w:color w:val="BF2296"/>
          <w:sz w:val="32"/>
          <w:szCs w:val="32"/>
          <w:lang w:val="ga"/>
        </w:rPr>
      </w:pPr>
      <w:bookmarkStart w:id="130" w:name="_Toc214033639"/>
      <w:r>
        <w:rPr>
          <w:bCs/>
          <w:color w:val="BF2296"/>
          <w:lang w:val="ga"/>
        </w:rPr>
        <w:br w:type="page"/>
      </w:r>
    </w:p>
    <w:p w14:paraId="6A0FDF6E" w14:textId="7A38B855" w:rsidR="00590BEF" w:rsidRPr="005524D6" w:rsidRDefault="000B4F21" w:rsidP="007202FA">
      <w:pPr>
        <w:pStyle w:val="Heading1"/>
        <w:rPr>
          <w:color w:val="BF2296"/>
          <w:lang w:val="ga"/>
        </w:rPr>
      </w:pPr>
      <w:r>
        <w:rPr>
          <w:bCs/>
          <w:color w:val="BF2296"/>
          <w:lang w:val="ga"/>
        </w:rPr>
        <w:lastRenderedPageBreak/>
        <w:t>3. Bearta chun oibleagáidí Chuid 5 a chomhlíonadh sa bhliain 2023</w:t>
      </w:r>
      <w:bookmarkEnd w:id="129"/>
      <w:bookmarkEnd w:id="130"/>
    </w:p>
    <w:p w14:paraId="6D29E070" w14:textId="77777777" w:rsidR="00141640" w:rsidRPr="005524D6" w:rsidRDefault="000B4F21" w:rsidP="007202FA">
      <w:pPr>
        <w:rPr>
          <w:lang w:val="ga"/>
        </w:rPr>
      </w:pPr>
      <w:bookmarkStart w:id="131" w:name="_Hlk176988991"/>
      <w:r>
        <w:rPr>
          <w:lang w:val="ga"/>
        </w:rPr>
        <w:t xml:space="preserve">I mí na Nollag 2023, leasaíomar na ceisteanna le haghaidh bhailiú sonraí Chuid 5 chun sonraí níos saibhre a fháil i gcomhréir le ceann amháin de na príomh-mholtaí a bhí sa </w:t>
      </w:r>
      <w:hyperlink r:id="rId13" w:history="1">
        <w:r w:rsidR="00141640">
          <w:rPr>
            <w:rStyle w:val="Hyperlink"/>
            <w:lang w:val="ga"/>
          </w:rPr>
          <w:t>tuarascáil uainn ar an Athbhreithniú ar Chuid 5</w:t>
        </w:r>
      </w:hyperlink>
      <w:r>
        <w:rPr>
          <w:lang w:val="ga"/>
        </w:rPr>
        <w:t>. I gcás thuarascáil Chuid 5 don bhliain 2024, rinneamar athbhreithniú agus leasú ar na ceisteanna an athuair, agus an méid a foghlaimíodh ón bpróiseas sin á úsáid againn mar bhonn eolais. D’oibríomar i gcomhar le hOifig Phríomhoifigeach Faisnéise an Rialtais (OCGIO) freisin chun na ceisteanna a aistriú ó dhoiciméad Excel ina bhformáid inrochtana ar líne ar a dtugtar Forms.ie. Tugadh oiliúint agus tacaíocht leanúnach do chomhlachtaí poiblí maidir le conas an córas nua sin a úsáid. A bhuí leis na leasuithe sin ar phróiseas Chuid 5, cabhraíodh linn sonraí níos mine agus níos cruinne a fháil ó chomhlachtaí poiblí, agus an próiseas bailithe agus anailísithe sonraí do Chuid 5 á dhéanamh ina phróiseas níos éifeachtúla ag an am céanna.</w:t>
      </w:r>
    </w:p>
    <w:p w14:paraId="7DFB62FD" w14:textId="5EEBFE73" w:rsidR="00590BEF" w:rsidRPr="007202FA" w:rsidRDefault="000B4F21" w:rsidP="007202FA">
      <w:r>
        <w:rPr>
          <w:lang w:val="ga"/>
        </w:rPr>
        <w:t>Ba mar a leanas a bhí na príomhathruithe a rinneamar ar cheisteanna Chuid 5 don bhliain 2024:</w:t>
      </w:r>
    </w:p>
    <w:p w14:paraId="5A06D3ED" w14:textId="66ABBA0B" w:rsidR="00656E5A" w:rsidRPr="007202FA" w:rsidRDefault="000B4F21" w:rsidP="007202FA">
      <w:pPr>
        <w:pStyle w:val="NDABullet"/>
      </w:pPr>
      <w:r>
        <w:rPr>
          <w:lang w:val="ga"/>
        </w:rPr>
        <w:t>Tugadh isteach ceist ar leith faoi bhearta le haghaidh fostaithe a choinneáil.</w:t>
      </w:r>
    </w:p>
    <w:p w14:paraId="2817E01D" w14:textId="650D2C22" w:rsidR="00590BEF" w:rsidRPr="007202FA" w:rsidRDefault="000B4F21" w:rsidP="007202FA">
      <w:pPr>
        <w:pStyle w:val="NDABullet"/>
      </w:pPr>
      <w:r>
        <w:rPr>
          <w:lang w:val="ga"/>
        </w:rPr>
        <w:t>Tugadh isteach ceist nua faoi cé acu a sheolann comhlachtaí poiblí amach foirmeacha rúnda bliantúla ar féidir le fostaithe a stádas míchumais a athrú iontu nó nach seolann.</w:t>
      </w:r>
    </w:p>
    <w:p w14:paraId="36FD7AEC" w14:textId="45630305" w:rsidR="00590BEF" w:rsidRPr="007202FA" w:rsidRDefault="000B4F21" w:rsidP="007202FA">
      <w:pPr>
        <w:pStyle w:val="NDABullet"/>
      </w:pPr>
      <w:r>
        <w:rPr>
          <w:lang w:val="ga"/>
        </w:rPr>
        <w:t>Cuíchóiríodh na ceisteanna faoi thaithí oibre.</w:t>
      </w:r>
    </w:p>
    <w:p w14:paraId="0C04DD6E" w14:textId="6FA41F12" w:rsidR="008424AB" w:rsidRPr="007202FA" w:rsidRDefault="000B4F21" w:rsidP="007202FA">
      <w:pPr>
        <w:pStyle w:val="NDABullet"/>
      </w:pPr>
      <w:r>
        <w:rPr>
          <w:lang w:val="ga"/>
        </w:rPr>
        <w:t>Cuireadh ceisteanna níos sonraí leis faoi inrochtaineacht na bpróiseas earcaíochta de chuid comhlachtaí poiblí.</w:t>
      </w:r>
    </w:p>
    <w:p w14:paraId="7985E278" w14:textId="7ECB8975" w:rsidR="00590BEF" w:rsidRPr="005524D6" w:rsidRDefault="000B4F21" w:rsidP="007202FA">
      <w:pPr>
        <w:pStyle w:val="NDABullet"/>
        <w:rPr>
          <w:lang w:val="ga"/>
        </w:rPr>
      </w:pPr>
      <w:r>
        <w:rPr>
          <w:lang w:val="ga"/>
        </w:rPr>
        <w:t>Fiafraíodh de chomhlachtaí poiblí an raibh beartas scríofa acu maidir le socruithe réasúnacha a sholáthar nó nach raibh, de réir na treorach ó ÚNM. Ba cheart do chomhlachtaí poiblí beartas scríofa maidir leis an gcéanna a bheith acu, ar beartas é a chuirtear in iúl do gach fostaí ionas gurb eol dóibh an próiseas. Tháinig an cheist sin in ionad ceist níos neamhiata faoi na próisis le haghaidh socruithe réasúnacha a sholáthar, ar cheist í nár sholáthair aon sonraí úsáideacha dúinn.</w:t>
      </w:r>
    </w:p>
    <w:p w14:paraId="428844FD" w14:textId="23A7DCBF" w:rsidR="0064673C" w:rsidRPr="005524D6" w:rsidRDefault="000B4F21" w:rsidP="007202FA">
      <w:pPr>
        <w:pStyle w:val="NDABullet"/>
        <w:rPr>
          <w:lang w:val="ga"/>
        </w:rPr>
      </w:pPr>
      <w:r>
        <w:rPr>
          <w:lang w:val="ga"/>
        </w:rPr>
        <w:t>Cuireadh ceisteanna breise leis faoi na bearta a bhí i bhfeidhm ag comhlachtaí poiblí chun tacú le bainisteoirí líne.</w:t>
      </w:r>
    </w:p>
    <w:p w14:paraId="204E0803" w14:textId="1D36F3A3" w:rsidR="00590BEF" w:rsidRPr="005524D6" w:rsidRDefault="000B4F21" w:rsidP="007202FA">
      <w:pPr>
        <w:pStyle w:val="NDABullet"/>
        <w:rPr>
          <w:lang w:val="ga"/>
        </w:rPr>
      </w:pPr>
      <w:r>
        <w:rPr>
          <w:lang w:val="ga"/>
        </w:rPr>
        <w:t xml:space="preserve">Tugadh isteach amlíne do chomhlachtaí poiblí maidir le bearta a fhorbairt le haghaidh earcú daoine a bhfuil míchumas orthu a mhéadú; tacú le fostaithe a stádas míchumais a chur in iúl; fostaithe a choinneáil; socruithe réasúnacha a sholáthar; agus tacú le bainisteoirí líne. Más rud é gur luaigh comhlachtaí poiblí </w:t>
      </w:r>
      <w:r>
        <w:rPr>
          <w:lang w:val="ga"/>
        </w:rPr>
        <w:lastRenderedPageBreak/>
        <w:t>go raibh siad ag forbairt birt, fiafraíodh díobh an mbeadh an beart i bhfeidhm acu laistigh de thrí mhí; laistigh de shé mhí; laistigh de naoi mí nó laistigh de dhá mhí dhéag. Tá sé tábhachtach go mbeadh amlíne ag comhlachtaí poiblí maidir le cén uair a chuirfidh siad beart chun feidhme, toisc gur cheart go méadódh sé sin an dóchúlacht go gcuirfí i bhfeidhm é.</w:t>
      </w:r>
    </w:p>
    <w:p w14:paraId="6C961CA6" w14:textId="77777777" w:rsidR="00590BEF" w:rsidRPr="005524D6" w:rsidRDefault="000B4F21" w:rsidP="007202FA">
      <w:pPr>
        <w:rPr>
          <w:lang w:val="ga"/>
        </w:rPr>
      </w:pPr>
      <w:r>
        <w:rPr>
          <w:lang w:val="ga"/>
        </w:rPr>
        <w:t>Sa bhliain 2024, tá na bearta a bhí i bhfeidhm ag comhlachtaí poiblí chun a n-oibleagáidí faoi Chuid 5 a chomhlíonadh grúpáilte faoi na catagóirí seo a leanas:</w:t>
      </w:r>
    </w:p>
    <w:p w14:paraId="55D60A09" w14:textId="3D387349" w:rsidR="00590BEF" w:rsidRPr="007202FA" w:rsidRDefault="000B4F21" w:rsidP="007202FA">
      <w:pPr>
        <w:pStyle w:val="NDABullet"/>
      </w:pPr>
      <w:r>
        <w:rPr>
          <w:lang w:val="ga"/>
        </w:rPr>
        <w:t>Earcú daoine a bhfuil míchumas orthu a mhéadú.</w:t>
      </w:r>
    </w:p>
    <w:p w14:paraId="0F4BCD52" w14:textId="39AB94A8" w:rsidR="00590BEF" w:rsidRPr="007202FA" w:rsidRDefault="000B4F21" w:rsidP="007202FA">
      <w:pPr>
        <w:pStyle w:val="NDABullet"/>
      </w:pPr>
      <w:r>
        <w:rPr>
          <w:lang w:val="ga"/>
        </w:rPr>
        <w:t>Tacú le fostaithe a bheith ar a gcompord le linn dóibh a stádas míchumais a chur in iúl.</w:t>
      </w:r>
    </w:p>
    <w:p w14:paraId="6A10724B" w14:textId="0672C268" w:rsidR="00590BEF" w:rsidRPr="007202FA" w:rsidRDefault="000B4F21" w:rsidP="007202FA">
      <w:pPr>
        <w:pStyle w:val="NDABullet"/>
      </w:pPr>
      <w:r>
        <w:rPr>
          <w:lang w:val="ga"/>
        </w:rPr>
        <w:t>Fostaithe a bhfuil míchumas orthu nó nach bhfuil míchumas orthu a choinneáil.</w:t>
      </w:r>
    </w:p>
    <w:p w14:paraId="13FD873B" w14:textId="7B98CD4B" w:rsidR="00590BEF" w:rsidRPr="007202FA" w:rsidRDefault="000B4F21" w:rsidP="007202FA">
      <w:pPr>
        <w:pStyle w:val="NDABullet"/>
      </w:pPr>
      <w:r>
        <w:rPr>
          <w:lang w:val="ga"/>
        </w:rPr>
        <w:t>Socruithe réasúnacha a sholáthar.</w:t>
      </w:r>
    </w:p>
    <w:p w14:paraId="0039B010" w14:textId="3008BB52" w:rsidR="00590BEF" w:rsidRPr="007202FA" w:rsidRDefault="000B4F21" w:rsidP="007202FA">
      <w:pPr>
        <w:pStyle w:val="NDABullet"/>
      </w:pPr>
      <w:r>
        <w:rPr>
          <w:lang w:val="ga"/>
        </w:rPr>
        <w:t>Tacaí do bhainisteoirí líne chun cabhrú le fostaithe faoi mhíchumas socruithe réasúnacha nó cineálacha eile cúnaimh a rochtain.</w:t>
      </w:r>
    </w:p>
    <w:p w14:paraId="4024102F" w14:textId="5A07030B" w:rsidR="00590BEF" w:rsidRPr="007202FA" w:rsidRDefault="000B4F21" w:rsidP="007202FA">
      <w:pPr>
        <w:pStyle w:val="NDABullet"/>
      </w:pPr>
      <w:r>
        <w:rPr>
          <w:lang w:val="ga"/>
        </w:rPr>
        <w:t>Páirt a ghlacadh i gcláir taithí oibre do dhaoine a bhfuil míchumas orthu.</w:t>
      </w:r>
    </w:p>
    <w:p w14:paraId="428DA1A9" w14:textId="77777777" w:rsidR="00590BEF" w:rsidRPr="005524D6" w:rsidRDefault="000B4F21" w:rsidP="007202FA">
      <w:pPr>
        <w:rPr>
          <w:b/>
          <w:bCs/>
          <w:lang w:val="ga"/>
        </w:rPr>
      </w:pPr>
      <w:r>
        <w:rPr>
          <w:lang w:val="ga"/>
        </w:rPr>
        <w:t xml:space="preserve">Fiafraíodh de chomhlachtaí poiblí freisin an ndearna siad idirchaidreamh lena gCoiste Faireacháin faoi seach nó nach ndearna. Mura ndearna siad idirchaidreamh leis na coistí sin, iarradh orthu cúiseanna a thabhairt le cén fáth nach ndearnadh an t-idirchaidreamh sin. </w:t>
      </w:r>
      <w:r>
        <w:rPr>
          <w:b/>
          <w:bCs/>
          <w:lang w:val="ga"/>
        </w:rPr>
        <w:t xml:space="preserve">Féach rannán 3.7 le haghaidh anailís ar na freagraí uathu. </w:t>
      </w:r>
    </w:p>
    <w:p w14:paraId="4E7F964D" w14:textId="77777777" w:rsidR="00590BEF" w:rsidRPr="005524D6" w:rsidRDefault="000B4F21" w:rsidP="007202FA">
      <w:pPr>
        <w:pStyle w:val="Heading2"/>
        <w:rPr>
          <w:color w:val="BF2296"/>
          <w:szCs w:val="28"/>
          <w:lang w:val="ga"/>
        </w:rPr>
      </w:pPr>
      <w:bookmarkStart w:id="132" w:name="_Toc214033640"/>
      <w:bookmarkStart w:id="133" w:name="_Hlk208172902"/>
      <w:r>
        <w:rPr>
          <w:bCs/>
          <w:color w:val="BF2296"/>
          <w:szCs w:val="28"/>
          <w:lang w:val="ga"/>
        </w:rPr>
        <w:t>3.1 Earcú daoine faoi mhíchumas a mhéadú</w:t>
      </w:r>
      <w:bookmarkEnd w:id="132"/>
      <w:r>
        <w:rPr>
          <w:bCs/>
          <w:color w:val="BF2296"/>
          <w:szCs w:val="28"/>
          <w:lang w:val="ga"/>
        </w:rPr>
        <w:t xml:space="preserve"> </w:t>
      </w:r>
    </w:p>
    <w:p w14:paraId="6A3C1120" w14:textId="7C143454" w:rsidR="00A2580F" w:rsidRPr="005524D6" w:rsidRDefault="000B4F21" w:rsidP="007202FA">
      <w:pPr>
        <w:rPr>
          <w:lang w:val="ga"/>
        </w:rPr>
      </w:pPr>
      <w:r>
        <w:rPr>
          <w:lang w:val="ga"/>
        </w:rPr>
        <w:t>Sna blianta 2023 agus 2024, tugadh roghanna do chomhlachtaí poiblí maidir leis na bearta a bhí i bhfeidhm acu chun earcú daoine a bhfuil míchumas orthu a mhéadú.</w:t>
      </w:r>
    </w:p>
    <w:p w14:paraId="0E4B2330" w14:textId="31A955C0" w:rsidR="00345DC5" w:rsidRPr="005524D6" w:rsidRDefault="000B4F21" w:rsidP="007202FA">
      <w:pPr>
        <w:rPr>
          <w:lang w:val="ga"/>
        </w:rPr>
      </w:pPr>
      <w:r>
        <w:rPr>
          <w:lang w:val="ga"/>
        </w:rPr>
        <w:t xml:space="preserve">Mionsonraítear i dTábla 4 </w:t>
      </w:r>
      <w:r>
        <w:rPr>
          <w:b/>
          <w:bCs/>
          <w:lang w:val="ga"/>
        </w:rPr>
        <w:t>na bearta is coitianta</w:t>
      </w:r>
      <w:r>
        <w:rPr>
          <w:lang w:val="ga"/>
        </w:rPr>
        <w:t xml:space="preserve"> ar thuairiscigh comhlachtaí poiblí go raibh siad i bhfeidhm acu don chatagóir seo sna blianta 2023 agus 2024.</w:t>
      </w:r>
    </w:p>
    <w:p w14:paraId="5EEB0F9E" w14:textId="7AC31309" w:rsidR="00C20543" w:rsidRPr="005524D6" w:rsidRDefault="000B4F21" w:rsidP="007202FA">
      <w:pPr>
        <w:rPr>
          <w:lang w:val="it-IT"/>
        </w:rPr>
      </w:pPr>
      <w:r>
        <w:rPr>
          <w:lang w:val="ga"/>
        </w:rPr>
        <w:t xml:space="preserve">Sa bhliain 2024, thug ÚNM isteach roinnt ceisteanna nua chun cabhrú le comhlachtaí poiblí faisnéis níos mine a sholáthar maidir le cé chomh hinrochtana agus a bhí a mbearta earcaíochta. Mionsonraítear na torthaí sa tábla thíos. Chuireamar ceist ar leith ar chomhlachtaí poiblí freisin chun a dhéanamh amach ar chuir siad </w:t>
      </w:r>
      <w:r>
        <w:rPr>
          <w:color w:val="000000"/>
          <w:lang w:val="ga"/>
        </w:rPr>
        <w:t>Cód Cleachtais na Státseirbhíse um Fhostú Daoine faoi Mhíchumas</w:t>
      </w:r>
      <w:r>
        <w:rPr>
          <w:lang w:val="ga"/>
        </w:rPr>
        <w:t xml:space="preserve"> chun feidhme nó nár chuir. Tá * in aice leis na ceisteanna sin i dTábla 4.</w:t>
      </w:r>
    </w:p>
    <w:p w14:paraId="26EFC5F1" w14:textId="77777777" w:rsidR="00C20543" w:rsidRPr="005524D6" w:rsidRDefault="00C20543" w:rsidP="007202FA">
      <w:pPr>
        <w:rPr>
          <w:lang w:val="it-IT"/>
        </w:rPr>
      </w:pPr>
    </w:p>
    <w:p w14:paraId="0FB5F3DF" w14:textId="5A133BE6" w:rsidR="00590BEF" w:rsidRPr="005524D6" w:rsidRDefault="000B4F21" w:rsidP="007202FA">
      <w:pPr>
        <w:pStyle w:val="Caption"/>
        <w:rPr>
          <w:lang w:val="ga"/>
        </w:rPr>
      </w:pPr>
      <w:r>
        <w:rPr>
          <w:bCs/>
          <w:iCs w:val="0"/>
          <w:lang w:val="ga"/>
        </w:rPr>
        <w:lastRenderedPageBreak/>
        <w:t>Tábla 4. Bearta le haghaidh earcú daoine a bhfuil míchumas orthu a mhéadú sna blianta 2023 agus 2024</w:t>
      </w:r>
    </w:p>
    <w:tbl>
      <w:tblPr>
        <w:tblStyle w:val="NDATableBlack"/>
        <w:tblW w:w="5000" w:type="pct"/>
        <w:tblLook w:val="04A0" w:firstRow="1" w:lastRow="0" w:firstColumn="1" w:lastColumn="0" w:noHBand="0" w:noVBand="1"/>
      </w:tblPr>
      <w:tblGrid>
        <w:gridCol w:w="2853"/>
        <w:gridCol w:w="1573"/>
        <w:gridCol w:w="1573"/>
        <w:gridCol w:w="1444"/>
        <w:gridCol w:w="1573"/>
      </w:tblGrid>
      <w:tr w:rsidR="00F31303" w:rsidRPr="005524D6" w14:paraId="2577BFB1" w14:textId="77777777" w:rsidTr="00050DC6">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763" w:type="pct"/>
            <w:vMerge w:val="restart"/>
            <w:vAlign w:val="top"/>
          </w:tcPr>
          <w:p w14:paraId="21832BAE" w14:textId="1AB4F7C2" w:rsidR="00051983" w:rsidRPr="005524D6" w:rsidRDefault="00051983" w:rsidP="007202FA">
            <w:pPr>
              <w:rPr>
                <w:rFonts w:eastAsia="Times New Roman" w:cs="Arial"/>
                <w:color w:val="000000"/>
                <w:kern w:val="0"/>
                <w:sz w:val="20"/>
                <w:szCs w:val="20"/>
                <w:lang w:val="ga"/>
                <w14:ligatures w14:val="none"/>
              </w:rPr>
            </w:pPr>
          </w:p>
        </w:tc>
        <w:tc>
          <w:tcPr>
            <w:tcW w:w="1571" w:type="pct"/>
            <w:gridSpan w:val="2"/>
            <w:vAlign w:val="top"/>
          </w:tcPr>
          <w:p w14:paraId="79B270B0" w14:textId="05FD08C8" w:rsidR="00051983" w:rsidRPr="00AD4812" w:rsidRDefault="000B4F21"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18"/>
                <w:szCs w:val="18"/>
                <w:lang w:val="ga"/>
                <w14:ligatures w14:val="none"/>
              </w:rPr>
            </w:pPr>
            <w:r w:rsidRPr="00AD4812">
              <w:rPr>
                <w:rFonts w:eastAsia="Times New Roman" w:cs="Arial"/>
                <w:bCs/>
                <w:color w:val="000000"/>
                <w:kern w:val="0"/>
                <w:sz w:val="18"/>
                <w:szCs w:val="18"/>
                <w:lang w:val="ga"/>
                <w14:ligatures w14:val="none"/>
              </w:rPr>
              <w:t>An líon iomlán comhlachtaí poiblí sa bhliain 2023 = 210</w:t>
            </w:r>
          </w:p>
        </w:tc>
        <w:tc>
          <w:tcPr>
            <w:tcW w:w="1666" w:type="pct"/>
            <w:gridSpan w:val="2"/>
            <w:vAlign w:val="top"/>
          </w:tcPr>
          <w:p w14:paraId="27ACA662" w14:textId="7481DFC1" w:rsidR="00051983" w:rsidRPr="00AD4812" w:rsidRDefault="000B4F21"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18"/>
                <w:szCs w:val="18"/>
                <w:lang w:val="ga"/>
                <w14:ligatures w14:val="none"/>
              </w:rPr>
            </w:pPr>
            <w:r w:rsidRPr="00AD4812">
              <w:rPr>
                <w:rFonts w:eastAsia="Times New Roman" w:cs="Arial"/>
                <w:bCs/>
                <w:color w:val="000000"/>
                <w:kern w:val="0"/>
                <w:sz w:val="18"/>
                <w:szCs w:val="18"/>
                <w:lang w:val="ga"/>
                <w14:ligatures w14:val="none"/>
              </w:rPr>
              <w:t>An líon iomlán comhlachtaí poiblí sa bhliain 2024 = 216</w:t>
            </w:r>
          </w:p>
        </w:tc>
      </w:tr>
      <w:tr w:rsidR="00F31303" w:rsidRPr="005524D6" w14:paraId="6E37BF04" w14:textId="77777777" w:rsidTr="00050DC6">
        <w:trPr>
          <w:trHeight w:val="840"/>
        </w:trPr>
        <w:tc>
          <w:tcPr>
            <w:cnfStyle w:val="001000000000" w:firstRow="0" w:lastRow="0" w:firstColumn="1" w:lastColumn="0" w:oddVBand="0" w:evenVBand="0" w:oddHBand="0" w:evenHBand="0" w:firstRowFirstColumn="0" w:firstRowLastColumn="0" w:lastRowFirstColumn="0" w:lastRowLastColumn="0"/>
            <w:tcW w:w="1763" w:type="pct"/>
            <w:vMerge/>
            <w:vAlign w:val="top"/>
            <w:hideMark/>
          </w:tcPr>
          <w:p w14:paraId="52597B11" w14:textId="1ADBAA1F" w:rsidR="00051983" w:rsidRPr="005524D6" w:rsidRDefault="00051983" w:rsidP="007202FA">
            <w:pPr>
              <w:rPr>
                <w:rFonts w:eastAsia="Times New Roman" w:cs="Arial"/>
                <w:color w:val="000000"/>
                <w:kern w:val="0"/>
                <w:sz w:val="20"/>
                <w:szCs w:val="20"/>
                <w:lang w:val="ga"/>
                <w14:ligatures w14:val="none"/>
              </w:rPr>
            </w:pPr>
          </w:p>
        </w:tc>
        <w:tc>
          <w:tcPr>
            <w:tcW w:w="883" w:type="pct"/>
            <w:vAlign w:val="top"/>
          </w:tcPr>
          <w:p w14:paraId="5020E704" w14:textId="02EFC38D" w:rsidR="00051983" w:rsidRPr="00AD4812" w:rsidRDefault="000B4F21"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18"/>
                <w:szCs w:val="18"/>
                <w:lang w:val="ga"/>
                <w14:ligatures w14:val="none"/>
              </w:rPr>
            </w:pPr>
            <w:r w:rsidRPr="00AD4812">
              <w:rPr>
                <w:rFonts w:eastAsia="Times New Roman" w:cs="Arial"/>
                <w:b/>
                <w:bCs/>
                <w:color w:val="000000"/>
                <w:kern w:val="0"/>
                <w:sz w:val="18"/>
                <w:szCs w:val="18"/>
                <w:lang w:val="ga"/>
                <w14:ligatures w14:val="none"/>
              </w:rPr>
              <w:t>An líon comhlachtaí poiblí agus an céatadán de chomhlachtaí poiblí sa bhliain 2023</w:t>
            </w:r>
          </w:p>
        </w:tc>
        <w:tc>
          <w:tcPr>
            <w:tcW w:w="688" w:type="pct"/>
            <w:vAlign w:val="top"/>
          </w:tcPr>
          <w:p w14:paraId="363AEC55" w14:textId="329DD6BF" w:rsidR="00051983" w:rsidRPr="00AD4812"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18"/>
                <w:szCs w:val="18"/>
                <w:lang w:val="fr-FR"/>
                <w14:ligatures w14:val="none"/>
              </w:rPr>
            </w:pPr>
            <w:r w:rsidRPr="00AD4812">
              <w:rPr>
                <w:rFonts w:eastAsia="Times New Roman" w:cs="Arial"/>
                <w:b/>
                <w:bCs/>
                <w:color w:val="000000"/>
                <w:kern w:val="0"/>
                <w:sz w:val="18"/>
                <w:szCs w:val="18"/>
                <w:lang w:val="ga"/>
                <w14:ligatures w14:val="none"/>
              </w:rPr>
              <w:t xml:space="preserve">An céatadán de chomhlachtaí poiblí sa bhliain 2023 </w:t>
            </w:r>
          </w:p>
        </w:tc>
        <w:tc>
          <w:tcPr>
            <w:tcW w:w="857" w:type="pct"/>
            <w:vAlign w:val="top"/>
            <w:hideMark/>
          </w:tcPr>
          <w:p w14:paraId="4DD318D6" w14:textId="6B64B14C" w:rsidR="00051983" w:rsidRPr="00AD4812"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18"/>
                <w:szCs w:val="18"/>
                <w:lang w:val="fr-FR"/>
                <w14:ligatures w14:val="none"/>
              </w:rPr>
            </w:pPr>
            <w:r w:rsidRPr="00AD4812">
              <w:rPr>
                <w:rFonts w:eastAsia="Times New Roman" w:cs="Arial"/>
                <w:b/>
                <w:bCs/>
                <w:color w:val="000000"/>
                <w:kern w:val="0"/>
                <w:sz w:val="18"/>
                <w:szCs w:val="18"/>
                <w:lang w:val="ga"/>
                <w14:ligatures w14:val="none"/>
              </w:rPr>
              <w:t>An líon comhlachtaí poiblí sa bhliain 2024</w:t>
            </w:r>
          </w:p>
        </w:tc>
        <w:tc>
          <w:tcPr>
            <w:tcW w:w="809" w:type="pct"/>
            <w:vAlign w:val="top"/>
            <w:hideMark/>
          </w:tcPr>
          <w:p w14:paraId="366CA588" w14:textId="7D94EBB2" w:rsidR="00051983" w:rsidRPr="00AD4812"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18"/>
                <w:szCs w:val="18"/>
                <w:lang w:val="fr-FR"/>
                <w14:ligatures w14:val="none"/>
              </w:rPr>
            </w:pPr>
            <w:r w:rsidRPr="00AD4812">
              <w:rPr>
                <w:rFonts w:eastAsia="Times New Roman" w:cs="Arial"/>
                <w:b/>
                <w:bCs/>
                <w:color w:val="000000"/>
                <w:kern w:val="0"/>
                <w:sz w:val="18"/>
                <w:szCs w:val="18"/>
                <w:lang w:val="ga"/>
                <w14:ligatures w14:val="none"/>
              </w:rPr>
              <w:t xml:space="preserve">An céatadán de chomhlachtaí poiblí sa bhliain 2024 </w:t>
            </w:r>
          </w:p>
        </w:tc>
      </w:tr>
      <w:tr w:rsidR="00F31303" w14:paraId="089ACCC0" w14:textId="77777777" w:rsidTr="00050DC6">
        <w:trPr>
          <w:trHeight w:val="864"/>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6BA7FAC8" w14:textId="0968A55C" w:rsidR="00FA6C46" w:rsidRPr="005524D6" w:rsidRDefault="000B4F21" w:rsidP="007202FA">
            <w:pPr>
              <w:rPr>
                <w:rFonts w:eastAsia="Times New Roman" w:cs="Arial"/>
                <w:color w:val="000000"/>
                <w:kern w:val="0"/>
                <w:sz w:val="20"/>
                <w:szCs w:val="20"/>
                <w:lang w:val="fr-FR"/>
                <w14:ligatures w14:val="none"/>
              </w:rPr>
            </w:pPr>
            <w:r>
              <w:rPr>
                <w:rFonts w:eastAsia="Times New Roman" w:cs="Arial"/>
                <w:b w:val="0"/>
                <w:color w:val="000000"/>
                <w:kern w:val="0"/>
                <w:sz w:val="20"/>
                <w:szCs w:val="20"/>
                <w:lang w:val="ga"/>
                <w14:ligatures w14:val="none"/>
              </w:rPr>
              <w:t>Soláthraíonn do chomhlacht poiblí socruithe réasúnacha ina phróisis earcaíochta do dhaoine a bhfuil míchumas orthu</w:t>
            </w:r>
          </w:p>
        </w:tc>
        <w:tc>
          <w:tcPr>
            <w:tcW w:w="883" w:type="pct"/>
            <w:vAlign w:val="top"/>
          </w:tcPr>
          <w:p w14:paraId="7AD7BBA4" w14:textId="7FEDE69A"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 xml:space="preserve">200 </w:t>
            </w:r>
          </w:p>
        </w:tc>
        <w:tc>
          <w:tcPr>
            <w:tcW w:w="688" w:type="pct"/>
            <w:vAlign w:val="top"/>
          </w:tcPr>
          <w:p w14:paraId="66CCFECF" w14:textId="483AACAD"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95.2%</w:t>
            </w:r>
          </w:p>
        </w:tc>
        <w:tc>
          <w:tcPr>
            <w:tcW w:w="857" w:type="pct"/>
            <w:noWrap/>
            <w:vAlign w:val="top"/>
            <w:hideMark/>
          </w:tcPr>
          <w:p w14:paraId="264CB97A" w14:textId="0D894948"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210</w:t>
            </w:r>
          </w:p>
        </w:tc>
        <w:tc>
          <w:tcPr>
            <w:tcW w:w="809" w:type="pct"/>
            <w:noWrap/>
            <w:vAlign w:val="top"/>
            <w:hideMark/>
          </w:tcPr>
          <w:p w14:paraId="687449AC" w14:textId="0DFF4FA7"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97.2%</w:t>
            </w:r>
          </w:p>
        </w:tc>
      </w:tr>
      <w:tr w:rsidR="00F31303" w14:paraId="30DB649D" w14:textId="77777777" w:rsidTr="00050DC6">
        <w:trPr>
          <w:trHeight w:val="557"/>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35AD92E7" w14:textId="1E9AABBF" w:rsidR="00FA6C46" w:rsidRPr="007202FA" w:rsidRDefault="000B4F21" w:rsidP="007202FA">
            <w:pPr>
              <w:rPr>
                <w:rFonts w:eastAsia="Times New Roman" w:cs="Arial"/>
                <w:color w:val="000000"/>
                <w:kern w:val="0"/>
                <w:sz w:val="20"/>
                <w:szCs w:val="20"/>
                <w14:ligatures w14:val="none"/>
              </w:rPr>
            </w:pPr>
            <w:r>
              <w:rPr>
                <w:rFonts w:eastAsia="Times New Roman" w:cs="Arial"/>
                <w:b w:val="0"/>
                <w:color w:val="000000"/>
                <w:kern w:val="0"/>
                <w:sz w:val="20"/>
                <w:szCs w:val="20"/>
                <w:lang w:val="ga"/>
                <w14:ligatures w14:val="none"/>
              </w:rPr>
              <w:t>*Sonraítear in ábhair earcaíochta tiomantas do chomhlachta phoiblí do Chomhionannas, Éagsúlacht agus Cuimsiú</w:t>
            </w:r>
          </w:p>
        </w:tc>
        <w:tc>
          <w:tcPr>
            <w:tcW w:w="883" w:type="pct"/>
            <w:vAlign w:val="top"/>
          </w:tcPr>
          <w:p w14:paraId="46A16099" w14:textId="2FFB0978"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688" w:type="pct"/>
            <w:vAlign w:val="top"/>
          </w:tcPr>
          <w:p w14:paraId="10941FA6" w14:textId="4CA71FAD"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57" w:type="pct"/>
            <w:noWrap/>
            <w:vAlign w:val="top"/>
            <w:hideMark/>
          </w:tcPr>
          <w:p w14:paraId="5EE987C0" w14:textId="6158391E"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183</w:t>
            </w:r>
          </w:p>
        </w:tc>
        <w:tc>
          <w:tcPr>
            <w:tcW w:w="809" w:type="pct"/>
            <w:noWrap/>
            <w:vAlign w:val="top"/>
            <w:hideMark/>
          </w:tcPr>
          <w:p w14:paraId="4009B6CD" w14:textId="169F753D"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84.7%</w:t>
            </w:r>
          </w:p>
        </w:tc>
      </w:tr>
      <w:tr w:rsidR="00F31303" w14:paraId="3867B30A" w14:textId="77777777" w:rsidTr="00050DC6">
        <w:trPr>
          <w:trHeight w:val="612"/>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6BAF9999" w14:textId="2B342AC6" w:rsidR="00FA6C46" w:rsidRPr="007202FA" w:rsidRDefault="000B4F21" w:rsidP="007202FA">
            <w:pPr>
              <w:rPr>
                <w:rFonts w:eastAsia="Times New Roman" w:cs="Arial"/>
                <w:color w:val="000000"/>
                <w:kern w:val="0"/>
                <w:sz w:val="20"/>
                <w:szCs w:val="20"/>
                <w14:ligatures w14:val="none"/>
              </w:rPr>
            </w:pPr>
            <w:r>
              <w:rPr>
                <w:rFonts w:eastAsia="Times New Roman" w:cs="Arial"/>
                <w:b w:val="0"/>
                <w:color w:val="000000"/>
                <w:kern w:val="0"/>
                <w:sz w:val="20"/>
                <w:szCs w:val="20"/>
                <w:lang w:val="ga"/>
                <w14:ligatures w14:val="none"/>
              </w:rPr>
              <w:t xml:space="preserve">*Soláthraíonn do chomhlacht poiblí ábhair inrochtana earcaíochta </w:t>
            </w:r>
          </w:p>
        </w:tc>
        <w:tc>
          <w:tcPr>
            <w:tcW w:w="883" w:type="pct"/>
            <w:vAlign w:val="top"/>
          </w:tcPr>
          <w:p w14:paraId="7CDC2731" w14:textId="55FC58C3"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688" w:type="pct"/>
            <w:vAlign w:val="top"/>
          </w:tcPr>
          <w:p w14:paraId="0CF7BB24" w14:textId="4CE6092E"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57" w:type="pct"/>
            <w:noWrap/>
            <w:vAlign w:val="top"/>
            <w:hideMark/>
          </w:tcPr>
          <w:p w14:paraId="4AA4761F" w14:textId="1D8EDE6D"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146</w:t>
            </w:r>
          </w:p>
        </w:tc>
        <w:tc>
          <w:tcPr>
            <w:tcW w:w="809" w:type="pct"/>
            <w:noWrap/>
            <w:vAlign w:val="top"/>
            <w:hideMark/>
          </w:tcPr>
          <w:p w14:paraId="225460B3" w14:textId="789F8BA1"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67.6%</w:t>
            </w:r>
          </w:p>
        </w:tc>
      </w:tr>
      <w:tr w:rsidR="00F31303" w14:paraId="6BD08C9B" w14:textId="77777777" w:rsidTr="00050DC6">
        <w:trPr>
          <w:trHeight w:val="699"/>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6B8CD49B" w14:textId="77777777" w:rsidR="005A5A5B" w:rsidRPr="007202FA" w:rsidRDefault="000B4F21" w:rsidP="007202FA">
            <w:pPr>
              <w:rPr>
                <w:rFonts w:eastAsia="Times New Roman" w:cs="Arial"/>
                <w:color w:val="000000"/>
                <w:kern w:val="0"/>
                <w:sz w:val="20"/>
                <w:szCs w:val="20"/>
                <w14:ligatures w14:val="none"/>
              </w:rPr>
            </w:pPr>
            <w:r>
              <w:rPr>
                <w:rFonts w:eastAsia="Times New Roman" w:cs="Arial"/>
                <w:b w:val="0"/>
                <w:color w:val="000000"/>
                <w:kern w:val="0"/>
                <w:sz w:val="20"/>
                <w:szCs w:val="20"/>
                <w:lang w:val="ga"/>
                <w14:ligatures w14:val="none"/>
              </w:rPr>
              <w:t>*Cuireann do chomhlacht poiblí Cód Cleachtais na Státseirbhíse um Fhostú Daoine faoi Mhíchumas chun feidhme</w:t>
            </w:r>
          </w:p>
          <w:p w14:paraId="7D4C66D6" w14:textId="510C3738" w:rsidR="005A5A5B" w:rsidRPr="007202FA" w:rsidRDefault="005A5A5B" w:rsidP="007202FA">
            <w:pPr>
              <w:rPr>
                <w:rFonts w:eastAsia="Times New Roman" w:cs="Arial"/>
                <w:color w:val="000000"/>
                <w:kern w:val="0"/>
                <w:sz w:val="20"/>
                <w:szCs w:val="20"/>
                <w14:ligatures w14:val="none"/>
              </w:rPr>
            </w:pPr>
          </w:p>
        </w:tc>
        <w:tc>
          <w:tcPr>
            <w:tcW w:w="883" w:type="pct"/>
            <w:vAlign w:val="top"/>
          </w:tcPr>
          <w:p w14:paraId="1F29C614" w14:textId="0677195F"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688" w:type="pct"/>
            <w:vAlign w:val="top"/>
          </w:tcPr>
          <w:p w14:paraId="3903A230" w14:textId="2215110E"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57" w:type="pct"/>
            <w:noWrap/>
            <w:vAlign w:val="top"/>
            <w:hideMark/>
          </w:tcPr>
          <w:p w14:paraId="771228A2" w14:textId="16D308C1"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144</w:t>
            </w:r>
          </w:p>
        </w:tc>
        <w:tc>
          <w:tcPr>
            <w:tcW w:w="809" w:type="pct"/>
            <w:noWrap/>
            <w:vAlign w:val="top"/>
            <w:hideMark/>
          </w:tcPr>
          <w:p w14:paraId="0EADC9AA" w14:textId="1BBCA7C9"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66.7%</w:t>
            </w:r>
          </w:p>
        </w:tc>
      </w:tr>
      <w:tr w:rsidR="00F31303" w14:paraId="580FE972" w14:textId="77777777" w:rsidTr="00050DC6">
        <w:trPr>
          <w:trHeight w:val="732"/>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3AAF122A" w14:textId="2B9DB8B8" w:rsidR="00FA6C46" w:rsidRPr="007202FA" w:rsidRDefault="000B4F21" w:rsidP="007202FA">
            <w:pPr>
              <w:rPr>
                <w:rFonts w:eastAsia="Times New Roman" w:cs="Arial"/>
                <w:color w:val="000000"/>
                <w:kern w:val="0"/>
                <w:sz w:val="20"/>
                <w:szCs w:val="20"/>
                <w14:ligatures w14:val="none"/>
              </w:rPr>
            </w:pPr>
            <w:r>
              <w:rPr>
                <w:rFonts w:eastAsia="Times New Roman" w:cs="Arial"/>
                <w:b w:val="0"/>
                <w:color w:val="000000"/>
                <w:kern w:val="0"/>
                <w:sz w:val="20"/>
                <w:szCs w:val="20"/>
                <w:lang w:val="ga"/>
                <w14:ligatures w14:val="none"/>
              </w:rPr>
              <w:t>Soláthraíonn do chomhlacht poiblí oiliúint comhionannais míchumais do gach fostaí</w:t>
            </w:r>
          </w:p>
        </w:tc>
        <w:tc>
          <w:tcPr>
            <w:tcW w:w="883" w:type="pct"/>
            <w:vAlign w:val="top"/>
          </w:tcPr>
          <w:p w14:paraId="4F5CF283" w14:textId="1050E85A"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128</w:t>
            </w:r>
          </w:p>
        </w:tc>
        <w:tc>
          <w:tcPr>
            <w:tcW w:w="688" w:type="pct"/>
            <w:vAlign w:val="top"/>
          </w:tcPr>
          <w:p w14:paraId="3D02549E" w14:textId="7E9A27E8"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61.0%</w:t>
            </w:r>
          </w:p>
        </w:tc>
        <w:tc>
          <w:tcPr>
            <w:tcW w:w="857" w:type="pct"/>
            <w:noWrap/>
            <w:vAlign w:val="top"/>
            <w:hideMark/>
          </w:tcPr>
          <w:p w14:paraId="6958B8D6" w14:textId="5B71EF9E"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141</w:t>
            </w:r>
          </w:p>
        </w:tc>
        <w:tc>
          <w:tcPr>
            <w:tcW w:w="809" w:type="pct"/>
            <w:noWrap/>
            <w:vAlign w:val="top"/>
            <w:hideMark/>
          </w:tcPr>
          <w:p w14:paraId="0BB7D2F2" w14:textId="7AF9E1D8"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65.3%</w:t>
            </w:r>
          </w:p>
        </w:tc>
      </w:tr>
      <w:tr w:rsidR="00F31303" w14:paraId="486BACDD" w14:textId="77777777" w:rsidTr="00050DC6">
        <w:trPr>
          <w:trHeight w:val="416"/>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757BAF13" w14:textId="4CD9AA96" w:rsidR="00FA6C46" w:rsidRPr="007202FA" w:rsidRDefault="000B4F21" w:rsidP="007202FA">
            <w:pPr>
              <w:rPr>
                <w:rFonts w:eastAsia="Times New Roman" w:cs="Arial"/>
                <w:color w:val="000000"/>
                <w:kern w:val="0"/>
                <w:sz w:val="20"/>
                <w:szCs w:val="20"/>
                <w14:ligatures w14:val="none"/>
              </w:rPr>
            </w:pPr>
            <w:r>
              <w:rPr>
                <w:rFonts w:eastAsia="Times New Roman" w:cs="Arial"/>
                <w:b w:val="0"/>
                <w:color w:val="000000"/>
                <w:kern w:val="0"/>
                <w:sz w:val="20"/>
                <w:szCs w:val="20"/>
                <w:lang w:val="ga"/>
                <w14:ligatures w14:val="none"/>
              </w:rPr>
              <w:t>Tá ag do chomhlacht poiblí gealltanas foirmiúil scríofa go soláthrófaí cumarsáidí (digiteacha, scríofa, labhartha agus comharthaithe) atá deartha go huilíoch chun go mbeidh siad éasca le rochtain, le tuiscint agus le húsáid do gach duine</w:t>
            </w:r>
          </w:p>
        </w:tc>
        <w:tc>
          <w:tcPr>
            <w:tcW w:w="883" w:type="pct"/>
            <w:vAlign w:val="top"/>
          </w:tcPr>
          <w:p w14:paraId="443D653A" w14:textId="2D016799"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94</w:t>
            </w:r>
          </w:p>
        </w:tc>
        <w:tc>
          <w:tcPr>
            <w:tcW w:w="688" w:type="pct"/>
            <w:vAlign w:val="top"/>
          </w:tcPr>
          <w:p w14:paraId="2F2E69F8" w14:textId="1D57B915"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44.8%</w:t>
            </w:r>
          </w:p>
        </w:tc>
        <w:tc>
          <w:tcPr>
            <w:tcW w:w="857" w:type="pct"/>
            <w:noWrap/>
            <w:vAlign w:val="top"/>
            <w:hideMark/>
          </w:tcPr>
          <w:p w14:paraId="24F864FD" w14:textId="1D751189"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116</w:t>
            </w:r>
          </w:p>
        </w:tc>
        <w:tc>
          <w:tcPr>
            <w:tcW w:w="809" w:type="pct"/>
            <w:noWrap/>
            <w:vAlign w:val="top"/>
            <w:hideMark/>
          </w:tcPr>
          <w:p w14:paraId="684705C4" w14:textId="49640DE1"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53.7%</w:t>
            </w:r>
          </w:p>
        </w:tc>
      </w:tr>
      <w:tr w:rsidR="00F31303" w14:paraId="196D025B" w14:textId="77777777" w:rsidTr="00050DC6">
        <w:trPr>
          <w:trHeight w:val="1152"/>
        </w:trPr>
        <w:tc>
          <w:tcPr>
            <w:cnfStyle w:val="001000000000" w:firstRow="0" w:lastRow="0" w:firstColumn="1" w:lastColumn="0" w:oddVBand="0" w:evenVBand="0" w:oddHBand="0" w:evenHBand="0" w:firstRowFirstColumn="0" w:firstRowLastColumn="0" w:lastRowFirstColumn="0" w:lastRowLastColumn="0"/>
            <w:tcW w:w="1763" w:type="pct"/>
            <w:vAlign w:val="top"/>
            <w:hideMark/>
          </w:tcPr>
          <w:p w14:paraId="65D381AF" w14:textId="1711B9B6" w:rsidR="00FA6C46" w:rsidRPr="007202FA" w:rsidRDefault="000B4F21" w:rsidP="007202FA">
            <w:pPr>
              <w:rPr>
                <w:rFonts w:eastAsia="Times New Roman" w:cs="Arial"/>
                <w:color w:val="000000"/>
                <w:kern w:val="0"/>
                <w:sz w:val="20"/>
                <w:szCs w:val="20"/>
                <w14:ligatures w14:val="none"/>
              </w:rPr>
            </w:pPr>
            <w:r>
              <w:rPr>
                <w:rFonts w:eastAsia="Times New Roman" w:cs="Arial"/>
                <w:b w:val="0"/>
                <w:color w:val="000000"/>
                <w:kern w:val="0"/>
                <w:sz w:val="20"/>
                <w:szCs w:val="20"/>
                <w:lang w:val="ga"/>
                <w14:ligatures w14:val="none"/>
              </w:rPr>
              <w:t>Tá cuspóir sonraithe ann sa Straitéis Acmhainní Daonna, sa Straitéis Chorparáideach nó sa Straitéis um Chomhionannas, Éagsúlacht agus Cuimsiú ó d’eagraíocht chun earcú agus coinneáil daoine faoi mhíchumas a mhéadú</w:t>
            </w:r>
          </w:p>
        </w:tc>
        <w:tc>
          <w:tcPr>
            <w:tcW w:w="883" w:type="pct"/>
            <w:vAlign w:val="top"/>
          </w:tcPr>
          <w:p w14:paraId="69F32C68" w14:textId="12444370"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101</w:t>
            </w:r>
          </w:p>
        </w:tc>
        <w:tc>
          <w:tcPr>
            <w:tcW w:w="688" w:type="pct"/>
            <w:vAlign w:val="top"/>
          </w:tcPr>
          <w:p w14:paraId="0E8F6CD4" w14:textId="161F5167"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48.6%</w:t>
            </w:r>
          </w:p>
        </w:tc>
        <w:tc>
          <w:tcPr>
            <w:tcW w:w="857" w:type="pct"/>
            <w:noWrap/>
            <w:vAlign w:val="top"/>
            <w:hideMark/>
          </w:tcPr>
          <w:p w14:paraId="7E2309E3" w14:textId="22A42796"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110</w:t>
            </w:r>
          </w:p>
        </w:tc>
        <w:tc>
          <w:tcPr>
            <w:tcW w:w="809" w:type="pct"/>
            <w:noWrap/>
            <w:vAlign w:val="top"/>
            <w:hideMark/>
          </w:tcPr>
          <w:p w14:paraId="213F3836" w14:textId="4A82A985" w:rsidR="00FA6C46"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50.9%</w:t>
            </w:r>
          </w:p>
        </w:tc>
      </w:tr>
    </w:tbl>
    <w:p w14:paraId="209F7876" w14:textId="66E4015B" w:rsidR="00590BEF" w:rsidRPr="007202FA" w:rsidRDefault="000B4F21" w:rsidP="007202FA">
      <w:pPr>
        <w:spacing w:after="120"/>
        <w:rPr>
          <w:b/>
          <w:bCs/>
        </w:rPr>
      </w:pPr>
      <w:r>
        <w:rPr>
          <w:lang w:val="ga"/>
        </w:rPr>
        <w:lastRenderedPageBreak/>
        <w:t>Tríd is tríd, luaigh formhór na gcomhlachtaí poiblí sa bhliain 2024 a bhí ag forbairt bearta éagsúla sa chatagóir seo go gcuirfí na bearta sin chun feidhme laistigh de thréimhse dhá mhí dhéag.</w:t>
      </w:r>
    </w:p>
    <w:p w14:paraId="20DCF9AC" w14:textId="77777777" w:rsidR="00590BEF" w:rsidRPr="007202FA" w:rsidRDefault="000B4F21" w:rsidP="007202FA">
      <w:pPr>
        <w:pStyle w:val="Heading2"/>
        <w:rPr>
          <w:color w:val="BF2296"/>
        </w:rPr>
      </w:pPr>
      <w:bookmarkStart w:id="134" w:name="_Toc214033641"/>
      <w:r>
        <w:rPr>
          <w:bCs/>
          <w:color w:val="BF2296"/>
          <w:lang w:val="ga"/>
        </w:rPr>
        <w:t>3.2 Bearta chun tacú le fostaithe a stádas míchumais a chur in iúl</w:t>
      </w:r>
      <w:bookmarkEnd w:id="134"/>
    </w:p>
    <w:p w14:paraId="594BD646" w14:textId="1716D90F" w:rsidR="00656E5A" w:rsidRPr="007202FA" w:rsidRDefault="000B4F21" w:rsidP="007202FA">
      <w:r>
        <w:rPr>
          <w:lang w:val="ga"/>
        </w:rPr>
        <w:t>Sna blianta 2023 agus 2024, tugadh roghanna do chomhlachtaí poiblí maidir leis na bearta a bhí i bhfeidhm acu chun tacú le fostaithe a stádas míchumais a chur in iúl.</w:t>
      </w:r>
    </w:p>
    <w:p w14:paraId="1DEB8BCF" w14:textId="65A61248" w:rsidR="00345DC5" w:rsidRPr="007202FA" w:rsidRDefault="000B4F21" w:rsidP="007202FA">
      <w:r>
        <w:rPr>
          <w:lang w:val="ga"/>
        </w:rPr>
        <w:t xml:space="preserve">Mionsonraítear i dTábla 5 </w:t>
      </w:r>
      <w:r>
        <w:rPr>
          <w:b/>
          <w:bCs/>
          <w:lang w:val="ga"/>
        </w:rPr>
        <w:t>na bearta is coitianta</w:t>
      </w:r>
      <w:r>
        <w:rPr>
          <w:lang w:val="ga"/>
        </w:rPr>
        <w:t xml:space="preserve"> ar thuairiscigh comhlachtaí poiblí go raibh siad i bhfeidhm acu don chatagóir seo sna blianta 2023 agus 2024.</w:t>
      </w:r>
    </w:p>
    <w:p w14:paraId="66AC808F" w14:textId="4E5E4C38" w:rsidR="00950F0B" w:rsidRPr="005524D6" w:rsidRDefault="000B4F21" w:rsidP="007202FA">
      <w:pPr>
        <w:rPr>
          <w:lang w:val="ga"/>
        </w:rPr>
      </w:pPr>
      <w:r>
        <w:rPr>
          <w:lang w:val="ga"/>
        </w:rPr>
        <w:t>Sa bhliain 2024, thug ÚNM isteach ceist nua faoi cé acu a sheolann comhlachtaí poiblí amach foirmeacha rúnda bliantúla ar féidir le fostaithe a stádas míchumais a athrú iontu nó nach seolann. Tá * in aice leis an gceist sin i dTábla 5.</w:t>
      </w:r>
    </w:p>
    <w:p w14:paraId="5862F4CE" w14:textId="3FDF9BCC" w:rsidR="00590BEF" w:rsidRPr="005524D6" w:rsidRDefault="000B4F21" w:rsidP="007202FA">
      <w:pPr>
        <w:pStyle w:val="Caption"/>
        <w:rPr>
          <w:lang w:val="ga"/>
        </w:rPr>
      </w:pPr>
      <w:r>
        <w:rPr>
          <w:bCs/>
          <w:iCs w:val="0"/>
          <w:lang w:val="ga"/>
        </w:rPr>
        <w:t>Tábla 5. Bearta chun tacú le fostaithe a bheith ar a gcompord le linn dóibh a stádas míchumais a chur in iúl sna blianta 2023 agus 2024</w:t>
      </w:r>
    </w:p>
    <w:tbl>
      <w:tblPr>
        <w:tblStyle w:val="NDATableBlack"/>
        <w:tblW w:w="5000" w:type="pct"/>
        <w:tblLook w:val="04A0" w:firstRow="1" w:lastRow="0" w:firstColumn="1" w:lastColumn="0" w:noHBand="0" w:noVBand="1"/>
      </w:tblPr>
      <w:tblGrid>
        <w:gridCol w:w="2913"/>
        <w:gridCol w:w="1444"/>
        <w:gridCol w:w="1573"/>
        <w:gridCol w:w="1444"/>
        <w:gridCol w:w="1642"/>
      </w:tblGrid>
      <w:tr w:rsidR="00F31303" w:rsidRPr="005524D6" w14:paraId="2F0E3F84" w14:textId="203D79BA" w:rsidTr="00BC23C8">
        <w:trPr>
          <w:cnfStyle w:val="100000000000" w:firstRow="1" w:lastRow="0" w:firstColumn="0" w:lastColumn="0" w:oddVBand="0" w:evenVBand="0" w:oddHBand="0"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1637" w:type="pct"/>
            <w:vMerge w:val="restart"/>
            <w:vAlign w:val="top"/>
          </w:tcPr>
          <w:p w14:paraId="1668CAF6" w14:textId="77777777" w:rsidR="00E9738C" w:rsidRPr="005524D6" w:rsidRDefault="00E9738C" w:rsidP="007202FA">
            <w:pPr>
              <w:jc w:val="center"/>
              <w:rPr>
                <w:rFonts w:eastAsia="Times New Roman" w:cs="Arial"/>
                <w:bCs/>
                <w:color w:val="000000"/>
                <w:kern w:val="0"/>
                <w:sz w:val="20"/>
                <w:szCs w:val="20"/>
                <w:lang w:val="ga"/>
                <w14:ligatures w14:val="none"/>
              </w:rPr>
            </w:pPr>
          </w:p>
        </w:tc>
        <w:tc>
          <w:tcPr>
            <w:tcW w:w="1696" w:type="pct"/>
            <w:gridSpan w:val="2"/>
            <w:vAlign w:val="top"/>
          </w:tcPr>
          <w:p w14:paraId="01E16FC7" w14:textId="7DF51CAC" w:rsidR="00E9738C" w:rsidRPr="00AD4812" w:rsidRDefault="000B4F21"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18"/>
                <w:szCs w:val="18"/>
                <w:lang w:val="ga"/>
                <w14:ligatures w14:val="none"/>
              </w:rPr>
            </w:pPr>
            <w:r w:rsidRPr="00AD4812">
              <w:rPr>
                <w:rFonts w:eastAsia="Times New Roman" w:cs="Arial"/>
                <w:bCs/>
                <w:color w:val="000000"/>
                <w:kern w:val="0"/>
                <w:sz w:val="18"/>
                <w:szCs w:val="18"/>
                <w:lang w:val="ga"/>
                <w14:ligatures w14:val="none"/>
              </w:rPr>
              <w:t>An líon iomlán comhlachtaí poiblí sa bhliain 2023 = 210</w:t>
            </w:r>
          </w:p>
        </w:tc>
        <w:tc>
          <w:tcPr>
            <w:tcW w:w="1667" w:type="pct"/>
            <w:gridSpan w:val="2"/>
            <w:vAlign w:val="top"/>
          </w:tcPr>
          <w:p w14:paraId="042AAC4F" w14:textId="459BF998" w:rsidR="00E9738C" w:rsidRPr="00AD4812" w:rsidRDefault="000B4F21"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18"/>
                <w:szCs w:val="18"/>
                <w:lang w:val="ga"/>
                <w14:ligatures w14:val="none"/>
              </w:rPr>
            </w:pPr>
            <w:r w:rsidRPr="00AD4812">
              <w:rPr>
                <w:rFonts w:eastAsia="Times New Roman" w:cs="Arial"/>
                <w:bCs/>
                <w:color w:val="000000"/>
                <w:kern w:val="0"/>
                <w:sz w:val="18"/>
                <w:szCs w:val="18"/>
                <w:lang w:val="ga"/>
                <w14:ligatures w14:val="none"/>
              </w:rPr>
              <w:t>An líon iomlán comhlachtaí poiblí sa bhliain 2024 = 216</w:t>
            </w:r>
          </w:p>
        </w:tc>
      </w:tr>
      <w:tr w:rsidR="00F31303" w:rsidRPr="005524D6" w14:paraId="48D1F931" w14:textId="793F7A21" w:rsidTr="00BC23C8">
        <w:trPr>
          <w:trHeight w:val="840"/>
        </w:trPr>
        <w:tc>
          <w:tcPr>
            <w:cnfStyle w:val="001000000000" w:firstRow="0" w:lastRow="0" w:firstColumn="1" w:lastColumn="0" w:oddVBand="0" w:evenVBand="0" w:oddHBand="0" w:evenHBand="0" w:firstRowFirstColumn="0" w:firstRowLastColumn="0" w:lastRowFirstColumn="0" w:lastRowLastColumn="0"/>
            <w:tcW w:w="1637" w:type="pct"/>
            <w:vMerge/>
            <w:vAlign w:val="top"/>
            <w:hideMark/>
          </w:tcPr>
          <w:p w14:paraId="67565AF3" w14:textId="4083AD8F" w:rsidR="00E9738C" w:rsidRPr="005524D6" w:rsidRDefault="00E9738C" w:rsidP="007202FA">
            <w:pPr>
              <w:rPr>
                <w:rFonts w:eastAsia="Times New Roman" w:cs="Arial"/>
                <w:color w:val="000000"/>
                <w:kern w:val="0"/>
                <w:sz w:val="20"/>
                <w:szCs w:val="20"/>
                <w:lang w:val="ga"/>
                <w14:ligatures w14:val="none"/>
              </w:rPr>
            </w:pPr>
          </w:p>
        </w:tc>
        <w:tc>
          <w:tcPr>
            <w:tcW w:w="822" w:type="pct"/>
            <w:vAlign w:val="top"/>
          </w:tcPr>
          <w:p w14:paraId="07FC4011" w14:textId="182DDFB8" w:rsidR="00E9738C" w:rsidRPr="00AD4812" w:rsidRDefault="000B4F21"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18"/>
                <w:szCs w:val="18"/>
                <w:lang w:val="ga"/>
                <w14:ligatures w14:val="none"/>
              </w:rPr>
            </w:pPr>
            <w:r w:rsidRPr="00AD4812">
              <w:rPr>
                <w:rFonts w:eastAsia="Times New Roman" w:cs="Arial"/>
                <w:b/>
                <w:bCs/>
                <w:color w:val="000000"/>
                <w:kern w:val="0"/>
                <w:sz w:val="18"/>
                <w:szCs w:val="18"/>
                <w:lang w:val="ga"/>
                <w14:ligatures w14:val="none"/>
              </w:rPr>
              <w:t>An líon comhlachtaí poiblí sa bhliain 2023</w:t>
            </w:r>
          </w:p>
        </w:tc>
        <w:tc>
          <w:tcPr>
            <w:tcW w:w="874" w:type="pct"/>
            <w:vAlign w:val="top"/>
          </w:tcPr>
          <w:p w14:paraId="04A0FFFC" w14:textId="528169DF" w:rsidR="00E9738C" w:rsidRPr="00AD4812"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18"/>
                <w:szCs w:val="18"/>
                <w:lang w:val="fr-FR"/>
                <w14:ligatures w14:val="none"/>
              </w:rPr>
            </w:pPr>
            <w:r w:rsidRPr="00AD4812">
              <w:rPr>
                <w:rFonts w:eastAsia="Times New Roman" w:cs="Arial"/>
                <w:b/>
                <w:bCs/>
                <w:color w:val="000000"/>
                <w:kern w:val="0"/>
                <w:sz w:val="18"/>
                <w:szCs w:val="18"/>
                <w:lang w:val="ga"/>
                <w14:ligatures w14:val="none"/>
              </w:rPr>
              <w:t>An céatadán de chomhlachtaí poiblí sa bhliain 2023</w:t>
            </w:r>
          </w:p>
        </w:tc>
        <w:tc>
          <w:tcPr>
            <w:tcW w:w="715" w:type="pct"/>
            <w:vAlign w:val="top"/>
            <w:hideMark/>
          </w:tcPr>
          <w:p w14:paraId="76EC0D7E" w14:textId="2DBA4080" w:rsidR="00E9738C" w:rsidRPr="00AD4812"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18"/>
                <w:szCs w:val="18"/>
                <w:lang w:val="fr-FR"/>
                <w14:ligatures w14:val="none"/>
              </w:rPr>
            </w:pPr>
            <w:r w:rsidRPr="00AD4812">
              <w:rPr>
                <w:rFonts w:eastAsia="Times New Roman" w:cs="Arial"/>
                <w:b/>
                <w:bCs/>
                <w:color w:val="000000"/>
                <w:kern w:val="0"/>
                <w:sz w:val="18"/>
                <w:szCs w:val="18"/>
                <w:lang w:val="ga"/>
                <w14:ligatures w14:val="none"/>
              </w:rPr>
              <w:t>An líon comhlachtaí poiblí sa bhliain 2024</w:t>
            </w:r>
          </w:p>
        </w:tc>
        <w:tc>
          <w:tcPr>
            <w:tcW w:w="952" w:type="pct"/>
            <w:vAlign w:val="top"/>
            <w:hideMark/>
          </w:tcPr>
          <w:p w14:paraId="58CE8638" w14:textId="7FE7C5F6" w:rsidR="00E9738C" w:rsidRPr="00AD4812"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kern w:val="0"/>
                <w:sz w:val="18"/>
                <w:szCs w:val="18"/>
                <w:lang w:val="fr-FR"/>
                <w14:ligatures w14:val="none"/>
              </w:rPr>
            </w:pPr>
            <w:r w:rsidRPr="00AD4812">
              <w:rPr>
                <w:rFonts w:eastAsia="Times New Roman" w:cs="Arial"/>
                <w:b/>
                <w:bCs/>
                <w:color w:val="000000"/>
                <w:kern w:val="0"/>
                <w:sz w:val="18"/>
                <w:szCs w:val="18"/>
                <w:lang w:val="ga"/>
                <w14:ligatures w14:val="none"/>
              </w:rPr>
              <w:t>An céatadán de chomhlachtaí poiblí sa bhliain 2024</w:t>
            </w:r>
          </w:p>
        </w:tc>
      </w:tr>
      <w:tr w:rsidR="00F31303" w14:paraId="29E96E86" w14:textId="310ED64E" w:rsidTr="00BC23C8">
        <w:trPr>
          <w:trHeight w:val="759"/>
        </w:trPr>
        <w:tc>
          <w:tcPr>
            <w:cnfStyle w:val="001000000000" w:firstRow="0" w:lastRow="0" w:firstColumn="1" w:lastColumn="0" w:oddVBand="0" w:evenVBand="0" w:oddHBand="0" w:evenHBand="0" w:firstRowFirstColumn="0" w:firstRowLastColumn="0" w:lastRowFirstColumn="0" w:lastRowLastColumn="0"/>
            <w:tcW w:w="1637" w:type="pct"/>
            <w:vAlign w:val="top"/>
            <w:hideMark/>
          </w:tcPr>
          <w:p w14:paraId="3A519E19" w14:textId="4146D059" w:rsidR="00864ED8" w:rsidRPr="005524D6" w:rsidRDefault="000B4F21" w:rsidP="007202FA">
            <w:pPr>
              <w:rPr>
                <w:rFonts w:eastAsia="Times New Roman" w:cs="Arial"/>
                <w:bCs/>
                <w:color w:val="000000"/>
                <w:kern w:val="0"/>
                <w:sz w:val="20"/>
                <w:szCs w:val="20"/>
                <w:lang w:val="fr-FR"/>
                <w14:ligatures w14:val="none"/>
              </w:rPr>
            </w:pPr>
            <w:r>
              <w:rPr>
                <w:rFonts w:eastAsia="Times New Roman" w:cs="Arial"/>
                <w:b w:val="0"/>
                <w:color w:val="000000"/>
                <w:kern w:val="0"/>
                <w:sz w:val="20"/>
                <w:szCs w:val="20"/>
                <w:lang w:val="ga"/>
                <w14:ligatures w14:val="none"/>
              </w:rPr>
              <w:t>Tugtar faisnéis do na fostaithe uile faoi na tacaí atá ar fáil dóibh</w:t>
            </w:r>
          </w:p>
        </w:tc>
        <w:tc>
          <w:tcPr>
            <w:tcW w:w="822" w:type="pct"/>
            <w:vAlign w:val="top"/>
          </w:tcPr>
          <w:p w14:paraId="7412D2EE" w14:textId="079907B8"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170</w:t>
            </w:r>
          </w:p>
        </w:tc>
        <w:tc>
          <w:tcPr>
            <w:tcW w:w="874" w:type="pct"/>
            <w:vAlign w:val="top"/>
          </w:tcPr>
          <w:p w14:paraId="3936CFAC" w14:textId="38FFAA91"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81.0%</w:t>
            </w:r>
          </w:p>
        </w:tc>
        <w:tc>
          <w:tcPr>
            <w:tcW w:w="715" w:type="pct"/>
            <w:noWrap/>
            <w:vAlign w:val="top"/>
            <w:hideMark/>
          </w:tcPr>
          <w:p w14:paraId="682B01FE" w14:textId="2F8916A7"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181</w:t>
            </w:r>
          </w:p>
        </w:tc>
        <w:tc>
          <w:tcPr>
            <w:tcW w:w="952" w:type="pct"/>
            <w:noWrap/>
            <w:vAlign w:val="top"/>
            <w:hideMark/>
          </w:tcPr>
          <w:p w14:paraId="54F8501A" w14:textId="3A71FBCD"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83.8%</w:t>
            </w:r>
          </w:p>
        </w:tc>
      </w:tr>
      <w:tr w:rsidR="00F31303" w14:paraId="415F6E99" w14:textId="3B00CDCE" w:rsidTr="00BC23C8">
        <w:trPr>
          <w:trHeight w:val="1020"/>
        </w:trPr>
        <w:tc>
          <w:tcPr>
            <w:cnfStyle w:val="001000000000" w:firstRow="0" w:lastRow="0" w:firstColumn="1" w:lastColumn="0" w:oddVBand="0" w:evenVBand="0" w:oddHBand="0" w:evenHBand="0" w:firstRowFirstColumn="0" w:firstRowLastColumn="0" w:lastRowFirstColumn="0" w:lastRowLastColumn="0"/>
            <w:tcW w:w="1637" w:type="pct"/>
            <w:vAlign w:val="top"/>
            <w:hideMark/>
          </w:tcPr>
          <w:p w14:paraId="7B41DF7F" w14:textId="707F08FC" w:rsidR="00864ED8"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Ailt ar Inlíon nó i nuachtlitir na heagraíochta faoi na tionscnaimh atá ar bun ag an eagraíocht chun eagraíocht Chomhionann, Éagsúil agus Chuimsitheach a chruthú</w:t>
            </w:r>
          </w:p>
        </w:tc>
        <w:tc>
          <w:tcPr>
            <w:tcW w:w="822" w:type="pct"/>
            <w:vAlign w:val="top"/>
          </w:tcPr>
          <w:p w14:paraId="6AEC6EFC" w14:textId="1BA2DC24"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136</w:t>
            </w:r>
          </w:p>
        </w:tc>
        <w:tc>
          <w:tcPr>
            <w:tcW w:w="874" w:type="pct"/>
            <w:vAlign w:val="top"/>
          </w:tcPr>
          <w:p w14:paraId="06B75499" w14:textId="6DA231BF"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64.8%</w:t>
            </w:r>
          </w:p>
        </w:tc>
        <w:tc>
          <w:tcPr>
            <w:tcW w:w="715" w:type="pct"/>
            <w:noWrap/>
            <w:vAlign w:val="top"/>
            <w:hideMark/>
          </w:tcPr>
          <w:p w14:paraId="2927FCA8" w14:textId="06C9CC82"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144</w:t>
            </w:r>
          </w:p>
        </w:tc>
        <w:tc>
          <w:tcPr>
            <w:tcW w:w="952" w:type="pct"/>
            <w:noWrap/>
            <w:vAlign w:val="top"/>
            <w:hideMark/>
          </w:tcPr>
          <w:p w14:paraId="7E1473B2" w14:textId="41D5B2FE"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66.7%</w:t>
            </w:r>
          </w:p>
        </w:tc>
      </w:tr>
      <w:tr w:rsidR="00F31303" w14:paraId="4F6767DE" w14:textId="52758C7F" w:rsidTr="00BC23C8">
        <w:trPr>
          <w:trHeight w:val="841"/>
        </w:trPr>
        <w:tc>
          <w:tcPr>
            <w:cnfStyle w:val="001000000000" w:firstRow="0" w:lastRow="0" w:firstColumn="1" w:lastColumn="0" w:oddVBand="0" w:evenVBand="0" w:oddHBand="0" w:evenHBand="0" w:firstRowFirstColumn="0" w:firstRowLastColumn="0" w:lastRowFirstColumn="0" w:lastRowLastColumn="0"/>
            <w:tcW w:w="1637" w:type="pct"/>
            <w:vAlign w:val="top"/>
            <w:hideMark/>
          </w:tcPr>
          <w:p w14:paraId="0522BD6D" w14:textId="16D4300F" w:rsidR="00864ED8"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*Seoltar amach foirmeacha rúnda bliantúla ar féidir le fostaithe a stádas míchumais a athrú iontu</w:t>
            </w:r>
          </w:p>
        </w:tc>
        <w:tc>
          <w:tcPr>
            <w:tcW w:w="822" w:type="pct"/>
            <w:vAlign w:val="top"/>
          </w:tcPr>
          <w:p w14:paraId="16E67DC6" w14:textId="6CC14AF5"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74" w:type="pct"/>
            <w:vAlign w:val="top"/>
          </w:tcPr>
          <w:p w14:paraId="0A7FB1C6" w14:textId="4E658786"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715" w:type="pct"/>
            <w:noWrap/>
            <w:vAlign w:val="top"/>
            <w:hideMark/>
          </w:tcPr>
          <w:p w14:paraId="20C9A9E9" w14:textId="42351BFE"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96</w:t>
            </w:r>
          </w:p>
        </w:tc>
        <w:tc>
          <w:tcPr>
            <w:tcW w:w="952" w:type="pct"/>
            <w:noWrap/>
            <w:vAlign w:val="top"/>
            <w:hideMark/>
          </w:tcPr>
          <w:p w14:paraId="738802AB" w14:textId="3E40886D"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44.4%</w:t>
            </w:r>
          </w:p>
        </w:tc>
      </w:tr>
      <w:tr w:rsidR="00F31303" w14:paraId="1130F26A" w14:textId="2E047846" w:rsidTr="00BC23C8">
        <w:trPr>
          <w:trHeight w:val="646"/>
        </w:trPr>
        <w:tc>
          <w:tcPr>
            <w:cnfStyle w:val="001000000000" w:firstRow="0" w:lastRow="0" w:firstColumn="1" w:lastColumn="0" w:oddVBand="0" w:evenVBand="0" w:oddHBand="0" w:evenHBand="0" w:firstRowFirstColumn="0" w:firstRowLastColumn="0" w:lastRowFirstColumn="0" w:lastRowLastColumn="0"/>
            <w:tcW w:w="1637" w:type="pct"/>
            <w:vAlign w:val="top"/>
            <w:hideMark/>
          </w:tcPr>
          <w:p w14:paraId="58E97700" w14:textId="77777777" w:rsidR="00864ED8"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Tá feachtais feasachta ar an gcomhionannas míchumais ag an eagraíocht</w:t>
            </w:r>
          </w:p>
          <w:p w14:paraId="4D08A1FD" w14:textId="30209B63" w:rsidR="00AF4D1E" w:rsidRPr="007202FA" w:rsidRDefault="00AF4D1E" w:rsidP="007202FA">
            <w:pPr>
              <w:rPr>
                <w:rFonts w:eastAsia="Times New Roman" w:cs="Arial"/>
                <w:bCs/>
                <w:color w:val="000000"/>
                <w:kern w:val="0"/>
                <w:sz w:val="20"/>
                <w:szCs w:val="20"/>
                <w14:ligatures w14:val="none"/>
              </w:rPr>
            </w:pPr>
          </w:p>
        </w:tc>
        <w:tc>
          <w:tcPr>
            <w:tcW w:w="822" w:type="pct"/>
            <w:vAlign w:val="top"/>
          </w:tcPr>
          <w:p w14:paraId="2F88052A" w14:textId="45752040"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31</w:t>
            </w:r>
          </w:p>
        </w:tc>
        <w:tc>
          <w:tcPr>
            <w:tcW w:w="874" w:type="pct"/>
            <w:vAlign w:val="top"/>
          </w:tcPr>
          <w:p w14:paraId="5675C45B" w14:textId="0695C34C"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14.8%</w:t>
            </w:r>
          </w:p>
        </w:tc>
        <w:tc>
          <w:tcPr>
            <w:tcW w:w="715" w:type="pct"/>
            <w:noWrap/>
            <w:vAlign w:val="top"/>
            <w:hideMark/>
          </w:tcPr>
          <w:p w14:paraId="5F3B47CA" w14:textId="5FD3ABE1"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94</w:t>
            </w:r>
          </w:p>
        </w:tc>
        <w:tc>
          <w:tcPr>
            <w:tcW w:w="952" w:type="pct"/>
            <w:noWrap/>
            <w:vAlign w:val="top"/>
            <w:hideMark/>
          </w:tcPr>
          <w:p w14:paraId="003E0B45" w14:textId="4CBE8262"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43.5%</w:t>
            </w:r>
          </w:p>
        </w:tc>
      </w:tr>
      <w:tr w:rsidR="00F31303" w14:paraId="7E6E6504" w14:textId="5FD27006" w:rsidTr="00BC23C8">
        <w:trPr>
          <w:trHeight w:val="960"/>
        </w:trPr>
        <w:tc>
          <w:tcPr>
            <w:cnfStyle w:val="001000000000" w:firstRow="0" w:lastRow="0" w:firstColumn="1" w:lastColumn="0" w:oddVBand="0" w:evenVBand="0" w:oddHBand="0" w:evenHBand="0" w:firstRowFirstColumn="0" w:firstRowLastColumn="0" w:lastRowFirstColumn="0" w:lastRowLastColumn="0"/>
            <w:tcW w:w="1637" w:type="pct"/>
            <w:vAlign w:val="top"/>
            <w:hideMark/>
          </w:tcPr>
          <w:p w14:paraId="1DD08E86" w14:textId="4A0BA660" w:rsidR="00864ED8"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lastRenderedPageBreak/>
              <w:t>Tugtar faisnéis ábhartha agus mionsonraí teagmhála ábhartha d’fhostaithe faoi mhíchumas maidir le conas is féidir leo teacht chun bheith ina gcuraidh éagsúlachta in eagraíocht</w:t>
            </w:r>
          </w:p>
        </w:tc>
        <w:tc>
          <w:tcPr>
            <w:tcW w:w="822" w:type="pct"/>
            <w:vAlign w:val="top"/>
          </w:tcPr>
          <w:p w14:paraId="4033D7F0" w14:textId="4C9D44E5"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58</w:t>
            </w:r>
          </w:p>
        </w:tc>
        <w:tc>
          <w:tcPr>
            <w:tcW w:w="874" w:type="pct"/>
            <w:vAlign w:val="top"/>
          </w:tcPr>
          <w:p w14:paraId="76A2A836" w14:textId="01EA0B1C"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(27.6%)</w:t>
            </w:r>
          </w:p>
        </w:tc>
        <w:tc>
          <w:tcPr>
            <w:tcW w:w="715" w:type="pct"/>
            <w:noWrap/>
            <w:vAlign w:val="top"/>
            <w:hideMark/>
          </w:tcPr>
          <w:p w14:paraId="64F85F21" w14:textId="7EFACD4B"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70</w:t>
            </w:r>
          </w:p>
        </w:tc>
        <w:tc>
          <w:tcPr>
            <w:tcW w:w="952" w:type="pct"/>
            <w:noWrap/>
            <w:vAlign w:val="top"/>
            <w:hideMark/>
          </w:tcPr>
          <w:p w14:paraId="27665486" w14:textId="439CB9B3" w:rsidR="00864ED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32.4%</w:t>
            </w:r>
          </w:p>
        </w:tc>
      </w:tr>
    </w:tbl>
    <w:p w14:paraId="4BBBAB85" w14:textId="77777777" w:rsidR="00051983" w:rsidRPr="007202FA" w:rsidRDefault="00051983" w:rsidP="007202FA">
      <w:pPr>
        <w:spacing w:after="120"/>
      </w:pPr>
    </w:p>
    <w:p w14:paraId="3E5DAA7C" w14:textId="3E44BF1D" w:rsidR="00AF4D1E" w:rsidRPr="007202FA" w:rsidRDefault="000B4F21" w:rsidP="007202FA">
      <w:pPr>
        <w:spacing w:after="120"/>
      </w:pPr>
      <w:r>
        <w:rPr>
          <w:lang w:val="ga"/>
        </w:rPr>
        <w:t>Tríd is tríd, luaigh formhór na gcomhlachtaí poiblí sa bhliain 2024 a bhí ag forbairt bearta éagsúla sa chatagóir seo go gcuirfí na bearta sin chun feidhme laistigh de thréimhse dhá mhí dhéag.</w:t>
      </w:r>
    </w:p>
    <w:p w14:paraId="74297820" w14:textId="77777777" w:rsidR="00590BEF" w:rsidRPr="007202FA" w:rsidRDefault="000B4F21" w:rsidP="007202FA">
      <w:pPr>
        <w:pStyle w:val="Heading2"/>
        <w:rPr>
          <w:color w:val="BF2296"/>
        </w:rPr>
      </w:pPr>
      <w:bookmarkStart w:id="135" w:name="_Toc214033642"/>
      <w:r>
        <w:rPr>
          <w:bCs/>
          <w:color w:val="BF2296"/>
          <w:lang w:val="ga"/>
        </w:rPr>
        <w:t>3.3 Fostaithe a bhfuil míchumas orthu nó nach bhfuil míchumas orthu a choinneáil</w:t>
      </w:r>
      <w:bookmarkEnd w:id="135"/>
    </w:p>
    <w:p w14:paraId="0C0690AD" w14:textId="77777777" w:rsidR="00AE3934" w:rsidRPr="005524D6" w:rsidRDefault="000B4F21" w:rsidP="007202FA">
      <w:pPr>
        <w:rPr>
          <w:lang w:val="ga"/>
        </w:rPr>
      </w:pPr>
      <w:r>
        <w:rPr>
          <w:lang w:val="ga"/>
        </w:rPr>
        <w:t xml:space="preserve">Sa bhliain 2024, thug ÚNM ceist ar leith isteach maidir le bearta a bhí i bhfeidhm ag comhlachtaí poiblí chun gach fostaí a choinneáil. Sa chomhthéacs sin, ní féidir comparáid a dhéanamh idir torthaí ón mbliain 2024 agus torthaí ón mbliain 2023. </w:t>
      </w:r>
    </w:p>
    <w:p w14:paraId="21E06B47" w14:textId="7EB866AF" w:rsidR="00AF4D1E" w:rsidRPr="005524D6" w:rsidRDefault="000B4F21" w:rsidP="00D82230">
      <w:pPr>
        <w:rPr>
          <w:b/>
          <w:iCs/>
          <w:szCs w:val="18"/>
          <w:lang w:val="ga"/>
        </w:rPr>
      </w:pPr>
      <w:r>
        <w:rPr>
          <w:lang w:val="ga"/>
        </w:rPr>
        <w:t xml:space="preserve">Mionsonraítear i dTábla 6 </w:t>
      </w:r>
      <w:r>
        <w:rPr>
          <w:b/>
          <w:bCs/>
          <w:lang w:val="ga"/>
        </w:rPr>
        <w:t>na bearta is coitianta</w:t>
      </w:r>
      <w:r>
        <w:rPr>
          <w:lang w:val="ga"/>
        </w:rPr>
        <w:t xml:space="preserve"> a bhí i bhfeidhm ag comhlachtaí poiblí don chatagóir seo sa bhliain 2024. </w:t>
      </w:r>
    </w:p>
    <w:p w14:paraId="75F249AD" w14:textId="05A29F2F" w:rsidR="00590BEF" w:rsidRPr="005524D6" w:rsidRDefault="000B4F21" w:rsidP="007202FA">
      <w:pPr>
        <w:pStyle w:val="Caption"/>
        <w:rPr>
          <w:lang w:val="ga"/>
        </w:rPr>
      </w:pPr>
      <w:r>
        <w:rPr>
          <w:bCs/>
          <w:iCs w:val="0"/>
          <w:lang w:val="ga"/>
        </w:rPr>
        <w:t>Tábla 6. Bearta chun fostaithe a choinneáil chun bheith ar a gcompord le linn dóibh a stádas míchumais a chur in iúl sa bhliain 2024</w:t>
      </w:r>
    </w:p>
    <w:tbl>
      <w:tblPr>
        <w:tblStyle w:val="NDATableBlack"/>
        <w:tblW w:w="5000" w:type="pct"/>
        <w:tblLook w:val="04A0" w:firstRow="1" w:lastRow="0" w:firstColumn="1" w:lastColumn="0" w:noHBand="0" w:noVBand="1"/>
      </w:tblPr>
      <w:tblGrid>
        <w:gridCol w:w="3976"/>
        <w:gridCol w:w="2786"/>
        <w:gridCol w:w="2254"/>
      </w:tblGrid>
      <w:tr w:rsidR="00F31303" w:rsidRPr="005524D6" w14:paraId="5E466663" w14:textId="77777777" w:rsidTr="00B44D04">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2205" w:type="pct"/>
            <w:vMerge w:val="restart"/>
            <w:vAlign w:val="top"/>
          </w:tcPr>
          <w:p w14:paraId="2DD2C731" w14:textId="77777777" w:rsidR="00E97EBE" w:rsidRPr="005524D6" w:rsidRDefault="00E97EBE" w:rsidP="007202FA">
            <w:pPr>
              <w:jc w:val="center"/>
              <w:rPr>
                <w:rFonts w:eastAsia="Times New Roman" w:cs="Arial"/>
                <w:bCs/>
                <w:color w:val="000000"/>
                <w:kern w:val="0"/>
                <w:sz w:val="20"/>
                <w:szCs w:val="20"/>
                <w:lang w:val="ga"/>
                <w14:ligatures w14:val="none"/>
              </w:rPr>
            </w:pPr>
          </w:p>
        </w:tc>
        <w:tc>
          <w:tcPr>
            <w:tcW w:w="2795" w:type="pct"/>
            <w:gridSpan w:val="2"/>
            <w:vAlign w:val="top"/>
          </w:tcPr>
          <w:p w14:paraId="00447B9A" w14:textId="553DBA1D" w:rsidR="00E97EBE" w:rsidRPr="00AD4812" w:rsidRDefault="000B4F21"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18"/>
                <w:szCs w:val="18"/>
                <w:lang w:val="ga"/>
                <w14:ligatures w14:val="none"/>
              </w:rPr>
            </w:pPr>
            <w:r w:rsidRPr="00AD4812">
              <w:rPr>
                <w:rFonts w:eastAsia="Times New Roman" w:cs="Arial"/>
                <w:bCs/>
                <w:color w:val="000000"/>
                <w:kern w:val="0"/>
                <w:sz w:val="18"/>
                <w:szCs w:val="18"/>
                <w:lang w:val="ga"/>
                <w14:ligatures w14:val="none"/>
              </w:rPr>
              <w:t xml:space="preserve">An líon iomlán comhlachtaí poiblí sa bhliain 2024 = 216 </w:t>
            </w:r>
          </w:p>
        </w:tc>
      </w:tr>
      <w:tr w:rsidR="00F31303" w:rsidRPr="005524D6" w14:paraId="217E692A" w14:textId="77777777" w:rsidTr="00B44D04">
        <w:trPr>
          <w:trHeight w:val="563"/>
        </w:trPr>
        <w:tc>
          <w:tcPr>
            <w:cnfStyle w:val="001000000000" w:firstRow="0" w:lastRow="0" w:firstColumn="1" w:lastColumn="0" w:oddVBand="0" w:evenVBand="0" w:oddHBand="0" w:evenHBand="0" w:firstRowFirstColumn="0" w:firstRowLastColumn="0" w:lastRowFirstColumn="0" w:lastRowLastColumn="0"/>
            <w:tcW w:w="2205" w:type="pct"/>
            <w:vMerge/>
            <w:vAlign w:val="top"/>
            <w:hideMark/>
          </w:tcPr>
          <w:p w14:paraId="6B015AF8" w14:textId="059BF792" w:rsidR="00E97EBE" w:rsidRPr="005524D6" w:rsidRDefault="00E97EBE" w:rsidP="007202FA">
            <w:pPr>
              <w:jc w:val="center"/>
              <w:rPr>
                <w:rFonts w:eastAsia="Times New Roman" w:cs="Arial"/>
                <w:bCs/>
                <w:color w:val="000000"/>
                <w:kern w:val="0"/>
                <w:sz w:val="20"/>
                <w:szCs w:val="20"/>
                <w:lang w:val="ga"/>
                <w14:ligatures w14:val="none"/>
              </w:rPr>
            </w:pPr>
          </w:p>
        </w:tc>
        <w:tc>
          <w:tcPr>
            <w:tcW w:w="1545" w:type="pct"/>
            <w:vAlign w:val="top"/>
            <w:hideMark/>
          </w:tcPr>
          <w:p w14:paraId="2E0BD64E" w14:textId="29FEAA95" w:rsidR="00E97EBE" w:rsidRPr="00AD4812"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18"/>
                <w:szCs w:val="18"/>
                <w:lang w:val="ga"/>
                <w14:ligatures w14:val="none"/>
              </w:rPr>
            </w:pPr>
            <w:r w:rsidRPr="00AD4812">
              <w:rPr>
                <w:rFonts w:eastAsia="Times New Roman" w:cs="Arial"/>
                <w:b/>
                <w:bCs/>
                <w:color w:val="000000"/>
                <w:kern w:val="0"/>
                <w:sz w:val="18"/>
                <w:szCs w:val="18"/>
                <w:lang w:val="ga"/>
                <w14:ligatures w14:val="none"/>
              </w:rPr>
              <w:t>An líon comhlachtaí poiblí sa bhliain 2024</w:t>
            </w:r>
          </w:p>
        </w:tc>
        <w:tc>
          <w:tcPr>
            <w:tcW w:w="1250" w:type="pct"/>
            <w:vAlign w:val="top"/>
            <w:hideMark/>
          </w:tcPr>
          <w:p w14:paraId="17292BB4" w14:textId="229F914F" w:rsidR="00E97EBE" w:rsidRPr="00AD4812"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18"/>
                <w:szCs w:val="18"/>
                <w:lang w:val="fr-FR"/>
                <w14:ligatures w14:val="none"/>
              </w:rPr>
            </w:pPr>
            <w:r w:rsidRPr="00AD4812">
              <w:rPr>
                <w:rFonts w:eastAsia="Times New Roman" w:cs="Arial"/>
                <w:b/>
                <w:bCs/>
                <w:color w:val="000000"/>
                <w:kern w:val="0"/>
                <w:sz w:val="18"/>
                <w:szCs w:val="18"/>
                <w:lang w:val="ga"/>
                <w14:ligatures w14:val="none"/>
              </w:rPr>
              <w:t>An céatadán de chomhlachtaí poiblí sa bhliain 2024</w:t>
            </w:r>
          </w:p>
        </w:tc>
      </w:tr>
      <w:tr w:rsidR="00F31303" w14:paraId="235F8238" w14:textId="77777777" w:rsidTr="00927A88">
        <w:trPr>
          <w:trHeight w:val="684"/>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099542C2" w14:textId="6B1F50C7" w:rsidR="00590BEF" w:rsidRPr="005524D6" w:rsidRDefault="000B4F21" w:rsidP="007202FA">
            <w:pPr>
              <w:rPr>
                <w:rFonts w:eastAsia="Times New Roman" w:cs="Arial"/>
                <w:bCs/>
                <w:color w:val="000000"/>
                <w:kern w:val="0"/>
                <w:sz w:val="20"/>
                <w:szCs w:val="20"/>
                <w:lang w:val="fr-FR"/>
                <w14:ligatures w14:val="none"/>
              </w:rPr>
            </w:pPr>
            <w:r>
              <w:rPr>
                <w:rFonts w:eastAsia="Times New Roman" w:cs="Arial"/>
                <w:b w:val="0"/>
                <w:color w:val="000000"/>
                <w:kern w:val="0"/>
                <w:sz w:val="20"/>
                <w:szCs w:val="20"/>
                <w:lang w:val="ga"/>
                <w14:ligatures w14:val="none"/>
              </w:rPr>
              <w:t>Cinntítear go bhfuil socruithe réasúnacha i bhfeidhm sula bhfilleann an fostaí ar an obair</w:t>
            </w:r>
          </w:p>
        </w:tc>
        <w:tc>
          <w:tcPr>
            <w:tcW w:w="1545" w:type="pct"/>
            <w:noWrap/>
            <w:vAlign w:val="top"/>
            <w:hideMark/>
          </w:tcPr>
          <w:p w14:paraId="3E2EBF6E" w14:textId="77777777"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213</w:t>
            </w:r>
          </w:p>
        </w:tc>
        <w:tc>
          <w:tcPr>
            <w:tcW w:w="1250" w:type="pct"/>
            <w:noWrap/>
            <w:vAlign w:val="top"/>
            <w:hideMark/>
          </w:tcPr>
          <w:p w14:paraId="2272A638" w14:textId="1A8F8088"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98.6%</w:t>
            </w:r>
          </w:p>
        </w:tc>
      </w:tr>
      <w:tr w:rsidR="00F31303" w14:paraId="068CC5FF" w14:textId="77777777" w:rsidTr="00B44D04">
        <w:trPr>
          <w:trHeight w:val="912"/>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221369F3" w14:textId="7C23A500" w:rsidR="00590BEF"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Pléann agus comhaontaíonn fostaithe agus fostóirí socruithe réasúnacha sula bhfilleann an fostaí ar an obair</w:t>
            </w:r>
          </w:p>
        </w:tc>
        <w:tc>
          <w:tcPr>
            <w:tcW w:w="1545" w:type="pct"/>
            <w:noWrap/>
            <w:vAlign w:val="top"/>
            <w:hideMark/>
          </w:tcPr>
          <w:p w14:paraId="5DD44D51" w14:textId="77777777"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211</w:t>
            </w:r>
          </w:p>
        </w:tc>
        <w:tc>
          <w:tcPr>
            <w:tcW w:w="1250" w:type="pct"/>
            <w:noWrap/>
            <w:vAlign w:val="top"/>
            <w:hideMark/>
          </w:tcPr>
          <w:p w14:paraId="34A7058D" w14:textId="0E42A1EC"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97.7%</w:t>
            </w:r>
          </w:p>
        </w:tc>
      </w:tr>
      <w:tr w:rsidR="00F31303" w14:paraId="107D32E0" w14:textId="77777777" w:rsidTr="00B44D04">
        <w:trPr>
          <w:trHeight w:val="1260"/>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61947DF5" w14:textId="0A46F496" w:rsidR="00590BEF"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Cuirtear na fostaithe uile ar an eolas faoi bheartais agus próisis na heagraíochta le haghaidh tacaíocht a thabhairt d’fhostaithe nuair atá siad ar shaoire bhreoiteachta/ar shaoire neamhláithreachta fhadaithe</w:t>
            </w:r>
          </w:p>
        </w:tc>
        <w:tc>
          <w:tcPr>
            <w:tcW w:w="1545" w:type="pct"/>
            <w:noWrap/>
            <w:vAlign w:val="top"/>
            <w:hideMark/>
          </w:tcPr>
          <w:p w14:paraId="18B1144C" w14:textId="77777777"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210</w:t>
            </w:r>
          </w:p>
        </w:tc>
        <w:tc>
          <w:tcPr>
            <w:tcW w:w="1250" w:type="pct"/>
            <w:noWrap/>
            <w:vAlign w:val="top"/>
            <w:hideMark/>
          </w:tcPr>
          <w:p w14:paraId="5C64577D" w14:textId="2D4A9D46"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97.2%</w:t>
            </w:r>
          </w:p>
        </w:tc>
      </w:tr>
      <w:tr w:rsidR="00F31303" w14:paraId="04EFE4DE" w14:textId="77777777" w:rsidTr="00B44D04">
        <w:trPr>
          <w:trHeight w:val="560"/>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2E157466" w14:textId="383DDAB6" w:rsidR="008F4E23"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Athraítear stáisiúin oibre chun iad a dhéanamh inrochtana</w:t>
            </w:r>
          </w:p>
        </w:tc>
        <w:tc>
          <w:tcPr>
            <w:tcW w:w="1545" w:type="pct"/>
            <w:noWrap/>
            <w:vAlign w:val="top"/>
            <w:hideMark/>
          </w:tcPr>
          <w:p w14:paraId="081F294D" w14:textId="77777777"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210</w:t>
            </w:r>
          </w:p>
        </w:tc>
        <w:tc>
          <w:tcPr>
            <w:tcW w:w="1250" w:type="pct"/>
            <w:noWrap/>
            <w:vAlign w:val="top"/>
            <w:hideMark/>
          </w:tcPr>
          <w:p w14:paraId="2E8023F3" w14:textId="2280454C"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97.2%</w:t>
            </w:r>
          </w:p>
        </w:tc>
      </w:tr>
      <w:tr w:rsidR="00F31303" w14:paraId="486F9E9A" w14:textId="77777777" w:rsidTr="00B44D04">
        <w:trPr>
          <w:trHeight w:val="696"/>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022BC5FC" w14:textId="63DB8CF4" w:rsidR="005A5A5B"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Is féidir le fostaithe atá ar shaoire bhreoiteachta nó ar shaoire fhadaithe a roghnú filleadh céimnithe ar an obair a bheith acu ar dtús </w:t>
            </w:r>
          </w:p>
        </w:tc>
        <w:tc>
          <w:tcPr>
            <w:tcW w:w="1545" w:type="pct"/>
            <w:noWrap/>
            <w:vAlign w:val="top"/>
            <w:hideMark/>
          </w:tcPr>
          <w:p w14:paraId="645703E6" w14:textId="77777777"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200</w:t>
            </w:r>
          </w:p>
        </w:tc>
        <w:tc>
          <w:tcPr>
            <w:tcW w:w="1250" w:type="pct"/>
            <w:noWrap/>
            <w:vAlign w:val="top"/>
            <w:hideMark/>
          </w:tcPr>
          <w:p w14:paraId="793D86F7" w14:textId="2DEF374C"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92.6%</w:t>
            </w:r>
          </w:p>
        </w:tc>
      </w:tr>
      <w:tr w:rsidR="00F31303" w14:paraId="26AEFEE6" w14:textId="77777777" w:rsidTr="00B44D04">
        <w:trPr>
          <w:trHeight w:val="972"/>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7D2450EF" w14:textId="76DF4F5B" w:rsidR="00590BEF"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lastRenderedPageBreak/>
              <w:t>Tá duine ainmnithe ann i d’eagraíocht atá ceaptha chun cumarsáid a dhéanamh le fostaithe atá ar shaoire bhreoiteachta/ar shaoire neamhláithreachta fhadaithe</w:t>
            </w:r>
          </w:p>
        </w:tc>
        <w:tc>
          <w:tcPr>
            <w:tcW w:w="1545" w:type="pct"/>
            <w:noWrap/>
            <w:vAlign w:val="top"/>
            <w:hideMark/>
          </w:tcPr>
          <w:p w14:paraId="7541DC9A" w14:textId="77777777"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197</w:t>
            </w:r>
          </w:p>
        </w:tc>
        <w:tc>
          <w:tcPr>
            <w:tcW w:w="1250" w:type="pct"/>
            <w:noWrap/>
            <w:vAlign w:val="top"/>
            <w:hideMark/>
          </w:tcPr>
          <w:p w14:paraId="7AB902D7" w14:textId="4D292B69"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91.2%</w:t>
            </w:r>
          </w:p>
        </w:tc>
      </w:tr>
      <w:tr w:rsidR="00F31303" w14:paraId="4EDF9063" w14:textId="77777777" w:rsidTr="00B44D04">
        <w:trPr>
          <w:trHeight w:val="864"/>
        </w:trPr>
        <w:tc>
          <w:tcPr>
            <w:cnfStyle w:val="001000000000" w:firstRow="0" w:lastRow="0" w:firstColumn="1" w:lastColumn="0" w:oddVBand="0" w:evenVBand="0" w:oddHBand="0" w:evenHBand="0" w:firstRowFirstColumn="0" w:firstRowLastColumn="0" w:lastRowFirstColumn="0" w:lastRowLastColumn="0"/>
            <w:tcW w:w="2205" w:type="pct"/>
            <w:vAlign w:val="top"/>
            <w:hideMark/>
          </w:tcPr>
          <w:p w14:paraId="22757CB9" w14:textId="4405305E" w:rsidR="00590BEF"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Faigheann fostaithe atá ag filleadh ar an obair tar éis saoire bhreoiteachta nó tar éis saoire fhadaithe agallamh um fhilleadh ar an obair </w:t>
            </w:r>
          </w:p>
        </w:tc>
        <w:tc>
          <w:tcPr>
            <w:tcW w:w="1545" w:type="pct"/>
            <w:noWrap/>
            <w:vAlign w:val="top"/>
            <w:hideMark/>
          </w:tcPr>
          <w:p w14:paraId="103E7D68" w14:textId="77777777"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185</w:t>
            </w:r>
          </w:p>
        </w:tc>
        <w:tc>
          <w:tcPr>
            <w:tcW w:w="1250" w:type="pct"/>
            <w:noWrap/>
            <w:vAlign w:val="top"/>
            <w:hideMark/>
          </w:tcPr>
          <w:p w14:paraId="485DBB19" w14:textId="3F733BF4" w:rsidR="00590BEF"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85.6%</w:t>
            </w:r>
          </w:p>
        </w:tc>
      </w:tr>
    </w:tbl>
    <w:p w14:paraId="2A395692" w14:textId="248EBB77" w:rsidR="00590BEF" w:rsidRPr="007202FA" w:rsidRDefault="000B4F21" w:rsidP="007202FA">
      <w:pPr>
        <w:spacing w:before="240" w:after="120"/>
        <w:rPr>
          <w:b/>
          <w:bCs/>
        </w:rPr>
      </w:pPr>
      <w:r>
        <w:rPr>
          <w:lang w:val="ga"/>
        </w:rPr>
        <w:t>Tríd is tríd, luaigh formhór na gcomhlachtaí poiblí sa bhliain 2024 a bhí ag forbairt bearta éagsúla sa chatagóir seo go gcuirfí na bearta sin chun feidhme laistigh de thréimhse trí mhí.</w:t>
      </w:r>
      <w:bookmarkStart w:id="136" w:name="_Hlk212036428"/>
      <w:bookmarkEnd w:id="136"/>
      <w:r>
        <w:rPr>
          <w:b/>
          <w:bCs/>
          <w:lang w:val="ga"/>
        </w:rPr>
        <w:t xml:space="preserve"> </w:t>
      </w:r>
    </w:p>
    <w:p w14:paraId="74BAEA30" w14:textId="77777777" w:rsidR="00590BEF" w:rsidRPr="007202FA" w:rsidRDefault="000B4F21" w:rsidP="007202FA">
      <w:pPr>
        <w:pStyle w:val="Heading2"/>
        <w:rPr>
          <w:color w:val="BF2296"/>
        </w:rPr>
      </w:pPr>
      <w:bookmarkStart w:id="137" w:name="_Toc214033643"/>
      <w:r>
        <w:rPr>
          <w:bCs/>
          <w:color w:val="BF2296"/>
          <w:lang w:val="ga"/>
        </w:rPr>
        <w:t>3.4 Socruithe réasúnacha</w:t>
      </w:r>
      <w:bookmarkEnd w:id="137"/>
      <w:r>
        <w:rPr>
          <w:bCs/>
          <w:color w:val="BF2296"/>
          <w:lang w:val="ga"/>
        </w:rPr>
        <w:t xml:space="preserve"> </w:t>
      </w:r>
    </w:p>
    <w:p w14:paraId="41B73AC2" w14:textId="77777777" w:rsidR="00590BEF" w:rsidRPr="007202FA" w:rsidRDefault="000B4F21" w:rsidP="007202FA">
      <w:r>
        <w:rPr>
          <w:lang w:val="ga"/>
        </w:rPr>
        <w:t>De réir na nAchtanna um Chomhionannas Fostaíochta, 1998–2015, ní mór d’fhostóirí socruithe réasúnacha a dhéanamh d’fhostaithe faoi mhíchumas, á chinntiú gur féidir leo a bpost a dhéanamh ina iomláine agus comhdheiseanna fostaíochta a bheith acu, mura bhfuil na socruithe sin ina n-ualach díréireach ar an bhfostóir.</w:t>
      </w:r>
      <w:r>
        <w:rPr>
          <w:rStyle w:val="FootnoteReference"/>
          <w:lang w:val="ga"/>
        </w:rPr>
        <w:footnoteReference w:id="5"/>
      </w:r>
    </w:p>
    <w:p w14:paraId="574F37FE" w14:textId="1D64ED29" w:rsidR="00590BEF" w:rsidRPr="005524D6" w:rsidRDefault="000B4F21" w:rsidP="007202FA">
      <w:pPr>
        <w:rPr>
          <w:lang w:val="ga"/>
        </w:rPr>
      </w:pPr>
      <w:r>
        <w:rPr>
          <w:lang w:val="ga"/>
        </w:rPr>
        <w:t xml:space="preserve">Sa bhliain 2023, chuireamar ceist ar chomhlachtaí poiblí faoi na próisis a bhí i bhfeidhm acu chun socruithe réasúnacha a sholáthar. Bhí na freagraí a fuaireamar sách doiléir, rud a léiríonn go bhfuil cur chuige comhsheasmhach i leith an phróisis sin in easnamh san earnáil phoiblí. Sa bhliain 2024, cinneadh gan an cineál sin ceiste a chur ar áireamh, toisc nár thug sé faisnéis shoiléir dúinn maidir le conas a sholáthraíonn comhlachtaí poiblí socruithe réasúnacha. </w:t>
      </w:r>
    </w:p>
    <w:p w14:paraId="3ECAE317" w14:textId="77777777" w:rsidR="00F146C7" w:rsidRPr="005524D6" w:rsidRDefault="000B4F21" w:rsidP="007202FA">
      <w:pPr>
        <w:rPr>
          <w:lang w:val="ga"/>
        </w:rPr>
      </w:pPr>
      <w:r>
        <w:rPr>
          <w:lang w:val="ga"/>
        </w:rPr>
        <w:t xml:space="preserve">Ina ionad sin, b’amhlaidh sa bhliain 2024 a d’fhiafraíomar de chomhlachtaí poiblí an raibh beartas scríofa acu maidir le socruithe réasúnacha a sholáthar nó nach raibh, de réir na comhairle uainn. Sa bhliain 2024, luaigh 100 comhlacht poiblí (46.5%) sna freagraí uathu go raibh beartas scríofa acu le haghaidh socruithe réasúnacha a sholáthar. </w:t>
      </w:r>
    </w:p>
    <w:p w14:paraId="7FBE4916" w14:textId="0B4D613E" w:rsidR="00F146C7" w:rsidRPr="005524D6" w:rsidRDefault="000B4F21" w:rsidP="007202FA">
      <w:pPr>
        <w:rPr>
          <w:lang w:val="ga"/>
        </w:rPr>
      </w:pPr>
      <w:r>
        <w:rPr>
          <w:lang w:val="ga"/>
        </w:rPr>
        <w:t xml:space="preserve">Cuireann ÚNM in iúl do chomhlachtaí poiblí arís agus arís eile cé chomh tábhachtach agus atá sé go mbeadh beartas scríofa acu maidir lena bpróiseas le haghaidh socruithe réasúnacha a sholáthar chun a chinntiú go mbíonn gach fostaí ar an eolas go soláthraíonn a n-eagraíocht an tacaíocht sin agus gurb eol dóibh an próiseas atá le leanúint acu chun an céanna a iarraidh. </w:t>
      </w:r>
    </w:p>
    <w:p w14:paraId="5CCCAAAD" w14:textId="10D9F57A" w:rsidR="00A87BDB" w:rsidRPr="005524D6" w:rsidRDefault="000B4F21" w:rsidP="007202FA">
      <w:pPr>
        <w:rPr>
          <w:lang w:val="ga"/>
        </w:rPr>
      </w:pPr>
      <w:r>
        <w:rPr>
          <w:lang w:val="ga"/>
        </w:rPr>
        <w:t xml:space="preserve">Chuir ÚNM comhairle ar chomhlachtaí poiblí freisin maidir leis na cineálacha socruithe réasúnacha is féidir leo a chur chun feidhme chun </w:t>
      </w:r>
      <w:r>
        <w:rPr>
          <w:lang w:val="ga"/>
        </w:rPr>
        <w:lastRenderedPageBreak/>
        <w:t xml:space="preserve">tacú le fostaithe a bhfuil míchumas orthu a bpost a dhéanamh ina n-iomláine. Cuirimid in iúl do chomhlachtaí poiblí arís agus arís eile gur féidir le cuid mhór socruithe réasúnacha dul chun tairbhe do gach fostaí freisin. </w:t>
      </w:r>
    </w:p>
    <w:p w14:paraId="326027C0" w14:textId="7AA0B8C5" w:rsidR="00590BEF" w:rsidRPr="005524D6" w:rsidRDefault="000B4F21" w:rsidP="007202FA">
      <w:pPr>
        <w:pStyle w:val="Heading4"/>
        <w:rPr>
          <w:color w:val="BF2296"/>
          <w:lang w:val="ga"/>
        </w:rPr>
      </w:pPr>
      <w:r>
        <w:rPr>
          <w:bCs/>
          <w:iCs w:val="0"/>
          <w:color w:val="BF2296"/>
          <w:lang w:val="ga"/>
        </w:rPr>
        <w:t>Na cineálacha socruithe réasúnacha a soláthraíodh</w:t>
      </w:r>
    </w:p>
    <w:p w14:paraId="74D1F9C3" w14:textId="7C1B6452" w:rsidR="00402EE0" w:rsidRPr="005524D6" w:rsidRDefault="000B4F21" w:rsidP="007202FA">
      <w:pPr>
        <w:rPr>
          <w:lang w:val="ga"/>
        </w:rPr>
      </w:pPr>
      <w:r>
        <w:rPr>
          <w:lang w:val="ga"/>
        </w:rPr>
        <w:t>Sna blianta 2023 agus 2024, tugadh roghanna do chomhlachtaí poiblí maidir leis na cineálacha socruithe réasúnacha a sholáthair siad.</w:t>
      </w:r>
    </w:p>
    <w:p w14:paraId="472F6665" w14:textId="2112ED17" w:rsidR="0085338B" w:rsidRPr="005524D6" w:rsidRDefault="000B4F21" w:rsidP="007202FA">
      <w:pPr>
        <w:rPr>
          <w:lang w:val="ga"/>
        </w:rPr>
      </w:pPr>
      <w:r>
        <w:rPr>
          <w:lang w:val="ga"/>
        </w:rPr>
        <w:t>Sa bhliain 2024, thuairiscigh 205 cinn de 216 chomhlacht phoiblí (94.9%) gurbh é an socrú réasúnach is coitianta a sholáthair siad ná na cúraimí oibre/an ról oibre de chuid fostaí a choigeartú de réir a riachtanas agus a gcumas mar dhuine aonair. Sa bhliain 2023, níor thuairiscigh ach 24 cinn de 210 gcomhlacht phoiblí (11.4%) go raibh an beart sin i bhfeidhm acu.</w:t>
      </w:r>
    </w:p>
    <w:p w14:paraId="704D57C5" w14:textId="03483BF1" w:rsidR="00745C4B" w:rsidRPr="005524D6" w:rsidRDefault="000B4F21" w:rsidP="007202FA">
      <w:pPr>
        <w:rPr>
          <w:lang w:val="ga"/>
        </w:rPr>
      </w:pPr>
      <w:r>
        <w:rPr>
          <w:lang w:val="ga"/>
        </w:rPr>
        <w:t xml:space="preserve">Mionsonraítear i dTábla 7 </w:t>
      </w:r>
      <w:r>
        <w:rPr>
          <w:b/>
          <w:bCs/>
          <w:lang w:val="ga"/>
        </w:rPr>
        <w:t>na socruithe réasúnacha is coitianta</w:t>
      </w:r>
      <w:r>
        <w:rPr>
          <w:lang w:val="ga"/>
        </w:rPr>
        <w:t xml:space="preserve"> ar thuairiscigh comhlachtaí poiblí go raibh siad i bhfeidhm acu don chatagóir seo sna blianta 2023 agus 2024.</w:t>
      </w:r>
    </w:p>
    <w:p w14:paraId="2DE1B1DD" w14:textId="75218F07" w:rsidR="00590BEF" w:rsidRPr="005524D6" w:rsidRDefault="000B4F21" w:rsidP="007202FA">
      <w:pPr>
        <w:pStyle w:val="Caption"/>
        <w:rPr>
          <w:lang w:val="ga"/>
        </w:rPr>
      </w:pPr>
      <w:r>
        <w:rPr>
          <w:bCs/>
          <w:iCs w:val="0"/>
          <w:lang w:val="ga"/>
        </w:rPr>
        <w:t>Tábla 7. Socruithe réasúnacha a sholáthraíonn comhlachtaí poiblí</w:t>
      </w:r>
    </w:p>
    <w:tbl>
      <w:tblPr>
        <w:tblStyle w:val="NDATableBlack"/>
        <w:tblW w:w="5000" w:type="pct"/>
        <w:tblLook w:val="04A0" w:firstRow="1" w:lastRow="0" w:firstColumn="1" w:lastColumn="0" w:noHBand="0" w:noVBand="1"/>
      </w:tblPr>
      <w:tblGrid>
        <w:gridCol w:w="2982"/>
        <w:gridCol w:w="1444"/>
        <w:gridCol w:w="1573"/>
        <w:gridCol w:w="1444"/>
        <w:gridCol w:w="1573"/>
      </w:tblGrid>
      <w:tr w:rsidR="00F31303" w:rsidRPr="005524D6" w14:paraId="5E582EAE" w14:textId="77777777" w:rsidTr="00B44D04">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1965" w:type="pct"/>
            <w:vMerge w:val="restart"/>
            <w:vAlign w:val="top"/>
          </w:tcPr>
          <w:p w14:paraId="022C5898" w14:textId="77777777" w:rsidR="00E74729" w:rsidRPr="005524D6" w:rsidRDefault="00E74729" w:rsidP="007202FA">
            <w:pPr>
              <w:jc w:val="center"/>
              <w:rPr>
                <w:rFonts w:eastAsia="Times New Roman" w:cs="Arial"/>
                <w:bCs/>
                <w:color w:val="000000"/>
                <w:kern w:val="0"/>
                <w:sz w:val="20"/>
                <w:szCs w:val="20"/>
                <w:lang w:val="ga"/>
                <w14:ligatures w14:val="none"/>
              </w:rPr>
            </w:pPr>
          </w:p>
        </w:tc>
        <w:tc>
          <w:tcPr>
            <w:tcW w:w="1413" w:type="pct"/>
            <w:gridSpan w:val="2"/>
            <w:vAlign w:val="top"/>
          </w:tcPr>
          <w:p w14:paraId="535D7A71" w14:textId="3671D795" w:rsidR="00E74729" w:rsidRPr="00163B46" w:rsidRDefault="000B4F21"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18"/>
                <w:szCs w:val="18"/>
                <w:lang w:val="ga"/>
                <w14:ligatures w14:val="none"/>
              </w:rPr>
            </w:pPr>
            <w:r w:rsidRPr="00163B46">
              <w:rPr>
                <w:rFonts w:eastAsia="Times New Roman" w:cs="Arial"/>
                <w:bCs/>
                <w:color w:val="000000"/>
                <w:kern w:val="0"/>
                <w:sz w:val="18"/>
                <w:szCs w:val="18"/>
                <w:lang w:val="ga"/>
                <w14:ligatures w14:val="none"/>
              </w:rPr>
              <w:t>An líon iomlán comhlachtaí poiblí sa bhliain 2023 = 210</w:t>
            </w:r>
          </w:p>
        </w:tc>
        <w:tc>
          <w:tcPr>
            <w:tcW w:w="1622" w:type="pct"/>
            <w:gridSpan w:val="2"/>
            <w:vAlign w:val="top"/>
          </w:tcPr>
          <w:p w14:paraId="61C504DB" w14:textId="77C5CF32" w:rsidR="00E74729" w:rsidRPr="00163B46" w:rsidRDefault="000B4F21"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18"/>
                <w:szCs w:val="18"/>
                <w:lang w:val="ga"/>
                <w14:ligatures w14:val="none"/>
              </w:rPr>
            </w:pPr>
            <w:r w:rsidRPr="00163B46">
              <w:rPr>
                <w:rFonts w:eastAsia="Times New Roman" w:cs="Arial"/>
                <w:bCs/>
                <w:color w:val="000000"/>
                <w:kern w:val="0"/>
                <w:sz w:val="18"/>
                <w:szCs w:val="18"/>
                <w:lang w:val="ga"/>
                <w14:ligatures w14:val="none"/>
              </w:rPr>
              <w:t>An líon iomlán comhlachtaí poiblí sa bhliain 2024 = 216</w:t>
            </w:r>
          </w:p>
        </w:tc>
      </w:tr>
      <w:tr w:rsidR="00F31303" w:rsidRPr="005524D6" w14:paraId="5DFB3349" w14:textId="77777777" w:rsidTr="00B44D04">
        <w:trPr>
          <w:trHeight w:val="828"/>
        </w:trPr>
        <w:tc>
          <w:tcPr>
            <w:cnfStyle w:val="001000000000" w:firstRow="0" w:lastRow="0" w:firstColumn="1" w:lastColumn="0" w:oddVBand="0" w:evenVBand="0" w:oddHBand="0" w:evenHBand="0" w:firstRowFirstColumn="0" w:firstRowLastColumn="0" w:lastRowFirstColumn="0" w:lastRowLastColumn="0"/>
            <w:tcW w:w="1965" w:type="pct"/>
            <w:vMerge/>
            <w:vAlign w:val="top"/>
            <w:hideMark/>
          </w:tcPr>
          <w:p w14:paraId="46713F34" w14:textId="41EE5FDF" w:rsidR="00E74729" w:rsidRPr="005524D6" w:rsidRDefault="00E74729" w:rsidP="007202FA">
            <w:pPr>
              <w:jc w:val="center"/>
              <w:rPr>
                <w:rFonts w:eastAsia="Times New Roman" w:cs="Arial"/>
                <w:bCs/>
                <w:color w:val="000000"/>
                <w:kern w:val="0"/>
                <w:sz w:val="20"/>
                <w:szCs w:val="20"/>
                <w:lang w:val="ga"/>
                <w14:ligatures w14:val="none"/>
              </w:rPr>
            </w:pPr>
          </w:p>
        </w:tc>
        <w:tc>
          <w:tcPr>
            <w:tcW w:w="705" w:type="pct"/>
            <w:vAlign w:val="top"/>
          </w:tcPr>
          <w:p w14:paraId="428BCF28" w14:textId="6E1DD9A8" w:rsidR="00E74729" w:rsidRPr="00163B46"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18"/>
                <w:szCs w:val="18"/>
                <w:lang w:val="ga"/>
                <w14:ligatures w14:val="none"/>
              </w:rPr>
            </w:pPr>
            <w:r w:rsidRPr="00163B46">
              <w:rPr>
                <w:rFonts w:eastAsia="Times New Roman" w:cs="Arial"/>
                <w:b/>
                <w:bCs/>
                <w:color w:val="000000"/>
                <w:kern w:val="0"/>
                <w:sz w:val="18"/>
                <w:szCs w:val="18"/>
                <w:lang w:val="ga"/>
                <w14:ligatures w14:val="none"/>
              </w:rPr>
              <w:t>An líon comhlachtaí poiblí sa bhliain 2023</w:t>
            </w:r>
          </w:p>
        </w:tc>
        <w:tc>
          <w:tcPr>
            <w:tcW w:w="708" w:type="pct"/>
            <w:vAlign w:val="top"/>
          </w:tcPr>
          <w:p w14:paraId="08970B60" w14:textId="2C409C75" w:rsidR="00E74729" w:rsidRPr="00163B46"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18"/>
                <w:szCs w:val="18"/>
                <w:lang w:val="fr-FR"/>
                <w14:ligatures w14:val="none"/>
              </w:rPr>
            </w:pPr>
            <w:r w:rsidRPr="00163B46">
              <w:rPr>
                <w:rFonts w:eastAsia="Times New Roman" w:cs="Arial"/>
                <w:b/>
                <w:bCs/>
                <w:color w:val="000000"/>
                <w:kern w:val="0"/>
                <w:sz w:val="18"/>
                <w:szCs w:val="18"/>
                <w:lang w:val="ga"/>
                <w14:ligatures w14:val="none"/>
              </w:rPr>
              <w:t xml:space="preserve">An céatadán de chomhlachtaí poiblí sa bhliain 2024 </w:t>
            </w:r>
          </w:p>
        </w:tc>
        <w:tc>
          <w:tcPr>
            <w:tcW w:w="786" w:type="pct"/>
            <w:vAlign w:val="top"/>
            <w:hideMark/>
          </w:tcPr>
          <w:p w14:paraId="01929885" w14:textId="5E3BB896" w:rsidR="00E74729" w:rsidRPr="00163B46"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18"/>
                <w:szCs w:val="18"/>
                <w:lang w:val="fr-FR"/>
                <w14:ligatures w14:val="none"/>
              </w:rPr>
            </w:pPr>
            <w:r w:rsidRPr="00163B46">
              <w:rPr>
                <w:rFonts w:eastAsia="Times New Roman" w:cs="Arial"/>
                <w:b/>
                <w:bCs/>
                <w:color w:val="000000"/>
                <w:kern w:val="0"/>
                <w:sz w:val="18"/>
                <w:szCs w:val="18"/>
                <w:lang w:val="ga"/>
                <w14:ligatures w14:val="none"/>
              </w:rPr>
              <w:t>An líon comhlachtaí poiblí sa bhliain 2024</w:t>
            </w:r>
          </w:p>
        </w:tc>
        <w:tc>
          <w:tcPr>
            <w:tcW w:w="836" w:type="pct"/>
            <w:vAlign w:val="top"/>
            <w:hideMark/>
          </w:tcPr>
          <w:p w14:paraId="6FF1C5A2" w14:textId="61154EF6" w:rsidR="00E74729" w:rsidRPr="00163B46"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18"/>
                <w:szCs w:val="18"/>
                <w:lang w:val="fr-FR"/>
                <w14:ligatures w14:val="none"/>
              </w:rPr>
            </w:pPr>
            <w:r w:rsidRPr="00163B46">
              <w:rPr>
                <w:rFonts w:eastAsia="Times New Roman" w:cs="Arial"/>
                <w:b/>
                <w:bCs/>
                <w:color w:val="000000"/>
                <w:kern w:val="0"/>
                <w:sz w:val="18"/>
                <w:szCs w:val="18"/>
                <w:lang w:val="ga"/>
                <w14:ligatures w14:val="none"/>
              </w:rPr>
              <w:t xml:space="preserve">An céatadán de chomhlachtaí poiblí sa bhliain 2024 </w:t>
            </w:r>
          </w:p>
        </w:tc>
      </w:tr>
      <w:tr w:rsidR="00F31303" w14:paraId="5D048945" w14:textId="77777777" w:rsidTr="00B44D04">
        <w:trPr>
          <w:trHeight w:val="557"/>
        </w:trPr>
        <w:tc>
          <w:tcPr>
            <w:cnfStyle w:val="001000000000" w:firstRow="0" w:lastRow="0" w:firstColumn="1" w:lastColumn="0" w:oddVBand="0" w:evenVBand="0" w:oddHBand="0" w:evenHBand="0" w:firstRowFirstColumn="0" w:firstRowLastColumn="0" w:lastRowFirstColumn="0" w:lastRowLastColumn="0"/>
            <w:tcW w:w="1965" w:type="pct"/>
            <w:vAlign w:val="top"/>
            <w:hideMark/>
          </w:tcPr>
          <w:p w14:paraId="1D6DE56B" w14:textId="77777777" w:rsidR="00E74729" w:rsidRPr="005524D6" w:rsidRDefault="000B4F21" w:rsidP="007202FA">
            <w:pPr>
              <w:rPr>
                <w:rFonts w:eastAsia="Times New Roman" w:cs="Arial"/>
                <w:bCs/>
                <w:color w:val="000000"/>
                <w:kern w:val="0"/>
                <w:sz w:val="20"/>
                <w:szCs w:val="20"/>
                <w:lang w:val="fr-FR"/>
                <w14:ligatures w14:val="none"/>
              </w:rPr>
            </w:pPr>
            <w:r>
              <w:rPr>
                <w:rFonts w:eastAsia="Times New Roman" w:cs="Arial"/>
                <w:b w:val="0"/>
                <w:color w:val="000000"/>
                <w:kern w:val="0"/>
                <w:sz w:val="20"/>
                <w:szCs w:val="20"/>
                <w:lang w:val="ga"/>
                <w14:ligatures w14:val="none"/>
              </w:rPr>
              <w:t>Uaireanta oibre solúbtha a sholáthar, mar shampla uaireanta páirtaimseartha nó amanna tosaithe níos luaithe nó níos déanaí chun freastal ar fhostaí faoi mhíchumas</w:t>
            </w:r>
          </w:p>
        </w:tc>
        <w:tc>
          <w:tcPr>
            <w:tcW w:w="705" w:type="pct"/>
            <w:vAlign w:val="top"/>
          </w:tcPr>
          <w:p w14:paraId="171D3FF5" w14:textId="2EB9CB79"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195</w:t>
            </w:r>
          </w:p>
        </w:tc>
        <w:tc>
          <w:tcPr>
            <w:tcW w:w="708" w:type="pct"/>
            <w:vAlign w:val="top"/>
          </w:tcPr>
          <w:p w14:paraId="582B54AC" w14:textId="60E02374"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92.9%</w:t>
            </w:r>
          </w:p>
        </w:tc>
        <w:tc>
          <w:tcPr>
            <w:tcW w:w="786" w:type="pct"/>
            <w:noWrap/>
            <w:vAlign w:val="top"/>
            <w:hideMark/>
          </w:tcPr>
          <w:p w14:paraId="1C070BFF" w14:textId="6C97D041"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201</w:t>
            </w:r>
          </w:p>
        </w:tc>
        <w:tc>
          <w:tcPr>
            <w:tcW w:w="836" w:type="pct"/>
            <w:noWrap/>
            <w:vAlign w:val="top"/>
            <w:hideMark/>
          </w:tcPr>
          <w:p w14:paraId="5563EC1C" w14:textId="12AA938F"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93.1%</w:t>
            </w:r>
          </w:p>
        </w:tc>
      </w:tr>
      <w:tr w:rsidR="00F31303" w14:paraId="5A601D47" w14:textId="77777777" w:rsidTr="00B44D04">
        <w:trPr>
          <w:trHeight w:val="564"/>
        </w:trPr>
        <w:tc>
          <w:tcPr>
            <w:cnfStyle w:val="001000000000" w:firstRow="0" w:lastRow="0" w:firstColumn="1" w:lastColumn="0" w:oddVBand="0" w:evenVBand="0" w:oddHBand="0" w:evenHBand="0" w:firstRowFirstColumn="0" w:firstRowLastColumn="0" w:lastRowFirstColumn="0" w:lastRowLastColumn="0"/>
            <w:tcW w:w="1965" w:type="pct"/>
            <w:vAlign w:val="top"/>
            <w:hideMark/>
          </w:tcPr>
          <w:p w14:paraId="01D66C60" w14:textId="77777777" w:rsidR="00E74729"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Teicneolaíochtaí cúnta a sholáthar, mar shampla léitheoirí scáileáin do dhaoine a bhfuil laguithe amhairc orthu</w:t>
            </w:r>
          </w:p>
        </w:tc>
        <w:tc>
          <w:tcPr>
            <w:tcW w:w="705" w:type="pct"/>
            <w:vAlign w:val="top"/>
          </w:tcPr>
          <w:p w14:paraId="554C1AE5" w14:textId="1AE70CF9"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161</w:t>
            </w:r>
          </w:p>
        </w:tc>
        <w:tc>
          <w:tcPr>
            <w:tcW w:w="708" w:type="pct"/>
            <w:vAlign w:val="top"/>
          </w:tcPr>
          <w:p w14:paraId="63B0983C" w14:textId="1C4050A3"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 xml:space="preserve"> 76.7%</w:t>
            </w:r>
          </w:p>
        </w:tc>
        <w:tc>
          <w:tcPr>
            <w:tcW w:w="786" w:type="pct"/>
            <w:noWrap/>
            <w:vAlign w:val="top"/>
            <w:hideMark/>
          </w:tcPr>
          <w:p w14:paraId="1A086336" w14:textId="790BD089"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186</w:t>
            </w:r>
          </w:p>
        </w:tc>
        <w:tc>
          <w:tcPr>
            <w:tcW w:w="836" w:type="pct"/>
            <w:noWrap/>
            <w:vAlign w:val="top"/>
            <w:hideMark/>
          </w:tcPr>
          <w:p w14:paraId="4ED2DB45" w14:textId="68E41FF3"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86.1%</w:t>
            </w:r>
          </w:p>
        </w:tc>
      </w:tr>
      <w:tr w:rsidR="00F31303" w14:paraId="0CAC81EF" w14:textId="77777777" w:rsidTr="00B44D04">
        <w:trPr>
          <w:trHeight w:val="399"/>
        </w:trPr>
        <w:tc>
          <w:tcPr>
            <w:cnfStyle w:val="001000000000" w:firstRow="0" w:lastRow="0" w:firstColumn="1" w:lastColumn="0" w:oddVBand="0" w:evenVBand="0" w:oddHBand="0" w:evenHBand="0" w:firstRowFirstColumn="0" w:firstRowLastColumn="0" w:lastRowFirstColumn="0" w:lastRowLastColumn="0"/>
            <w:tcW w:w="1965" w:type="pct"/>
            <w:vAlign w:val="top"/>
            <w:hideMark/>
          </w:tcPr>
          <w:p w14:paraId="22B37AE0" w14:textId="77777777" w:rsidR="00E74729"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Spás ciúin a sholáthar d’fhostaithe ionas gur féidir leo a scíth a ligean</w:t>
            </w:r>
          </w:p>
        </w:tc>
        <w:tc>
          <w:tcPr>
            <w:tcW w:w="705" w:type="pct"/>
            <w:vAlign w:val="top"/>
          </w:tcPr>
          <w:p w14:paraId="050E7B67" w14:textId="54112DD2"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158</w:t>
            </w:r>
          </w:p>
        </w:tc>
        <w:tc>
          <w:tcPr>
            <w:tcW w:w="708" w:type="pct"/>
            <w:vAlign w:val="top"/>
          </w:tcPr>
          <w:p w14:paraId="17A0D425" w14:textId="57488190"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75.2%</w:t>
            </w:r>
          </w:p>
        </w:tc>
        <w:tc>
          <w:tcPr>
            <w:tcW w:w="786" w:type="pct"/>
            <w:noWrap/>
            <w:vAlign w:val="top"/>
            <w:hideMark/>
          </w:tcPr>
          <w:p w14:paraId="5A7D9E44" w14:textId="4F7CE29D"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167</w:t>
            </w:r>
          </w:p>
        </w:tc>
        <w:tc>
          <w:tcPr>
            <w:tcW w:w="836" w:type="pct"/>
            <w:noWrap/>
            <w:vAlign w:val="top"/>
            <w:hideMark/>
          </w:tcPr>
          <w:p w14:paraId="202D8E11" w14:textId="4F361583"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77.3%</w:t>
            </w:r>
          </w:p>
        </w:tc>
      </w:tr>
      <w:tr w:rsidR="00F31303" w14:paraId="12057184" w14:textId="77777777" w:rsidTr="00B44D04">
        <w:trPr>
          <w:trHeight w:val="564"/>
        </w:trPr>
        <w:tc>
          <w:tcPr>
            <w:cnfStyle w:val="001000000000" w:firstRow="0" w:lastRow="0" w:firstColumn="1" w:lastColumn="0" w:oddVBand="0" w:evenVBand="0" w:oddHBand="0" w:evenHBand="0" w:firstRowFirstColumn="0" w:firstRowLastColumn="0" w:lastRowFirstColumn="0" w:lastRowLastColumn="0"/>
            <w:tcW w:w="1965" w:type="pct"/>
            <w:vAlign w:val="top"/>
            <w:hideMark/>
          </w:tcPr>
          <w:p w14:paraId="51017634" w14:textId="77777777" w:rsidR="00E74729"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Fostaithe a athoiliúint, más gá, ionas gur féidir leo dul i mbun post eile laistigh den chuideachta</w:t>
            </w:r>
          </w:p>
        </w:tc>
        <w:tc>
          <w:tcPr>
            <w:tcW w:w="705" w:type="pct"/>
            <w:vAlign w:val="top"/>
          </w:tcPr>
          <w:p w14:paraId="1D2AD366" w14:textId="4865FE8B"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167</w:t>
            </w:r>
          </w:p>
        </w:tc>
        <w:tc>
          <w:tcPr>
            <w:tcW w:w="708" w:type="pct"/>
            <w:vAlign w:val="top"/>
          </w:tcPr>
          <w:p w14:paraId="0EFCA329" w14:textId="618E8347"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79.5%</w:t>
            </w:r>
          </w:p>
        </w:tc>
        <w:tc>
          <w:tcPr>
            <w:tcW w:w="786" w:type="pct"/>
            <w:noWrap/>
            <w:vAlign w:val="top"/>
            <w:hideMark/>
          </w:tcPr>
          <w:p w14:paraId="40209490" w14:textId="0FF74BFD"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167</w:t>
            </w:r>
          </w:p>
        </w:tc>
        <w:tc>
          <w:tcPr>
            <w:tcW w:w="836" w:type="pct"/>
            <w:noWrap/>
            <w:vAlign w:val="top"/>
            <w:hideMark/>
          </w:tcPr>
          <w:p w14:paraId="3CF032D4" w14:textId="27B4693D"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77.3%</w:t>
            </w:r>
          </w:p>
        </w:tc>
      </w:tr>
      <w:tr w:rsidR="00F31303" w14:paraId="40D0CFFC" w14:textId="77777777" w:rsidTr="00B44D04">
        <w:trPr>
          <w:trHeight w:val="564"/>
        </w:trPr>
        <w:tc>
          <w:tcPr>
            <w:cnfStyle w:val="001000000000" w:firstRow="0" w:lastRow="0" w:firstColumn="1" w:lastColumn="0" w:oddVBand="0" w:evenVBand="0" w:oddHBand="0" w:evenHBand="0" w:firstRowFirstColumn="0" w:firstRowLastColumn="0" w:lastRowFirstColumn="0" w:lastRowLastColumn="0"/>
            <w:tcW w:w="1965" w:type="pct"/>
            <w:vAlign w:val="top"/>
            <w:hideMark/>
          </w:tcPr>
          <w:p w14:paraId="6F3E4B21" w14:textId="77777777" w:rsidR="00E74729"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Ateangairí Theanga Chomharthaíochta na hÉireann a sholáthar d’fhostaithe a shainaithníonn iad féin mar dhaoine Bodhra</w:t>
            </w:r>
          </w:p>
        </w:tc>
        <w:tc>
          <w:tcPr>
            <w:tcW w:w="705" w:type="pct"/>
            <w:vAlign w:val="top"/>
          </w:tcPr>
          <w:p w14:paraId="22044934" w14:textId="5463879E"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82</w:t>
            </w:r>
          </w:p>
        </w:tc>
        <w:tc>
          <w:tcPr>
            <w:tcW w:w="708" w:type="pct"/>
            <w:vAlign w:val="top"/>
          </w:tcPr>
          <w:p w14:paraId="19791C3F" w14:textId="7DF6A414"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39.0%</w:t>
            </w:r>
          </w:p>
        </w:tc>
        <w:tc>
          <w:tcPr>
            <w:tcW w:w="786" w:type="pct"/>
            <w:noWrap/>
            <w:vAlign w:val="top"/>
            <w:hideMark/>
          </w:tcPr>
          <w:p w14:paraId="43D529FF" w14:textId="0D0C0ABA"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90</w:t>
            </w:r>
          </w:p>
        </w:tc>
        <w:tc>
          <w:tcPr>
            <w:tcW w:w="836" w:type="pct"/>
            <w:noWrap/>
            <w:vAlign w:val="top"/>
            <w:hideMark/>
          </w:tcPr>
          <w:p w14:paraId="63B902F6" w14:textId="7A018767" w:rsidR="00E74729"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41.7%</w:t>
            </w:r>
          </w:p>
        </w:tc>
      </w:tr>
    </w:tbl>
    <w:p w14:paraId="06C8912F" w14:textId="34EB861A" w:rsidR="0001319C" w:rsidRPr="007202FA" w:rsidRDefault="000B4F21" w:rsidP="007202FA">
      <w:pPr>
        <w:spacing w:before="240" w:after="120"/>
        <w:rPr>
          <w:b/>
          <w:bCs/>
        </w:rPr>
      </w:pPr>
      <w:r>
        <w:rPr>
          <w:lang w:val="ga"/>
        </w:rPr>
        <w:lastRenderedPageBreak/>
        <w:t>Tríd is tríd, luaigh formhór na gcomhlachtaí poiblí a bhí ag forbairt bearta éagsúla sa chatagóir seo go gcuirfí na bearta sin chun feidhme laistigh de thréimhse 12 mhí.</w:t>
      </w:r>
      <w:r>
        <w:rPr>
          <w:b/>
          <w:bCs/>
          <w:lang w:val="ga"/>
        </w:rPr>
        <w:t xml:space="preserve"> </w:t>
      </w:r>
    </w:p>
    <w:p w14:paraId="52052F77" w14:textId="66073181" w:rsidR="00402EE0" w:rsidRPr="008F492E" w:rsidRDefault="000B4F21" w:rsidP="007202FA">
      <w:pPr>
        <w:pStyle w:val="Heading3"/>
        <w:rPr>
          <w:color w:val="BF2296"/>
          <w:sz w:val="24"/>
          <w:szCs w:val="24"/>
        </w:rPr>
      </w:pPr>
      <w:bookmarkStart w:id="138" w:name="_Toc214012341"/>
      <w:bookmarkStart w:id="139" w:name="_Toc213072646"/>
      <w:bookmarkStart w:id="140" w:name="_Toc208657402"/>
      <w:bookmarkStart w:id="141" w:name="_Toc208656797"/>
      <w:bookmarkStart w:id="142" w:name="_Toc214033644"/>
      <w:r w:rsidRPr="008F492E">
        <w:rPr>
          <w:bCs/>
          <w:color w:val="BF2296"/>
          <w:sz w:val="24"/>
          <w:szCs w:val="24"/>
          <w:lang w:val="ga"/>
        </w:rPr>
        <w:t>Deacrachtaí maidir le socruithe réasúnacha a sholáthar</w:t>
      </w:r>
      <w:bookmarkEnd w:id="138"/>
      <w:bookmarkEnd w:id="139"/>
      <w:bookmarkEnd w:id="140"/>
      <w:bookmarkEnd w:id="141"/>
      <w:bookmarkEnd w:id="142"/>
    </w:p>
    <w:p w14:paraId="44DBDF80" w14:textId="62F30449" w:rsidR="00590BEF" w:rsidRPr="005524D6" w:rsidRDefault="000B4F21" w:rsidP="007202FA">
      <w:pPr>
        <w:rPr>
          <w:lang w:val="ga"/>
        </w:rPr>
      </w:pPr>
      <w:r>
        <w:rPr>
          <w:lang w:val="ga"/>
        </w:rPr>
        <w:t>Fiafraíodh de chomhlachtaí poiblí freisin ar tháinig a n-eagraíocht ar dheacrachtaí riamh maidir le socruithe réasúnacha a sholáthar d’fhostaithe a bhfuil míchumas orthu. Sa bhliain 2024, luaigh 57 gcinn de 216 chomhlacht phoiblí (26.4%) sna freagraí uathu go raibh deacrachtaí acu ina leith sin, i gcomparáid le 42 cheann de 210 gcomhlacht phoiblí (20.0%) sa bhliain 2023. Tugann ÚNM dá aire an méadú beag bídeach sin ina leith sin agus scrúdóidh sé an tsaincheist sin tuilleadh.</w:t>
      </w:r>
    </w:p>
    <w:p w14:paraId="421A0F4F" w14:textId="1C843744" w:rsidR="00590BEF" w:rsidRPr="005524D6" w:rsidRDefault="000B4F21" w:rsidP="007202FA">
      <w:pPr>
        <w:rPr>
          <w:lang w:val="ga"/>
        </w:rPr>
      </w:pPr>
      <w:r>
        <w:rPr>
          <w:lang w:val="ga"/>
        </w:rPr>
        <w:t>Ba í an deacracht is coitianta a tuairiscíodh sna blianta 2023 agus 2024 ná saincheisteanna a bhain le teicneolaíochtaí cúnta a shuiteáil. Sa bhliain 2024, luaigh 28 gcinn de 57 gcomhlacht phoiblí (49.1%) gurbh é sin an dara deacracht is coitianta ar tháinig siad uirthi maidir le socruithe réasúnacha a sholáthar, i gcomparáid le 15 cinn de 42 chomhlacht phoiblí (35.7%) sa bhliain 2023.</w:t>
      </w:r>
    </w:p>
    <w:p w14:paraId="13CF60FE" w14:textId="75A40CD7" w:rsidR="00764E80" w:rsidRPr="005524D6" w:rsidRDefault="000B4F21" w:rsidP="007202FA">
      <w:pPr>
        <w:rPr>
          <w:lang w:val="ga"/>
        </w:rPr>
      </w:pPr>
      <w:r>
        <w:rPr>
          <w:lang w:val="ga"/>
        </w:rPr>
        <w:t>Sna blianta 2023 agus 2024, bhí difríocht ann sna freagraí a bhain le deacrachtaí coitianta eile maidir le socruithe réasúnacha a sholáthar:</w:t>
      </w:r>
    </w:p>
    <w:p w14:paraId="4831D8B4" w14:textId="6FD974FB" w:rsidR="00764E80" w:rsidRPr="005524D6" w:rsidRDefault="000B4F21" w:rsidP="007202FA">
      <w:pPr>
        <w:pStyle w:val="NDABullet"/>
        <w:rPr>
          <w:lang w:val="ga"/>
        </w:rPr>
      </w:pPr>
      <w:r>
        <w:rPr>
          <w:b/>
          <w:bCs/>
          <w:lang w:val="ga"/>
        </w:rPr>
        <w:t>Socruithe saincheaptha a sholáthar:</w:t>
      </w:r>
      <w:r>
        <w:rPr>
          <w:lang w:val="ga"/>
        </w:rPr>
        <w:t xml:space="preserve"> Sa bhliain 2023, thuairiscigh 12 cheann de 42 chomhlacht phoiblí (28.6%) gurbh é sin an dara deacracht is coitianta ar tháinig siad uirthi. I gcás roinnt comhlachtaí poiblí, tharla sé sin toisc nach bhféadfaí aon socrú ná aon rogha eile a sholáthar mar thoradh ar an ról, ar na cúraimí sonracha a bhaineann leis an ról, ar an gcineál eagraíochta nó ar shuíomh na heagraíochta.</w:t>
      </w:r>
    </w:p>
    <w:p w14:paraId="6E79FAC2" w14:textId="3B1F44DF" w:rsidR="00764E80" w:rsidRPr="005524D6" w:rsidRDefault="000B4F21" w:rsidP="007202FA">
      <w:pPr>
        <w:pStyle w:val="NDABullet"/>
        <w:rPr>
          <w:lang w:val="ga"/>
        </w:rPr>
      </w:pPr>
      <w:r>
        <w:rPr>
          <w:b/>
          <w:bCs/>
          <w:lang w:val="ga"/>
        </w:rPr>
        <w:t xml:space="preserve">Moilleanna ar mheasúnuithe a fháil: </w:t>
      </w:r>
      <w:r>
        <w:rPr>
          <w:lang w:val="ga"/>
        </w:rPr>
        <w:t>Sa bhliain 2024, thuairiscigh 26 cinn as 57 gcomhlacht phoiblí (45.6%) gurbh é sin an dara deacracht is coitianta ar tháinig siad uirthi.</w:t>
      </w:r>
    </w:p>
    <w:p w14:paraId="2FD9E819" w14:textId="77777777" w:rsidR="00590BEF" w:rsidRPr="005524D6" w:rsidRDefault="000B4F21" w:rsidP="007202FA">
      <w:pPr>
        <w:pStyle w:val="Heading2"/>
        <w:rPr>
          <w:color w:val="BF2296"/>
          <w:lang w:val="ga"/>
        </w:rPr>
      </w:pPr>
      <w:bookmarkStart w:id="143" w:name="_Toc214033645"/>
      <w:r>
        <w:rPr>
          <w:bCs/>
          <w:color w:val="BF2296"/>
          <w:lang w:val="ga"/>
        </w:rPr>
        <w:t>3.5 Tacaí do bhainisteoirí líne</w:t>
      </w:r>
      <w:bookmarkEnd w:id="143"/>
      <w:r>
        <w:rPr>
          <w:bCs/>
          <w:color w:val="BF2296"/>
          <w:lang w:val="ga"/>
        </w:rPr>
        <w:t xml:space="preserve"> </w:t>
      </w:r>
    </w:p>
    <w:p w14:paraId="15F20186" w14:textId="570180E2" w:rsidR="000C454B" w:rsidRPr="005524D6" w:rsidRDefault="000B4F21" w:rsidP="007202FA">
      <w:pPr>
        <w:rPr>
          <w:lang w:val="ga"/>
        </w:rPr>
      </w:pPr>
      <w:r>
        <w:rPr>
          <w:lang w:val="ga"/>
        </w:rPr>
        <w:t>Sa bhliain 2024, sholáthair 203 cinn de 216 chomhlacht phoiblí (94.0%) tacaí do bhainisteoirí líne chun cabhrú le fostaithe faoi mhíchumas socruithe réasúnacha a rochtain nó chun cineálacha eile cúnaimh a thabhairt, i gcomparáid le 156 cinn de 210 gcomhlacht phoiblí (74.3%) sa bhliain 2023.</w:t>
      </w:r>
    </w:p>
    <w:p w14:paraId="00313173" w14:textId="44CC7282" w:rsidR="000C454B" w:rsidRPr="005524D6" w:rsidRDefault="000B4F21" w:rsidP="007202FA">
      <w:pPr>
        <w:rPr>
          <w:lang w:val="ga"/>
        </w:rPr>
      </w:pPr>
      <w:r>
        <w:rPr>
          <w:lang w:val="ga"/>
        </w:rPr>
        <w:t xml:space="preserve">Sa bhliain 2024, cuireadh ceisteanna breise ar chomhlachtaí poiblí maidir leis an gcineál tacaithe a sholáthraíonn siad. Sa chomhthéacs sin, ní féidir comparáid a dhéanamh idir torthaí ón mbliain 2023 agus torthaí ón mbliain 2024. Mionsonraítear i dTábla 8 </w:t>
      </w:r>
      <w:r>
        <w:rPr>
          <w:b/>
          <w:bCs/>
          <w:lang w:val="ga"/>
        </w:rPr>
        <w:t>na tacaí is coitianta</w:t>
      </w:r>
      <w:r>
        <w:rPr>
          <w:lang w:val="ga"/>
        </w:rPr>
        <w:t xml:space="preserve"> a tugadh do bhainisteoirí líne sa bhliain 2024.</w:t>
      </w:r>
    </w:p>
    <w:p w14:paraId="27995845" w14:textId="77777777" w:rsidR="00D82230" w:rsidRDefault="00D82230" w:rsidP="007202FA">
      <w:pPr>
        <w:pStyle w:val="Caption"/>
        <w:rPr>
          <w:bCs/>
          <w:iCs w:val="0"/>
          <w:lang w:val="ga"/>
        </w:rPr>
      </w:pPr>
    </w:p>
    <w:p w14:paraId="55A9E63D" w14:textId="0530437A" w:rsidR="00590BEF" w:rsidRPr="005524D6" w:rsidRDefault="000B4F21" w:rsidP="007202FA">
      <w:pPr>
        <w:pStyle w:val="Caption"/>
        <w:rPr>
          <w:lang w:val="ga"/>
        </w:rPr>
      </w:pPr>
      <w:r>
        <w:rPr>
          <w:bCs/>
          <w:iCs w:val="0"/>
          <w:lang w:val="ga"/>
        </w:rPr>
        <w:lastRenderedPageBreak/>
        <w:t>Tábla 8. Tacaí do bhainisteoirí líne sa bhliain 2024</w:t>
      </w:r>
    </w:p>
    <w:tbl>
      <w:tblPr>
        <w:tblStyle w:val="NDATableBlack"/>
        <w:tblW w:w="5000" w:type="pct"/>
        <w:tblLook w:val="04A0" w:firstRow="1" w:lastRow="0" w:firstColumn="1" w:lastColumn="0" w:noHBand="0" w:noVBand="1"/>
      </w:tblPr>
      <w:tblGrid>
        <w:gridCol w:w="4218"/>
        <w:gridCol w:w="2299"/>
        <w:gridCol w:w="2499"/>
      </w:tblGrid>
      <w:tr w:rsidR="00F31303" w:rsidRPr="005524D6" w14:paraId="78CD33A6" w14:textId="77777777" w:rsidTr="00B44D04">
        <w:trPr>
          <w:cnfStyle w:val="100000000000" w:firstRow="1" w:lastRow="0" w:firstColumn="0" w:lastColumn="0" w:oddVBand="0" w:evenVBand="0" w:oddHBand="0"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2339" w:type="pct"/>
            <w:vMerge w:val="restart"/>
            <w:vAlign w:val="top"/>
          </w:tcPr>
          <w:p w14:paraId="15ED0FFD" w14:textId="77777777" w:rsidR="007C51D4" w:rsidRPr="005524D6" w:rsidRDefault="007C51D4" w:rsidP="007202FA">
            <w:pPr>
              <w:jc w:val="center"/>
              <w:rPr>
                <w:rFonts w:eastAsia="Times New Roman" w:cs="Arial"/>
                <w:bCs/>
                <w:color w:val="000000"/>
                <w:kern w:val="0"/>
                <w:sz w:val="20"/>
                <w:szCs w:val="20"/>
                <w:lang w:val="ga"/>
                <w14:ligatures w14:val="none"/>
              </w:rPr>
            </w:pPr>
          </w:p>
        </w:tc>
        <w:tc>
          <w:tcPr>
            <w:tcW w:w="2661" w:type="pct"/>
            <w:gridSpan w:val="2"/>
            <w:vAlign w:val="top"/>
          </w:tcPr>
          <w:p w14:paraId="6B961C6B" w14:textId="33BA3AD0" w:rsidR="007C51D4" w:rsidRPr="002E78D9" w:rsidRDefault="000B4F21"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20"/>
                <w:szCs w:val="20"/>
                <w:lang w:val="ga"/>
                <w14:ligatures w14:val="none"/>
              </w:rPr>
            </w:pPr>
            <w:r w:rsidRPr="002E78D9">
              <w:rPr>
                <w:rFonts w:eastAsia="Times New Roman" w:cs="Arial"/>
                <w:bCs/>
                <w:color w:val="000000"/>
                <w:kern w:val="0"/>
                <w:sz w:val="20"/>
                <w:szCs w:val="20"/>
                <w:lang w:val="ga"/>
                <w14:ligatures w14:val="none"/>
              </w:rPr>
              <w:t>An líon iomlán comhlachtaí poiblí sa bhliain 2024 = 216</w:t>
            </w:r>
          </w:p>
        </w:tc>
      </w:tr>
      <w:tr w:rsidR="00F31303" w:rsidRPr="005524D6" w14:paraId="4D930DD9" w14:textId="77777777" w:rsidTr="00B44D04">
        <w:trPr>
          <w:trHeight w:val="909"/>
        </w:trPr>
        <w:tc>
          <w:tcPr>
            <w:cnfStyle w:val="001000000000" w:firstRow="0" w:lastRow="0" w:firstColumn="1" w:lastColumn="0" w:oddVBand="0" w:evenVBand="0" w:oddHBand="0" w:evenHBand="0" w:firstRowFirstColumn="0" w:firstRowLastColumn="0" w:lastRowFirstColumn="0" w:lastRowLastColumn="0"/>
            <w:tcW w:w="2339" w:type="pct"/>
            <w:vMerge/>
            <w:vAlign w:val="top"/>
            <w:hideMark/>
          </w:tcPr>
          <w:p w14:paraId="71F2A639" w14:textId="01042475" w:rsidR="007C51D4" w:rsidRPr="005524D6" w:rsidRDefault="007C51D4" w:rsidP="007202FA">
            <w:pPr>
              <w:jc w:val="center"/>
              <w:rPr>
                <w:rFonts w:eastAsia="Times New Roman" w:cs="Arial"/>
                <w:bCs/>
                <w:color w:val="000000"/>
                <w:kern w:val="0"/>
                <w:sz w:val="20"/>
                <w:szCs w:val="20"/>
                <w:lang w:val="ga"/>
                <w14:ligatures w14:val="none"/>
              </w:rPr>
            </w:pPr>
          </w:p>
        </w:tc>
        <w:tc>
          <w:tcPr>
            <w:tcW w:w="1275" w:type="pct"/>
            <w:vAlign w:val="top"/>
            <w:hideMark/>
          </w:tcPr>
          <w:p w14:paraId="04DFC069" w14:textId="2A1FBBC6" w:rsidR="007C51D4" w:rsidRPr="005524D6"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val="ga"/>
                <w14:ligatures w14:val="none"/>
              </w:rPr>
            </w:pPr>
            <w:r>
              <w:rPr>
                <w:rFonts w:eastAsia="Times New Roman" w:cs="Arial"/>
                <w:b/>
                <w:bCs/>
                <w:color w:val="000000"/>
                <w:kern w:val="0"/>
                <w:sz w:val="20"/>
                <w:szCs w:val="20"/>
                <w:lang w:val="ga"/>
                <w14:ligatures w14:val="none"/>
              </w:rPr>
              <w:t xml:space="preserve">An líon comhlachtaí poiblí sa bhliain 2024 </w:t>
            </w:r>
          </w:p>
        </w:tc>
        <w:tc>
          <w:tcPr>
            <w:tcW w:w="1386" w:type="pct"/>
            <w:vAlign w:val="top"/>
            <w:hideMark/>
          </w:tcPr>
          <w:p w14:paraId="16E53E9C" w14:textId="42B2ED37" w:rsidR="007C51D4" w:rsidRPr="005524D6" w:rsidRDefault="000B4F21" w:rsidP="007202FA">
            <w:pP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20"/>
                <w:szCs w:val="20"/>
                <w:lang w:val="fr-FR"/>
                <w14:ligatures w14:val="none"/>
              </w:rPr>
            </w:pPr>
            <w:r>
              <w:rPr>
                <w:rFonts w:eastAsia="Times New Roman" w:cs="Arial"/>
                <w:b/>
                <w:bCs/>
                <w:color w:val="000000"/>
                <w:kern w:val="0"/>
                <w:sz w:val="20"/>
                <w:szCs w:val="20"/>
                <w:lang w:val="ga"/>
                <w14:ligatures w14:val="none"/>
              </w:rPr>
              <w:t xml:space="preserve">An céatadán de chomhlachtaí poiblí sa bhliain 2024 </w:t>
            </w:r>
          </w:p>
        </w:tc>
      </w:tr>
      <w:tr w:rsidR="00F31303" w14:paraId="71B2D709" w14:textId="77777777" w:rsidTr="00B44D04">
        <w:trPr>
          <w:trHeight w:val="806"/>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549CA9E4" w14:textId="789145DE" w:rsidR="0047681E" w:rsidRPr="005524D6" w:rsidRDefault="000B4F21" w:rsidP="007202FA">
            <w:pPr>
              <w:rPr>
                <w:rFonts w:eastAsia="Times New Roman" w:cs="Arial"/>
                <w:bCs/>
                <w:color w:val="000000"/>
                <w:kern w:val="0"/>
                <w:sz w:val="20"/>
                <w:szCs w:val="20"/>
                <w:lang w:val="fr-FR"/>
                <w14:ligatures w14:val="none"/>
              </w:rPr>
            </w:pPr>
            <w:r>
              <w:rPr>
                <w:rFonts w:eastAsia="Times New Roman" w:cs="Arial"/>
                <w:b w:val="0"/>
                <w:color w:val="000000"/>
                <w:kern w:val="0"/>
                <w:sz w:val="20"/>
                <w:szCs w:val="20"/>
                <w:lang w:val="ga"/>
                <w14:ligatures w14:val="none"/>
              </w:rPr>
              <w:t>Soláthraítear rochtain ar acmhainní, amhail treoir maidir le fostaithe a bhainistiú, do bhainisteoirí líne</w:t>
            </w:r>
          </w:p>
        </w:tc>
        <w:tc>
          <w:tcPr>
            <w:tcW w:w="1275" w:type="pct"/>
            <w:noWrap/>
            <w:vAlign w:val="top"/>
            <w:hideMark/>
          </w:tcPr>
          <w:p w14:paraId="192E7C8D" w14:textId="0A08640F"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195</w:t>
            </w:r>
          </w:p>
        </w:tc>
        <w:tc>
          <w:tcPr>
            <w:tcW w:w="1386" w:type="pct"/>
            <w:noWrap/>
            <w:vAlign w:val="top"/>
            <w:hideMark/>
          </w:tcPr>
          <w:p w14:paraId="276CF634" w14:textId="39E38FD6"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90.3%</w:t>
            </w:r>
          </w:p>
        </w:tc>
      </w:tr>
      <w:tr w:rsidR="00F31303" w14:paraId="4BDB701D" w14:textId="77777777" w:rsidTr="00B44D04">
        <w:trPr>
          <w:trHeight w:val="876"/>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74F0614A" w14:textId="45F6D43D" w:rsidR="0047681E"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An soláthraítear deiseanna do bhainisteoirí líne tacaíocht a fháil ó eagraíochtaí seachtracha?</w:t>
            </w:r>
          </w:p>
        </w:tc>
        <w:tc>
          <w:tcPr>
            <w:tcW w:w="1275" w:type="pct"/>
            <w:noWrap/>
            <w:vAlign w:val="top"/>
            <w:hideMark/>
          </w:tcPr>
          <w:p w14:paraId="44D138D0" w14:textId="1FE9302E"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175</w:t>
            </w:r>
          </w:p>
        </w:tc>
        <w:tc>
          <w:tcPr>
            <w:tcW w:w="1386" w:type="pct"/>
            <w:noWrap/>
            <w:vAlign w:val="top"/>
            <w:hideMark/>
          </w:tcPr>
          <w:p w14:paraId="297D50D1" w14:textId="6A11D30A"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81.0%</w:t>
            </w:r>
          </w:p>
        </w:tc>
      </w:tr>
      <w:tr w:rsidR="00F31303" w14:paraId="614224D9" w14:textId="77777777" w:rsidTr="00927A88">
        <w:trPr>
          <w:trHeight w:val="660"/>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3C68E48C" w14:textId="00B0AA22" w:rsidR="0047681E"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Soláthraítear meantóireacht ó chomhghleacaithe inmheánacha, amhail an fhoireann Acmhainní Daonna nó an fhoireann um Chomhionannas, Éagsúlacht agus Cuimsiú, do bhainisteoirí líne</w:t>
            </w:r>
          </w:p>
        </w:tc>
        <w:tc>
          <w:tcPr>
            <w:tcW w:w="1275" w:type="pct"/>
            <w:noWrap/>
            <w:vAlign w:val="top"/>
            <w:hideMark/>
          </w:tcPr>
          <w:p w14:paraId="1F14AACC" w14:textId="73F8E00C"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161</w:t>
            </w:r>
          </w:p>
        </w:tc>
        <w:tc>
          <w:tcPr>
            <w:tcW w:w="1386" w:type="pct"/>
            <w:noWrap/>
            <w:vAlign w:val="top"/>
            <w:hideMark/>
          </w:tcPr>
          <w:p w14:paraId="76E92913" w14:textId="48DA1FB7"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74.5%</w:t>
            </w:r>
          </w:p>
        </w:tc>
      </w:tr>
      <w:tr w:rsidR="00F31303" w14:paraId="2E2A4A3F" w14:textId="77777777" w:rsidTr="00B44D04">
        <w:trPr>
          <w:trHeight w:val="461"/>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418C7C0A" w14:textId="0FD7C1B7" w:rsidR="0047681E"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Soláthraítear oiliúint san fheasacht ar mhíchumas do bhainisteoirí líne</w:t>
            </w:r>
          </w:p>
        </w:tc>
        <w:tc>
          <w:tcPr>
            <w:tcW w:w="1275" w:type="pct"/>
            <w:noWrap/>
            <w:vAlign w:val="top"/>
            <w:hideMark/>
          </w:tcPr>
          <w:p w14:paraId="457F51FE" w14:textId="2BFD2030"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156</w:t>
            </w:r>
          </w:p>
        </w:tc>
        <w:tc>
          <w:tcPr>
            <w:tcW w:w="1386" w:type="pct"/>
            <w:noWrap/>
            <w:vAlign w:val="top"/>
            <w:hideMark/>
          </w:tcPr>
          <w:p w14:paraId="40794641" w14:textId="72FF9DB2"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72.2%</w:t>
            </w:r>
          </w:p>
        </w:tc>
      </w:tr>
      <w:tr w:rsidR="00F31303" w14:paraId="508229F5" w14:textId="77777777" w:rsidTr="00B44D04">
        <w:trPr>
          <w:trHeight w:val="618"/>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276F198C" w14:textId="25178616" w:rsidR="0047681E"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Soláthraítear rochtain ar líonraí foirne do bhainisteoirí líne</w:t>
            </w:r>
          </w:p>
        </w:tc>
        <w:tc>
          <w:tcPr>
            <w:tcW w:w="1275" w:type="pct"/>
            <w:noWrap/>
            <w:vAlign w:val="top"/>
            <w:hideMark/>
          </w:tcPr>
          <w:p w14:paraId="6C33CE59" w14:textId="353ECD74"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143</w:t>
            </w:r>
          </w:p>
        </w:tc>
        <w:tc>
          <w:tcPr>
            <w:tcW w:w="1386" w:type="pct"/>
            <w:noWrap/>
            <w:vAlign w:val="top"/>
            <w:hideMark/>
          </w:tcPr>
          <w:p w14:paraId="1A8018E8" w14:textId="5351BD49"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66.2%</w:t>
            </w:r>
          </w:p>
        </w:tc>
      </w:tr>
      <w:tr w:rsidR="00F31303" w14:paraId="72BBE1F2" w14:textId="77777777" w:rsidTr="00B44D04">
        <w:trPr>
          <w:trHeight w:val="788"/>
        </w:trPr>
        <w:tc>
          <w:tcPr>
            <w:cnfStyle w:val="001000000000" w:firstRow="0" w:lastRow="0" w:firstColumn="1" w:lastColumn="0" w:oddVBand="0" w:evenVBand="0" w:oddHBand="0" w:evenHBand="0" w:firstRowFirstColumn="0" w:firstRowLastColumn="0" w:lastRowFirstColumn="0" w:lastRowLastColumn="0"/>
            <w:tcW w:w="2339" w:type="pct"/>
            <w:vAlign w:val="top"/>
            <w:hideMark/>
          </w:tcPr>
          <w:p w14:paraId="2C90770B" w14:textId="43303D2D" w:rsidR="0047681E"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Soláthraítear deiseanna do bhainisteoirí líne dul isteach i líonraí bainistíochta seachtracha</w:t>
            </w:r>
          </w:p>
        </w:tc>
        <w:tc>
          <w:tcPr>
            <w:tcW w:w="1275" w:type="pct"/>
            <w:noWrap/>
            <w:vAlign w:val="top"/>
            <w:hideMark/>
          </w:tcPr>
          <w:p w14:paraId="3D33AF12" w14:textId="2D86F61F"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136</w:t>
            </w:r>
          </w:p>
        </w:tc>
        <w:tc>
          <w:tcPr>
            <w:tcW w:w="1386" w:type="pct"/>
            <w:noWrap/>
            <w:vAlign w:val="top"/>
            <w:hideMark/>
          </w:tcPr>
          <w:p w14:paraId="02D029B9" w14:textId="3DE510CB" w:rsidR="0047681E"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63.0%</w:t>
            </w:r>
          </w:p>
        </w:tc>
      </w:tr>
    </w:tbl>
    <w:p w14:paraId="22C2C451" w14:textId="5DB682BE" w:rsidR="00590BEF" w:rsidRPr="007202FA" w:rsidRDefault="000B4F21" w:rsidP="007202FA">
      <w:pPr>
        <w:spacing w:before="240"/>
      </w:pPr>
      <w:r>
        <w:rPr>
          <w:lang w:val="ga"/>
        </w:rPr>
        <w:t>Tríd is tríd, luaigh formhór na gcomhlachtaí poiblí a bhí ag forbairt bearta éagsúla sa chatagóir seo go gcuirfí na bearta sin chun feidhme laistigh de thréimhse idir sé mhí agus dhá mhí dhéag ar fad.</w:t>
      </w:r>
    </w:p>
    <w:p w14:paraId="24F212EC" w14:textId="77777777" w:rsidR="00590BEF" w:rsidRPr="007202FA" w:rsidRDefault="000B4F21" w:rsidP="007202FA">
      <w:pPr>
        <w:pStyle w:val="Heading2"/>
        <w:rPr>
          <w:color w:val="BF2296"/>
        </w:rPr>
      </w:pPr>
      <w:bookmarkStart w:id="144" w:name="_Toc214033646"/>
      <w:bookmarkStart w:id="145" w:name="_Hlk208573115"/>
      <w:r>
        <w:rPr>
          <w:bCs/>
          <w:color w:val="BF2296"/>
          <w:lang w:val="ga"/>
        </w:rPr>
        <w:t>3.6 Cláir taithí oibre</w:t>
      </w:r>
      <w:bookmarkEnd w:id="144"/>
      <w:r>
        <w:rPr>
          <w:bCs/>
          <w:color w:val="BF2296"/>
          <w:lang w:val="ga"/>
        </w:rPr>
        <w:t xml:space="preserve"> </w:t>
      </w:r>
    </w:p>
    <w:p w14:paraId="75CCA3C0" w14:textId="77777777" w:rsidR="00590BEF" w:rsidRPr="007202FA" w:rsidRDefault="000B4F21" w:rsidP="007202FA">
      <w:r>
        <w:rPr>
          <w:lang w:val="ga"/>
        </w:rPr>
        <w:t>Sna blianta 2023 agus 2024, fiafraíodh de chomhlachtaí poiblí ar ghlac siad páirt sna cláir taithí oibre seo a leanas nó nár ghlac:</w:t>
      </w:r>
      <w:r>
        <w:rPr>
          <w:rStyle w:val="FootnoteReference"/>
          <w:lang w:val="ga"/>
        </w:rPr>
        <w:footnoteReference w:id="6"/>
      </w:r>
    </w:p>
    <w:p w14:paraId="46B2E98C" w14:textId="79CC4394" w:rsidR="00590BEF" w:rsidRPr="007202FA" w:rsidRDefault="000B4F21" w:rsidP="007202FA">
      <w:pPr>
        <w:pStyle w:val="NDABullet"/>
      </w:pPr>
      <w:r>
        <w:rPr>
          <w:lang w:val="ga"/>
        </w:rPr>
        <w:t>Clár Willing Able Mentoring (WAM) AHEAD, lena soláthraítear taithí oibre íoctha ar feadh tréimhse idir 12 mhí agus 18 mí do chéimithe a bhfuil raon éagsúil cineálacha míchumais orthu.</w:t>
      </w:r>
    </w:p>
    <w:p w14:paraId="0551C76D" w14:textId="6B03E1D7" w:rsidR="00F479C5" w:rsidRPr="007202FA" w:rsidRDefault="000B4F21" w:rsidP="007202FA">
      <w:pPr>
        <w:pStyle w:val="NDABullet"/>
      </w:pPr>
      <w:r>
        <w:rPr>
          <w:lang w:val="ga"/>
        </w:rPr>
        <w:t>Clár oiliúna Foghlama Oibre an Oireachtais (OWL), lena soláthraítear taithí oibre neamhíoctha d’aosaigh óga a bhfuil míchumas intleachta orthu agus ar clár deich mí é.</w:t>
      </w:r>
      <w:bookmarkStart w:id="146" w:name="_Toc177129182"/>
    </w:p>
    <w:p w14:paraId="056B4CA9" w14:textId="77777777" w:rsidR="00F479C5" w:rsidRPr="007202FA" w:rsidRDefault="000B4F21" w:rsidP="007202FA">
      <w:pPr>
        <w:pStyle w:val="Heading3"/>
        <w:rPr>
          <w:color w:val="BF2296"/>
          <w:sz w:val="24"/>
          <w:szCs w:val="24"/>
        </w:rPr>
      </w:pPr>
      <w:bookmarkStart w:id="147" w:name="_Toc208656800"/>
      <w:bookmarkStart w:id="148" w:name="_Toc214033647"/>
      <w:r>
        <w:rPr>
          <w:bCs/>
          <w:color w:val="BF2296"/>
          <w:sz w:val="24"/>
          <w:szCs w:val="24"/>
          <w:lang w:val="ga"/>
        </w:rPr>
        <w:lastRenderedPageBreak/>
        <w:t>Clár Willing Able Mentoring (WAM) AHEAD</w:t>
      </w:r>
      <w:bookmarkEnd w:id="147"/>
      <w:bookmarkEnd w:id="148"/>
    </w:p>
    <w:p w14:paraId="17C145CC" w14:textId="4F59F643" w:rsidR="00A52684" w:rsidRPr="007202FA" w:rsidRDefault="000B4F21" w:rsidP="007202FA">
      <w:pPr>
        <w:rPr>
          <w:bCs/>
        </w:rPr>
      </w:pPr>
      <w:r>
        <w:rPr>
          <w:lang w:val="ga"/>
        </w:rPr>
        <w:t>Sa bhliain 2024, ghlac 25 cinn de 216 chomhlacht phoiblí (11.6%) páirt i gClár Willing Able Mentoring AHEAD, i gcomparáid le 29 gcinn de 210 gcomhlacht phoiblí (13.8%) sa bhliain 2023.</w:t>
      </w:r>
      <w:r>
        <w:rPr>
          <w:rStyle w:val="FootnoteReference"/>
          <w:lang w:val="ga"/>
        </w:rPr>
        <w:footnoteReference w:id="7"/>
      </w:r>
    </w:p>
    <w:p w14:paraId="50F84759" w14:textId="6C4C4D87" w:rsidR="00E7236B" w:rsidRPr="007202FA" w:rsidRDefault="000B4F21" w:rsidP="007202FA">
      <w:pPr>
        <w:spacing w:after="120"/>
        <w:rPr>
          <w:bCs/>
        </w:rPr>
      </w:pPr>
      <w:r>
        <w:rPr>
          <w:lang w:val="ga"/>
        </w:rPr>
        <w:t xml:space="preserve">Fiafraíodh de chomhlachtaí poiblí a ghlac páirt i gclár Willing Able Mentoring AHEAD sna blianta 2023 agus 2024 cá mhéad rannpháirtí sa chlár sin a d’aistrigh isteach san fhostaíocht ina n-eagraíocht/ina Roinn. Ba mar a leanas a bhí na freagraí sin ar an gceist sin: </w:t>
      </w:r>
    </w:p>
    <w:p w14:paraId="11B74571" w14:textId="1DB593F4" w:rsidR="00E7236B" w:rsidRPr="005524D6" w:rsidRDefault="000B4F21" w:rsidP="007202FA">
      <w:pPr>
        <w:numPr>
          <w:ilvl w:val="0"/>
          <w:numId w:val="17"/>
        </w:numPr>
        <w:rPr>
          <w:lang w:val="ga"/>
        </w:rPr>
      </w:pPr>
      <w:r>
        <w:rPr>
          <w:b/>
          <w:bCs/>
          <w:lang w:val="ga"/>
        </w:rPr>
        <w:t>D’aistrigh na rannpháirtithe uile isteach san fhostaíocht:</w:t>
      </w:r>
      <w:r>
        <w:rPr>
          <w:lang w:val="ga"/>
        </w:rPr>
        <w:t xml:space="preserve"> Sa bhliain 2024, luaigh 14 cinn de 25 chomhlacht phoiblí (56.0%) gur aistrigh a rannpháirtithe uile isteach san fhostaíocht íoctha. Ba mhéadú é sin ó ocht gcinn (27.6%) de 29 gcomhlacht phoiblí sa bhliain 2023.  </w:t>
      </w:r>
    </w:p>
    <w:p w14:paraId="6EA6CA8F" w14:textId="364B2E47" w:rsidR="00E7236B" w:rsidRPr="005524D6" w:rsidRDefault="000B4F21" w:rsidP="007202FA">
      <w:pPr>
        <w:numPr>
          <w:ilvl w:val="0"/>
          <w:numId w:val="17"/>
        </w:numPr>
        <w:rPr>
          <w:bCs/>
          <w:lang w:val="ga"/>
        </w:rPr>
      </w:pPr>
      <w:r>
        <w:rPr>
          <w:b/>
          <w:bCs/>
          <w:lang w:val="ga"/>
        </w:rPr>
        <w:t xml:space="preserve">D’aistrigh roinnt rannpháirtithe isteach san fhostaíocht: </w:t>
      </w:r>
      <w:r>
        <w:rPr>
          <w:lang w:val="ga"/>
        </w:rPr>
        <w:t xml:space="preserve">Sa bhliain 2024, thuairiscigh ceithre cinn de na 25 chomhlacht phoiblí (16%) gur aistrigh roinnt dá rannpháirtithe isteach san fhostaíocht, i gcomparáid le sé cinn de 29 gcomhlacht phoiblí (20.7%) sa bhliain 2023. </w:t>
      </w:r>
    </w:p>
    <w:p w14:paraId="0DDA9C07" w14:textId="56F1C50B" w:rsidR="003341FD" w:rsidRPr="005D30C3" w:rsidRDefault="000B4F21" w:rsidP="00D82230">
      <w:pPr>
        <w:numPr>
          <w:ilvl w:val="0"/>
          <w:numId w:val="17"/>
        </w:numPr>
      </w:pPr>
      <w:r>
        <w:rPr>
          <w:b/>
          <w:bCs/>
          <w:lang w:val="ga"/>
        </w:rPr>
        <w:t>Níor aistrigh aon rannpháirtithe isteach san fhostaíocht íoctha:</w:t>
      </w:r>
      <w:r>
        <w:rPr>
          <w:lang w:val="ga"/>
        </w:rPr>
        <w:t xml:space="preserve"> Sa bhliain 2024, thuairiscigh seacht gcinn de na 25 chomhlacht phoiblí (28.0%) nár aistrigh aon rannpháirtithe isteach san fhostaíocht íoctha, i gcomparáid le hocht gcinn de 29 gcomhlacht phoiblí (27.6%) sa bhliain 2023. </w:t>
      </w:r>
      <w:r>
        <w:rPr>
          <w:b/>
          <w:bCs/>
          <w:lang w:val="ga"/>
        </w:rPr>
        <w:t>Féach Fíor 3 chun tuilleadh mionsonraí a fháil.</w:t>
      </w:r>
    </w:p>
    <w:p w14:paraId="10F406B8" w14:textId="77777777" w:rsidR="005D30C3" w:rsidRDefault="005D30C3" w:rsidP="005D30C3">
      <w:pPr>
        <w:rPr>
          <w:b/>
          <w:bCs/>
          <w:lang w:val="ga"/>
        </w:rPr>
      </w:pPr>
    </w:p>
    <w:p w14:paraId="35FE5731" w14:textId="77777777" w:rsidR="005D30C3" w:rsidRDefault="005D30C3" w:rsidP="005D30C3">
      <w:pPr>
        <w:rPr>
          <w:b/>
          <w:bCs/>
          <w:lang w:val="ga"/>
        </w:rPr>
      </w:pPr>
    </w:p>
    <w:p w14:paraId="00E8ACB5" w14:textId="77777777" w:rsidR="005D30C3" w:rsidRDefault="005D30C3" w:rsidP="005D30C3">
      <w:pPr>
        <w:rPr>
          <w:b/>
          <w:bCs/>
          <w:lang w:val="ga"/>
        </w:rPr>
      </w:pPr>
    </w:p>
    <w:p w14:paraId="3408D66B" w14:textId="77777777" w:rsidR="005D30C3" w:rsidRDefault="005D30C3" w:rsidP="005D30C3">
      <w:pPr>
        <w:rPr>
          <w:b/>
          <w:bCs/>
          <w:lang w:val="ga"/>
        </w:rPr>
      </w:pPr>
    </w:p>
    <w:p w14:paraId="469C54C2" w14:textId="77777777" w:rsidR="005D30C3" w:rsidRDefault="005D30C3" w:rsidP="005D30C3">
      <w:pPr>
        <w:rPr>
          <w:b/>
          <w:bCs/>
          <w:lang w:val="ga"/>
        </w:rPr>
      </w:pPr>
    </w:p>
    <w:p w14:paraId="396861BC" w14:textId="77777777" w:rsidR="005D30C3" w:rsidRDefault="005D30C3" w:rsidP="005D30C3">
      <w:pPr>
        <w:rPr>
          <w:b/>
          <w:bCs/>
          <w:lang w:val="ga"/>
        </w:rPr>
      </w:pPr>
    </w:p>
    <w:p w14:paraId="128DDA75" w14:textId="77777777" w:rsidR="005D30C3" w:rsidRPr="007202FA" w:rsidRDefault="005D30C3" w:rsidP="005D30C3"/>
    <w:p w14:paraId="62C1B38D" w14:textId="2A392DD8" w:rsidR="005A4260" w:rsidRPr="007202FA" w:rsidRDefault="000B4F21" w:rsidP="007202FA">
      <w:pPr>
        <w:ind w:left="360"/>
      </w:pPr>
      <w:r>
        <w:rPr>
          <w:b/>
          <w:bCs/>
          <w:lang w:val="ga"/>
        </w:rPr>
        <w:lastRenderedPageBreak/>
        <w:t xml:space="preserve">Fíor 3: </w:t>
      </w:r>
      <w:bookmarkStart w:id="149" w:name="_Hlk212036782"/>
      <w:r>
        <w:rPr>
          <w:b/>
          <w:bCs/>
          <w:lang w:val="ga"/>
        </w:rPr>
        <w:t>Clár AHEAD. An líon comhlachtaí poiblí inar aistrigh daoine faoi mhíchumas isteach san fhostaíocht sna blianta 2023 agus 2024</w:t>
      </w:r>
      <w:bookmarkEnd w:id="149"/>
    </w:p>
    <w:p w14:paraId="56197A45" w14:textId="6EA072A9" w:rsidR="00C515AB" w:rsidRPr="007202FA" w:rsidRDefault="00A3655A" w:rsidP="007202FA">
      <w:pPr>
        <w:rPr>
          <w:b/>
          <w:bCs/>
        </w:rPr>
      </w:pPr>
      <w:r>
        <w:rPr>
          <w:noProof/>
          <w:lang w:val="ga"/>
        </w:rPr>
        <mc:AlternateContent>
          <mc:Choice Requires="wps">
            <w:drawing>
              <wp:anchor distT="0" distB="0" distL="114300" distR="114300" simplePos="0" relativeHeight="251667456" behindDoc="0" locked="0" layoutInCell="1" allowOverlap="1" wp14:anchorId="474829EB" wp14:editId="591A0081">
                <wp:simplePos x="0" y="0"/>
                <wp:positionH relativeFrom="column">
                  <wp:posOffset>565150</wp:posOffset>
                </wp:positionH>
                <wp:positionV relativeFrom="paragraph">
                  <wp:posOffset>2346325</wp:posOffset>
                </wp:positionV>
                <wp:extent cx="4908550" cy="279400"/>
                <wp:effectExtent l="0" t="0" r="6350" b="6350"/>
                <wp:wrapNone/>
                <wp:docPr id="2092706946" name="Text Box 3"/>
                <wp:cNvGraphicFramePr/>
                <a:graphic xmlns:a="http://schemas.openxmlformats.org/drawingml/2006/main">
                  <a:graphicData uri="http://schemas.microsoft.com/office/word/2010/wordprocessingShape">
                    <wps:wsp>
                      <wps:cNvSpPr txBox="1"/>
                      <wps:spPr>
                        <a:xfrm>
                          <a:off x="0" y="0"/>
                          <a:ext cx="4908550" cy="279400"/>
                        </a:xfrm>
                        <a:prstGeom prst="rect">
                          <a:avLst/>
                        </a:prstGeom>
                        <a:solidFill>
                          <a:schemeClr val="lt1"/>
                        </a:solidFill>
                        <a:ln w="6350">
                          <a:noFill/>
                        </a:ln>
                      </wps:spPr>
                      <wps:txbx>
                        <w:txbxContent>
                          <w:p w14:paraId="01AAB2AE" w14:textId="7A44433A" w:rsidR="00DC0D8A" w:rsidRPr="00CF318E" w:rsidRDefault="00DC0D8A" w:rsidP="00DC0D8A">
                            <w:pPr>
                              <w:rPr>
                                <w:sz w:val="14"/>
                                <w:szCs w:val="14"/>
                              </w:rPr>
                            </w:pPr>
                            <w:r>
                              <w:rPr>
                                <w:sz w:val="14"/>
                                <w:szCs w:val="14"/>
                              </w:rPr>
                              <w:t>D’aistrigh gach duine díobh             D’aistrigh roinnt daoine díobh       Níor aistrigh aon gach duine díobh</w:t>
                            </w:r>
                          </w:p>
                          <w:p w14:paraId="73E92F80" w14:textId="43968CF7" w:rsidR="00A3655A" w:rsidRPr="00CF318E" w:rsidRDefault="00A3655A" w:rsidP="00A3655A">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829EB" id="Text Box 3" o:spid="_x0000_s1030" type="#_x0000_t202" style="position:absolute;margin-left:44.5pt;margin-top:184.75pt;width:386.5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" fillcolor="white [3201]" stroked="f" strokeweight=".5pt">
                <v:textbox>
                  <w:txbxContent>
                    <w:p w14:paraId="01AAB2AE" w14:textId="7A44433A" w:rsidR="00DC0D8A" w:rsidRPr="00CF318E" w:rsidRDefault="00DC0D8A" w:rsidP="00DC0D8A">
                      <w:pPr>
                        <w:rPr>
                          <w:sz w:val="14"/>
                          <w:szCs w:val="14"/>
                        </w:rPr>
                      </w:pPr>
                      <w:r>
                        <w:rPr>
                          <w:sz w:val="14"/>
                          <w:szCs w:val="14"/>
                        </w:rPr>
                        <w:t>D’aistrigh gach duine díobh             D’aistrigh roinnt daoine díobh       Níor aistrigh aon gach duine díobh</w:t>
                      </w:r>
                    </w:p>
                    <w:p w14:paraId="73E92F80" w14:textId="43968CF7" w:rsidR="00A3655A" w:rsidRPr="00CF318E" w:rsidRDefault="00A3655A" w:rsidP="00A3655A">
                      <w:pPr>
                        <w:rPr>
                          <w:sz w:val="14"/>
                          <w:szCs w:val="14"/>
                        </w:rPr>
                      </w:pPr>
                    </w:p>
                  </w:txbxContent>
                </v:textbox>
              </v:shape>
            </w:pict>
          </mc:Fallback>
        </mc:AlternateContent>
      </w:r>
      <w:r w:rsidR="000B4F21">
        <w:rPr>
          <w:noProof/>
          <w:lang w:val="ga"/>
        </w:rPr>
        <w:drawing>
          <wp:inline distT="0" distB="0" distL="0" distR="0" wp14:anchorId="0FA31F2C" wp14:editId="7FEF8C22">
            <wp:extent cx="5591175" cy="2893695"/>
            <wp:effectExtent l="0" t="0" r="9525" b="1905"/>
            <wp:docPr id="680450694" name="Chart 1">
              <a:extLst xmlns:a="http://schemas.openxmlformats.org/drawingml/2006/main">
                <a:ext uri="{FF2B5EF4-FFF2-40B4-BE49-F238E27FC236}">
                  <a16:creationId xmlns:a16="http://schemas.microsoft.com/office/drawing/2014/main" id="{77903F1D-AAA5-0C12-7A17-51088D4E1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150" w:name="_Toc208656801"/>
    </w:p>
    <w:p w14:paraId="1213B292" w14:textId="46025539" w:rsidR="00F479C5" w:rsidRPr="007202FA" w:rsidRDefault="000B4F21" w:rsidP="007202FA">
      <w:pPr>
        <w:pStyle w:val="Heading3"/>
        <w:spacing w:before="240"/>
        <w:rPr>
          <w:color w:val="BF2296"/>
          <w:sz w:val="24"/>
          <w:szCs w:val="24"/>
        </w:rPr>
      </w:pPr>
      <w:bookmarkStart w:id="151" w:name="_Toc214033648"/>
      <w:r>
        <w:rPr>
          <w:bCs/>
          <w:color w:val="BF2296"/>
          <w:sz w:val="24"/>
          <w:szCs w:val="24"/>
          <w:lang w:val="ga"/>
        </w:rPr>
        <w:t>Clár</w:t>
      </w:r>
      <w:r w:rsidR="00E43333">
        <w:rPr>
          <w:bCs/>
          <w:color w:val="BF2296"/>
          <w:sz w:val="24"/>
          <w:szCs w:val="24"/>
          <w:lang w:val="ga"/>
        </w:rPr>
        <w:t xml:space="preserve"> </w:t>
      </w:r>
      <w:r>
        <w:rPr>
          <w:bCs/>
          <w:color w:val="BF2296"/>
          <w:sz w:val="24"/>
          <w:szCs w:val="24"/>
          <w:lang w:val="ga"/>
        </w:rPr>
        <w:t>oiliúna Foghlama Oibre an Oireachtais (OWL)</w:t>
      </w:r>
      <w:bookmarkEnd w:id="150"/>
      <w:bookmarkEnd w:id="151"/>
    </w:p>
    <w:p w14:paraId="18B6366D" w14:textId="5F39A39B" w:rsidR="00F479C5" w:rsidRPr="005524D6" w:rsidRDefault="000B4F21" w:rsidP="007202FA">
      <w:pPr>
        <w:rPr>
          <w:lang w:val="ga"/>
        </w:rPr>
      </w:pPr>
      <w:r>
        <w:rPr>
          <w:lang w:val="ga"/>
        </w:rPr>
        <w:t>Sna blianta 2023 agus 2024, ba bheag fós a bhí an líon comhlachtaí poiblí a luaigh gur ghlac siad páirt sa chlár sin. Ghlac cúig cinn de 216 chomhlacht phoiblí (2.3%) páirt ann sa bhliain 2024, agus ghlac cúig cinn de 210 gcomhlacht phoiblí (2.3%) páirt ann sa bhliain 2023.</w:t>
      </w:r>
    </w:p>
    <w:p w14:paraId="1ED55933" w14:textId="2421A04C" w:rsidR="001529E1" w:rsidRPr="007202FA" w:rsidRDefault="000B4F21" w:rsidP="007202FA">
      <w:pPr>
        <w:spacing w:after="120"/>
        <w:rPr>
          <w:bCs/>
        </w:rPr>
      </w:pPr>
      <w:r>
        <w:rPr>
          <w:lang w:val="ga"/>
        </w:rPr>
        <w:t>Fiafraíodh de chomhlachtaí poiblí a ghlac páirt i gclár oiliúna Foghlama Oibre an Oireachtais sna blianta 2023 agus 2024 cá mhéad rannpháirtí sa chlár sin a d’aistrigh isteach i bhfostaíocht ina n-eagraíocht/ina Roinn. Ba mar a leanas a bhí na freagraí ar an gceist sin:</w:t>
      </w:r>
    </w:p>
    <w:p w14:paraId="15ADAD53" w14:textId="03ADF75E" w:rsidR="001529E1" w:rsidRPr="007202FA" w:rsidRDefault="000B4F21" w:rsidP="007202FA">
      <w:pPr>
        <w:numPr>
          <w:ilvl w:val="0"/>
          <w:numId w:val="18"/>
        </w:numPr>
      </w:pPr>
      <w:r>
        <w:rPr>
          <w:b/>
          <w:bCs/>
          <w:lang w:val="ga"/>
        </w:rPr>
        <w:t>D’aistrigh na rannpháirtithe uile isteach san fhostaíocht:</w:t>
      </w:r>
      <w:r>
        <w:rPr>
          <w:lang w:val="ga"/>
        </w:rPr>
        <w:t xml:space="preserve"> Cosúil leis an mbliain 2023, luaigh ceann amháin as gach cúig chomhlacht phoiblí (20.0%) gur aistrigh na rannpháirtithe uile isteach san fhostaíocht.</w:t>
      </w:r>
    </w:p>
    <w:p w14:paraId="32576BE7" w14:textId="610ECCBA" w:rsidR="001529E1" w:rsidRPr="007202FA" w:rsidRDefault="000B4F21" w:rsidP="007202FA">
      <w:pPr>
        <w:numPr>
          <w:ilvl w:val="0"/>
          <w:numId w:val="18"/>
        </w:numPr>
      </w:pPr>
      <w:r>
        <w:rPr>
          <w:b/>
          <w:bCs/>
          <w:lang w:val="ga"/>
        </w:rPr>
        <w:t xml:space="preserve">D’aistrigh roinnt rannpháirtithe isteach san fhostaíocht: </w:t>
      </w:r>
      <w:r>
        <w:rPr>
          <w:lang w:val="ga"/>
        </w:rPr>
        <w:t>Sa bhliain 2024, luaigh ceann amháin as gach cúig chomhlacht phoiblí (20.0%) gur aistrigh roinnt rannpháirtithe isteach san fhostaíocht, i gcomparáid le dhá cheann as gach cúig chomhlacht phoiblí (40.0%) sa bhliain 2023.</w:t>
      </w:r>
    </w:p>
    <w:p w14:paraId="1F9B9BB0" w14:textId="715AD6CA" w:rsidR="001529E1" w:rsidRPr="007202FA" w:rsidRDefault="000B4F21" w:rsidP="007202FA">
      <w:pPr>
        <w:numPr>
          <w:ilvl w:val="0"/>
          <w:numId w:val="18"/>
        </w:numPr>
        <w:spacing w:after="0"/>
        <w:ind w:left="714" w:hanging="357"/>
      </w:pPr>
      <w:r>
        <w:rPr>
          <w:b/>
          <w:bCs/>
          <w:lang w:val="ga"/>
        </w:rPr>
        <w:t>Níor aistrigh aon rannpháirtithe isteach san fhostaíocht íoctha:</w:t>
      </w:r>
      <w:r>
        <w:rPr>
          <w:lang w:val="ga"/>
        </w:rPr>
        <w:t xml:space="preserve"> Sa bhliain 2024, luaigh trí cinn as gach cúig chomhlacht phoiblí (60.0%) nár aistrigh aon rannpháirtithe isteach san fhostaíocht, i gcomparáid le dhá cheann as gach cúig chomhlacht phoiblí (40.0%) sa bhliain 2023. </w:t>
      </w:r>
    </w:p>
    <w:p w14:paraId="6B3204E8" w14:textId="3EBC3558" w:rsidR="00000018" w:rsidRDefault="000B4F21" w:rsidP="003F4DFC">
      <w:pPr>
        <w:ind w:left="720"/>
      </w:pPr>
      <w:r>
        <w:rPr>
          <w:b/>
          <w:bCs/>
          <w:lang w:val="ga"/>
        </w:rPr>
        <w:t>Féach Fíor 4 chun tuilleadh mionsonraí a fháil.</w:t>
      </w:r>
    </w:p>
    <w:p w14:paraId="303C6E98" w14:textId="67DBE3AC" w:rsidR="00A16D4A" w:rsidRPr="005524D6" w:rsidRDefault="000B4F21" w:rsidP="007202FA">
      <w:pPr>
        <w:rPr>
          <w:lang w:val="ga"/>
        </w:rPr>
      </w:pPr>
      <w:r>
        <w:rPr>
          <w:b/>
          <w:bCs/>
          <w:lang w:val="ga"/>
        </w:rPr>
        <w:lastRenderedPageBreak/>
        <w:t>Fíor 4: Clár oiliúna Foghlama Oibre an Oireachtais. An líon comhlachtaí poiblí inar aistrigh daoine faoi mhíchumas isteach san fhostaíocht sna blianta 2023 agus 2024</w:t>
      </w:r>
    </w:p>
    <w:p w14:paraId="62D0496F" w14:textId="79BA2DCC" w:rsidR="00A52684" w:rsidRPr="007202FA" w:rsidRDefault="003D0404" w:rsidP="007202FA">
      <w:pPr>
        <w:rPr>
          <w:b/>
          <w:bCs/>
        </w:rPr>
      </w:pPr>
      <w:r>
        <w:rPr>
          <w:noProof/>
          <w:lang w:val="ga"/>
        </w:rPr>
        <mc:AlternateContent>
          <mc:Choice Requires="wps">
            <w:drawing>
              <wp:anchor distT="0" distB="0" distL="114300" distR="114300" simplePos="0" relativeHeight="251669504" behindDoc="0" locked="0" layoutInCell="1" allowOverlap="1" wp14:anchorId="6D4C83AC" wp14:editId="2701EDCE">
                <wp:simplePos x="0" y="0"/>
                <wp:positionH relativeFrom="column">
                  <wp:posOffset>133350</wp:posOffset>
                </wp:positionH>
                <wp:positionV relativeFrom="paragraph">
                  <wp:posOffset>2205990</wp:posOffset>
                </wp:positionV>
                <wp:extent cx="4851400" cy="298450"/>
                <wp:effectExtent l="0" t="0" r="6350" b="6350"/>
                <wp:wrapNone/>
                <wp:docPr id="178600442" name="Text Box 3"/>
                <wp:cNvGraphicFramePr/>
                <a:graphic xmlns:a="http://schemas.openxmlformats.org/drawingml/2006/main">
                  <a:graphicData uri="http://schemas.microsoft.com/office/word/2010/wordprocessingShape">
                    <wps:wsp>
                      <wps:cNvSpPr txBox="1"/>
                      <wps:spPr>
                        <a:xfrm>
                          <a:off x="0" y="0"/>
                          <a:ext cx="4851400" cy="298450"/>
                        </a:xfrm>
                        <a:prstGeom prst="rect">
                          <a:avLst/>
                        </a:prstGeom>
                        <a:solidFill>
                          <a:schemeClr val="lt1"/>
                        </a:solidFill>
                        <a:ln w="6350">
                          <a:noFill/>
                        </a:ln>
                      </wps:spPr>
                      <wps:txbx>
                        <w:txbxContent>
                          <w:p w14:paraId="1EEBF2E7" w14:textId="7E555C5C" w:rsidR="003D0404" w:rsidRPr="00CF318E" w:rsidRDefault="0077651B" w:rsidP="003D0404">
                            <w:pPr>
                              <w:rPr>
                                <w:sz w:val="14"/>
                                <w:szCs w:val="14"/>
                              </w:rPr>
                            </w:pPr>
                            <w:r>
                              <w:rPr>
                                <w:sz w:val="14"/>
                                <w:szCs w:val="14"/>
                              </w:rPr>
                              <w:t xml:space="preserve"> </w:t>
                            </w:r>
                            <w:r w:rsidR="003D0404">
                              <w:rPr>
                                <w:sz w:val="14"/>
                                <w:szCs w:val="14"/>
                              </w:rPr>
                              <w:t xml:space="preserve">D’aistrigh </w:t>
                            </w:r>
                            <w:r>
                              <w:rPr>
                                <w:sz w:val="14"/>
                                <w:szCs w:val="14"/>
                              </w:rPr>
                              <w:t>gach duine díobh</w:t>
                            </w:r>
                            <w:r w:rsidR="003D0404">
                              <w:rPr>
                                <w:sz w:val="14"/>
                                <w:szCs w:val="14"/>
                              </w:rPr>
                              <w:t xml:space="preserve">         </w:t>
                            </w:r>
                            <w:r>
                              <w:rPr>
                                <w:sz w:val="14"/>
                                <w:szCs w:val="14"/>
                              </w:rPr>
                              <w:t xml:space="preserve">    </w:t>
                            </w:r>
                            <w:r w:rsidR="003D0404">
                              <w:rPr>
                                <w:sz w:val="14"/>
                                <w:szCs w:val="14"/>
                              </w:rPr>
                              <w:t xml:space="preserve">D’aistrigh roinnt </w:t>
                            </w:r>
                            <w:r>
                              <w:rPr>
                                <w:sz w:val="14"/>
                                <w:szCs w:val="14"/>
                              </w:rPr>
                              <w:t>daoine díobh</w:t>
                            </w:r>
                            <w:r w:rsidR="003D0404">
                              <w:rPr>
                                <w:sz w:val="14"/>
                                <w:szCs w:val="14"/>
                              </w:rPr>
                              <w:t xml:space="preserve">    Níor aistrigh aon </w:t>
                            </w:r>
                            <w:r>
                              <w:rPr>
                                <w:sz w:val="14"/>
                                <w:szCs w:val="14"/>
                              </w:rPr>
                              <w:t>gach duine díobh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C83AC" id="_x0000_s1031" type="#_x0000_t202" style="position:absolute;margin-left:10.5pt;margin-top:173.7pt;width:382pt;height: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" fillcolor="white [3201]" stroked="f" strokeweight=".5pt">
                <v:textbox>
                  <w:txbxContent>
                    <w:p w14:paraId="1EEBF2E7" w14:textId="7E555C5C" w:rsidR="003D0404" w:rsidRPr="00CF318E" w:rsidRDefault="0077651B" w:rsidP="003D0404">
                      <w:pPr>
                        <w:rPr>
                          <w:sz w:val="14"/>
                          <w:szCs w:val="14"/>
                        </w:rPr>
                      </w:pPr>
                      <w:r>
                        <w:rPr>
                          <w:sz w:val="14"/>
                          <w:szCs w:val="14"/>
                        </w:rPr>
                        <w:t xml:space="preserve"> </w:t>
                      </w:r>
                      <w:r w:rsidR="003D0404">
                        <w:rPr>
                          <w:sz w:val="14"/>
                          <w:szCs w:val="14"/>
                        </w:rPr>
                        <w:t xml:space="preserve">D’aistrigh </w:t>
                      </w:r>
                      <w:r>
                        <w:rPr>
                          <w:sz w:val="14"/>
                          <w:szCs w:val="14"/>
                        </w:rPr>
                        <w:t>gach duine díobh</w:t>
                      </w:r>
                      <w:r w:rsidR="003D0404">
                        <w:rPr>
                          <w:sz w:val="14"/>
                          <w:szCs w:val="14"/>
                        </w:rPr>
                        <w:t xml:space="preserve">         </w:t>
                      </w:r>
                      <w:r>
                        <w:rPr>
                          <w:sz w:val="14"/>
                          <w:szCs w:val="14"/>
                        </w:rPr>
                        <w:t xml:space="preserve">    </w:t>
                      </w:r>
                      <w:r w:rsidR="003D0404">
                        <w:rPr>
                          <w:sz w:val="14"/>
                          <w:szCs w:val="14"/>
                        </w:rPr>
                        <w:t xml:space="preserve">D’aistrigh roinnt </w:t>
                      </w:r>
                      <w:r>
                        <w:rPr>
                          <w:sz w:val="14"/>
                          <w:szCs w:val="14"/>
                        </w:rPr>
                        <w:t>daoine díobh</w:t>
                      </w:r>
                      <w:r w:rsidR="003D0404">
                        <w:rPr>
                          <w:sz w:val="14"/>
                          <w:szCs w:val="14"/>
                        </w:rPr>
                        <w:t xml:space="preserve">    Níor aistrigh aon </w:t>
                      </w:r>
                      <w:r>
                        <w:rPr>
                          <w:sz w:val="14"/>
                          <w:szCs w:val="14"/>
                        </w:rPr>
                        <w:t>gach duine díobh</w:t>
                      </w:r>
                    </w:p>
                  </w:txbxContent>
                </v:textbox>
              </v:shape>
            </w:pict>
          </mc:Fallback>
        </mc:AlternateContent>
      </w:r>
      <w:r w:rsidR="000B4F21">
        <w:rPr>
          <w:noProof/>
          <w:lang w:val="ga"/>
        </w:rPr>
        <w:drawing>
          <wp:inline distT="0" distB="0" distL="0" distR="0" wp14:anchorId="23DFFA8D" wp14:editId="629BB2FC">
            <wp:extent cx="5000625" cy="2735580"/>
            <wp:effectExtent l="0" t="0" r="9525" b="7620"/>
            <wp:docPr id="1340803925" name="Chart 1">
              <a:extLst xmlns:a="http://schemas.openxmlformats.org/drawingml/2006/main">
                <a:ext uri="{FF2B5EF4-FFF2-40B4-BE49-F238E27FC236}">
                  <a16:creationId xmlns:a16="http://schemas.microsoft.com/office/drawing/2014/main" id="{32382A2A-8696-BA93-40F0-A33ADA63CA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A908B51" w14:textId="31AB0920" w:rsidR="00F479C5" w:rsidRPr="007202FA" w:rsidRDefault="000B4F21" w:rsidP="007202FA">
      <w:pPr>
        <w:pStyle w:val="Heading3"/>
        <w:rPr>
          <w:color w:val="BF2296"/>
          <w:sz w:val="24"/>
          <w:szCs w:val="24"/>
        </w:rPr>
      </w:pPr>
      <w:bookmarkStart w:id="152" w:name="_Toc208656802"/>
      <w:bookmarkStart w:id="153" w:name="_Toc214033649"/>
      <w:r>
        <w:rPr>
          <w:bCs/>
          <w:color w:val="BF2296"/>
          <w:sz w:val="24"/>
          <w:szCs w:val="24"/>
          <w:lang w:val="ga"/>
        </w:rPr>
        <w:t>Cláir Inmheánacha Taithí Oibre do dhaoine faoi mhíchumas</w:t>
      </w:r>
      <w:bookmarkEnd w:id="152"/>
      <w:bookmarkEnd w:id="153"/>
    </w:p>
    <w:p w14:paraId="5DB55D53" w14:textId="77777777" w:rsidR="000D208D" w:rsidRPr="005524D6" w:rsidRDefault="000B4F21" w:rsidP="007202FA">
      <w:pPr>
        <w:rPr>
          <w:lang w:val="ga"/>
        </w:rPr>
      </w:pPr>
      <w:r>
        <w:rPr>
          <w:lang w:val="ga"/>
        </w:rPr>
        <w:t>Fiafraíodh de chomhlachtaí poiblí freisin ar oibrigh siad a dtaithí oibre féin nó a gcláir inmheánacha taithí oibre féin do dhaoine faoi mhíchumas nó nár oibrigh. Fiafraíodh díobh ar soláthraíodh taithí oibre íoctha nó neamhíoctha sna cláir sin agus cá fhad a mhair na cláir sin.</w:t>
      </w:r>
    </w:p>
    <w:p w14:paraId="663D5274" w14:textId="11CA3310" w:rsidR="00F479C5" w:rsidRPr="005524D6" w:rsidRDefault="000B4F21" w:rsidP="007202FA">
      <w:pPr>
        <w:rPr>
          <w:lang w:val="ga"/>
        </w:rPr>
      </w:pPr>
      <w:r>
        <w:rPr>
          <w:lang w:val="ga"/>
        </w:rPr>
        <w:t xml:space="preserve">Sa bhliain 2024, bhí clár inmheánach taithí oibre do dhaoine faoi mhíchumas ag 32 cheann de 216 chomhlacht phoiblí (14.8%). Is laghdú beag bídeach é sin i gcomparáid le 40 ceann de 210 gcomhlacht phoiblí (19.0%) sa bhliain 2023. </w:t>
      </w:r>
    </w:p>
    <w:p w14:paraId="5991168A" w14:textId="2C9C23A8" w:rsidR="00F479C5" w:rsidRPr="005524D6" w:rsidRDefault="000B4F21" w:rsidP="007202FA">
      <w:pPr>
        <w:pStyle w:val="ListParagraph"/>
        <w:numPr>
          <w:ilvl w:val="0"/>
          <w:numId w:val="20"/>
        </w:numPr>
        <w:rPr>
          <w:lang w:val="ga"/>
        </w:rPr>
      </w:pPr>
      <w:r>
        <w:rPr>
          <w:lang w:val="ga"/>
        </w:rPr>
        <w:t>Sa bhliain 2024, sholáthair 22 cheann de na comhlachtaí poiblí sin (68.8%) cláir inmheánacha oibre íoctha, i gcomparáid le 25 cinn (62.5%) sa bhliain 2023.</w:t>
      </w:r>
    </w:p>
    <w:p w14:paraId="2E1A8347" w14:textId="61996D38" w:rsidR="00F479C5" w:rsidRPr="005524D6" w:rsidRDefault="000B4F21" w:rsidP="007202FA">
      <w:pPr>
        <w:pStyle w:val="ListParagraph"/>
        <w:numPr>
          <w:ilvl w:val="0"/>
          <w:numId w:val="20"/>
        </w:numPr>
        <w:rPr>
          <w:lang w:val="ga"/>
        </w:rPr>
      </w:pPr>
      <w:r>
        <w:rPr>
          <w:lang w:val="ga"/>
        </w:rPr>
        <w:t>Sa bhliain 2024, sholáthair 10 gcinn de na comhlachtaí poiblí sin (31.3%) cláir inmheánacha oibre neamhíoctha, i gcomparáid le 15 cinn (37.5%) sa bhliain 2023.</w:t>
      </w:r>
    </w:p>
    <w:p w14:paraId="4A2AF7C9" w14:textId="3A8806CF" w:rsidR="00F479C5" w:rsidRPr="005524D6" w:rsidRDefault="000B4F21" w:rsidP="007202FA">
      <w:pPr>
        <w:pStyle w:val="ListParagraph"/>
        <w:numPr>
          <w:ilvl w:val="0"/>
          <w:numId w:val="20"/>
        </w:numPr>
        <w:rPr>
          <w:lang w:val="ga"/>
        </w:rPr>
      </w:pPr>
      <w:r>
        <w:rPr>
          <w:lang w:val="ga"/>
        </w:rPr>
        <w:t>Sa bhliain 2024, thuairiscigh 11 cheann de na comhlachtaí poiblí sin (34.3%) gur mhair a gcláir taithí oibre tréimhse is lú ná trí mhí, i gcomparáid le 16 chomhlacht phoiblí (40%) a rinne amhlaidh sa bhliain 2023.</w:t>
      </w:r>
    </w:p>
    <w:p w14:paraId="4A010A05" w14:textId="55352C0F" w:rsidR="00356A9A" w:rsidRPr="005524D6" w:rsidRDefault="000B4F21" w:rsidP="007202FA">
      <w:pPr>
        <w:spacing w:after="120"/>
        <w:rPr>
          <w:bCs/>
          <w:lang w:val="it-IT"/>
        </w:rPr>
      </w:pPr>
      <w:r>
        <w:rPr>
          <w:lang w:val="ga"/>
        </w:rPr>
        <w:t>Fiafraíodh de chomhlachtaí poiblí a raibh na cláir sin acu sna blianta 2023 agus 2024 cá mhéad rannpháirtí sna cláir sin a d’aistrigh isteach i bhfostaíocht. Tá na freagraí ar na ceisteanna sin mar a leanas:</w:t>
      </w:r>
    </w:p>
    <w:p w14:paraId="6D6D552B" w14:textId="12A472DA" w:rsidR="00356A9A" w:rsidRPr="005524D6" w:rsidRDefault="000B4F21" w:rsidP="007202FA">
      <w:pPr>
        <w:numPr>
          <w:ilvl w:val="0"/>
          <w:numId w:val="19"/>
        </w:numPr>
        <w:rPr>
          <w:lang w:val="it-IT"/>
        </w:rPr>
      </w:pPr>
      <w:r>
        <w:rPr>
          <w:b/>
          <w:bCs/>
          <w:lang w:val="ga"/>
        </w:rPr>
        <w:lastRenderedPageBreak/>
        <w:t>D’aistrigh na rannpháirtithe uile isteach san fhostaíocht:</w:t>
      </w:r>
      <w:r>
        <w:rPr>
          <w:lang w:val="ga"/>
        </w:rPr>
        <w:t xml:space="preserve"> Sa bhliain 2024, thuairiscigh naoi gcinn de 32 chomhlacht phoiblí (28.1%) gur aistrigh a rannpháirtithe uile isteach san fhostaíocht, i gcomparáid le cúig cinn de 40 comhlacht poiblí (12.5%) sa bhliain 2023.</w:t>
      </w:r>
      <w:r>
        <w:rPr>
          <w:rStyle w:val="FootnoteReference"/>
          <w:lang w:val="ga"/>
        </w:rPr>
        <w:footnoteReference w:id="8"/>
      </w:r>
    </w:p>
    <w:p w14:paraId="16694F9B" w14:textId="49D6C945" w:rsidR="00356A9A" w:rsidRPr="005524D6" w:rsidRDefault="000B4F21" w:rsidP="007202FA">
      <w:pPr>
        <w:numPr>
          <w:ilvl w:val="0"/>
          <w:numId w:val="18"/>
        </w:numPr>
        <w:rPr>
          <w:lang w:val="it-IT"/>
        </w:rPr>
      </w:pPr>
      <w:r>
        <w:rPr>
          <w:b/>
          <w:bCs/>
          <w:lang w:val="ga"/>
        </w:rPr>
        <w:t xml:space="preserve">D’aistrigh roinnt rannpháirtithe isteach san fhostaíocht: </w:t>
      </w:r>
      <w:r>
        <w:rPr>
          <w:lang w:val="ga"/>
        </w:rPr>
        <w:t>Sa bhliain 2024, thuairiscigh cúig cinn de 32 chomhlacht phoiblí (15.6%) gur aistrigh roinnt rannpháirtithe isteach san fhostaíocht, i gcomparáid le sé cinn de 40 comhlacht poiblí (15.0%) sa bhliain 2023.</w:t>
      </w:r>
    </w:p>
    <w:p w14:paraId="51381D08" w14:textId="4FF43F1F" w:rsidR="001529E1" w:rsidRPr="005524D6" w:rsidRDefault="000B4F21" w:rsidP="007202FA">
      <w:pPr>
        <w:numPr>
          <w:ilvl w:val="0"/>
          <w:numId w:val="18"/>
        </w:numPr>
        <w:spacing w:after="0"/>
        <w:ind w:left="714" w:hanging="357"/>
        <w:rPr>
          <w:lang w:val="it-IT"/>
        </w:rPr>
      </w:pPr>
      <w:r>
        <w:rPr>
          <w:b/>
          <w:bCs/>
          <w:lang w:val="ga"/>
        </w:rPr>
        <w:t>Níor aistrigh aon rannpháirtithe isteach san fhostaíocht:</w:t>
      </w:r>
      <w:r>
        <w:rPr>
          <w:lang w:val="ga"/>
        </w:rPr>
        <w:t xml:space="preserve"> Sa bhliain 2024, thuairiscigh 16 cinn de 32 chomhlacht phoiblí (50.0%) nár aistrigh aon duine dá rannpháirtithe isteach san fhostaíocht, i gcomparáid le 23 cinn de 40 comhlacht poiblí (57.5%) sa bhliain 2023.</w:t>
      </w:r>
    </w:p>
    <w:p w14:paraId="4C951A06" w14:textId="54CEE8CF" w:rsidR="005A4260" w:rsidRPr="005524D6" w:rsidRDefault="000B4F21" w:rsidP="007202FA">
      <w:pPr>
        <w:spacing w:after="0"/>
        <w:ind w:left="714"/>
        <w:rPr>
          <w:lang w:val="it-IT"/>
        </w:rPr>
      </w:pPr>
      <w:r>
        <w:rPr>
          <w:b/>
          <w:bCs/>
          <w:lang w:val="ga"/>
        </w:rPr>
        <w:t>Féach Fíor 5 chun tuilleadh mionsonraí a fháil.</w:t>
      </w:r>
      <w:bookmarkStart w:id="154" w:name="_Hlk177002746"/>
      <w:bookmarkEnd w:id="145"/>
      <w:bookmarkEnd w:id="146"/>
    </w:p>
    <w:p w14:paraId="28ADA750" w14:textId="77777777" w:rsidR="005A4260" w:rsidRPr="005524D6" w:rsidRDefault="005A4260" w:rsidP="007202FA">
      <w:pPr>
        <w:spacing w:after="0"/>
        <w:ind w:left="714"/>
        <w:rPr>
          <w:lang w:val="it-IT"/>
        </w:rPr>
      </w:pPr>
    </w:p>
    <w:p w14:paraId="15DEC773" w14:textId="7DCBD88F" w:rsidR="00A16D4A" w:rsidRPr="005524D6" w:rsidRDefault="000B4F21" w:rsidP="007202FA">
      <w:pPr>
        <w:rPr>
          <w:lang w:val="ga"/>
        </w:rPr>
      </w:pPr>
      <w:r>
        <w:rPr>
          <w:b/>
          <w:bCs/>
          <w:lang w:val="ga"/>
        </w:rPr>
        <w:t>Fíor 5: Cláir inmheánacha taithí oibre. An líon comhlachtaí poiblí inar aistrigh fostaithe isteach i stádas fostaíochta sna blianta 2023 agus 2024</w:t>
      </w:r>
    </w:p>
    <w:p w14:paraId="2406B417" w14:textId="514A27C5" w:rsidR="00DE7647" w:rsidRPr="007202FA" w:rsidRDefault="00864906" w:rsidP="007202FA">
      <w:pPr>
        <w:rPr>
          <w:bCs/>
        </w:rPr>
      </w:pPr>
      <w:r>
        <w:rPr>
          <w:noProof/>
          <w:lang w:val="ga"/>
        </w:rPr>
        <mc:AlternateContent>
          <mc:Choice Requires="wps">
            <w:drawing>
              <wp:anchor distT="0" distB="0" distL="114300" distR="114300" simplePos="0" relativeHeight="251671552" behindDoc="0" locked="0" layoutInCell="1" allowOverlap="1" wp14:anchorId="0E0BDEF9" wp14:editId="22940300">
                <wp:simplePos x="0" y="0"/>
                <wp:positionH relativeFrom="column">
                  <wp:posOffset>527050</wp:posOffset>
                </wp:positionH>
                <wp:positionV relativeFrom="paragraph">
                  <wp:posOffset>2406650</wp:posOffset>
                </wp:positionV>
                <wp:extent cx="4851400" cy="298450"/>
                <wp:effectExtent l="0" t="0" r="6350" b="6350"/>
                <wp:wrapNone/>
                <wp:docPr id="1082726762" name="Text Box 3"/>
                <wp:cNvGraphicFramePr/>
                <a:graphic xmlns:a="http://schemas.openxmlformats.org/drawingml/2006/main">
                  <a:graphicData uri="http://schemas.microsoft.com/office/word/2010/wordprocessingShape">
                    <wps:wsp>
                      <wps:cNvSpPr txBox="1"/>
                      <wps:spPr>
                        <a:xfrm>
                          <a:off x="0" y="0"/>
                          <a:ext cx="4851400" cy="298450"/>
                        </a:xfrm>
                        <a:prstGeom prst="rect">
                          <a:avLst/>
                        </a:prstGeom>
                        <a:solidFill>
                          <a:schemeClr val="lt1"/>
                        </a:solidFill>
                        <a:ln w="6350">
                          <a:noFill/>
                        </a:ln>
                      </wps:spPr>
                      <wps:txbx>
                        <w:txbxContent>
                          <w:p w14:paraId="27A96F7E" w14:textId="2E849516" w:rsidR="00864906" w:rsidRPr="00CF318E" w:rsidRDefault="00864906" w:rsidP="00864906">
                            <w:pPr>
                              <w:rPr>
                                <w:sz w:val="14"/>
                                <w:szCs w:val="14"/>
                              </w:rPr>
                            </w:pPr>
                            <w:r>
                              <w:rPr>
                                <w:sz w:val="14"/>
                                <w:szCs w:val="14"/>
                              </w:rPr>
                              <w:t>D’aistrigh na fostaithe uile                  D’aistrigh roinnt fostaithe                Níor aistrigh aon fhostaithe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DEF9" id="_x0000_s1032" type="#_x0000_t202" style="position:absolute;margin-left:41.5pt;margin-top:189.5pt;width:382pt;height: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" fillcolor="white [3201]" stroked="f" strokeweight=".5pt">
                <v:textbox>
                  <w:txbxContent>
                    <w:p w14:paraId="27A96F7E" w14:textId="2E849516" w:rsidR="00864906" w:rsidRPr="00CF318E" w:rsidRDefault="00864906" w:rsidP="00864906">
                      <w:pPr>
                        <w:rPr>
                          <w:sz w:val="14"/>
                          <w:szCs w:val="14"/>
                        </w:rPr>
                      </w:pPr>
                      <w:r>
                        <w:rPr>
                          <w:sz w:val="14"/>
                          <w:szCs w:val="14"/>
                        </w:rPr>
                        <w:t>D’aistrigh na fostaithe uile                  D’aistrigh roinnt fostaithe                Níor aistrigh aon fhostaithe</w:t>
                      </w:r>
                    </w:p>
                  </w:txbxContent>
                </v:textbox>
              </v:shape>
            </w:pict>
          </mc:Fallback>
        </mc:AlternateContent>
      </w:r>
      <w:r w:rsidR="000B4F21">
        <w:rPr>
          <w:noProof/>
          <w:lang w:val="ga"/>
        </w:rPr>
        <w:drawing>
          <wp:inline distT="0" distB="0" distL="0" distR="0" wp14:anchorId="0A2E5D7E" wp14:editId="2FC56C7D">
            <wp:extent cx="5600700" cy="2924175"/>
            <wp:effectExtent l="0" t="0" r="0" b="9525"/>
            <wp:docPr id="762364512" name="Chart 1">
              <a:extLst xmlns:a="http://schemas.openxmlformats.org/drawingml/2006/main">
                <a:ext uri="{FF2B5EF4-FFF2-40B4-BE49-F238E27FC236}">
                  <a16:creationId xmlns:a16="http://schemas.microsoft.com/office/drawing/2014/main" id="{E811C080-D812-6A44-0644-639F490D73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750268" w14:textId="56FA0978" w:rsidR="00590BEF" w:rsidRPr="005524D6" w:rsidRDefault="000B4F21" w:rsidP="007202FA">
      <w:pPr>
        <w:spacing w:before="240"/>
        <w:rPr>
          <w:lang w:val="ga"/>
        </w:rPr>
      </w:pPr>
      <w:r>
        <w:rPr>
          <w:lang w:val="ga"/>
        </w:rPr>
        <w:t xml:space="preserve">Tugann ÚNM dá aire an laghdú ar an líon comhlachtaí poiblí atá ag cur cláir taithí oibre chun feidhme. Is féidir leis na cláir sin cabhrú le comhlachtaí poiblí earcú daoine a bhfuil míchumas orthu a mhéadú. Scrúdóimid aon dúshláin a d’fhéadfadh a bheith ag baint leis an mbeart </w:t>
      </w:r>
      <w:r>
        <w:rPr>
          <w:lang w:val="ga"/>
        </w:rPr>
        <w:lastRenderedPageBreak/>
        <w:t>sin agus fiosróimid na roghanna le haghaidh an líon comhlachtaí poiblí a chuirfidh an beart sin chun feidhme a mhéadú amach anseo.</w:t>
      </w:r>
    </w:p>
    <w:p w14:paraId="2E023AE2" w14:textId="243D490E" w:rsidR="00174B11" w:rsidRPr="005524D6" w:rsidRDefault="000B4F21" w:rsidP="007202FA">
      <w:pPr>
        <w:pStyle w:val="Heading2"/>
        <w:rPr>
          <w:color w:val="BF2296"/>
          <w:lang w:val="ga"/>
        </w:rPr>
      </w:pPr>
      <w:bookmarkStart w:id="155" w:name="_Toc214033650"/>
      <w:bookmarkStart w:id="156" w:name="_Hlk207703344"/>
      <w:r>
        <w:rPr>
          <w:bCs/>
          <w:color w:val="BF2296"/>
          <w:lang w:val="ga"/>
        </w:rPr>
        <w:t>3.7 Idirchaidreamh le Coistí Faireacháin</w:t>
      </w:r>
      <w:bookmarkEnd w:id="155"/>
      <w:r>
        <w:rPr>
          <w:bCs/>
          <w:color w:val="BF2296"/>
          <w:lang w:val="ga"/>
        </w:rPr>
        <w:t xml:space="preserve"> </w:t>
      </w:r>
    </w:p>
    <w:p w14:paraId="4C662C21" w14:textId="77777777" w:rsidR="00174B11" w:rsidRPr="005524D6" w:rsidRDefault="000B4F21" w:rsidP="007202FA">
      <w:pPr>
        <w:rPr>
          <w:lang w:val="ga"/>
        </w:rPr>
      </w:pPr>
      <w:r>
        <w:rPr>
          <w:lang w:val="ga"/>
        </w:rPr>
        <w:t>Fiafraíodh de chomhlachtaí poiblí an ndearna siad aon idirchaidreamh leis an gCoiste Faireacháin ina máthair-Roinn sa bhliain 2024 nó nach ndearna.</w:t>
      </w:r>
    </w:p>
    <w:p w14:paraId="72EA0FEB" w14:textId="022A7401" w:rsidR="00590BEF" w:rsidRPr="005524D6" w:rsidRDefault="000B4F21" w:rsidP="007202FA">
      <w:pPr>
        <w:rPr>
          <w:lang w:val="ga"/>
        </w:rPr>
      </w:pPr>
      <w:r>
        <w:rPr>
          <w:lang w:val="ga"/>
        </w:rPr>
        <w:t xml:space="preserve">Sa bhliain 2024, thuairiscigh 95 cinn (44.0%) de 216 chomhlacht phoiblí go ndearna siad idirchaidreamh lena gCoiste Faireacháin sa bhliain 2024, i gcomparáid le 88 gcinn (41.9%) de 210 gcomhlacht phoiblí sa bhliain 2023. </w:t>
      </w:r>
    </w:p>
    <w:p w14:paraId="0598FB77" w14:textId="6DEC5D81" w:rsidR="0019062E" w:rsidRPr="005524D6" w:rsidRDefault="000B4F21" w:rsidP="007202FA">
      <w:pPr>
        <w:rPr>
          <w:lang w:val="ga"/>
        </w:rPr>
      </w:pPr>
      <w:r>
        <w:rPr>
          <w:lang w:val="ga"/>
        </w:rPr>
        <w:t xml:space="preserve">Sa bhliain 2024, ní dhearna 121 cheann (56.0%) de 216 chomhlacht phoiblí idirchaidreamh lena gCoiste Faireacháin, i gcomparáid le 122 cheann (58.1%) de 210 gcomhlacht phoiblí sa bhliain 2023. </w:t>
      </w:r>
    </w:p>
    <w:p w14:paraId="43D50A67" w14:textId="2B749284" w:rsidR="00546C93" w:rsidRPr="005524D6" w:rsidRDefault="000B4F21" w:rsidP="007202FA">
      <w:pPr>
        <w:rPr>
          <w:lang w:val="ga"/>
        </w:rPr>
      </w:pPr>
      <w:r>
        <w:rPr>
          <w:lang w:val="ga"/>
        </w:rPr>
        <w:t>Sna blianta 2023 agus 2024, fiafraíodh de na comhlachtaí poiblí sin cén fáth nach ndearna siad aon idirchaidreamh lena gCoiste Faireacháin.</w:t>
      </w:r>
    </w:p>
    <w:p w14:paraId="37FAC4F7" w14:textId="6E99BDE6" w:rsidR="0019062E" w:rsidRPr="005524D6" w:rsidRDefault="000B4F21" w:rsidP="007202FA">
      <w:pPr>
        <w:rPr>
          <w:lang w:val="ga"/>
        </w:rPr>
      </w:pPr>
      <w:r>
        <w:rPr>
          <w:lang w:val="ga"/>
        </w:rPr>
        <w:t>Maidir leis na cúiseanna is coitianta a thug comhlachtaí poiblí le gan idirchaidreamh a dhéanamh le Coistí Faireacháin sa bhliain 2023, tá siad difriúil leis na cúiseanna is coitianta a tugadh sa bhliain 2024.</w:t>
      </w:r>
    </w:p>
    <w:p w14:paraId="3DB406BB" w14:textId="3E27F212" w:rsidR="0042182A" w:rsidRPr="005524D6" w:rsidRDefault="000B4F21" w:rsidP="007202FA">
      <w:pPr>
        <w:pStyle w:val="Heading3"/>
        <w:rPr>
          <w:color w:val="BF2296"/>
          <w:sz w:val="24"/>
          <w:szCs w:val="24"/>
          <w:lang w:val="ga"/>
        </w:rPr>
      </w:pPr>
      <w:bookmarkStart w:id="157" w:name="_Toc214012348"/>
      <w:bookmarkStart w:id="158" w:name="_Toc213072653"/>
      <w:bookmarkStart w:id="159" w:name="_Toc208657409"/>
      <w:bookmarkStart w:id="160" w:name="_Toc208656804"/>
      <w:bookmarkStart w:id="161" w:name="_Toc214033651"/>
      <w:r>
        <w:rPr>
          <w:bCs/>
          <w:color w:val="BF2296"/>
          <w:sz w:val="24"/>
          <w:szCs w:val="24"/>
          <w:lang w:val="ga"/>
        </w:rPr>
        <w:t>Cúiseanna nach ndearnadh idirchaidreamh leis an gCoiste Faireacháin sa bhliain 2023</w:t>
      </w:r>
      <w:bookmarkEnd w:id="157"/>
      <w:bookmarkEnd w:id="158"/>
      <w:bookmarkEnd w:id="159"/>
      <w:bookmarkEnd w:id="160"/>
      <w:bookmarkEnd w:id="161"/>
    </w:p>
    <w:p w14:paraId="3E72FAF7" w14:textId="2F57E205" w:rsidR="0042182A" w:rsidRPr="005524D6" w:rsidRDefault="000B4F21" w:rsidP="007202FA">
      <w:pPr>
        <w:rPr>
          <w:lang w:val="ga"/>
        </w:rPr>
      </w:pPr>
      <w:r>
        <w:rPr>
          <w:lang w:val="ga"/>
        </w:rPr>
        <w:t>Sa bhliain 2023, ba iad seo a leanas na cúiseanna is coitianta a thug comhlachtaí poiblí le gan idirchaidreamh a dhéanamh leis an gCoiste Faireacháin:</w:t>
      </w:r>
    </w:p>
    <w:p w14:paraId="766B0EA8" w14:textId="244C0895" w:rsidR="0042182A" w:rsidRPr="005524D6" w:rsidRDefault="000B4F21" w:rsidP="007202FA">
      <w:pPr>
        <w:pStyle w:val="NDABullet"/>
        <w:rPr>
          <w:lang w:val="ga"/>
        </w:rPr>
      </w:pPr>
      <w:r>
        <w:rPr>
          <w:b/>
          <w:bCs/>
          <w:lang w:val="ga"/>
        </w:rPr>
        <w:t xml:space="preserve">Gan aon chúis shonrach a bheith acu le hidirchaidreamh a dhéanamh: </w:t>
      </w:r>
      <w:r>
        <w:rPr>
          <w:lang w:val="ga"/>
        </w:rPr>
        <w:t xml:space="preserve"> Sa bhliain 2023, ba í sin an phríomhchúis a thug 73 cinn de 122 chomhlacht phoiblí (59.8%).</w:t>
      </w:r>
    </w:p>
    <w:p w14:paraId="5ADF25A5" w14:textId="4823CBFD" w:rsidR="0042182A" w:rsidRPr="007202FA" w:rsidRDefault="000B4F21" w:rsidP="007202FA">
      <w:pPr>
        <w:pStyle w:val="NDABullet"/>
      </w:pPr>
      <w:r>
        <w:rPr>
          <w:b/>
          <w:bCs/>
          <w:lang w:val="ga"/>
        </w:rPr>
        <w:t xml:space="preserve">Ní dhearna an Coiste Faireacháin teagmháil: </w:t>
      </w:r>
      <w:r>
        <w:rPr>
          <w:lang w:val="ga"/>
        </w:rPr>
        <w:t>Sa bhliain 2024, thug 20 ceann de 121 chomhlacht phoiblí (16.4%) an freagra sin.</w:t>
      </w:r>
    </w:p>
    <w:p w14:paraId="57078E76" w14:textId="5B4EE4DD" w:rsidR="00546C93" w:rsidRPr="007202FA" w:rsidRDefault="000B4F21" w:rsidP="007202FA">
      <w:pPr>
        <w:pStyle w:val="Heading3"/>
        <w:rPr>
          <w:color w:val="BF2296"/>
          <w:sz w:val="24"/>
          <w:szCs w:val="24"/>
        </w:rPr>
      </w:pPr>
      <w:bookmarkStart w:id="162" w:name="_Toc214012349"/>
      <w:bookmarkStart w:id="163" w:name="_Toc213072654"/>
      <w:bookmarkStart w:id="164" w:name="_Toc208657410"/>
      <w:bookmarkStart w:id="165" w:name="_Toc208656805"/>
      <w:bookmarkStart w:id="166" w:name="_Toc214033652"/>
      <w:r>
        <w:rPr>
          <w:bCs/>
          <w:color w:val="BF2296"/>
          <w:sz w:val="24"/>
          <w:szCs w:val="24"/>
          <w:lang w:val="ga"/>
        </w:rPr>
        <w:t>Cúiseanna nach ndearnadh idirchaidreamh leis na Coistí Faireacháin sa bhliain 2024</w:t>
      </w:r>
      <w:bookmarkEnd w:id="162"/>
      <w:bookmarkEnd w:id="163"/>
      <w:bookmarkEnd w:id="164"/>
      <w:bookmarkEnd w:id="165"/>
      <w:bookmarkEnd w:id="166"/>
    </w:p>
    <w:p w14:paraId="4F0B49D8" w14:textId="7A67011F" w:rsidR="00546C93" w:rsidRPr="007202FA" w:rsidRDefault="000B4F21" w:rsidP="007202FA">
      <w:r>
        <w:rPr>
          <w:lang w:val="ga"/>
        </w:rPr>
        <w:t>Sa bhliain 2024, ba iad seo a leanas na cúiseanna is coitianta a thug comhlachtaí poiblí le gan idirchaidreamh a dhéanamh leis an gCoiste Faireacháin:</w:t>
      </w:r>
    </w:p>
    <w:p w14:paraId="014425C2" w14:textId="34A366C2" w:rsidR="0019062E" w:rsidRPr="007202FA" w:rsidRDefault="000B4F21" w:rsidP="007202FA">
      <w:pPr>
        <w:pStyle w:val="NDABullet"/>
      </w:pPr>
      <w:r>
        <w:rPr>
          <w:b/>
          <w:bCs/>
          <w:lang w:val="ga"/>
        </w:rPr>
        <w:t xml:space="preserve">Baineadh an íos-sprioc amach: </w:t>
      </w:r>
      <w:r>
        <w:rPr>
          <w:lang w:val="ga"/>
        </w:rPr>
        <w:t xml:space="preserve"> Sa bhliain 2024, ba í sin an phríomhchúis a thug 94 cinn de 121 chomhlacht phoiblí (77.7%).</w:t>
      </w:r>
    </w:p>
    <w:p w14:paraId="7164AE71" w14:textId="79F44EF6" w:rsidR="00546C93" w:rsidRPr="007202FA" w:rsidRDefault="000B4F21" w:rsidP="007202FA">
      <w:pPr>
        <w:pStyle w:val="NDABullet"/>
        <w:rPr>
          <w:b/>
          <w:bCs/>
        </w:rPr>
      </w:pPr>
      <w:r>
        <w:rPr>
          <w:b/>
          <w:bCs/>
          <w:lang w:val="ga"/>
        </w:rPr>
        <w:t xml:space="preserve">Thuig an comhlacht poiblí a oibleagáidí faoi Chuid 5: </w:t>
      </w:r>
      <w:r>
        <w:rPr>
          <w:lang w:val="ga"/>
        </w:rPr>
        <w:t>Sa bhliain 2024, thug 76 cinn de 121 chomhlacht phoiblí (62.8%) an freagra sin.</w:t>
      </w:r>
    </w:p>
    <w:p w14:paraId="30C07908" w14:textId="27C62B66" w:rsidR="00DC6DB3" w:rsidRPr="007202FA" w:rsidRDefault="000B4F21" w:rsidP="007202FA">
      <w:pPr>
        <w:pStyle w:val="NDABullet"/>
        <w:rPr>
          <w:b/>
          <w:bCs/>
        </w:rPr>
      </w:pPr>
      <w:r>
        <w:rPr>
          <w:b/>
          <w:bCs/>
          <w:lang w:val="ga"/>
        </w:rPr>
        <w:lastRenderedPageBreak/>
        <w:t xml:space="preserve">Ní dhearna an Coiste Faireacháin teagmháil: </w:t>
      </w:r>
      <w:r>
        <w:rPr>
          <w:lang w:val="ga"/>
        </w:rPr>
        <w:t>Sa bhliain 2024, thug 42 cheann de 121 chomhlacht phoiblí (34.7%) an freagra sin.</w:t>
      </w:r>
    </w:p>
    <w:p w14:paraId="6DA83243" w14:textId="4389F5FE" w:rsidR="00590BEF" w:rsidRPr="005524D6" w:rsidRDefault="000B4F21" w:rsidP="007202FA">
      <w:pPr>
        <w:rPr>
          <w:lang w:val="ga"/>
        </w:rPr>
      </w:pPr>
      <w:r>
        <w:rPr>
          <w:lang w:val="ga"/>
        </w:rPr>
        <w:t>Tá imní ar ÚNM nach ndearna a gCoistí Faireacháin teagmháil le comhlachtaí poiblí. Mar sin féin, tugaimid dár n-aire freisin gur thuairiscigh roinnt comhlachtaí poiblí athruithe ar a gCoistí Faireacháin, nach raibh ach tar éis foghlaim faoin bpróiseas seo. Leanfaidh ÚNM den chomhairle agus den treoir uaidh a chur in iúl, is é sin gur gá do Choistí Faireacháin agus do chomhlachtaí poiblí obair i ndlúthchomhar chun a chinntiú go leanfaidh comhlachtaí poiblí dá bhfeidhmíocht faoi Chuid 5 a fheabhsú.</w:t>
      </w:r>
    </w:p>
    <w:p w14:paraId="689D1452" w14:textId="77777777" w:rsidR="00590BEF" w:rsidRPr="005524D6" w:rsidRDefault="000B4F21" w:rsidP="007202FA">
      <w:pPr>
        <w:rPr>
          <w:lang w:val="ga"/>
        </w:rPr>
      </w:pPr>
      <w:r>
        <w:rPr>
          <w:kern w:val="0"/>
          <w:lang w:val="ga"/>
          <w14:ligatures w14:val="none"/>
        </w:rPr>
        <w:br w:type="page"/>
      </w:r>
    </w:p>
    <w:p w14:paraId="6D2181DA" w14:textId="77777777" w:rsidR="00590BEF" w:rsidRPr="005524D6" w:rsidRDefault="000B4F21" w:rsidP="007202FA">
      <w:pPr>
        <w:pStyle w:val="Heading1"/>
        <w:rPr>
          <w:color w:val="BF2296"/>
          <w:lang w:val="ga"/>
        </w:rPr>
      </w:pPr>
      <w:bookmarkStart w:id="167" w:name="_Toc214033653"/>
      <w:bookmarkStart w:id="168" w:name="_Toc176801617"/>
      <w:bookmarkEnd w:id="131"/>
      <w:bookmarkEnd w:id="154"/>
      <w:bookmarkEnd w:id="156"/>
      <w:r>
        <w:rPr>
          <w:bCs/>
          <w:color w:val="BF2296"/>
          <w:lang w:val="ga"/>
        </w:rPr>
        <w:lastRenderedPageBreak/>
        <w:t>4. Faireachán agus Comhlíonadh</w:t>
      </w:r>
      <w:bookmarkEnd w:id="167"/>
      <w:r>
        <w:rPr>
          <w:bCs/>
          <w:color w:val="BF2296"/>
          <w:lang w:val="ga"/>
        </w:rPr>
        <w:t xml:space="preserve"> </w:t>
      </w:r>
      <w:bookmarkEnd w:id="168"/>
    </w:p>
    <w:p w14:paraId="397F6FE6" w14:textId="77777777" w:rsidR="00590BEF" w:rsidRPr="005524D6" w:rsidRDefault="000B4F21" w:rsidP="007202FA">
      <w:pPr>
        <w:pStyle w:val="Heading2"/>
        <w:rPr>
          <w:color w:val="BF2296"/>
          <w:lang w:val="ga"/>
        </w:rPr>
      </w:pPr>
      <w:bookmarkStart w:id="169" w:name="_Toc208656807"/>
      <w:bookmarkStart w:id="170" w:name="_Toc208409898"/>
      <w:bookmarkStart w:id="171" w:name="_Toc214033654"/>
      <w:bookmarkStart w:id="172" w:name="_Toc176801618"/>
      <w:bookmarkStart w:id="173" w:name="_Toc526435819"/>
      <w:bookmarkStart w:id="174" w:name="_Toc18680253"/>
      <w:r>
        <w:rPr>
          <w:bCs/>
          <w:color w:val="BF2296"/>
          <w:lang w:val="ga"/>
        </w:rPr>
        <w:t>Comhlíonadh faoi Chuid 5 den Acht um Míchumas 2005</w:t>
      </w:r>
      <w:bookmarkEnd w:id="169"/>
      <w:bookmarkEnd w:id="170"/>
      <w:bookmarkEnd w:id="171"/>
    </w:p>
    <w:bookmarkEnd w:id="172"/>
    <w:p w14:paraId="68F48D04" w14:textId="77777777" w:rsidR="00590BEF" w:rsidRPr="005524D6" w:rsidRDefault="000B4F21" w:rsidP="007202FA">
      <w:pPr>
        <w:rPr>
          <w:lang w:val="ga"/>
        </w:rPr>
      </w:pPr>
      <w:r>
        <w:rPr>
          <w:lang w:val="ga"/>
        </w:rPr>
        <w:t xml:space="preserve">Faoi alt 49 den Acht um Míchumas 2005, féadfaidh ÚNM tuilleadh faisnéise a iarraidh ó chomhlachtaí poiblí nár bhain an íos-sprioc reatha 3% amach le dhá bhliain as a chéile. Athbhreithníonn ÚNM an fhaisnéis sin chun a chinneadh an bhfuil comhlacht poiblí comhlíontach faoi Chuid 5 nó nach bhfuil. </w:t>
      </w:r>
      <w:bookmarkStart w:id="175" w:name="_Toc176801619"/>
      <w:bookmarkEnd w:id="173"/>
      <w:bookmarkEnd w:id="174"/>
      <w:r>
        <w:rPr>
          <w:lang w:val="ga"/>
        </w:rPr>
        <w:t xml:space="preserve">Déanann ÚNM faireachán ar fheidhmíocht na gcomhlachtaí poiblí uile. Mar atá luaite i </w:t>
      </w:r>
      <w:r>
        <w:rPr>
          <w:b/>
          <w:bCs/>
          <w:lang w:val="ga"/>
        </w:rPr>
        <w:t>Rannán 2.3 den tuarascáil seo</w:t>
      </w:r>
      <w:r>
        <w:rPr>
          <w:lang w:val="ga"/>
        </w:rPr>
        <w:t xml:space="preserve">, áfach, aithníonn ÚNM na deacrachtaí a bhíonn ag comhlachtaí poiblí beaga (a bhfuil níos lú ná caoga fostaí acu) maidir leis an íos-sprioc a bhaint amach. Sa chomhthéacs sin, seolaimid iarrataí alt 49 chuig comhlachtaí poiblí a bhfuil níos mó ná caoga fostaí acu. </w:t>
      </w:r>
    </w:p>
    <w:p w14:paraId="08D2B0B7" w14:textId="77777777" w:rsidR="00590BEF" w:rsidRPr="005524D6" w:rsidRDefault="000B4F21" w:rsidP="007202FA">
      <w:pPr>
        <w:pStyle w:val="Heading3"/>
        <w:rPr>
          <w:color w:val="BF2296"/>
          <w:lang w:val="ga"/>
        </w:rPr>
      </w:pPr>
      <w:bookmarkStart w:id="176" w:name="_Toc208656808"/>
      <w:bookmarkStart w:id="177" w:name="_Toc208409899"/>
      <w:bookmarkStart w:id="178" w:name="_Toc214033655"/>
      <w:r>
        <w:rPr>
          <w:bCs/>
          <w:color w:val="BF2296"/>
          <w:lang w:val="ga"/>
        </w:rPr>
        <w:t xml:space="preserve">4.1 </w:t>
      </w:r>
      <w:bookmarkStart w:id="179" w:name="_Toc176801620"/>
      <w:bookmarkStart w:id="180" w:name="_Toc498585841"/>
      <w:bookmarkStart w:id="181" w:name="_Toc526435823"/>
      <w:bookmarkStart w:id="182" w:name="_Toc18680257"/>
      <w:bookmarkEnd w:id="175"/>
      <w:r>
        <w:rPr>
          <w:bCs/>
          <w:color w:val="BF2296"/>
          <w:lang w:val="ga"/>
        </w:rPr>
        <w:t>Comhlíonadh an Achta, 2021 agus 2022</w:t>
      </w:r>
      <w:bookmarkEnd w:id="176"/>
      <w:bookmarkEnd w:id="177"/>
      <w:bookmarkEnd w:id="178"/>
    </w:p>
    <w:p w14:paraId="15D2234A" w14:textId="77777777" w:rsidR="00590BEF" w:rsidRPr="005524D6" w:rsidRDefault="000B4F21" w:rsidP="007202FA">
      <w:pPr>
        <w:rPr>
          <w:szCs w:val="24"/>
          <w:lang w:val="ga"/>
        </w:rPr>
      </w:pPr>
      <w:r>
        <w:rPr>
          <w:szCs w:val="24"/>
          <w:lang w:val="ga"/>
        </w:rPr>
        <w:t>Sna blianta 2021 agus 2022, níor bhain na cúig chomhlacht phoiblí seo a leanas an íos-sprioc 3% amach don dá bhliain chomhleanúnacha sin:</w:t>
      </w:r>
    </w:p>
    <w:p w14:paraId="39A09A4F" w14:textId="3A3FE56B" w:rsidR="00590BEF" w:rsidRPr="005524D6" w:rsidRDefault="000B4F21" w:rsidP="007202FA">
      <w:pPr>
        <w:pStyle w:val="NDABullet"/>
        <w:rPr>
          <w:lang w:val="ga"/>
        </w:rPr>
      </w:pPr>
      <w:r>
        <w:rPr>
          <w:lang w:val="ga"/>
        </w:rPr>
        <w:t>Ollscoil Teicneolaíochta an Atlantaigh, Gaillimh-Maigh Eo (ATU) – ar a dtugtaí Institiúid Teicneolaíochta na Gaillimhe-Maigh Eo sa bhliain 2021</w:t>
      </w:r>
    </w:p>
    <w:p w14:paraId="614CAD07" w14:textId="40510925" w:rsidR="00590BEF" w:rsidRPr="007202FA" w:rsidRDefault="000B4F21" w:rsidP="007202FA">
      <w:pPr>
        <w:pStyle w:val="NDABullet"/>
      </w:pPr>
      <w:r>
        <w:rPr>
          <w:lang w:val="ga"/>
        </w:rPr>
        <w:t>Bord Bia</w:t>
      </w:r>
    </w:p>
    <w:p w14:paraId="5596C7B3" w14:textId="6ECEC0E0" w:rsidR="00590BEF" w:rsidRPr="007202FA" w:rsidRDefault="000B4F21" w:rsidP="007202FA">
      <w:pPr>
        <w:pStyle w:val="NDABullet"/>
      </w:pPr>
      <w:r>
        <w:rPr>
          <w:lang w:val="ga"/>
        </w:rPr>
        <w:t>Feidhmeannacht na Seirbhíse Sláinte (FSS)</w:t>
      </w:r>
    </w:p>
    <w:p w14:paraId="1477F5EC" w14:textId="370C1231" w:rsidR="00590BEF" w:rsidRPr="007202FA" w:rsidRDefault="000B4F21" w:rsidP="007202FA">
      <w:pPr>
        <w:pStyle w:val="NDABullet"/>
      </w:pPr>
      <w:r>
        <w:rPr>
          <w:lang w:val="ga"/>
        </w:rPr>
        <w:t>An Ghníomhaireacht um Fhorbairt Talún</w:t>
      </w:r>
    </w:p>
    <w:p w14:paraId="592214AE" w14:textId="6522A190" w:rsidR="00590BEF" w:rsidRPr="007202FA" w:rsidRDefault="000B4F21" w:rsidP="007202FA">
      <w:pPr>
        <w:pStyle w:val="NDABullet"/>
      </w:pPr>
      <w:r>
        <w:rPr>
          <w:lang w:val="ga"/>
        </w:rPr>
        <w:t>An Chomhairle Ealaíon</w:t>
      </w:r>
    </w:p>
    <w:p w14:paraId="0B804F06" w14:textId="77777777" w:rsidR="00590BEF" w:rsidRPr="007202FA" w:rsidRDefault="000B4F21" w:rsidP="007202FA">
      <w:pPr>
        <w:pStyle w:val="ListBullet"/>
        <w:numPr>
          <w:ilvl w:val="0"/>
          <w:numId w:val="0"/>
        </w:numPr>
        <w:tabs>
          <w:tab w:val="left" w:pos="720"/>
        </w:tabs>
        <w:spacing w:before="120"/>
        <w:rPr>
          <w:rFonts w:ascii="Verdana" w:hAnsi="Verdana"/>
          <w:sz w:val="24"/>
        </w:rPr>
      </w:pPr>
      <w:r>
        <w:rPr>
          <w:rFonts w:ascii="Verdana" w:hAnsi="Verdana"/>
          <w:sz w:val="24"/>
          <w:lang w:val="ga"/>
        </w:rPr>
        <w:t xml:space="preserve">Sheol ÚNM iarrataí alt 49 do na blianta 2021 agus 2022 chuig na comhlachtaí poiblí sin. </w:t>
      </w:r>
    </w:p>
    <w:p w14:paraId="54645DAA" w14:textId="77777777" w:rsidR="00590BEF" w:rsidRPr="007202FA" w:rsidRDefault="000B4F21" w:rsidP="007202FA">
      <w:pPr>
        <w:pStyle w:val="ListBullet"/>
        <w:numPr>
          <w:ilvl w:val="0"/>
          <w:numId w:val="0"/>
        </w:numPr>
        <w:tabs>
          <w:tab w:val="left" w:pos="720"/>
        </w:tabs>
        <w:spacing w:before="120"/>
        <w:rPr>
          <w:rFonts w:ascii="Verdana" w:hAnsi="Verdana"/>
          <w:sz w:val="24"/>
        </w:rPr>
      </w:pPr>
      <w:r>
        <w:rPr>
          <w:rFonts w:ascii="Verdana" w:hAnsi="Verdana"/>
          <w:sz w:val="24"/>
          <w:lang w:val="ga"/>
        </w:rPr>
        <w:t xml:space="preserve">Ní bhfuair Ollscoil Teicneolaíochta an Atlantaigh, Gaillimh-Maigh Eo, Bord Bia, an Ghníomhaireacht um Fhorbairt Talún ná an Chomhairle Ealaíon aon </w:t>
      </w:r>
      <w:r>
        <w:rPr>
          <w:rFonts w:ascii="Verdana" w:hAnsi="Verdana"/>
          <w:b/>
          <w:bCs/>
          <w:sz w:val="24"/>
          <w:lang w:val="ga"/>
        </w:rPr>
        <w:t xml:space="preserve">dréachtchinntí sna blianta 2021 agus 2022 go raibh neamhchomhlíonadh ann. </w:t>
      </w:r>
    </w:p>
    <w:p w14:paraId="296A1D59" w14:textId="13DF7D73" w:rsidR="00590BEF" w:rsidRPr="005524D6" w:rsidRDefault="000B4F21" w:rsidP="007202FA">
      <w:pPr>
        <w:pStyle w:val="ListBullet"/>
        <w:numPr>
          <w:ilvl w:val="0"/>
          <w:numId w:val="0"/>
        </w:numPr>
        <w:tabs>
          <w:tab w:val="left" w:pos="1701"/>
        </w:tabs>
        <w:spacing w:before="120"/>
        <w:rPr>
          <w:rFonts w:ascii="Verdana" w:hAnsi="Verdana"/>
          <w:sz w:val="24"/>
          <w:lang w:val="ga"/>
        </w:rPr>
      </w:pPr>
      <w:r>
        <w:rPr>
          <w:rFonts w:ascii="Verdana" w:hAnsi="Verdana"/>
          <w:sz w:val="24"/>
          <w:lang w:val="ga"/>
        </w:rPr>
        <w:t xml:space="preserve">Sna freagraí uathu ar iarrataí alt 49 le haghaidh na tréimhse dhá bhliain sin, thaispeáin na ceithre chomhlacht phoiblí sin go raibh bearta leordhóthanacha i bhfeidhm acu chun a n-oibleagáidí faoi Chuid 5 a chomhlíonadh. Bhí tosca maolaitheacha ann lenar cuireadh cosc ar na comhlachtaí poiblí sin an íos-sprioc 3% a bhaint amach. Áiríodh leo sin, mar shampla: chumaisc comhlachtaí poiblí; d’fhág fostaithe a bhfuil míchumas orthu eagraíochtaí le haghaidh tabhairt faoi fhostaíocht in áit eile; nó d’éirigh fostaithe a bhfuil míchumas orthu as. </w:t>
      </w:r>
    </w:p>
    <w:p w14:paraId="66F4A9F5" w14:textId="57B26937" w:rsidR="00590BEF" w:rsidRPr="005524D6" w:rsidRDefault="000B4F21" w:rsidP="007202FA">
      <w:pPr>
        <w:rPr>
          <w:szCs w:val="24"/>
          <w:lang w:val="ga"/>
        </w:rPr>
      </w:pPr>
      <w:r>
        <w:rPr>
          <w:szCs w:val="24"/>
          <w:lang w:val="ga"/>
        </w:rPr>
        <w:t>Tá áthas ar ÚNM a thabhairt dá aire gur fheidhmigh na ceithre chomhlacht phoiblí sin níos fearr ná an íos-sprioc 3% sa bhliain 2023.</w:t>
      </w:r>
    </w:p>
    <w:p w14:paraId="532918E9" w14:textId="6878AE19" w:rsidR="00590BEF" w:rsidRPr="005524D6" w:rsidRDefault="000B4F21" w:rsidP="007202FA">
      <w:pPr>
        <w:rPr>
          <w:lang w:val="ga"/>
        </w:rPr>
      </w:pPr>
      <w:r>
        <w:rPr>
          <w:lang w:val="ga"/>
        </w:rPr>
        <w:lastRenderedPageBreak/>
        <w:t>Níor bhain FSS an íos-sprioc 3% amach sa bhliain 2021 ná sa bhliain 2022. Sheol ÚNM iarraidh alt 49 chuig an gcomhlacht poiblí sin don tréimhse dhá bhliain sin. Thug FSS freagra mionsonraithe ar an iarraidh sin agus thug sé fianaise shuntasach á léiriú go raibh paindéim COVID-19 ina cur isteach gan fasach fós ar oibríochtaí laethúla an chomhlachta phoiblí seo, faoi mar a bhí sa chibirionsaí a tharla sa bhliain 2021.</w:t>
      </w:r>
      <w:r>
        <w:rPr>
          <w:color w:val="000000" w:themeColor="text1"/>
          <w:lang w:val="ga"/>
        </w:rPr>
        <w:t xml:space="preserve"> Baineadh tosaíocht de na cúraimí uile nach raibh baint acu le paindéim COVID-19 ná leis an gcibirionsaí, lenar áiríodh feabhas a chur ar fheidhmíocht FSS faoi Chuid 5. </w:t>
      </w:r>
      <w:r>
        <w:rPr>
          <w:lang w:val="ga"/>
        </w:rPr>
        <w:t xml:space="preserve">Lean tionchar na n-imeachtaí sin de chosc a chur ar an gcomhlacht poiblí sin an íos-sprioc 3% a bhaint amach, d’ainneoin na mbeart a bhí i bhfeidhm aige chun feabhas a chur ar a fheidhmíocht faoi Chuid 5. </w:t>
      </w:r>
      <w:r>
        <w:rPr>
          <w:color w:val="000000" w:themeColor="text1"/>
          <w:lang w:val="ga"/>
        </w:rPr>
        <w:t>Sa bhliain 2022, thaispeáin FSS méadú ar an líon fostaithe a thuairiscigh míchumas freisin, ó 1,508 bhfostaí (1.6%) sa bhliain 2021 go 2,331 fhostaí (2.3%) sa bhliain 2022.</w:t>
      </w:r>
      <w:r>
        <w:rPr>
          <w:lang w:val="ga"/>
        </w:rPr>
        <w:t xml:space="preserve"> Sa chomhthéacs sin, tar éis dó an freagra ó FSS a athbhreithniú, chinn an tÚdarás nach n-eiseodh sé dréachtchinneadh go raibh neamhchomhlíonadh ann don tréimhse dhá bhliain sin.</w:t>
      </w:r>
    </w:p>
    <w:p w14:paraId="6AAD749D" w14:textId="77777777" w:rsidR="00590BEF" w:rsidRPr="005524D6" w:rsidRDefault="000B4F21" w:rsidP="007202FA">
      <w:pPr>
        <w:pStyle w:val="Heading3"/>
        <w:rPr>
          <w:color w:val="BF2296"/>
          <w:lang w:val="ga"/>
        </w:rPr>
      </w:pPr>
      <w:bookmarkStart w:id="183" w:name="_Toc208656809"/>
      <w:bookmarkStart w:id="184" w:name="_Toc208409900"/>
      <w:bookmarkStart w:id="185" w:name="_Toc214033656"/>
      <w:r>
        <w:rPr>
          <w:bCs/>
          <w:color w:val="BF2296"/>
          <w:lang w:val="ga"/>
        </w:rPr>
        <w:t>4.2 Comhlíonadh an Achta, 2022 agus 2023</w:t>
      </w:r>
      <w:bookmarkEnd w:id="183"/>
      <w:bookmarkEnd w:id="184"/>
      <w:bookmarkEnd w:id="185"/>
    </w:p>
    <w:p w14:paraId="1B5FA04D" w14:textId="77777777" w:rsidR="00590BEF" w:rsidRPr="007202FA" w:rsidRDefault="000B4F21" w:rsidP="007202FA">
      <w:r>
        <w:rPr>
          <w:lang w:val="ga"/>
        </w:rPr>
        <w:t>Sna blianta 2022 agus 2023, níorbh ann ach do dhá chomhlacht phoiblí a bhfuil níos mó ná 50 fostaí acu nár bhain an íos-sprioc 3% amach don dá bhliain chomhleanúnacha sin. Ba iad seo na comhlachtaí poiblí sin:</w:t>
      </w:r>
    </w:p>
    <w:p w14:paraId="3E9567B7" w14:textId="25B79BA3" w:rsidR="00590BEF" w:rsidRPr="007202FA" w:rsidRDefault="000B4F21" w:rsidP="007202FA">
      <w:pPr>
        <w:pStyle w:val="NDABullet"/>
      </w:pPr>
      <w:r>
        <w:rPr>
          <w:lang w:val="ga"/>
        </w:rPr>
        <w:t>Feidhmeannacht na Seirbhíse Sláinte (FSS)</w:t>
      </w:r>
    </w:p>
    <w:p w14:paraId="04B8A4BC" w14:textId="77777777" w:rsidR="00590BEF" w:rsidRPr="007202FA" w:rsidRDefault="000B4F21" w:rsidP="007202FA">
      <w:pPr>
        <w:pStyle w:val="NDABullet"/>
      </w:pPr>
      <w:r>
        <w:rPr>
          <w:lang w:val="ga"/>
        </w:rPr>
        <w:t>An tÚdarás Slándála Príobháidí</w:t>
      </w:r>
    </w:p>
    <w:p w14:paraId="3A947E30" w14:textId="0BE4E0C6" w:rsidR="00590BEF" w:rsidRPr="005524D6" w:rsidRDefault="000B4F21" w:rsidP="007202FA">
      <w:pPr>
        <w:rPr>
          <w:lang w:val="ga"/>
        </w:rPr>
      </w:pPr>
      <w:r>
        <w:rPr>
          <w:lang w:val="ga"/>
        </w:rPr>
        <w:t>Níor sheol ÚNM iarraidh alt 49 chuig an Údarás Slándála Príobháidí toisc gur thuairiscigh sé gurb í an phríomhchúis nár bhain sé an íos-sprioc 3% amach sa bhliain 2022 ná sa bhliain 2023 ná nach raibh sé freagrach as a earcaíocht agus gur sannadh fostaithe ón Roinn Dlí agus Cirt dó. Dá bhrí sin, tá cumas teoranta ag an gcomhlacht poiblí sin chun an íos-sprioc 3% a bhaint amach. Mar sin féin, thaispeáin an comhlacht poiblí seo go raibh bearta i bhfeidhm aige chun cultúr oibre atá Comhionann, Éagsúil agus Cuimsitheach a chruthú, mar shampla gealltanas scríofa foirmiúil a bheith aige go soláthrófar cumarsáidí atá deartha go huilíoch agus atá éasca le rochtain, le tuiscint agus le húsáid ag gach duine agus go soláthrófar oiliúint i gcomhionannas míchumais d’fhostaithe.</w:t>
      </w:r>
    </w:p>
    <w:p w14:paraId="6DB9D29F" w14:textId="77777777" w:rsidR="00590BEF" w:rsidRPr="005524D6" w:rsidRDefault="000B4F21" w:rsidP="007202FA">
      <w:pPr>
        <w:rPr>
          <w:lang w:val="ga"/>
        </w:rPr>
      </w:pPr>
      <w:r>
        <w:rPr>
          <w:lang w:val="ga"/>
        </w:rPr>
        <w:t>Rinne ÚNM faireachán ar fheidhmíocht an chomhlachta phoiblí sin agus tá áthas air a thabhairt dá aire go raibh sí níos fearr ná an íos-sprioc 4.5% sa bhliain 2024.</w:t>
      </w:r>
    </w:p>
    <w:p w14:paraId="770E7EF6" w14:textId="77777777" w:rsidR="00927A88" w:rsidRPr="005524D6" w:rsidRDefault="000B4F21" w:rsidP="007202FA">
      <w:pPr>
        <w:rPr>
          <w:lang w:val="ga"/>
        </w:rPr>
      </w:pPr>
      <w:r>
        <w:rPr>
          <w:lang w:val="ga"/>
        </w:rPr>
        <w:t xml:space="preserve">Sheol ÚNM iarraidh alt 49 chuig FSS do na blianta 2022 agus 2023 don tréimhse dhá bhliain sin. Mar fhreagra ar an iarraidh sin, sholáthair FSS fianaise á léiriú go raibh na tosca maolaitheacha céanna a measadh a bheith i bhfeidhm sna blianta 2021 agus 2022 fós le brath sa bhliain 2022 agus sa chéad chuid den bhliain 2023. Is iad na tosca maolaitheacha sin ná an cur isteach gan fasach a d’eascair as paindéim COVID-19 agus as </w:t>
      </w:r>
      <w:r>
        <w:rPr>
          <w:lang w:val="ga"/>
        </w:rPr>
        <w:lastRenderedPageBreak/>
        <w:t>an gcibirionsaí. Sa chomhthéacs sin, tar éis dó an freagra ó FSS a athbhreithniú, chinn an tÚdarás nach n-eiseodh sé dréachtchinneadh go raibh neamhchomhlíonadh ann don tréimhse dhá bhliain sin.</w:t>
      </w:r>
    </w:p>
    <w:p w14:paraId="7427BAA6" w14:textId="53B6FF0B" w:rsidR="00590BEF" w:rsidRPr="005524D6" w:rsidRDefault="000B4F21" w:rsidP="007202FA">
      <w:pPr>
        <w:rPr>
          <w:lang w:val="ga"/>
        </w:rPr>
      </w:pPr>
      <w:r>
        <w:rPr>
          <w:lang w:val="ga"/>
        </w:rPr>
        <w:t>Thug ÚNM dá aire go bhfuil FSS ar ais i ngnáthsheirbhís tar éis na bliana 2023. Chuireamar in iúl do FSS nach measfaí paindéim COVID-19 ná an cibirionsaí a thuilleadh mar thosca maolaitheacha a d’fhéadfadh cosc a chur ar an gcomhlacht poiblí sin an íos-sprioc reachtúil fostaíochta a bhaint amach. Tá áthas ar ÚNM a thabhairt dá aire gur luaigh FSS sa bhliain 2024 gur tháinig méadú 1,077 bhfostaí (+62.1%) ar an líon fostaithe, agus ar an gcéatadán d’fhostaithe, a thuairiscigh míchumas. Sa bhliain 2024, thuairiscigh FSS go raibh 2,812 fhostaí (2.7%) a bhfuil míchumas orthu aige, i gcomparáid le 1,735 fhostaí (1.6%) sa bhliain 2023. Is é sin an líon is airde fostaithe, agus an céatadán is airde d’fhostaithe, a bhfuil míchumas orthu a thuairiscigh FSS go dtí seo.  Tugann ÚNM dá aire, áfach, nár bhain FSS an íos-sprioc reachtúil fostaíochta 4.5% amach sa bhliain 2024.</w:t>
      </w:r>
    </w:p>
    <w:p w14:paraId="33306DA3" w14:textId="77777777" w:rsidR="00590BEF" w:rsidRPr="005524D6" w:rsidRDefault="000B4F21" w:rsidP="007202FA">
      <w:pPr>
        <w:pStyle w:val="Heading2"/>
        <w:rPr>
          <w:color w:val="BF2296"/>
          <w:lang w:val="ga"/>
        </w:rPr>
      </w:pPr>
      <w:bookmarkStart w:id="186" w:name="_Toc208656810"/>
      <w:bookmarkStart w:id="187" w:name="_Toc208409901"/>
      <w:bookmarkStart w:id="188" w:name="_Toc214033657"/>
      <w:r>
        <w:rPr>
          <w:bCs/>
          <w:color w:val="BF2296"/>
          <w:lang w:val="ga"/>
        </w:rPr>
        <w:t>4.3 Comhlíonadh an Achta, 2023 agus 2024</w:t>
      </w:r>
      <w:bookmarkEnd w:id="179"/>
      <w:bookmarkEnd w:id="186"/>
      <w:bookmarkEnd w:id="187"/>
      <w:bookmarkEnd w:id="188"/>
    </w:p>
    <w:p w14:paraId="63EADF74" w14:textId="77777777" w:rsidR="00590BEF" w:rsidRPr="005524D6" w:rsidRDefault="000B4F21" w:rsidP="007202FA">
      <w:pPr>
        <w:rPr>
          <w:lang w:val="ga"/>
        </w:rPr>
      </w:pPr>
      <w:bookmarkStart w:id="189" w:name="_Toc176801616"/>
      <w:bookmarkStart w:id="190" w:name="_Toc176801621"/>
      <w:r>
        <w:rPr>
          <w:lang w:val="ga"/>
        </w:rPr>
        <w:t>Sna blianta 2023 agus 2024, níor bhain na comhlachtaí poiblí seo a leanas an íos-sprioc reachtúil fostaíochta amach don dá bhliain chomhleanúnacha sin:</w:t>
      </w:r>
    </w:p>
    <w:p w14:paraId="448B4BCB" w14:textId="77777777" w:rsidR="00590BEF" w:rsidRPr="007202FA" w:rsidRDefault="000B4F21" w:rsidP="007202FA">
      <w:pPr>
        <w:pStyle w:val="NDABullet"/>
      </w:pPr>
      <w:r>
        <w:rPr>
          <w:lang w:val="ga"/>
        </w:rPr>
        <w:t>Feidhmeannacht na Seirbhíse Sláinte (FSS)</w:t>
      </w:r>
    </w:p>
    <w:p w14:paraId="2EE77EBE" w14:textId="77777777" w:rsidR="00590BEF" w:rsidRPr="007202FA" w:rsidRDefault="000B4F21" w:rsidP="007202FA">
      <w:pPr>
        <w:pStyle w:val="NDABullet"/>
      </w:pPr>
      <w:r>
        <w:rPr>
          <w:lang w:val="ga"/>
        </w:rPr>
        <w:t>Údarás Eitlíochta na hÉireann</w:t>
      </w:r>
    </w:p>
    <w:p w14:paraId="01F60A41" w14:textId="77777777" w:rsidR="00590BEF" w:rsidRPr="007202FA" w:rsidRDefault="000B4F21" w:rsidP="007202FA">
      <w:pPr>
        <w:pStyle w:val="NDABullet"/>
      </w:pPr>
      <w:r>
        <w:rPr>
          <w:lang w:val="ga"/>
        </w:rPr>
        <w:t>Rásaíocht Con Éireann</w:t>
      </w:r>
    </w:p>
    <w:p w14:paraId="56F4212D" w14:textId="77777777" w:rsidR="00590BEF" w:rsidRPr="007202FA" w:rsidRDefault="000B4F21" w:rsidP="007202FA">
      <w:pPr>
        <w:pStyle w:val="NDABullet"/>
      </w:pPr>
      <w:r>
        <w:rPr>
          <w:lang w:val="ga"/>
        </w:rPr>
        <w:t>Údarás na Gaeltachta</w:t>
      </w:r>
    </w:p>
    <w:p w14:paraId="6EA992B7" w14:textId="77777777" w:rsidR="00590BEF" w:rsidRPr="007202FA" w:rsidRDefault="000B4F21" w:rsidP="007202FA">
      <w:r>
        <w:rPr>
          <w:lang w:val="ga"/>
        </w:rPr>
        <w:t>Seolfaidh ÚNM iarrataí alt 49 do na blianta 2023 agus 2024 chuig na comhlachtaí poiblí sin sa cheathrú ráithe den bhliain 2025.</w:t>
      </w:r>
    </w:p>
    <w:p w14:paraId="7A6E5F60" w14:textId="77777777" w:rsidR="00590BEF" w:rsidRPr="007202FA" w:rsidRDefault="000B4F21" w:rsidP="007202FA">
      <w:pPr>
        <w:pStyle w:val="Heading2"/>
        <w:rPr>
          <w:color w:val="BF2296"/>
        </w:rPr>
      </w:pPr>
      <w:bookmarkStart w:id="191" w:name="_Toc208656811"/>
      <w:bookmarkStart w:id="192" w:name="_Toc208409902"/>
      <w:bookmarkStart w:id="193" w:name="_Toc214033658"/>
      <w:r>
        <w:rPr>
          <w:bCs/>
          <w:color w:val="BF2296"/>
          <w:lang w:val="ga"/>
        </w:rPr>
        <w:t>4.4 Comhlíonadh an Achta, 2024</w:t>
      </w:r>
      <w:bookmarkEnd w:id="191"/>
      <w:bookmarkEnd w:id="192"/>
      <w:bookmarkEnd w:id="193"/>
    </w:p>
    <w:p w14:paraId="774DF177" w14:textId="77777777" w:rsidR="00590BEF" w:rsidRPr="007202FA" w:rsidRDefault="000B4F21" w:rsidP="007202FA">
      <w:pPr>
        <w:pStyle w:val="Heading2"/>
        <w:rPr>
          <w:color w:val="BF2296"/>
          <w:sz w:val="24"/>
          <w:szCs w:val="24"/>
        </w:rPr>
      </w:pPr>
      <w:bookmarkStart w:id="194" w:name="_Toc214012356"/>
      <w:bookmarkStart w:id="195" w:name="_Toc208657417"/>
      <w:bookmarkStart w:id="196" w:name="_Toc208656812"/>
      <w:bookmarkStart w:id="197" w:name="_Toc208409903"/>
      <w:bookmarkStart w:id="198" w:name="_Toc214033659"/>
      <w:r>
        <w:rPr>
          <w:bCs/>
          <w:color w:val="BF2296"/>
          <w:sz w:val="24"/>
          <w:szCs w:val="24"/>
          <w:lang w:val="ga"/>
        </w:rPr>
        <w:t>Tosca Maolaitheacha</w:t>
      </w:r>
      <w:bookmarkEnd w:id="194"/>
      <w:bookmarkEnd w:id="195"/>
      <w:bookmarkEnd w:id="196"/>
      <w:bookmarkEnd w:id="197"/>
      <w:bookmarkEnd w:id="189"/>
      <w:bookmarkEnd w:id="198"/>
      <w:r>
        <w:rPr>
          <w:bCs/>
          <w:color w:val="BF2296"/>
          <w:sz w:val="24"/>
          <w:szCs w:val="24"/>
          <w:lang w:val="ga"/>
        </w:rPr>
        <w:t xml:space="preserve"> </w:t>
      </w:r>
    </w:p>
    <w:p w14:paraId="5FA4F638" w14:textId="77777777" w:rsidR="00195685" w:rsidRPr="007202FA" w:rsidRDefault="000B4F21" w:rsidP="007202FA">
      <w:r>
        <w:rPr>
          <w:lang w:val="ga"/>
        </w:rPr>
        <w:t xml:space="preserve">Sa bhliain 2024, ba ann do 31 chomhlacht phoiblí (14.4%) nár bhain an íos-sprioc reachtúil fostaíochta amach, i gcomparáid le 19 gcomhlacht phoiblí (9.0%) sa bhliain 2023. </w:t>
      </w:r>
    </w:p>
    <w:p w14:paraId="2A82E2F0" w14:textId="43DED9D8" w:rsidR="0042182A" w:rsidRDefault="000B4F21" w:rsidP="007202FA">
      <w:pPr>
        <w:rPr>
          <w:lang w:val="ga"/>
        </w:rPr>
      </w:pPr>
      <w:r>
        <w:rPr>
          <w:lang w:val="ga"/>
        </w:rPr>
        <w:t xml:space="preserve">Mionsonraítear i dTábla 9 </w:t>
      </w:r>
      <w:r>
        <w:rPr>
          <w:b/>
          <w:bCs/>
          <w:lang w:val="ga"/>
        </w:rPr>
        <w:t>na tosca maolaitheacha is coitianta</w:t>
      </w:r>
      <w:r>
        <w:rPr>
          <w:lang w:val="ga"/>
        </w:rPr>
        <w:t xml:space="preserve"> do na blianta 2023 agus 2024. Sa bhliain 2024, thug comhlachtaí poiblí freagraí níos mine ar an gceist seo ná mar a rinne siad sa bhliain 2023, mar atá mionsonraithe i dTábla 9.</w:t>
      </w:r>
    </w:p>
    <w:p w14:paraId="403B4408" w14:textId="77777777" w:rsidR="00935DBC" w:rsidRDefault="00935DBC" w:rsidP="007202FA">
      <w:pPr>
        <w:rPr>
          <w:lang w:val="ga"/>
        </w:rPr>
      </w:pPr>
    </w:p>
    <w:p w14:paraId="6E5B4CFE" w14:textId="77777777" w:rsidR="00935DBC" w:rsidRPr="007202FA" w:rsidRDefault="00935DBC" w:rsidP="007202FA"/>
    <w:p w14:paraId="04354B5C" w14:textId="7EA1B3FA" w:rsidR="00590BEF" w:rsidRPr="007202FA" w:rsidRDefault="000B4F21" w:rsidP="007202FA">
      <w:pPr>
        <w:pStyle w:val="Caption"/>
      </w:pPr>
      <w:r>
        <w:rPr>
          <w:bCs/>
          <w:iCs w:val="0"/>
          <w:lang w:val="ga"/>
        </w:rPr>
        <w:lastRenderedPageBreak/>
        <w:t>Tábla 9. Tosca maolaitheacha taobh thiar de mhainneachtain an sprioc 4.5% a bhaint amach sna blianta 2023 agus 2024</w:t>
      </w:r>
    </w:p>
    <w:tbl>
      <w:tblPr>
        <w:tblStyle w:val="NDATableBlack"/>
        <w:tblW w:w="5000" w:type="pct"/>
        <w:tblLook w:val="04A0" w:firstRow="1" w:lastRow="0" w:firstColumn="1" w:lastColumn="0" w:noHBand="0" w:noVBand="1"/>
      </w:tblPr>
      <w:tblGrid>
        <w:gridCol w:w="2982"/>
        <w:gridCol w:w="1444"/>
        <w:gridCol w:w="1573"/>
        <w:gridCol w:w="1444"/>
        <w:gridCol w:w="1573"/>
      </w:tblGrid>
      <w:tr w:rsidR="00F31303" w14:paraId="34AB29C7" w14:textId="77777777" w:rsidTr="00B44D04">
        <w:trPr>
          <w:cnfStyle w:val="100000000000" w:firstRow="1" w:lastRow="0" w:firstColumn="0" w:lastColumn="0" w:oddVBand="0" w:evenVBand="0" w:oddHBand="0"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751" w:type="pct"/>
            <w:vMerge w:val="restart"/>
            <w:vAlign w:val="top"/>
          </w:tcPr>
          <w:p w14:paraId="12D0084A" w14:textId="77777777" w:rsidR="00B21D08" w:rsidRPr="007202FA" w:rsidRDefault="00B21D08" w:rsidP="007202FA">
            <w:pPr>
              <w:jc w:val="center"/>
              <w:rPr>
                <w:rFonts w:eastAsia="Times New Roman" w:cs="Arial"/>
                <w:bCs/>
                <w:color w:val="000000"/>
                <w:kern w:val="0"/>
                <w:sz w:val="20"/>
                <w:szCs w:val="20"/>
                <w14:ligatures w14:val="none"/>
              </w:rPr>
            </w:pPr>
          </w:p>
        </w:tc>
        <w:tc>
          <w:tcPr>
            <w:tcW w:w="1682" w:type="pct"/>
            <w:gridSpan w:val="2"/>
            <w:vAlign w:val="top"/>
          </w:tcPr>
          <w:p w14:paraId="50A56650" w14:textId="2B730678" w:rsidR="00B21D08" w:rsidRPr="00C525E3" w:rsidRDefault="000B4F21" w:rsidP="007202FA">
            <w:pP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18"/>
                <w:szCs w:val="18"/>
                <w14:ligatures w14:val="none"/>
              </w:rPr>
            </w:pPr>
            <w:r w:rsidRPr="00C525E3">
              <w:rPr>
                <w:rFonts w:eastAsia="Times New Roman" w:cs="Arial"/>
                <w:bCs/>
                <w:color w:val="000000"/>
                <w:kern w:val="0"/>
                <w:sz w:val="18"/>
                <w:szCs w:val="18"/>
                <w:lang w:val="ga"/>
                <w14:ligatures w14:val="none"/>
              </w:rPr>
              <w:t>An líon comhlachtaí poiblí nár bhain an sprioc amach sa bhliain 2023 = 19</w:t>
            </w:r>
          </w:p>
        </w:tc>
        <w:tc>
          <w:tcPr>
            <w:tcW w:w="1567" w:type="pct"/>
            <w:gridSpan w:val="2"/>
            <w:vAlign w:val="top"/>
          </w:tcPr>
          <w:p w14:paraId="2D9127A8" w14:textId="08D82B97" w:rsidR="00B21D08" w:rsidRPr="00C525E3" w:rsidRDefault="000B4F21" w:rsidP="007202FA">
            <w:pPr>
              <w:jc w:val="center"/>
              <w:cnfStyle w:val="100000000000" w:firstRow="1" w:lastRow="0" w:firstColumn="0" w:lastColumn="0" w:oddVBand="0" w:evenVBand="0" w:oddHBand="0" w:evenHBand="0" w:firstRowFirstColumn="0" w:firstRowLastColumn="0" w:lastRowFirstColumn="0" w:lastRowLastColumn="0"/>
              <w:rPr>
                <w:rFonts w:eastAsia="Times New Roman" w:cs="Arial"/>
                <w:bCs/>
                <w:color w:val="000000"/>
                <w:kern w:val="0"/>
                <w:sz w:val="18"/>
                <w:szCs w:val="18"/>
                <w14:ligatures w14:val="none"/>
              </w:rPr>
            </w:pPr>
            <w:r w:rsidRPr="00C525E3">
              <w:rPr>
                <w:rFonts w:eastAsia="Times New Roman" w:cs="Arial"/>
                <w:bCs/>
                <w:color w:val="000000"/>
                <w:kern w:val="0"/>
                <w:sz w:val="18"/>
                <w:szCs w:val="18"/>
                <w:lang w:val="ga"/>
                <w14:ligatures w14:val="none"/>
              </w:rPr>
              <w:t>An líon comhlachtaí poiblí nár bhain an sprioc amach sa bhliain 2024 = 31</w:t>
            </w:r>
          </w:p>
        </w:tc>
      </w:tr>
      <w:tr w:rsidR="00F31303" w:rsidRPr="005524D6" w14:paraId="01AD86F3" w14:textId="77777777" w:rsidTr="00B44D04">
        <w:trPr>
          <w:trHeight w:val="840"/>
        </w:trPr>
        <w:tc>
          <w:tcPr>
            <w:cnfStyle w:val="001000000000" w:firstRow="0" w:lastRow="0" w:firstColumn="1" w:lastColumn="0" w:oddVBand="0" w:evenVBand="0" w:oddHBand="0" w:evenHBand="0" w:firstRowFirstColumn="0" w:firstRowLastColumn="0" w:lastRowFirstColumn="0" w:lastRowLastColumn="0"/>
            <w:tcW w:w="1751" w:type="pct"/>
            <w:vMerge/>
            <w:vAlign w:val="top"/>
            <w:hideMark/>
          </w:tcPr>
          <w:p w14:paraId="0B98B5E8" w14:textId="3C3DD9B8" w:rsidR="00B21D08" w:rsidRPr="007202FA" w:rsidRDefault="00B21D08" w:rsidP="007202FA">
            <w:pPr>
              <w:jc w:val="center"/>
              <w:rPr>
                <w:rFonts w:eastAsia="Times New Roman" w:cs="Arial"/>
                <w:bCs/>
                <w:color w:val="000000"/>
                <w:kern w:val="0"/>
                <w:sz w:val="20"/>
                <w:szCs w:val="20"/>
                <w14:ligatures w14:val="none"/>
              </w:rPr>
            </w:pPr>
          </w:p>
        </w:tc>
        <w:tc>
          <w:tcPr>
            <w:tcW w:w="841" w:type="pct"/>
            <w:vAlign w:val="top"/>
          </w:tcPr>
          <w:p w14:paraId="78877D42" w14:textId="5F421BBE" w:rsidR="00B21D08" w:rsidRPr="00C525E3" w:rsidRDefault="000B4F21"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18"/>
                <w:szCs w:val="18"/>
                <w14:ligatures w14:val="none"/>
              </w:rPr>
            </w:pPr>
            <w:r w:rsidRPr="00C525E3">
              <w:rPr>
                <w:rFonts w:eastAsia="Times New Roman" w:cs="Arial"/>
                <w:b/>
                <w:bCs/>
                <w:color w:val="000000"/>
                <w:kern w:val="0"/>
                <w:sz w:val="18"/>
                <w:szCs w:val="18"/>
                <w:lang w:val="ga"/>
                <w14:ligatures w14:val="none"/>
              </w:rPr>
              <w:t xml:space="preserve">An líon comhlachtaí poiblí sa bhliain 2023 </w:t>
            </w:r>
          </w:p>
        </w:tc>
        <w:tc>
          <w:tcPr>
            <w:tcW w:w="841" w:type="pct"/>
            <w:vAlign w:val="top"/>
          </w:tcPr>
          <w:p w14:paraId="79EAE208" w14:textId="5CBF4417" w:rsidR="00B21D08" w:rsidRPr="00C525E3" w:rsidRDefault="000B4F21"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18"/>
                <w:szCs w:val="18"/>
                <w:lang w:val="fr-FR"/>
                <w14:ligatures w14:val="none"/>
              </w:rPr>
            </w:pPr>
            <w:r w:rsidRPr="00C525E3">
              <w:rPr>
                <w:rFonts w:eastAsia="Times New Roman" w:cs="Arial"/>
                <w:b/>
                <w:bCs/>
                <w:color w:val="000000"/>
                <w:kern w:val="0"/>
                <w:sz w:val="18"/>
                <w:szCs w:val="18"/>
                <w:lang w:val="ga"/>
                <w14:ligatures w14:val="none"/>
              </w:rPr>
              <w:t>An céatadán de chomhlachtaí poiblí sa bhliain 2023</w:t>
            </w:r>
          </w:p>
        </w:tc>
        <w:tc>
          <w:tcPr>
            <w:tcW w:w="841" w:type="pct"/>
            <w:vAlign w:val="top"/>
            <w:hideMark/>
          </w:tcPr>
          <w:p w14:paraId="7C874292" w14:textId="08B90033" w:rsidR="00B21D08" w:rsidRPr="00C525E3" w:rsidRDefault="000B4F21"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18"/>
                <w:szCs w:val="18"/>
                <w:lang w:val="fr-FR"/>
                <w14:ligatures w14:val="none"/>
              </w:rPr>
            </w:pPr>
            <w:r w:rsidRPr="00C525E3">
              <w:rPr>
                <w:rFonts w:eastAsia="Times New Roman" w:cs="Arial"/>
                <w:b/>
                <w:bCs/>
                <w:color w:val="000000"/>
                <w:kern w:val="0"/>
                <w:sz w:val="18"/>
                <w:szCs w:val="18"/>
                <w:lang w:val="ga"/>
                <w14:ligatures w14:val="none"/>
              </w:rPr>
              <w:t xml:space="preserve">An líon comhlachtaí poiblí sa bhliain 2024 </w:t>
            </w:r>
          </w:p>
        </w:tc>
        <w:tc>
          <w:tcPr>
            <w:tcW w:w="726" w:type="pct"/>
            <w:vAlign w:val="top"/>
            <w:hideMark/>
          </w:tcPr>
          <w:p w14:paraId="6C11CB34" w14:textId="113ED96B" w:rsidR="00B21D08" w:rsidRPr="00C525E3" w:rsidRDefault="000B4F21" w:rsidP="007202FA">
            <w:pPr>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kern w:val="0"/>
                <w:sz w:val="18"/>
                <w:szCs w:val="18"/>
                <w:lang w:val="fr-FR"/>
                <w14:ligatures w14:val="none"/>
              </w:rPr>
            </w:pPr>
            <w:r w:rsidRPr="00C525E3">
              <w:rPr>
                <w:rFonts w:eastAsia="Times New Roman" w:cs="Arial"/>
                <w:b/>
                <w:bCs/>
                <w:color w:val="000000"/>
                <w:kern w:val="0"/>
                <w:sz w:val="18"/>
                <w:szCs w:val="18"/>
                <w:lang w:val="ga"/>
                <w14:ligatures w14:val="none"/>
              </w:rPr>
              <w:t>An céatadán de chomhlachtaí poiblí sa bhliain 2024</w:t>
            </w:r>
          </w:p>
        </w:tc>
      </w:tr>
      <w:tr w:rsidR="00F31303" w14:paraId="50F0072A"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791ED1E5" w14:textId="77777777" w:rsidR="00B21D08"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Méid bheag na heagraíochta </w:t>
            </w:r>
          </w:p>
        </w:tc>
        <w:tc>
          <w:tcPr>
            <w:tcW w:w="841" w:type="pct"/>
            <w:vAlign w:val="top"/>
          </w:tcPr>
          <w:p w14:paraId="43E9BAD7" w14:textId="1776FD5F"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11</w:t>
            </w:r>
          </w:p>
        </w:tc>
        <w:tc>
          <w:tcPr>
            <w:tcW w:w="841" w:type="pct"/>
            <w:vAlign w:val="top"/>
          </w:tcPr>
          <w:p w14:paraId="4AEE7E78" w14:textId="61237391"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57.9%</w:t>
            </w:r>
          </w:p>
        </w:tc>
        <w:tc>
          <w:tcPr>
            <w:tcW w:w="841" w:type="pct"/>
            <w:noWrap/>
            <w:vAlign w:val="top"/>
            <w:hideMark/>
          </w:tcPr>
          <w:p w14:paraId="2E67322F" w14:textId="42EE4C36"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20</w:t>
            </w:r>
          </w:p>
        </w:tc>
        <w:tc>
          <w:tcPr>
            <w:tcW w:w="726" w:type="pct"/>
            <w:noWrap/>
            <w:vAlign w:val="top"/>
            <w:hideMark/>
          </w:tcPr>
          <w:p w14:paraId="47FD0685" w14:textId="1432B517"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64.5%</w:t>
            </w:r>
          </w:p>
        </w:tc>
      </w:tr>
      <w:tr w:rsidR="00F31303" w14:paraId="39E5561E"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234FB0D9" w14:textId="77777777" w:rsidR="00B21D08"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A stádas míchumais gan a bheith á chur in iúl ag fostaithe </w:t>
            </w:r>
          </w:p>
        </w:tc>
        <w:tc>
          <w:tcPr>
            <w:tcW w:w="841" w:type="pct"/>
            <w:vAlign w:val="top"/>
          </w:tcPr>
          <w:p w14:paraId="4FC09102" w14:textId="66DC66FD"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41" w:type="pct"/>
            <w:vAlign w:val="top"/>
          </w:tcPr>
          <w:p w14:paraId="75D9449A" w14:textId="3067EA67"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41" w:type="pct"/>
            <w:noWrap/>
            <w:vAlign w:val="top"/>
            <w:hideMark/>
          </w:tcPr>
          <w:p w14:paraId="43403F76" w14:textId="3A76AD0B"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19</w:t>
            </w:r>
          </w:p>
        </w:tc>
        <w:tc>
          <w:tcPr>
            <w:tcW w:w="726" w:type="pct"/>
            <w:noWrap/>
            <w:vAlign w:val="top"/>
            <w:hideMark/>
          </w:tcPr>
          <w:p w14:paraId="12CF686A" w14:textId="7859DD3D"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61.2%</w:t>
            </w:r>
          </w:p>
        </w:tc>
      </w:tr>
      <w:tr w:rsidR="00F31303" w14:paraId="52EE17C3"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2E258BCD" w14:textId="77777777" w:rsidR="00B21D08" w:rsidRPr="005524D6" w:rsidRDefault="000B4F21" w:rsidP="007202FA">
            <w:pPr>
              <w:rPr>
                <w:rFonts w:eastAsia="Times New Roman" w:cs="Arial"/>
                <w:bCs/>
                <w:color w:val="000000"/>
                <w:kern w:val="0"/>
                <w:sz w:val="20"/>
                <w:szCs w:val="20"/>
                <w:lang w:val="fr-FR"/>
                <w14:ligatures w14:val="none"/>
              </w:rPr>
            </w:pPr>
            <w:r>
              <w:rPr>
                <w:rFonts w:eastAsia="Times New Roman" w:cs="Arial"/>
                <w:b w:val="0"/>
                <w:color w:val="000000"/>
                <w:kern w:val="0"/>
                <w:sz w:val="20"/>
                <w:szCs w:val="20"/>
                <w:lang w:val="ga"/>
                <w14:ligatures w14:val="none"/>
              </w:rPr>
              <w:t xml:space="preserve">Dúshláin a bhaineann le bailiú sonraí </w:t>
            </w:r>
          </w:p>
        </w:tc>
        <w:tc>
          <w:tcPr>
            <w:tcW w:w="841" w:type="pct"/>
            <w:vAlign w:val="top"/>
          </w:tcPr>
          <w:p w14:paraId="5DC31134" w14:textId="1D9839E0"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41" w:type="pct"/>
            <w:vAlign w:val="top"/>
          </w:tcPr>
          <w:p w14:paraId="7B779C6A" w14:textId="73F112A6"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41" w:type="pct"/>
            <w:noWrap/>
            <w:vAlign w:val="top"/>
            <w:hideMark/>
          </w:tcPr>
          <w:p w14:paraId="7170F536" w14:textId="2B29BE55"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15</w:t>
            </w:r>
          </w:p>
        </w:tc>
        <w:tc>
          <w:tcPr>
            <w:tcW w:w="726" w:type="pct"/>
            <w:noWrap/>
            <w:vAlign w:val="top"/>
            <w:hideMark/>
          </w:tcPr>
          <w:p w14:paraId="157C0C3C" w14:textId="2A895B9B"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48.3%</w:t>
            </w:r>
          </w:p>
        </w:tc>
      </w:tr>
      <w:tr w:rsidR="00F31303" w14:paraId="17BA1682"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13127600" w14:textId="77777777" w:rsidR="00B21D08"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Aistriú íseal fostaithe </w:t>
            </w:r>
          </w:p>
        </w:tc>
        <w:tc>
          <w:tcPr>
            <w:tcW w:w="841" w:type="pct"/>
            <w:vAlign w:val="top"/>
          </w:tcPr>
          <w:p w14:paraId="56535AF6" w14:textId="02656710"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3</w:t>
            </w:r>
          </w:p>
        </w:tc>
        <w:tc>
          <w:tcPr>
            <w:tcW w:w="841" w:type="pct"/>
            <w:vAlign w:val="top"/>
          </w:tcPr>
          <w:p w14:paraId="61A0C9EE" w14:textId="3A789AA5"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15.8%</w:t>
            </w:r>
          </w:p>
        </w:tc>
        <w:tc>
          <w:tcPr>
            <w:tcW w:w="841" w:type="pct"/>
            <w:noWrap/>
            <w:vAlign w:val="top"/>
            <w:hideMark/>
          </w:tcPr>
          <w:p w14:paraId="46458F87" w14:textId="36B89109"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w:t>
            </w:r>
          </w:p>
        </w:tc>
        <w:tc>
          <w:tcPr>
            <w:tcW w:w="726" w:type="pct"/>
            <w:noWrap/>
            <w:vAlign w:val="top"/>
            <w:hideMark/>
          </w:tcPr>
          <w:p w14:paraId="75A00A5A" w14:textId="728C1941"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29.0%</w:t>
            </w:r>
          </w:p>
        </w:tc>
      </w:tr>
      <w:tr w:rsidR="00F31303" w14:paraId="5E642958"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58FE3DC9" w14:textId="77777777" w:rsidR="00B21D08"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Eile </w:t>
            </w:r>
          </w:p>
        </w:tc>
        <w:tc>
          <w:tcPr>
            <w:tcW w:w="841" w:type="pct"/>
            <w:vAlign w:val="top"/>
          </w:tcPr>
          <w:p w14:paraId="567C4D8B" w14:textId="0A35430D"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41" w:type="pct"/>
            <w:vAlign w:val="top"/>
          </w:tcPr>
          <w:p w14:paraId="0212BF3A" w14:textId="3859F58E"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41" w:type="pct"/>
            <w:noWrap/>
            <w:vAlign w:val="top"/>
            <w:hideMark/>
          </w:tcPr>
          <w:p w14:paraId="2C952994" w14:textId="706F8A1F"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9</w:t>
            </w:r>
          </w:p>
        </w:tc>
        <w:tc>
          <w:tcPr>
            <w:tcW w:w="726" w:type="pct"/>
            <w:noWrap/>
            <w:vAlign w:val="top"/>
            <w:hideMark/>
          </w:tcPr>
          <w:p w14:paraId="7168D945" w14:textId="03B1CB8D"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29.0%</w:t>
            </w:r>
          </w:p>
        </w:tc>
      </w:tr>
      <w:tr w:rsidR="00F31303" w14:paraId="1E8B66B7"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439309C8" w14:textId="77777777" w:rsidR="00B21D08"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Fostaithe faoi mhíchumas a bheith ag éirí as </w:t>
            </w:r>
          </w:p>
        </w:tc>
        <w:tc>
          <w:tcPr>
            <w:tcW w:w="841" w:type="pct"/>
            <w:vAlign w:val="top"/>
          </w:tcPr>
          <w:p w14:paraId="16089B01" w14:textId="6E2E2C63"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41" w:type="pct"/>
            <w:vAlign w:val="top"/>
          </w:tcPr>
          <w:p w14:paraId="16606436" w14:textId="7C69D011"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41" w:type="pct"/>
            <w:noWrap/>
            <w:vAlign w:val="top"/>
            <w:hideMark/>
          </w:tcPr>
          <w:p w14:paraId="7AEB1E4F" w14:textId="243EC035"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6</w:t>
            </w:r>
          </w:p>
        </w:tc>
        <w:tc>
          <w:tcPr>
            <w:tcW w:w="726" w:type="pct"/>
            <w:noWrap/>
            <w:vAlign w:val="top"/>
            <w:hideMark/>
          </w:tcPr>
          <w:p w14:paraId="28F6C90B" w14:textId="56DA9A4B"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19.3%</w:t>
            </w:r>
          </w:p>
        </w:tc>
      </w:tr>
      <w:tr w:rsidR="00F31303" w14:paraId="5FDBA939"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64F04B67" w14:textId="77777777" w:rsidR="00B21D08" w:rsidRPr="007202FA" w:rsidRDefault="000B4F21" w:rsidP="007202FA">
            <w:pPr>
              <w:rPr>
                <w:rFonts w:eastAsia="Times New Roman" w:cs="Arial"/>
                <w:bCs/>
                <w:color w:val="000000"/>
                <w:kern w:val="0"/>
                <w:sz w:val="20"/>
                <w:szCs w:val="20"/>
                <w14:ligatures w14:val="none"/>
              </w:rPr>
            </w:pPr>
            <w:r>
              <w:rPr>
                <w:rFonts w:eastAsia="Times New Roman" w:cs="Arial"/>
                <w:b w:val="0"/>
                <w:color w:val="000000"/>
                <w:kern w:val="0"/>
                <w:sz w:val="20"/>
                <w:szCs w:val="20"/>
                <w:lang w:val="ga"/>
                <w14:ligatures w14:val="none"/>
              </w:rPr>
              <w:t xml:space="preserve">Fostaithe faoi mhíchumas a bheith ag éirí as chun tabhairt faoi phoist eile </w:t>
            </w:r>
          </w:p>
        </w:tc>
        <w:tc>
          <w:tcPr>
            <w:tcW w:w="841" w:type="pct"/>
            <w:vAlign w:val="top"/>
          </w:tcPr>
          <w:p w14:paraId="22B497FD" w14:textId="026010FE"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2</w:t>
            </w:r>
          </w:p>
        </w:tc>
        <w:tc>
          <w:tcPr>
            <w:tcW w:w="841" w:type="pct"/>
            <w:vAlign w:val="top"/>
          </w:tcPr>
          <w:p w14:paraId="5FEC45C2" w14:textId="47B0ED5C"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10.5%</w:t>
            </w:r>
          </w:p>
        </w:tc>
        <w:tc>
          <w:tcPr>
            <w:tcW w:w="841" w:type="pct"/>
            <w:noWrap/>
            <w:vAlign w:val="top"/>
            <w:hideMark/>
          </w:tcPr>
          <w:p w14:paraId="71898ED9" w14:textId="0AF12384"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4</w:t>
            </w:r>
          </w:p>
        </w:tc>
        <w:tc>
          <w:tcPr>
            <w:tcW w:w="726" w:type="pct"/>
            <w:noWrap/>
            <w:vAlign w:val="top"/>
            <w:hideMark/>
          </w:tcPr>
          <w:p w14:paraId="453A1245" w14:textId="1B5E0052"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12.9%</w:t>
            </w:r>
          </w:p>
        </w:tc>
      </w:tr>
      <w:tr w:rsidR="00F31303" w14:paraId="3FA4B305" w14:textId="77777777" w:rsidTr="00B44D04">
        <w:trPr>
          <w:trHeight w:val="300"/>
        </w:trPr>
        <w:tc>
          <w:tcPr>
            <w:cnfStyle w:val="001000000000" w:firstRow="0" w:lastRow="0" w:firstColumn="1" w:lastColumn="0" w:oddVBand="0" w:evenVBand="0" w:oddHBand="0" w:evenHBand="0" w:firstRowFirstColumn="0" w:firstRowLastColumn="0" w:lastRowFirstColumn="0" w:lastRowLastColumn="0"/>
            <w:tcW w:w="1751" w:type="pct"/>
            <w:vAlign w:val="top"/>
            <w:hideMark/>
          </w:tcPr>
          <w:p w14:paraId="08F7C67A" w14:textId="77777777" w:rsidR="00B21D08" w:rsidRPr="005524D6" w:rsidRDefault="000B4F21" w:rsidP="007202FA">
            <w:pPr>
              <w:rPr>
                <w:rFonts w:eastAsia="Times New Roman" w:cs="Arial"/>
                <w:bCs/>
                <w:color w:val="000000"/>
                <w:kern w:val="0"/>
                <w:sz w:val="20"/>
                <w:szCs w:val="20"/>
                <w:lang w:val="fr-FR"/>
                <w14:ligatures w14:val="none"/>
              </w:rPr>
            </w:pPr>
            <w:r>
              <w:rPr>
                <w:rFonts w:eastAsia="Times New Roman" w:cs="Arial"/>
                <w:b w:val="0"/>
                <w:color w:val="000000"/>
                <w:kern w:val="0"/>
                <w:sz w:val="20"/>
                <w:szCs w:val="20"/>
                <w:lang w:val="ga"/>
                <w14:ligatures w14:val="none"/>
              </w:rPr>
              <w:t xml:space="preserve">Cumasc le comhlacht poiblí eile </w:t>
            </w:r>
          </w:p>
        </w:tc>
        <w:tc>
          <w:tcPr>
            <w:tcW w:w="841" w:type="pct"/>
            <w:vAlign w:val="top"/>
          </w:tcPr>
          <w:p w14:paraId="3CE6F611" w14:textId="698EB4FE"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41" w:type="pct"/>
            <w:vAlign w:val="top"/>
          </w:tcPr>
          <w:p w14:paraId="708C1308" w14:textId="22C2548F"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w:t>
            </w:r>
          </w:p>
        </w:tc>
        <w:tc>
          <w:tcPr>
            <w:tcW w:w="841" w:type="pct"/>
            <w:noWrap/>
            <w:vAlign w:val="top"/>
            <w:hideMark/>
          </w:tcPr>
          <w:p w14:paraId="2485F6D6" w14:textId="063D1645"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1</w:t>
            </w:r>
          </w:p>
        </w:tc>
        <w:tc>
          <w:tcPr>
            <w:tcW w:w="726" w:type="pct"/>
            <w:noWrap/>
            <w:vAlign w:val="top"/>
            <w:hideMark/>
          </w:tcPr>
          <w:p w14:paraId="425B3247" w14:textId="003F11CD" w:rsidR="00B21D08" w:rsidRPr="007202FA" w:rsidRDefault="000B4F21" w:rsidP="007202FA">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kern w:val="0"/>
                <w:sz w:val="20"/>
                <w:szCs w:val="20"/>
                <w14:ligatures w14:val="none"/>
              </w:rPr>
            </w:pPr>
            <w:r>
              <w:rPr>
                <w:rFonts w:eastAsia="Times New Roman" w:cs="Arial"/>
                <w:color w:val="000000"/>
                <w:kern w:val="0"/>
                <w:sz w:val="20"/>
                <w:szCs w:val="20"/>
                <w:lang w:val="ga"/>
                <w14:ligatures w14:val="none"/>
              </w:rPr>
              <w:t>3.2%</w:t>
            </w:r>
          </w:p>
        </w:tc>
      </w:tr>
    </w:tbl>
    <w:p w14:paraId="0EDCA09D" w14:textId="7972010C" w:rsidR="00590BEF" w:rsidRPr="005524D6" w:rsidRDefault="000B4F21" w:rsidP="007202FA">
      <w:pPr>
        <w:spacing w:before="240"/>
        <w:rPr>
          <w:lang w:val="ga"/>
        </w:rPr>
      </w:pPr>
      <w:r>
        <w:rPr>
          <w:lang w:val="ga"/>
        </w:rPr>
        <w:t>Sa bhliain 2024, thuairiscigh roinnt bheag comhlachtaí poiblí gur chuir sainchineál oibre a n-eagraíochta cosc orthu an sprioc 4.5% a bhaint amach. Cuireann ÚNM comhlachtaí poiblí ar an eolas arís agus arís eile faoi na bearta ar cheart dóibh iad a bheith i bhfeidhm acu chun earcú agus coinneáil daoine a bhfuil míchumas orthu a mhéadú. Má sholáthraítear na bearta sin do dhaoine a bhfuil míchumas orthu agus a bhfuil na cáilíochtaí cuí agus an taithí chuí acu, ansin is féidir leo a gcuid oibre a dhéanamh de réir lán a gcumais, beag beann ar shainchineál na hoibre. Chomh maith leis sin, chuir ÚNM in iúl do chomhlachtaí poiblí go dtacaíonn AHEAD agus eagraíochtaí eile le fostóirí taithí oibre a sholáthar do chéimithe a bhfuil míchumas orthu agus a bhfuil raon éagsúil cáilíochtaí acu. Sa chomhthéacs sin, ní mheastar sainchineál na hoibre a bheith ina thoisc mhaolaitheach ar cheart go gcuirfeadh sí cosc ar chomhlachtaí poiblí an íos-sprioc reachtúil a bhaint amach.</w:t>
      </w:r>
    </w:p>
    <w:p w14:paraId="410A4CF3" w14:textId="77777777" w:rsidR="00590BEF" w:rsidRPr="007202FA" w:rsidRDefault="000B4F21" w:rsidP="007202FA">
      <w:pPr>
        <w:pStyle w:val="Heading3"/>
        <w:rPr>
          <w:color w:val="BF2296"/>
        </w:rPr>
      </w:pPr>
      <w:bookmarkStart w:id="199" w:name="_Toc208656813"/>
      <w:bookmarkStart w:id="200" w:name="_Toc208409904"/>
      <w:bookmarkStart w:id="201" w:name="_Toc214033660"/>
      <w:r>
        <w:rPr>
          <w:bCs/>
          <w:color w:val="BF2296"/>
          <w:lang w:val="ga"/>
        </w:rPr>
        <w:t>4.5 Bearta chun an sprioc atá le teacht isteach a bhaint amach</w:t>
      </w:r>
      <w:bookmarkEnd w:id="199"/>
      <w:bookmarkEnd w:id="200"/>
      <w:bookmarkEnd w:id="201"/>
    </w:p>
    <w:p w14:paraId="34D633B0" w14:textId="77777777" w:rsidR="004403D9" w:rsidRPr="007202FA" w:rsidRDefault="000B4F21" w:rsidP="007202FA">
      <w:r>
        <w:rPr>
          <w:lang w:val="ga"/>
        </w:rPr>
        <w:t xml:space="preserve">Sa bhliain 2024, fiafraíodh de 31 chomhlacht phoiblí (14.4%) nár bhain an sprioc 4.5% amach cé na bearta a chuirfeadh siad chun feidhme chun an íos-sprioc 6% a bhaint amach sa bhliain 2025. </w:t>
      </w:r>
    </w:p>
    <w:p w14:paraId="7FCE633C" w14:textId="7F254524" w:rsidR="00822E16" w:rsidRPr="007202FA" w:rsidRDefault="000B4F21" w:rsidP="007202FA">
      <w:r>
        <w:rPr>
          <w:lang w:val="ga"/>
        </w:rPr>
        <w:lastRenderedPageBreak/>
        <w:t>Sa bhliain 2023, fiafraíodh de 19 gcomhlacht phoiblí (9.0%) nár bhain an íos-sprioc 3% amach cé na bearta a chuirfeadh siad chun feidhme chun an íos-sprioc 4.5% a bhaint amach sa bhliain 2024.</w:t>
      </w:r>
    </w:p>
    <w:p w14:paraId="0A7BC1B9" w14:textId="33C4A2AF" w:rsidR="008C0055" w:rsidRPr="007202FA" w:rsidRDefault="000B4F21" w:rsidP="007202FA">
      <w:r>
        <w:rPr>
          <w:lang w:val="ga"/>
        </w:rPr>
        <w:t>Tháinig feabhas ar an bhfreagra ar an gceist sin sa bhliain 2024 i gcomparáid leis an mbliain 2023. Tá na bearta is coitianta a tuairiscíodh sa bhliain 2023 difriúil leo sin a tuairiscíodh sa bhliain 2024.</w:t>
      </w:r>
    </w:p>
    <w:p w14:paraId="7C189B02" w14:textId="36FCFC88" w:rsidR="00822E16" w:rsidRPr="007202FA" w:rsidRDefault="000B4F21" w:rsidP="007202FA">
      <w:pPr>
        <w:pStyle w:val="Heading4"/>
        <w:rPr>
          <w:color w:val="BF2296"/>
        </w:rPr>
      </w:pPr>
      <w:r>
        <w:rPr>
          <w:bCs/>
          <w:iCs w:val="0"/>
          <w:color w:val="BF2296"/>
          <w:lang w:val="ga"/>
        </w:rPr>
        <w:t xml:space="preserve">Bearta chun an sprioc a bhí le teacht isteach a bhaint amach sa bhliain 2023 </w:t>
      </w:r>
    </w:p>
    <w:p w14:paraId="175318C4" w14:textId="5F6B4620" w:rsidR="00822E16" w:rsidRPr="007202FA" w:rsidRDefault="000B4F21" w:rsidP="007202FA">
      <w:r>
        <w:rPr>
          <w:lang w:val="ga"/>
        </w:rPr>
        <w:t xml:space="preserve">Sa bhliain 2023, ní raibh naoi gcinn de na 19 gcomhlacht phoiblí (47.4%) in ann bearta inchurtha chun feidhme a shonrú chun an íos-sprioc 4.5% don bhliain 2024 a bhaint amach. </w:t>
      </w:r>
    </w:p>
    <w:p w14:paraId="5196D59E" w14:textId="3E331FEC" w:rsidR="008C0055" w:rsidRPr="007202FA" w:rsidRDefault="000B4F21" w:rsidP="007202FA">
      <w:pPr>
        <w:pStyle w:val="NDABullet"/>
      </w:pPr>
      <w:r>
        <w:rPr>
          <w:lang w:val="ga"/>
        </w:rPr>
        <w:t>Ba é an beart is coitianta a thuairiscigh sé cinn de na 19 gcomhlacht phoiblí (31.6%) ná a bpróiseas earcaíochta a athbhreithniú chun iad a dhéanamh níos cuimsithí agus/nó feachtas spriocdhírithe a sheoladh chun daoine a bhfuil míchumas orthu a earcú.</w:t>
      </w:r>
    </w:p>
    <w:p w14:paraId="361718FB" w14:textId="5EFAC44F" w:rsidR="008C0055" w:rsidRPr="007202FA" w:rsidRDefault="000B4F21" w:rsidP="007202FA">
      <w:pPr>
        <w:pStyle w:val="NDABullet"/>
      </w:pPr>
      <w:r>
        <w:rPr>
          <w:lang w:val="ga"/>
        </w:rPr>
        <w:t>Luaigh trí cinn de 19 gcomhlacht phoiblí (15.8%) go leanfadh siad de bhearta a chur chun feidhme sna straitéisí um Chomhionannas, Éagsúlacht agus Cuimsiú uathu; go bhforbródh siad beartas agus fócasghrúpa um Chomhionannas, Éagsúlacht agus Cuimsiú; agus go n-athbhreithneodh siad beartais agus gealltanais iomchuí sa phlean corparáideach nua uathu.</w:t>
      </w:r>
    </w:p>
    <w:p w14:paraId="7DEC0CB6" w14:textId="0A8972F4" w:rsidR="008C0055" w:rsidRPr="007202FA" w:rsidRDefault="000B4F21" w:rsidP="007202FA">
      <w:pPr>
        <w:pStyle w:val="Heading4"/>
        <w:rPr>
          <w:color w:val="BF2296"/>
        </w:rPr>
      </w:pPr>
      <w:r>
        <w:rPr>
          <w:bCs/>
          <w:iCs w:val="0"/>
          <w:color w:val="BF2296"/>
          <w:lang w:val="ga"/>
        </w:rPr>
        <w:t xml:space="preserve">Bearta chun an sprioc a bhí le teacht isteach a bhaint amach sa bhliain 2024 </w:t>
      </w:r>
    </w:p>
    <w:p w14:paraId="639446FB" w14:textId="224F586F" w:rsidR="00590BEF" w:rsidRPr="007202FA" w:rsidRDefault="000B4F21" w:rsidP="007202FA">
      <w:pPr>
        <w:pStyle w:val="NDABullet"/>
      </w:pPr>
      <w:r>
        <w:rPr>
          <w:lang w:val="ga"/>
        </w:rPr>
        <w:t xml:space="preserve">Sa bhliain 2024, ba iad </w:t>
      </w:r>
      <w:bookmarkStart w:id="202" w:name="_Hlk212037732"/>
      <w:r>
        <w:rPr>
          <w:lang w:val="ga"/>
        </w:rPr>
        <w:t xml:space="preserve">na bearta is coitianta a thuairiscigh </w:t>
      </w:r>
      <w:bookmarkEnd w:id="202"/>
      <w:r>
        <w:rPr>
          <w:lang w:val="ga"/>
        </w:rPr>
        <w:t>12 cheann de 31 chomhlacht phoiblí (38.7%) ná a bpróiseas earcaíochta a athbhreithniú chun iad a dhéanamh níos cuimsithí agus/nó feachtas spriocdhírithe a sheoladh chun daoine a bhfuil míchumas orthu a earcú.</w:t>
      </w:r>
    </w:p>
    <w:p w14:paraId="4A73F030" w14:textId="42F8E4DB" w:rsidR="00590BEF" w:rsidRPr="007202FA" w:rsidRDefault="000B4F21" w:rsidP="007202FA">
      <w:pPr>
        <w:pStyle w:val="NDABullet"/>
      </w:pPr>
      <w:r>
        <w:rPr>
          <w:lang w:val="ga"/>
        </w:rPr>
        <w:t xml:space="preserve">Luaigh sé cinn de 31 chomhlacht phoiblí (19.4%) go gcuirfeadh siad feasacht ar mhíchumas chun cinn ina n-eagraíocht chun cabhrú le níos mó fostaithe a mheas go dtacaítear leo a stádas míchumais a chur in iúl.  </w:t>
      </w:r>
    </w:p>
    <w:p w14:paraId="5CD23595" w14:textId="576BBF90" w:rsidR="00590BEF" w:rsidRPr="007202FA" w:rsidRDefault="000B4F21" w:rsidP="007202FA">
      <w:pPr>
        <w:pStyle w:val="NDABullet"/>
      </w:pPr>
      <w:r>
        <w:rPr>
          <w:lang w:val="ga"/>
        </w:rPr>
        <w:t>Luaigh cúig cinn den 31 chomhlacht phoiblí (16.1%) go ndíreodh siad ar a modhanna bailithe sonraí a fheabhsú.</w:t>
      </w:r>
    </w:p>
    <w:bookmarkEnd w:id="28"/>
    <w:bookmarkEnd w:id="133"/>
    <w:bookmarkEnd w:id="180"/>
    <w:bookmarkEnd w:id="181"/>
    <w:bookmarkEnd w:id="182"/>
    <w:bookmarkEnd w:id="190"/>
    <w:p w14:paraId="4CBA12EE" w14:textId="77777777" w:rsidR="00590BEF" w:rsidRPr="007202FA" w:rsidRDefault="000B4F21" w:rsidP="007202FA">
      <w:r>
        <w:rPr>
          <w:kern w:val="0"/>
          <w:lang w:val="ga"/>
          <w14:ligatures w14:val="none"/>
        </w:rPr>
        <w:br w:type="page"/>
      </w:r>
    </w:p>
    <w:p w14:paraId="19750C94" w14:textId="77777777" w:rsidR="00590BEF" w:rsidRPr="005524D6" w:rsidRDefault="000B4F21" w:rsidP="007202FA">
      <w:pPr>
        <w:pStyle w:val="Heading1"/>
        <w:rPr>
          <w:color w:val="BF2296"/>
          <w:lang w:val="ga"/>
        </w:rPr>
      </w:pPr>
      <w:r>
        <w:rPr>
          <w:bCs/>
          <w:color w:val="BF2296"/>
          <w:lang w:val="ga"/>
        </w:rPr>
        <w:lastRenderedPageBreak/>
        <w:t xml:space="preserve"> </w:t>
      </w:r>
      <w:bookmarkStart w:id="203" w:name="_Toc214033661"/>
      <w:r>
        <w:rPr>
          <w:bCs/>
          <w:color w:val="BF2296"/>
          <w:lang w:val="ga"/>
        </w:rPr>
        <w:t>Aguisín A – Ranna Rialtais (a bhfuil Státseirbhísigh amháin mar Fhoireann dóibh)</w:t>
      </w:r>
      <w:bookmarkEnd w:id="203"/>
    </w:p>
    <w:tbl>
      <w:tblPr>
        <w:tblW w:w="11624" w:type="dxa"/>
        <w:tblInd w:w="-129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985"/>
        <w:gridCol w:w="1560"/>
        <w:gridCol w:w="1702"/>
        <w:gridCol w:w="1558"/>
        <w:gridCol w:w="1563"/>
        <w:gridCol w:w="1555"/>
        <w:gridCol w:w="1701"/>
      </w:tblGrid>
      <w:tr w:rsidR="00F31303" w14:paraId="501CB0F1" w14:textId="77777777" w:rsidTr="00AD7314">
        <w:trPr>
          <w:tblHeader/>
        </w:trPr>
        <w:tc>
          <w:tcPr>
            <w:tcW w:w="1985" w:type="dxa"/>
            <w:tcBorders>
              <w:top w:val="single" w:sz="12" w:space="0" w:color="000000"/>
              <w:left w:val="single" w:sz="12" w:space="0" w:color="000000"/>
              <w:bottom w:val="single" w:sz="12" w:space="0" w:color="000000"/>
              <w:right w:val="single" w:sz="6" w:space="0" w:color="000000"/>
            </w:tcBorders>
            <w:hideMark/>
          </w:tcPr>
          <w:p w14:paraId="3A70549F"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Roinn </w:t>
            </w:r>
          </w:p>
        </w:tc>
        <w:tc>
          <w:tcPr>
            <w:tcW w:w="1560" w:type="dxa"/>
            <w:tcBorders>
              <w:top w:val="single" w:sz="12" w:space="0" w:color="000000"/>
              <w:left w:val="single" w:sz="6" w:space="0" w:color="000000"/>
              <w:bottom w:val="single" w:sz="12" w:space="0" w:color="000000"/>
              <w:right w:val="single" w:sz="6" w:space="0" w:color="000000"/>
            </w:tcBorders>
            <w:hideMark/>
          </w:tcPr>
          <w:p w14:paraId="026B1CD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w:t>
            </w:r>
          </w:p>
          <w:p w14:paraId="623E7670"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iomlán fostaithe 2023</w:t>
            </w:r>
          </w:p>
        </w:tc>
        <w:tc>
          <w:tcPr>
            <w:tcW w:w="1702" w:type="dxa"/>
            <w:tcBorders>
              <w:top w:val="single" w:sz="12" w:space="0" w:color="000000"/>
              <w:left w:val="single" w:sz="6" w:space="0" w:color="000000"/>
              <w:bottom w:val="single" w:sz="12" w:space="0" w:color="000000"/>
              <w:right w:val="single" w:sz="6" w:space="0" w:color="000000"/>
            </w:tcBorders>
            <w:hideMark/>
          </w:tcPr>
          <w:p w14:paraId="11529D14"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2960D27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58" w:type="dxa"/>
            <w:tcBorders>
              <w:top w:val="single" w:sz="12" w:space="0" w:color="000000"/>
              <w:left w:val="single" w:sz="6" w:space="0" w:color="000000"/>
              <w:bottom w:val="single" w:sz="12" w:space="0" w:color="000000"/>
              <w:right w:val="single" w:sz="6" w:space="0" w:color="000000"/>
            </w:tcBorders>
            <w:hideMark/>
          </w:tcPr>
          <w:p w14:paraId="02763283" w14:textId="77777777" w:rsidR="00590BEF" w:rsidRPr="004023FE" w:rsidRDefault="000B4F21" w:rsidP="007202FA">
            <w:pPr>
              <w:pStyle w:val="TableHead"/>
              <w:rPr>
                <w:rFonts w:ascii="Verdana" w:hAnsi="Verdana"/>
                <w:kern w:val="2"/>
                <w:sz w:val="19"/>
                <w:szCs w:val="19"/>
                <w14:ligatures w14:val="standardContextual"/>
              </w:rPr>
            </w:pPr>
            <w:r w:rsidRPr="004023FE">
              <w:rPr>
                <w:rFonts w:ascii="Verdana" w:hAnsi="Verdana"/>
                <w:bCs/>
                <w:kern w:val="2"/>
                <w:sz w:val="19"/>
                <w:szCs w:val="19"/>
                <w:lang w:val="ga"/>
                <w14:ligatures w14:val="standardContextual"/>
              </w:rPr>
              <w:t>An % d’fhostaithe a thuairiscigh</w:t>
            </w:r>
          </w:p>
          <w:p w14:paraId="0B7C8FEE" w14:textId="77777777" w:rsidR="00590BEF" w:rsidRPr="007202FA" w:rsidRDefault="000B4F21" w:rsidP="007202FA">
            <w:pPr>
              <w:pStyle w:val="TableHead"/>
              <w:rPr>
                <w:rFonts w:ascii="Verdana" w:hAnsi="Verdana"/>
                <w:kern w:val="2"/>
                <w:sz w:val="20"/>
                <w:szCs w:val="20"/>
                <w14:ligatures w14:val="standardContextual"/>
              </w:rPr>
            </w:pPr>
            <w:r w:rsidRPr="004023FE">
              <w:rPr>
                <w:rFonts w:ascii="Verdana" w:hAnsi="Verdana"/>
                <w:bCs/>
                <w:kern w:val="2"/>
                <w:sz w:val="19"/>
                <w:szCs w:val="19"/>
                <w:lang w:val="ga"/>
                <w14:ligatures w14:val="standardContextual"/>
              </w:rPr>
              <w:t>míchumas 2023</w:t>
            </w:r>
          </w:p>
        </w:tc>
        <w:tc>
          <w:tcPr>
            <w:tcW w:w="1563" w:type="dxa"/>
            <w:tcBorders>
              <w:top w:val="single" w:sz="12" w:space="0" w:color="000000"/>
              <w:left w:val="single" w:sz="6" w:space="0" w:color="000000"/>
              <w:bottom w:val="single" w:sz="12" w:space="0" w:color="000000"/>
              <w:right w:val="single" w:sz="6" w:space="0" w:color="000000"/>
            </w:tcBorders>
            <w:hideMark/>
          </w:tcPr>
          <w:p w14:paraId="44AA43C0"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líon iomlán fostaithe 2024</w:t>
            </w:r>
          </w:p>
        </w:tc>
        <w:tc>
          <w:tcPr>
            <w:tcW w:w="1555" w:type="dxa"/>
            <w:tcBorders>
              <w:top w:val="single" w:sz="12" w:space="0" w:color="000000"/>
              <w:left w:val="single" w:sz="6" w:space="0" w:color="000000"/>
              <w:bottom w:val="single" w:sz="12" w:space="0" w:color="000000"/>
              <w:right w:val="single" w:sz="6" w:space="0" w:color="000000"/>
            </w:tcBorders>
            <w:hideMark/>
          </w:tcPr>
          <w:p w14:paraId="52F6069D"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436898D7"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701" w:type="dxa"/>
            <w:tcBorders>
              <w:top w:val="single" w:sz="12" w:space="0" w:color="000000"/>
              <w:left w:val="single" w:sz="6" w:space="0" w:color="000000"/>
              <w:bottom w:val="single" w:sz="12" w:space="0" w:color="000000"/>
              <w:right w:val="single" w:sz="12" w:space="0" w:color="000000"/>
            </w:tcBorders>
            <w:hideMark/>
          </w:tcPr>
          <w:p w14:paraId="1EBC47D9"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381D1E35"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 2024</w:t>
            </w:r>
          </w:p>
        </w:tc>
      </w:tr>
      <w:tr w:rsidR="00F31303" w14:paraId="3CBE1535" w14:textId="77777777" w:rsidTr="00AD7314">
        <w:trPr>
          <w:trHeight w:val="642"/>
        </w:trPr>
        <w:tc>
          <w:tcPr>
            <w:tcW w:w="1985" w:type="dxa"/>
            <w:tcBorders>
              <w:top w:val="single" w:sz="12" w:space="0" w:color="000000"/>
              <w:left w:val="single" w:sz="12" w:space="0" w:color="000000"/>
              <w:bottom w:val="single" w:sz="6" w:space="0" w:color="000000"/>
              <w:right w:val="single" w:sz="6" w:space="0" w:color="000000"/>
            </w:tcBorders>
            <w:hideMark/>
          </w:tcPr>
          <w:p w14:paraId="77BCF7A5" w14:textId="77777777" w:rsidR="00590BEF" w:rsidRPr="005524D6" w:rsidRDefault="000B4F21" w:rsidP="007202FA">
            <w:pPr>
              <w:spacing w:after="0"/>
              <w:rPr>
                <w:sz w:val="20"/>
                <w:szCs w:val="20"/>
                <w:lang w:val="it-IT"/>
              </w:rPr>
            </w:pPr>
            <w:r>
              <w:rPr>
                <w:rFonts w:cs="Calibri"/>
                <w:color w:val="000000"/>
                <w:sz w:val="20"/>
                <w:szCs w:val="20"/>
                <w:lang w:val="ga"/>
              </w:rPr>
              <w:t>An Roinn Talmhaíochta, Bia agus Mara</w:t>
            </w:r>
          </w:p>
        </w:tc>
        <w:tc>
          <w:tcPr>
            <w:tcW w:w="1560" w:type="dxa"/>
            <w:tcBorders>
              <w:top w:val="single" w:sz="12" w:space="0" w:color="000000"/>
              <w:left w:val="single" w:sz="6" w:space="0" w:color="000000"/>
              <w:bottom w:val="single" w:sz="6" w:space="0" w:color="000000"/>
              <w:right w:val="single" w:sz="6" w:space="0" w:color="000000"/>
            </w:tcBorders>
          </w:tcPr>
          <w:p w14:paraId="27757CF0"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4,007</w:t>
            </w:r>
          </w:p>
          <w:p w14:paraId="6146D0BD" w14:textId="77777777" w:rsidR="00590BEF" w:rsidRPr="007202FA" w:rsidRDefault="00590BEF" w:rsidP="007202FA">
            <w:pPr>
              <w:spacing w:after="0"/>
              <w:jc w:val="right"/>
              <w:rPr>
                <w:sz w:val="20"/>
                <w:szCs w:val="20"/>
              </w:rPr>
            </w:pPr>
          </w:p>
        </w:tc>
        <w:tc>
          <w:tcPr>
            <w:tcW w:w="1702" w:type="dxa"/>
            <w:tcBorders>
              <w:top w:val="single" w:sz="12" w:space="0" w:color="000000"/>
              <w:left w:val="single" w:sz="6" w:space="0" w:color="000000"/>
              <w:bottom w:val="single" w:sz="6" w:space="0" w:color="000000"/>
              <w:right w:val="single" w:sz="6" w:space="0" w:color="000000"/>
            </w:tcBorders>
          </w:tcPr>
          <w:p w14:paraId="74C2BC6C"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202</w:t>
            </w:r>
          </w:p>
          <w:p w14:paraId="6DC36C4C" w14:textId="77777777" w:rsidR="00590BEF" w:rsidRPr="007202FA" w:rsidRDefault="00590BEF" w:rsidP="007202FA">
            <w:pPr>
              <w:spacing w:after="0"/>
              <w:jc w:val="right"/>
              <w:rPr>
                <w:sz w:val="20"/>
                <w:szCs w:val="20"/>
              </w:rPr>
            </w:pPr>
          </w:p>
        </w:tc>
        <w:tc>
          <w:tcPr>
            <w:tcW w:w="1558" w:type="dxa"/>
            <w:tcBorders>
              <w:top w:val="single" w:sz="12" w:space="0" w:color="000000"/>
              <w:left w:val="single" w:sz="6" w:space="0" w:color="000000"/>
              <w:bottom w:val="single" w:sz="6" w:space="0" w:color="000000"/>
              <w:right w:val="single" w:sz="6" w:space="0" w:color="000000"/>
            </w:tcBorders>
          </w:tcPr>
          <w:p w14:paraId="7D1EA38E"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5.0%</w:t>
            </w:r>
          </w:p>
          <w:p w14:paraId="1B7579D8" w14:textId="77777777" w:rsidR="00590BEF" w:rsidRPr="007202FA" w:rsidRDefault="00590BEF" w:rsidP="007202FA">
            <w:pPr>
              <w:spacing w:after="0"/>
              <w:jc w:val="right"/>
              <w:rPr>
                <w:sz w:val="20"/>
                <w:szCs w:val="20"/>
              </w:rPr>
            </w:pPr>
          </w:p>
        </w:tc>
        <w:tc>
          <w:tcPr>
            <w:tcW w:w="1563" w:type="dxa"/>
            <w:tcBorders>
              <w:top w:val="single" w:sz="12" w:space="0" w:color="000000"/>
              <w:left w:val="single" w:sz="6" w:space="0" w:color="000000"/>
              <w:bottom w:val="single" w:sz="6" w:space="0" w:color="000000"/>
              <w:right w:val="single" w:sz="6" w:space="0" w:color="000000"/>
            </w:tcBorders>
          </w:tcPr>
          <w:p w14:paraId="04D025AB" w14:textId="77777777" w:rsidR="00590BEF" w:rsidRPr="007202FA" w:rsidRDefault="000B4F21" w:rsidP="007202FA">
            <w:pPr>
              <w:spacing w:after="0"/>
              <w:jc w:val="right"/>
              <w:rPr>
                <w:sz w:val="20"/>
                <w:szCs w:val="20"/>
              </w:rPr>
            </w:pPr>
            <w:r>
              <w:rPr>
                <w:sz w:val="20"/>
                <w:szCs w:val="20"/>
                <w:lang w:val="ga"/>
              </w:rPr>
              <w:t>3,905</w:t>
            </w:r>
          </w:p>
          <w:p w14:paraId="4041CE90" w14:textId="77777777" w:rsidR="00590BEF" w:rsidRPr="007202FA" w:rsidRDefault="00590BEF" w:rsidP="007202FA">
            <w:pPr>
              <w:spacing w:after="0"/>
              <w:jc w:val="right"/>
              <w:rPr>
                <w:sz w:val="20"/>
                <w:szCs w:val="20"/>
              </w:rPr>
            </w:pPr>
          </w:p>
        </w:tc>
        <w:tc>
          <w:tcPr>
            <w:tcW w:w="1555" w:type="dxa"/>
            <w:tcBorders>
              <w:top w:val="single" w:sz="12" w:space="0" w:color="000000"/>
              <w:left w:val="single" w:sz="6" w:space="0" w:color="000000"/>
              <w:bottom w:val="single" w:sz="6" w:space="0" w:color="000000"/>
              <w:right w:val="single" w:sz="6" w:space="0" w:color="000000"/>
            </w:tcBorders>
          </w:tcPr>
          <w:p w14:paraId="379E420E" w14:textId="77777777" w:rsidR="00590BEF" w:rsidRPr="007202FA" w:rsidRDefault="000B4F21" w:rsidP="007202FA">
            <w:pPr>
              <w:spacing w:after="0"/>
              <w:jc w:val="right"/>
              <w:rPr>
                <w:sz w:val="20"/>
                <w:szCs w:val="20"/>
              </w:rPr>
            </w:pPr>
            <w:r>
              <w:rPr>
                <w:sz w:val="20"/>
                <w:szCs w:val="20"/>
                <w:lang w:val="ga"/>
              </w:rPr>
              <w:t>276</w:t>
            </w:r>
          </w:p>
          <w:p w14:paraId="4D58E176" w14:textId="77777777" w:rsidR="00590BEF" w:rsidRPr="007202FA" w:rsidRDefault="00590BEF" w:rsidP="007202FA">
            <w:pPr>
              <w:spacing w:after="0"/>
              <w:jc w:val="right"/>
              <w:rPr>
                <w:sz w:val="20"/>
                <w:szCs w:val="20"/>
              </w:rPr>
            </w:pPr>
          </w:p>
        </w:tc>
        <w:tc>
          <w:tcPr>
            <w:tcW w:w="1701" w:type="dxa"/>
            <w:tcBorders>
              <w:top w:val="single" w:sz="12" w:space="0" w:color="000000"/>
              <w:left w:val="single" w:sz="6" w:space="0" w:color="000000"/>
              <w:bottom w:val="single" w:sz="6" w:space="0" w:color="000000"/>
              <w:right w:val="single" w:sz="12" w:space="0" w:color="000000"/>
            </w:tcBorders>
          </w:tcPr>
          <w:p w14:paraId="65CE458E" w14:textId="77777777" w:rsidR="00590BEF" w:rsidRPr="007202FA" w:rsidRDefault="000B4F21" w:rsidP="007202FA">
            <w:pPr>
              <w:spacing w:after="0"/>
              <w:jc w:val="right"/>
              <w:rPr>
                <w:sz w:val="20"/>
                <w:szCs w:val="20"/>
              </w:rPr>
            </w:pPr>
            <w:r>
              <w:rPr>
                <w:sz w:val="20"/>
                <w:szCs w:val="20"/>
                <w:lang w:val="ga"/>
              </w:rPr>
              <w:t>7.1%</w:t>
            </w:r>
          </w:p>
          <w:p w14:paraId="354F42AF" w14:textId="77777777" w:rsidR="00590BEF" w:rsidRPr="007202FA" w:rsidRDefault="00590BEF" w:rsidP="007202FA">
            <w:pPr>
              <w:spacing w:after="0"/>
              <w:jc w:val="right"/>
              <w:rPr>
                <w:sz w:val="20"/>
                <w:szCs w:val="20"/>
              </w:rPr>
            </w:pPr>
          </w:p>
        </w:tc>
      </w:tr>
      <w:tr w:rsidR="00F31303" w14:paraId="5C53869B"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63405FBA" w14:textId="77777777" w:rsidR="00590BEF" w:rsidRPr="007202FA" w:rsidRDefault="000B4F21" w:rsidP="007202FA">
            <w:pPr>
              <w:spacing w:after="0"/>
              <w:rPr>
                <w:sz w:val="20"/>
                <w:szCs w:val="20"/>
              </w:rPr>
            </w:pPr>
            <w:r>
              <w:rPr>
                <w:rFonts w:cs="Calibri"/>
                <w:color w:val="000000"/>
                <w:sz w:val="20"/>
                <w:szCs w:val="20"/>
                <w:lang w:val="ga"/>
              </w:rPr>
              <w:t xml:space="preserve">An Roinn Leanaí, Comhionannais, Míchumais, Lánpháirtíochta agus Óige </w:t>
            </w:r>
          </w:p>
        </w:tc>
        <w:tc>
          <w:tcPr>
            <w:tcW w:w="1560" w:type="dxa"/>
            <w:tcBorders>
              <w:top w:val="single" w:sz="6" w:space="0" w:color="000000"/>
              <w:left w:val="single" w:sz="6" w:space="0" w:color="000000"/>
              <w:bottom w:val="single" w:sz="6" w:space="0" w:color="000000"/>
              <w:right w:val="single" w:sz="6" w:space="0" w:color="000000"/>
            </w:tcBorders>
          </w:tcPr>
          <w:p w14:paraId="37A55BBB"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778</w:t>
            </w:r>
          </w:p>
          <w:p w14:paraId="5DBCE3C2" w14:textId="77777777" w:rsidR="00590BEF" w:rsidRPr="007202FA" w:rsidRDefault="00590BEF" w:rsidP="007202FA">
            <w:pPr>
              <w:pStyle w:val="TableCell"/>
              <w:rPr>
                <w:rFonts w:ascii="Verdana" w:hAnsi="Verdana"/>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327A669D"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100</w:t>
            </w:r>
          </w:p>
          <w:p w14:paraId="1CBF6669" w14:textId="77777777" w:rsidR="00590BEF" w:rsidRPr="007202FA" w:rsidRDefault="00590BEF" w:rsidP="007202FA">
            <w:pPr>
              <w:pStyle w:val="TableCell"/>
              <w:rPr>
                <w:rFonts w:ascii="Verdana" w:hAnsi="Verdana"/>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75C887A8"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12.9%</w:t>
            </w:r>
          </w:p>
          <w:p w14:paraId="29093D1B" w14:textId="77777777" w:rsidR="00590BEF" w:rsidRPr="007202FA" w:rsidRDefault="00590BEF" w:rsidP="007202FA">
            <w:pPr>
              <w:pStyle w:val="TableCell"/>
              <w:rPr>
                <w:rFonts w:ascii="Verdana" w:hAnsi="Verdana"/>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6279FF10" w14:textId="77777777" w:rsidR="00590BEF" w:rsidRPr="007202FA" w:rsidRDefault="000B4F21" w:rsidP="007202FA">
            <w:pPr>
              <w:jc w:val="right"/>
              <w:rPr>
                <w:sz w:val="20"/>
                <w:szCs w:val="20"/>
              </w:rPr>
            </w:pPr>
            <w:r>
              <w:rPr>
                <w:sz w:val="20"/>
                <w:szCs w:val="20"/>
                <w:lang w:val="ga"/>
              </w:rPr>
              <w:t>992</w:t>
            </w:r>
          </w:p>
          <w:p w14:paraId="7D3AE2DF" w14:textId="77777777" w:rsidR="00590BEF" w:rsidRPr="007202FA" w:rsidRDefault="00590BEF" w:rsidP="007202FA">
            <w:pPr>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71E91F3" w14:textId="77777777" w:rsidR="00590BEF" w:rsidRPr="007202FA" w:rsidRDefault="000B4F21" w:rsidP="007202FA">
            <w:pPr>
              <w:jc w:val="right"/>
              <w:rPr>
                <w:sz w:val="20"/>
                <w:szCs w:val="20"/>
              </w:rPr>
            </w:pPr>
            <w:r>
              <w:rPr>
                <w:sz w:val="20"/>
                <w:szCs w:val="20"/>
                <w:lang w:val="ga"/>
              </w:rPr>
              <w:t>111</w:t>
            </w:r>
          </w:p>
          <w:p w14:paraId="4AD20ABE" w14:textId="77777777" w:rsidR="00590BEF" w:rsidRPr="007202FA" w:rsidRDefault="00590BEF" w:rsidP="007202FA">
            <w:pPr>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76F2F156" w14:textId="77777777" w:rsidR="00590BEF" w:rsidRPr="007202FA" w:rsidRDefault="000B4F21" w:rsidP="007202FA">
            <w:pPr>
              <w:jc w:val="right"/>
              <w:rPr>
                <w:sz w:val="20"/>
                <w:szCs w:val="20"/>
              </w:rPr>
            </w:pPr>
            <w:r>
              <w:rPr>
                <w:sz w:val="20"/>
                <w:szCs w:val="20"/>
                <w:lang w:val="ga"/>
              </w:rPr>
              <w:t>11.2%</w:t>
            </w:r>
          </w:p>
          <w:p w14:paraId="61217A09" w14:textId="77777777" w:rsidR="00590BEF" w:rsidRPr="007202FA" w:rsidRDefault="00590BEF" w:rsidP="007202FA">
            <w:pPr>
              <w:jc w:val="right"/>
              <w:rPr>
                <w:sz w:val="20"/>
                <w:szCs w:val="20"/>
              </w:rPr>
            </w:pPr>
          </w:p>
        </w:tc>
      </w:tr>
      <w:tr w:rsidR="00F31303" w14:paraId="50A74CB2" w14:textId="77777777" w:rsidTr="00AD7314">
        <w:trPr>
          <w:trHeight w:val="594"/>
        </w:trPr>
        <w:tc>
          <w:tcPr>
            <w:tcW w:w="1985" w:type="dxa"/>
            <w:tcBorders>
              <w:top w:val="single" w:sz="6" w:space="0" w:color="000000"/>
              <w:left w:val="single" w:sz="12" w:space="0" w:color="000000"/>
              <w:bottom w:val="single" w:sz="6" w:space="0" w:color="000000"/>
              <w:right w:val="single" w:sz="6" w:space="0" w:color="000000"/>
            </w:tcBorders>
            <w:hideMark/>
          </w:tcPr>
          <w:p w14:paraId="0B5FD243" w14:textId="77777777" w:rsidR="00590BEF" w:rsidRPr="007202FA" w:rsidRDefault="000B4F21" w:rsidP="007202FA">
            <w:pPr>
              <w:spacing w:after="0"/>
              <w:rPr>
                <w:sz w:val="20"/>
                <w:szCs w:val="20"/>
              </w:rPr>
            </w:pPr>
            <w:r>
              <w:rPr>
                <w:rFonts w:cs="Calibri"/>
                <w:color w:val="000000"/>
                <w:sz w:val="20"/>
                <w:szCs w:val="20"/>
                <w:lang w:val="ga"/>
              </w:rPr>
              <w:t>An Roinn Cosanta</w:t>
            </w:r>
          </w:p>
        </w:tc>
        <w:tc>
          <w:tcPr>
            <w:tcW w:w="1560" w:type="dxa"/>
            <w:tcBorders>
              <w:top w:val="single" w:sz="6" w:space="0" w:color="000000"/>
              <w:left w:val="single" w:sz="6" w:space="0" w:color="000000"/>
              <w:bottom w:val="single" w:sz="6" w:space="0" w:color="000000"/>
              <w:right w:val="single" w:sz="6" w:space="0" w:color="000000"/>
            </w:tcBorders>
          </w:tcPr>
          <w:p w14:paraId="761201AB"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410</w:t>
            </w:r>
          </w:p>
          <w:p w14:paraId="2BD6F934" w14:textId="77777777" w:rsidR="00590BEF" w:rsidRPr="007202FA" w:rsidRDefault="00590BEF" w:rsidP="007202FA">
            <w:pPr>
              <w:pStyle w:val="TableCell"/>
              <w:rPr>
                <w:rFonts w:ascii="Verdana" w:hAnsi="Verdana"/>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712311EF"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22</w:t>
            </w:r>
          </w:p>
          <w:p w14:paraId="6973FA0E" w14:textId="77777777" w:rsidR="00590BEF" w:rsidRPr="007202FA" w:rsidRDefault="00590BEF" w:rsidP="007202FA">
            <w:pPr>
              <w:pStyle w:val="TableCell"/>
              <w:rPr>
                <w:rFonts w:ascii="Verdana" w:hAnsi="Verdana"/>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214CCB39"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5.4%</w:t>
            </w:r>
          </w:p>
          <w:p w14:paraId="1A1CFEE9" w14:textId="77777777" w:rsidR="00590BEF" w:rsidRPr="007202FA" w:rsidRDefault="00590BEF" w:rsidP="007202FA">
            <w:pPr>
              <w:pStyle w:val="TableCell"/>
              <w:rPr>
                <w:rFonts w:ascii="Verdana" w:hAnsi="Verdana"/>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656BE2C5" w14:textId="77777777" w:rsidR="00590BEF" w:rsidRPr="007202FA" w:rsidRDefault="000B4F21" w:rsidP="007202FA">
            <w:pPr>
              <w:spacing w:after="0"/>
              <w:jc w:val="right"/>
              <w:rPr>
                <w:sz w:val="20"/>
                <w:szCs w:val="20"/>
              </w:rPr>
            </w:pPr>
            <w:r>
              <w:rPr>
                <w:sz w:val="20"/>
                <w:szCs w:val="20"/>
                <w:lang w:val="ga"/>
              </w:rPr>
              <w:t>458</w:t>
            </w:r>
          </w:p>
          <w:p w14:paraId="76E78D42"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2C231A2F" w14:textId="77777777" w:rsidR="00590BEF" w:rsidRPr="007202FA" w:rsidRDefault="000B4F21" w:rsidP="007202FA">
            <w:pPr>
              <w:spacing w:after="0"/>
              <w:jc w:val="right"/>
              <w:rPr>
                <w:sz w:val="20"/>
                <w:szCs w:val="20"/>
              </w:rPr>
            </w:pPr>
            <w:r>
              <w:rPr>
                <w:sz w:val="20"/>
                <w:szCs w:val="20"/>
                <w:lang w:val="ga"/>
              </w:rPr>
              <w:t>23</w:t>
            </w:r>
          </w:p>
          <w:p w14:paraId="59B044A1"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5A45C03C" w14:textId="77777777" w:rsidR="00590BEF" w:rsidRPr="007202FA" w:rsidRDefault="000B4F21" w:rsidP="007202FA">
            <w:pPr>
              <w:spacing w:after="0"/>
              <w:jc w:val="right"/>
              <w:rPr>
                <w:sz w:val="20"/>
                <w:szCs w:val="20"/>
              </w:rPr>
            </w:pPr>
            <w:r>
              <w:rPr>
                <w:sz w:val="20"/>
                <w:szCs w:val="20"/>
                <w:lang w:val="ga"/>
              </w:rPr>
              <w:t>5.0%</w:t>
            </w:r>
          </w:p>
          <w:p w14:paraId="40EC9F47" w14:textId="77777777" w:rsidR="00590BEF" w:rsidRPr="007202FA" w:rsidRDefault="00590BEF" w:rsidP="007202FA">
            <w:pPr>
              <w:spacing w:after="0"/>
              <w:jc w:val="right"/>
              <w:rPr>
                <w:sz w:val="20"/>
                <w:szCs w:val="20"/>
              </w:rPr>
            </w:pPr>
          </w:p>
        </w:tc>
      </w:tr>
      <w:tr w:rsidR="00F31303" w14:paraId="39C2A495"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3D3623B4" w14:textId="77777777" w:rsidR="00590BEF" w:rsidRPr="007202FA" w:rsidRDefault="000B4F21" w:rsidP="007202FA">
            <w:pPr>
              <w:spacing w:after="0"/>
              <w:rPr>
                <w:sz w:val="20"/>
                <w:szCs w:val="20"/>
              </w:rPr>
            </w:pPr>
            <w:r>
              <w:rPr>
                <w:rFonts w:cs="Calibri"/>
                <w:color w:val="000000"/>
                <w:sz w:val="20"/>
                <w:szCs w:val="20"/>
                <w:lang w:val="ga"/>
              </w:rPr>
              <w:t>An Roinn Cosanta - Fostaithe is Sibhialtaigh</w:t>
            </w:r>
          </w:p>
        </w:tc>
        <w:tc>
          <w:tcPr>
            <w:tcW w:w="1560" w:type="dxa"/>
            <w:tcBorders>
              <w:top w:val="single" w:sz="6" w:space="0" w:color="000000"/>
              <w:left w:val="single" w:sz="6" w:space="0" w:color="000000"/>
              <w:bottom w:val="single" w:sz="6" w:space="0" w:color="000000"/>
              <w:right w:val="single" w:sz="6" w:space="0" w:color="000000"/>
            </w:tcBorders>
          </w:tcPr>
          <w:p w14:paraId="61047E77"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437</w:t>
            </w:r>
          </w:p>
          <w:p w14:paraId="04747F6A" w14:textId="77777777" w:rsidR="00590BEF" w:rsidRPr="007202FA" w:rsidRDefault="00590BEF" w:rsidP="007202FA">
            <w:pPr>
              <w:pStyle w:val="TableCell"/>
              <w:rPr>
                <w:rFonts w:ascii="Verdana" w:hAnsi="Verdana"/>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0448B35E"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28</w:t>
            </w:r>
          </w:p>
          <w:p w14:paraId="7415D6EA" w14:textId="77777777" w:rsidR="00590BEF" w:rsidRPr="007202FA" w:rsidRDefault="00590BEF" w:rsidP="007202FA">
            <w:pPr>
              <w:pStyle w:val="TableCell"/>
              <w:rPr>
                <w:rFonts w:ascii="Verdana" w:hAnsi="Verdana"/>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04E2D0F0"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6.4%</w:t>
            </w:r>
          </w:p>
          <w:p w14:paraId="0C763978" w14:textId="77777777" w:rsidR="00590BEF" w:rsidRPr="007202FA" w:rsidRDefault="00590BEF" w:rsidP="007202FA">
            <w:pPr>
              <w:pStyle w:val="TableCell"/>
              <w:rPr>
                <w:rFonts w:ascii="Verdana" w:hAnsi="Verdana"/>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2E875F80" w14:textId="77777777" w:rsidR="00590BEF" w:rsidRPr="007202FA" w:rsidRDefault="000B4F21" w:rsidP="007202FA">
            <w:pPr>
              <w:spacing w:after="0"/>
              <w:jc w:val="right"/>
              <w:rPr>
                <w:sz w:val="20"/>
                <w:szCs w:val="20"/>
              </w:rPr>
            </w:pPr>
            <w:r>
              <w:rPr>
                <w:sz w:val="20"/>
                <w:szCs w:val="20"/>
                <w:lang w:val="ga"/>
              </w:rPr>
              <w:t>433</w:t>
            </w:r>
          </w:p>
          <w:p w14:paraId="1A67801A"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0FAA2DAE" w14:textId="77777777" w:rsidR="00590BEF" w:rsidRPr="007202FA" w:rsidRDefault="000B4F21" w:rsidP="007202FA">
            <w:pPr>
              <w:spacing w:after="0"/>
              <w:jc w:val="right"/>
              <w:rPr>
                <w:sz w:val="20"/>
                <w:szCs w:val="20"/>
              </w:rPr>
            </w:pPr>
            <w:r>
              <w:rPr>
                <w:sz w:val="20"/>
                <w:szCs w:val="20"/>
                <w:lang w:val="ga"/>
              </w:rPr>
              <w:t>28</w:t>
            </w:r>
          </w:p>
          <w:p w14:paraId="0EA72396"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3D0CEDE3" w14:textId="77777777" w:rsidR="00590BEF" w:rsidRPr="007202FA" w:rsidRDefault="000B4F21" w:rsidP="007202FA">
            <w:pPr>
              <w:spacing w:after="0"/>
              <w:jc w:val="right"/>
              <w:rPr>
                <w:sz w:val="20"/>
                <w:szCs w:val="20"/>
              </w:rPr>
            </w:pPr>
            <w:r>
              <w:rPr>
                <w:sz w:val="20"/>
                <w:szCs w:val="20"/>
                <w:lang w:val="ga"/>
              </w:rPr>
              <w:t>6.5%</w:t>
            </w:r>
          </w:p>
          <w:p w14:paraId="340EE060" w14:textId="77777777" w:rsidR="00590BEF" w:rsidRPr="007202FA" w:rsidRDefault="00590BEF" w:rsidP="007202FA">
            <w:pPr>
              <w:spacing w:after="0"/>
              <w:jc w:val="right"/>
              <w:rPr>
                <w:sz w:val="20"/>
                <w:szCs w:val="20"/>
              </w:rPr>
            </w:pPr>
          </w:p>
        </w:tc>
      </w:tr>
      <w:tr w:rsidR="00F31303" w14:paraId="78CD0ED5"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7B30BC92" w14:textId="77777777" w:rsidR="00590BEF" w:rsidRPr="007202FA" w:rsidRDefault="000B4F21" w:rsidP="007202FA">
            <w:pPr>
              <w:spacing w:after="0"/>
              <w:rPr>
                <w:sz w:val="20"/>
                <w:szCs w:val="20"/>
              </w:rPr>
            </w:pPr>
            <w:r>
              <w:rPr>
                <w:rFonts w:cs="Calibri"/>
                <w:color w:val="000000"/>
                <w:sz w:val="20"/>
                <w:szCs w:val="20"/>
                <w:lang w:val="ga"/>
              </w:rPr>
              <w:t>An Roinn Oideachais</w:t>
            </w:r>
          </w:p>
        </w:tc>
        <w:tc>
          <w:tcPr>
            <w:tcW w:w="1560" w:type="dxa"/>
            <w:tcBorders>
              <w:top w:val="single" w:sz="6" w:space="0" w:color="000000"/>
              <w:left w:val="single" w:sz="6" w:space="0" w:color="000000"/>
              <w:bottom w:val="single" w:sz="6" w:space="0" w:color="000000"/>
              <w:right w:val="single" w:sz="6" w:space="0" w:color="000000"/>
            </w:tcBorders>
          </w:tcPr>
          <w:p w14:paraId="17BF2214"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1,949</w:t>
            </w:r>
          </w:p>
          <w:p w14:paraId="1A8B289E" w14:textId="77777777" w:rsidR="00590BEF" w:rsidRPr="007202FA" w:rsidRDefault="00590BEF" w:rsidP="007202FA">
            <w:pPr>
              <w:pStyle w:val="TableCell"/>
              <w:rPr>
                <w:rFonts w:ascii="Verdana" w:hAnsi="Verdana"/>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67A1F695"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101</w:t>
            </w:r>
          </w:p>
          <w:p w14:paraId="4B7DB361" w14:textId="77777777" w:rsidR="00590BEF" w:rsidRPr="007202FA" w:rsidRDefault="00590BEF" w:rsidP="007202FA">
            <w:pPr>
              <w:pStyle w:val="TableCell"/>
              <w:rPr>
                <w:rFonts w:ascii="Verdana" w:hAnsi="Verdana"/>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305776BE"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5.2%</w:t>
            </w:r>
          </w:p>
          <w:p w14:paraId="26731D15" w14:textId="77777777" w:rsidR="00590BEF" w:rsidRPr="007202FA" w:rsidRDefault="00590BEF" w:rsidP="007202FA">
            <w:pPr>
              <w:pStyle w:val="TableCell"/>
              <w:rPr>
                <w:rFonts w:ascii="Verdana" w:hAnsi="Verdana"/>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292F821A" w14:textId="77777777" w:rsidR="00590BEF" w:rsidRPr="007202FA" w:rsidRDefault="000B4F21" w:rsidP="007202FA">
            <w:pPr>
              <w:spacing w:after="0"/>
              <w:jc w:val="right"/>
              <w:rPr>
                <w:sz w:val="20"/>
                <w:szCs w:val="20"/>
              </w:rPr>
            </w:pPr>
            <w:r>
              <w:rPr>
                <w:sz w:val="20"/>
                <w:szCs w:val="20"/>
                <w:lang w:val="ga"/>
              </w:rPr>
              <w:t>2,097</w:t>
            </w:r>
          </w:p>
          <w:p w14:paraId="1E9EE043"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00E2263" w14:textId="77777777" w:rsidR="00590BEF" w:rsidRPr="007202FA" w:rsidRDefault="000B4F21" w:rsidP="007202FA">
            <w:pPr>
              <w:spacing w:after="0"/>
              <w:jc w:val="right"/>
              <w:rPr>
                <w:sz w:val="20"/>
                <w:szCs w:val="20"/>
              </w:rPr>
            </w:pPr>
            <w:r>
              <w:rPr>
                <w:sz w:val="20"/>
                <w:szCs w:val="20"/>
                <w:lang w:val="ga"/>
              </w:rPr>
              <w:t>128</w:t>
            </w:r>
          </w:p>
          <w:p w14:paraId="494A04B5"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37A37E4E" w14:textId="77777777" w:rsidR="00590BEF" w:rsidRPr="007202FA" w:rsidRDefault="000B4F21" w:rsidP="007202FA">
            <w:pPr>
              <w:spacing w:after="0"/>
              <w:jc w:val="right"/>
              <w:rPr>
                <w:sz w:val="20"/>
                <w:szCs w:val="20"/>
              </w:rPr>
            </w:pPr>
            <w:r>
              <w:rPr>
                <w:sz w:val="20"/>
                <w:szCs w:val="20"/>
                <w:lang w:val="ga"/>
              </w:rPr>
              <w:t>6.1%</w:t>
            </w:r>
          </w:p>
          <w:p w14:paraId="1631350E" w14:textId="77777777" w:rsidR="00590BEF" w:rsidRPr="007202FA" w:rsidRDefault="00590BEF" w:rsidP="007202FA">
            <w:pPr>
              <w:spacing w:after="0"/>
              <w:jc w:val="right"/>
              <w:rPr>
                <w:sz w:val="20"/>
                <w:szCs w:val="20"/>
              </w:rPr>
            </w:pPr>
          </w:p>
        </w:tc>
      </w:tr>
      <w:tr w:rsidR="00F31303" w14:paraId="41F665A0"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6DBEFCC9" w14:textId="77777777" w:rsidR="00590BEF" w:rsidRPr="007202FA" w:rsidRDefault="000B4F21" w:rsidP="007202FA">
            <w:pPr>
              <w:spacing w:after="0"/>
              <w:rPr>
                <w:sz w:val="20"/>
                <w:szCs w:val="20"/>
              </w:rPr>
            </w:pPr>
            <w:r>
              <w:rPr>
                <w:rFonts w:cs="Calibri"/>
                <w:color w:val="000000"/>
                <w:sz w:val="20"/>
                <w:szCs w:val="20"/>
                <w:lang w:val="ga"/>
              </w:rPr>
              <w:t xml:space="preserve">An Roinn Fiontar, Trádála agus Fostaíochta </w:t>
            </w:r>
          </w:p>
        </w:tc>
        <w:tc>
          <w:tcPr>
            <w:tcW w:w="1560" w:type="dxa"/>
            <w:tcBorders>
              <w:top w:val="single" w:sz="6" w:space="0" w:color="000000"/>
              <w:left w:val="single" w:sz="6" w:space="0" w:color="000000"/>
              <w:bottom w:val="single" w:sz="6" w:space="0" w:color="000000"/>
              <w:right w:val="single" w:sz="6" w:space="0" w:color="000000"/>
            </w:tcBorders>
          </w:tcPr>
          <w:p w14:paraId="52F48B27"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1,006</w:t>
            </w:r>
          </w:p>
          <w:p w14:paraId="0A8B32CF"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1928E84C"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72</w:t>
            </w:r>
          </w:p>
          <w:p w14:paraId="51646ED2"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14FC4582"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7.2%</w:t>
            </w:r>
          </w:p>
          <w:p w14:paraId="2D035030"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7328119C" w14:textId="77777777" w:rsidR="00590BEF" w:rsidRPr="007202FA" w:rsidRDefault="000B4F21" w:rsidP="007202FA">
            <w:pPr>
              <w:spacing w:after="0"/>
              <w:jc w:val="right"/>
              <w:rPr>
                <w:sz w:val="20"/>
                <w:szCs w:val="20"/>
              </w:rPr>
            </w:pPr>
            <w:r>
              <w:rPr>
                <w:sz w:val="20"/>
                <w:szCs w:val="20"/>
                <w:lang w:val="ga"/>
              </w:rPr>
              <w:t>1,042</w:t>
            </w:r>
          </w:p>
          <w:p w14:paraId="63387525"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07F306CE" w14:textId="77777777" w:rsidR="00590BEF" w:rsidRPr="007202FA" w:rsidRDefault="000B4F21" w:rsidP="007202FA">
            <w:pPr>
              <w:spacing w:after="0"/>
              <w:jc w:val="right"/>
              <w:rPr>
                <w:sz w:val="20"/>
                <w:szCs w:val="20"/>
              </w:rPr>
            </w:pPr>
            <w:r>
              <w:rPr>
                <w:sz w:val="20"/>
                <w:szCs w:val="20"/>
                <w:lang w:val="ga"/>
              </w:rPr>
              <w:t>65</w:t>
            </w:r>
          </w:p>
          <w:p w14:paraId="1158B1B4"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12A607F5" w14:textId="77777777" w:rsidR="00590BEF" w:rsidRPr="007202FA" w:rsidRDefault="000B4F21" w:rsidP="007202FA">
            <w:pPr>
              <w:spacing w:after="0"/>
              <w:jc w:val="right"/>
              <w:rPr>
                <w:sz w:val="20"/>
                <w:szCs w:val="20"/>
              </w:rPr>
            </w:pPr>
            <w:r>
              <w:rPr>
                <w:sz w:val="20"/>
                <w:szCs w:val="20"/>
                <w:lang w:val="ga"/>
              </w:rPr>
              <w:t>6.2%</w:t>
            </w:r>
          </w:p>
          <w:p w14:paraId="068BF303" w14:textId="77777777" w:rsidR="00590BEF" w:rsidRPr="007202FA" w:rsidRDefault="00590BEF" w:rsidP="007202FA">
            <w:pPr>
              <w:spacing w:after="0"/>
              <w:jc w:val="right"/>
              <w:rPr>
                <w:sz w:val="20"/>
                <w:szCs w:val="20"/>
              </w:rPr>
            </w:pPr>
          </w:p>
        </w:tc>
      </w:tr>
      <w:tr w:rsidR="00F31303" w14:paraId="418D2975"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24A5730F" w14:textId="77777777" w:rsidR="00590BEF" w:rsidRPr="007202FA" w:rsidRDefault="000B4F21" w:rsidP="007202FA">
            <w:pPr>
              <w:spacing w:after="0"/>
              <w:rPr>
                <w:sz w:val="20"/>
                <w:szCs w:val="20"/>
              </w:rPr>
            </w:pPr>
            <w:r>
              <w:rPr>
                <w:rFonts w:cs="Calibri"/>
                <w:color w:val="000000"/>
                <w:sz w:val="20"/>
                <w:szCs w:val="20"/>
                <w:lang w:val="ga"/>
              </w:rPr>
              <w:t>An Roinn Airgeadais</w:t>
            </w:r>
          </w:p>
        </w:tc>
        <w:tc>
          <w:tcPr>
            <w:tcW w:w="1560" w:type="dxa"/>
            <w:tcBorders>
              <w:top w:val="single" w:sz="6" w:space="0" w:color="000000"/>
              <w:left w:val="single" w:sz="6" w:space="0" w:color="000000"/>
              <w:bottom w:val="single" w:sz="6" w:space="0" w:color="000000"/>
              <w:right w:val="single" w:sz="6" w:space="0" w:color="000000"/>
            </w:tcBorders>
          </w:tcPr>
          <w:p w14:paraId="7A3BC84F"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352</w:t>
            </w:r>
          </w:p>
          <w:p w14:paraId="628071F0"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749FEC1C"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20</w:t>
            </w:r>
          </w:p>
          <w:p w14:paraId="3631EBE7"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3433CEF7"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5.7%</w:t>
            </w:r>
          </w:p>
          <w:p w14:paraId="4297AF99"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50386091" w14:textId="77777777" w:rsidR="00590BEF" w:rsidRPr="007202FA" w:rsidRDefault="000B4F21" w:rsidP="007202FA">
            <w:pPr>
              <w:spacing w:after="0"/>
              <w:jc w:val="right"/>
              <w:rPr>
                <w:sz w:val="20"/>
                <w:szCs w:val="20"/>
              </w:rPr>
            </w:pPr>
            <w:r>
              <w:rPr>
                <w:sz w:val="20"/>
                <w:szCs w:val="20"/>
                <w:lang w:val="ga"/>
              </w:rPr>
              <w:t>371</w:t>
            </w:r>
          </w:p>
          <w:p w14:paraId="1DDD684E"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1F732B4" w14:textId="77777777" w:rsidR="00590BEF" w:rsidRPr="007202FA" w:rsidRDefault="000B4F21" w:rsidP="007202FA">
            <w:pPr>
              <w:spacing w:after="0"/>
              <w:jc w:val="right"/>
              <w:rPr>
                <w:sz w:val="20"/>
                <w:szCs w:val="20"/>
              </w:rPr>
            </w:pPr>
            <w:r>
              <w:rPr>
                <w:sz w:val="20"/>
                <w:szCs w:val="20"/>
                <w:lang w:val="ga"/>
              </w:rPr>
              <w:t>28</w:t>
            </w:r>
          </w:p>
          <w:p w14:paraId="13611057"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0DBC9121" w14:textId="77777777" w:rsidR="00590BEF" w:rsidRPr="007202FA" w:rsidRDefault="000B4F21" w:rsidP="007202FA">
            <w:pPr>
              <w:spacing w:after="0"/>
              <w:jc w:val="right"/>
              <w:rPr>
                <w:sz w:val="20"/>
                <w:szCs w:val="20"/>
              </w:rPr>
            </w:pPr>
            <w:r>
              <w:rPr>
                <w:sz w:val="20"/>
                <w:szCs w:val="20"/>
                <w:lang w:val="ga"/>
              </w:rPr>
              <w:t>7.5%</w:t>
            </w:r>
          </w:p>
          <w:p w14:paraId="16186952" w14:textId="77777777" w:rsidR="00590BEF" w:rsidRPr="007202FA" w:rsidRDefault="00590BEF" w:rsidP="007202FA">
            <w:pPr>
              <w:spacing w:after="0"/>
              <w:jc w:val="right"/>
              <w:rPr>
                <w:sz w:val="20"/>
                <w:szCs w:val="20"/>
              </w:rPr>
            </w:pPr>
          </w:p>
        </w:tc>
      </w:tr>
      <w:tr w:rsidR="00F31303" w14:paraId="396CFEF6"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5F7C4FF5" w14:textId="77777777" w:rsidR="00590BEF" w:rsidRPr="007202FA" w:rsidRDefault="000B4F21" w:rsidP="007202FA">
            <w:pPr>
              <w:spacing w:after="0"/>
              <w:rPr>
                <w:sz w:val="20"/>
                <w:szCs w:val="20"/>
              </w:rPr>
            </w:pPr>
            <w:bookmarkStart w:id="204" w:name="_Hlk145921262"/>
            <w:r>
              <w:rPr>
                <w:rFonts w:cs="Calibri"/>
                <w:color w:val="000000"/>
                <w:sz w:val="20"/>
                <w:szCs w:val="20"/>
                <w:lang w:val="ga"/>
              </w:rPr>
              <w:t>An Roinn Gnóthaí Eachtracha</w:t>
            </w:r>
          </w:p>
        </w:tc>
        <w:tc>
          <w:tcPr>
            <w:tcW w:w="1560" w:type="dxa"/>
            <w:tcBorders>
              <w:top w:val="single" w:sz="6" w:space="0" w:color="000000"/>
              <w:left w:val="single" w:sz="6" w:space="0" w:color="000000"/>
              <w:bottom w:val="single" w:sz="6" w:space="0" w:color="000000"/>
              <w:right w:val="single" w:sz="6" w:space="0" w:color="000000"/>
            </w:tcBorders>
          </w:tcPr>
          <w:p w14:paraId="3F145DC5"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2,126</w:t>
            </w:r>
          </w:p>
          <w:p w14:paraId="0B5E1A66"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342767A3"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171</w:t>
            </w:r>
          </w:p>
          <w:p w14:paraId="66BFB4F9"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638EAFB6"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8.0%</w:t>
            </w:r>
          </w:p>
          <w:p w14:paraId="73F7D199"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0530DDC9" w14:textId="77777777" w:rsidR="00590BEF" w:rsidRPr="007202FA" w:rsidRDefault="000B4F21" w:rsidP="007202FA">
            <w:pPr>
              <w:spacing w:after="0"/>
              <w:jc w:val="right"/>
              <w:rPr>
                <w:sz w:val="20"/>
                <w:szCs w:val="20"/>
              </w:rPr>
            </w:pPr>
            <w:r>
              <w:rPr>
                <w:sz w:val="20"/>
                <w:szCs w:val="20"/>
                <w:lang w:val="ga"/>
              </w:rPr>
              <w:t>2,221</w:t>
            </w:r>
          </w:p>
          <w:p w14:paraId="3EB91D98"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EB12530" w14:textId="77777777" w:rsidR="00590BEF" w:rsidRPr="007202FA" w:rsidRDefault="000B4F21" w:rsidP="007202FA">
            <w:pPr>
              <w:spacing w:after="0"/>
              <w:jc w:val="right"/>
              <w:rPr>
                <w:sz w:val="20"/>
                <w:szCs w:val="20"/>
              </w:rPr>
            </w:pPr>
            <w:r>
              <w:rPr>
                <w:sz w:val="20"/>
                <w:szCs w:val="20"/>
                <w:lang w:val="ga"/>
              </w:rPr>
              <w:t>206</w:t>
            </w:r>
          </w:p>
          <w:p w14:paraId="4CEC7B87"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274BC2C3" w14:textId="77777777" w:rsidR="00590BEF" w:rsidRPr="007202FA" w:rsidRDefault="000B4F21" w:rsidP="007202FA">
            <w:pPr>
              <w:spacing w:after="0"/>
              <w:jc w:val="right"/>
              <w:rPr>
                <w:sz w:val="20"/>
                <w:szCs w:val="20"/>
              </w:rPr>
            </w:pPr>
            <w:r>
              <w:rPr>
                <w:sz w:val="20"/>
                <w:szCs w:val="20"/>
                <w:lang w:val="ga"/>
              </w:rPr>
              <w:t>9.3%</w:t>
            </w:r>
          </w:p>
          <w:p w14:paraId="207B68B7" w14:textId="77777777" w:rsidR="00590BEF" w:rsidRPr="007202FA" w:rsidRDefault="00590BEF" w:rsidP="007202FA">
            <w:pPr>
              <w:spacing w:after="0"/>
              <w:jc w:val="right"/>
              <w:rPr>
                <w:sz w:val="20"/>
                <w:szCs w:val="20"/>
              </w:rPr>
            </w:pPr>
          </w:p>
        </w:tc>
        <w:bookmarkEnd w:id="204"/>
      </w:tr>
      <w:tr w:rsidR="00F31303" w14:paraId="1CB7EB99"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257DEBFA" w14:textId="77777777" w:rsidR="00590BEF" w:rsidRPr="007202FA" w:rsidRDefault="000B4F21" w:rsidP="007202FA">
            <w:pPr>
              <w:spacing w:after="0"/>
              <w:rPr>
                <w:sz w:val="20"/>
                <w:szCs w:val="20"/>
              </w:rPr>
            </w:pPr>
            <w:r>
              <w:rPr>
                <w:rFonts w:cs="Calibri"/>
                <w:color w:val="000000"/>
                <w:sz w:val="20"/>
                <w:szCs w:val="20"/>
                <w:lang w:val="ga"/>
              </w:rPr>
              <w:t>An Roinn Breisoideachais agus Ardoideachais, Taighde, Nuálaíochta agus Eolaíochta</w:t>
            </w:r>
          </w:p>
        </w:tc>
        <w:tc>
          <w:tcPr>
            <w:tcW w:w="1560" w:type="dxa"/>
            <w:tcBorders>
              <w:top w:val="single" w:sz="6" w:space="0" w:color="000000"/>
              <w:left w:val="single" w:sz="6" w:space="0" w:color="000000"/>
              <w:bottom w:val="single" w:sz="6" w:space="0" w:color="000000"/>
              <w:right w:val="single" w:sz="6" w:space="0" w:color="000000"/>
            </w:tcBorders>
          </w:tcPr>
          <w:p w14:paraId="6AD289AB"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263</w:t>
            </w:r>
          </w:p>
          <w:p w14:paraId="29F859A3"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37938713"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22</w:t>
            </w:r>
          </w:p>
          <w:p w14:paraId="31B1BAF8"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0A5E987C"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8.4%</w:t>
            </w:r>
          </w:p>
          <w:p w14:paraId="6A0C7F19"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7C74C8CE" w14:textId="77777777" w:rsidR="00590BEF" w:rsidRPr="007202FA" w:rsidRDefault="000B4F21" w:rsidP="007202FA">
            <w:pPr>
              <w:spacing w:after="0"/>
              <w:jc w:val="right"/>
              <w:rPr>
                <w:sz w:val="20"/>
                <w:szCs w:val="20"/>
              </w:rPr>
            </w:pPr>
            <w:r>
              <w:rPr>
                <w:sz w:val="20"/>
                <w:szCs w:val="20"/>
                <w:lang w:val="ga"/>
              </w:rPr>
              <w:t>294</w:t>
            </w:r>
          </w:p>
          <w:p w14:paraId="2748882A"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249C7A84" w14:textId="77777777" w:rsidR="00590BEF" w:rsidRPr="007202FA" w:rsidRDefault="000B4F21" w:rsidP="007202FA">
            <w:pPr>
              <w:spacing w:after="0"/>
              <w:jc w:val="right"/>
              <w:rPr>
                <w:sz w:val="20"/>
                <w:szCs w:val="20"/>
              </w:rPr>
            </w:pPr>
            <w:r>
              <w:rPr>
                <w:sz w:val="20"/>
                <w:szCs w:val="20"/>
                <w:lang w:val="ga"/>
              </w:rPr>
              <w:t>39</w:t>
            </w:r>
          </w:p>
          <w:p w14:paraId="2214E9D4"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175B359F" w14:textId="77777777" w:rsidR="00590BEF" w:rsidRPr="007202FA" w:rsidRDefault="000B4F21" w:rsidP="007202FA">
            <w:pPr>
              <w:spacing w:after="0"/>
              <w:jc w:val="right"/>
              <w:rPr>
                <w:sz w:val="20"/>
                <w:szCs w:val="20"/>
              </w:rPr>
            </w:pPr>
            <w:r>
              <w:rPr>
                <w:sz w:val="20"/>
                <w:szCs w:val="20"/>
                <w:lang w:val="ga"/>
              </w:rPr>
              <w:t>13.3%</w:t>
            </w:r>
          </w:p>
          <w:p w14:paraId="2124D2CE" w14:textId="77777777" w:rsidR="00590BEF" w:rsidRPr="007202FA" w:rsidRDefault="00590BEF" w:rsidP="007202FA">
            <w:pPr>
              <w:spacing w:after="0"/>
              <w:jc w:val="right"/>
              <w:rPr>
                <w:sz w:val="20"/>
                <w:szCs w:val="20"/>
              </w:rPr>
            </w:pPr>
          </w:p>
        </w:tc>
      </w:tr>
      <w:tr w:rsidR="00F31303" w14:paraId="3C9C8CE1"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56D6205A" w14:textId="77777777" w:rsidR="00590BEF" w:rsidRPr="007202FA" w:rsidRDefault="000B4F21" w:rsidP="007202FA">
            <w:pPr>
              <w:spacing w:after="0"/>
              <w:rPr>
                <w:sz w:val="20"/>
                <w:szCs w:val="20"/>
              </w:rPr>
            </w:pPr>
            <w:r>
              <w:rPr>
                <w:rFonts w:cs="Calibri"/>
                <w:color w:val="000000"/>
                <w:sz w:val="20"/>
                <w:szCs w:val="20"/>
                <w:lang w:val="ga"/>
              </w:rPr>
              <w:t>An Roinn Sláinte</w:t>
            </w:r>
          </w:p>
        </w:tc>
        <w:tc>
          <w:tcPr>
            <w:tcW w:w="1560" w:type="dxa"/>
            <w:tcBorders>
              <w:top w:val="single" w:sz="6" w:space="0" w:color="000000"/>
              <w:left w:val="single" w:sz="6" w:space="0" w:color="000000"/>
              <w:bottom w:val="single" w:sz="6" w:space="0" w:color="000000"/>
              <w:right w:val="single" w:sz="6" w:space="0" w:color="000000"/>
            </w:tcBorders>
          </w:tcPr>
          <w:p w14:paraId="6FA3F961"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659</w:t>
            </w:r>
          </w:p>
          <w:p w14:paraId="00A2F288"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063EFB4A"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44</w:t>
            </w:r>
          </w:p>
          <w:p w14:paraId="393AFBFC"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26E1B711"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6.7%</w:t>
            </w:r>
          </w:p>
          <w:p w14:paraId="3C38CA76"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69BBEF0D" w14:textId="77777777" w:rsidR="00590BEF" w:rsidRPr="007202FA" w:rsidRDefault="000B4F21" w:rsidP="007202FA">
            <w:pPr>
              <w:spacing w:after="0"/>
              <w:jc w:val="right"/>
              <w:rPr>
                <w:sz w:val="20"/>
                <w:szCs w:val="20"/>
              </w:rPr>
            </w:pPr>
            <w:r>
              <w:rPr>
                <w:sz w:val="20"/>
                <w:szCs w:val="20"/>
                <w:lang w:val="ga"/>
              </w:rPr>
              <w:t>683</w:t>
            </w:r>
          </w:p>
          <w:p w14:paraId="69CEABEC"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38A673A5" w14:textId="77777777" w:rsidR="00590BEF" w:rsidRPr="007202FA" w:rsidRDefault="000B4F21" w:rsidP="007202FA">
            <w:pPr>
              <w:spacing w:after="0"/>
              <w:jc w:val="right"/>
              <w:rPr>
                <w:sz w:val="20"/>
                <w:szCs w:val="20"/>
              </w:rPr>
            </w:pPr>
            <w:r>
              <w:rPr>
                <w:sz w:val="20"/>
                <w:szCs w:val="20"/>
                <w:lang w:val="ga"/>
              </w:rPr>
              <w:t>64</w:t>
            </w:r>
          </w:p>
          <w:p w14:paraId="64AF64E5"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37BE8ADF" w14:textId="77777777" w:rsidR="00590BEF" w:rsidRPr="007202FA" w:rsidRDefault="000B4F21" w:rsidP="007202FA">
            <w:pPr>
              <w:spacing w:after="0"/>
              <w:jc w:val="right"/>
              <w:rPr>
                <w:sz w:val="20"/>
                <w:szCs w:val="20"/>
              </w:rPr>
            </w:pPr>
            <w:r>
              <w:rPr>
                <w:sz w:val="20"/>
                <w:szCs w:val="20"/>
                <w:lang w:val="ga"/>
              </w:rPr>
              <w:t>9.4%</w:t>
            </w:r>
          </w:p>
          <w:p w14:paraId="23E25326" w14:textId="77777777" w:rsidR="00590BEF" w:rsidRPr="007202FA" w:rsidRDefault="00590BEF" w:rsidP="007202FA">
            <w:pPr>
              <w:spacing w:after="0"/>
              <w:jc w:val="right"/>
              <w:rPr>
                <w:sz w:val="20"/>
                <w:szCs w:val="20"/>
              </w:rPr>
            </w:pPr>
          </w:p>
        </w:tc>
      </w:tr>
      <w:tr w:rsidR="00F31303" w14:paraId="24884D86"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5CD576CB" w14:textId="77777777" w:rsidR="00590BEF" w:rsidRPr="007202FA" w:rsidRDefault="000B4F21" w:rsidP="007202FA">
            <w:pPr>
              <w:spacing w:after="0"/>
              <w:rPr>
                <w:sz w:val="20"/>
                <w:szCs w:val="20"/>
              </w:rPr>
            </w:pPr>
            <w:r>
              <w:rPr>
                <w:rFonts w:cs="Calibri"/>
                <w:color w:val="000000"/>
                <w:sz w:val="20"/>
                <w:szCs w:val="20"/>
                <w:lang w:val="ga"/>
              </w:rPr>
              <w:t>An Roinn Tithíochta, Rialtais Áitiúil agus Oidhreachta</w:t>
            </w:r>
          </w:p>
        </w:tc>
        <w:tc>
          <w:tcPr>
            <w:tcW w:w="1560" w:type="dxa"/>
            <w:tcBorders>
              <w:top w:val="single" w:sz="6" w:space="0" w:color="000000"/>
              <w:left w:val="single" w:sz="6" w:space="0" w:color="000000"/>
              <w:bottom w:val="single" w:sz="6" w:space="0" w:color="000000"/>
              <w:right w:val="single" w:sz="6" w:space="0" w:color="000000"/>
            </w:tcBorders>
          </w:tcPr>
          <w:p w14:paraId="043B2889"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1,681</w:t>
            </w:r>
          </w:p>
          <w:p w14:paraId="6C8EBAA0"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3A9A886F"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65</w:t>
            </w:r>
          </w:p>
          <w:p w14:paraId="5570CAFD"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63281C62"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3.9%</w:t>
            </w:r>
          </w:p>
          <w:p w14:paraId="14D5B897"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66173C4A" w14:textId="77777777" w:rsidR="00590BEF" w:rsidRPr="007202FA" w:rsidRDefault="000B4F21" w:rsidP="007202FA">
            <w:pPr>
              <w:spacing w:after="0"/>
              <w:jc w:val="right"/>
              <w:rPr>
                <w:sz w:val="20"/>
                <w:szCs w:val="20"/>
              </w:rPr>
            </w:pPr>
            <w:r>
              <w:rPr>
                <w:sz w:val="20"/>
                <w:szCs w:val="20"/>
                <w:lang w:val="ga"/>
              </w:rPr>
              <w:t>1,783</w:t>
            </w:r>
          </w:p>
          <w:p w14:paraId="2470CF02"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16C23754" w14:textId="77777777" w:rsidR="00590BEF" w:rsidRPr="007202FA" w:rsidRDefault="000B4F21" w:rsidP="007202FA">
            <w:pPr>
              <w:spacing w:after="0"/>
              <w:jc w:val="right"/>
              <w:rPr>
                <w:sz w:val="20"/>
                <w:szCs w:val="20"/>
              </w:rPr>
            </w:pPr>
            <w:r>
              <w:rPr>
                <w:sz w:val="20"/>
                <w:szCs w:val="20"/>
                <w:lang w:val="ga"/>
              </w:rPr>
              <w:t>104</w:t>
            </w:r>
          </w:p>
          <w:p w14:paraId="33D13C73"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7D08E4AF" w14:textId="77777777" w:rsidR="00590BEF" w:rsidRPr="007202FA" w:rsidRDefault="000B4F21" w:rsidP="007202FA">
            <w:pPr>
              <w:spacing w:after="0"/>
              <w:jc w:val="right"/>
              <w:rPr>
                <w:sz w:val="20"/>
                <w:szCs w:val="20"/>
              </w:rPr>
            </w:pPr>
            <w:r>
              <w:rPr>
                <w:sz w:val="20"/>
                <w:szCs w:val="20"/>
                <w:lang w:val="ga"/>
              </w:rPr>
              <w:t>5.8%</w:t>
            </w:r>
          </w:p>
          <w:p w14:paraId="593A16C4" w14:textId="77777777" w:rsidR="00590BEF" w:rsidRPr="007202FA" w:rsidRDefault="00590BEF" w:rsidP="007202FA">
            <w:pPr>
              <w:spacing w:after="0"/>
              <w:jc w:val="right"/>
              <w:rPr>
                <w:sz w:val="20"/>
                <w:szCs w:val="20"/>
              </w:rPr>
            </w:pPr>
          </w:p>
        </w:tc>
      </w:tr>
      <w:tr w:rsidR="00F31303" w14:paraId="1523470A"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1C12CBDF" w14:textId="77777777" w:rsidR="00590BEF" w:rsidRPr="007202FA" w:rsidRDefault="000B4F21" w:rsidP="007202FA">
            <w:pPr>
              <w:spacing w:after="0"/>
              <w:rPr>
                <w:sz w:val="20"/>
                <w:szCs w:val="20"/>
              </w:rPr>
            </w:pPr>
            <w:r>
              <w:rPr>
                <w:rFonts w:cs="Calibri"/>
                <w:color w:val="000000"/>
                <w:sz w:val="20"/>
                <w:szCs w:val="20"/>
                <w:lang w:val="ga"/>
              </w:rPr>
              <w:t>An Roinn Dlí agus Cirt</w:t>
            </w:r>
          </w:p>
        </w:tc>
        <w:tc>
          <w:tcPr>
            <w:tcW w:w="1560" w:type="dxa"/>
            <w:tcBorders>
              <w:top w:val="single" w:sz="6" w:space="0" w:color="000000"/>
              <w:left w:val="single" w:sz="6" w:space="0" w:color="000000"/>
              <w:bottom w:val="single" w:sz="6" w:space="0" w:color="000000"/>
              <w:right w:val="single" w:sz="6" w:space="0" w:color="000000"/>
            </w:tcBorders>
          </w:tcPr>
          <w:p w14:paraId="1823FAB6"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2,909</w:t>
            </w:r>
          </w:p>
          <w:p w14:paraId="3755E3A5"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750B0E60"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296</w:t>
            </w:r>
          </w:p>
          <w:p w14:paraId="4433661F"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02E186D0"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10.2%</w:t>
            </w:r>
          </w:p>
          <w:p w14:paraId="20FD7AFC"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3763C97A" w14:textId="77777777" w:rsidR="00590BEF" w:rsidRPr="007202FA" w:rsidRDefault="000B4F21" w:rsidP="007202FA">
            <w:pPr>
              <w:spacing w:after="0"/>
              <w:jc w:val="right"/>
              <w:rPr>
                <w:sz w:val="20"/>
                <w:szCs w:val="20"/>
              </w:rPr>
            </w:pPr>
            <w:r>
              <w:rPr>
                <w:sz w:val="20"/>
                <w:szCs w:val="20"/>
                <w:lang w:val="ga"/>
              </w:rPr>
              <w:t>3,447</w:t>
            </w:r>
          </w:p>
          <w:p w14:paraId="0A351315"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3129C43A" w14:textId="77777777" w:rsidR="00590BEF" w:rsidRPr="007202FA" w:rsidRDefault="000B4F21" w:rsidP="007202FA">
            <w:pPr>
              <w:spacing w:after="0"/>
              <w:jc w:val="right"/>
              <w:rPr>
                <w:sz w:val="20"/>
                <w:szCs w:val="20"/>
              </w:rPr>
            </w:pPr>
            <w:r>
              <w:rPr>
                <w:sz w:val="20"/>
                <w:szCs w:val="20"/>
                <w:lang w:val="ga"/>
              </w:rPr>
              <w:t>505</w:t>
            </w:r>
          </w:p>
          <w:p w14:paraId="2A59B65F"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4EB6110F" w14:textId="77777777" w:rsidR="00590BEF" w:rsidRPr="007202FA" w:rsidRDefault="000B4F21" w:rsidP="007202FA">
            <w:pPr>
              <w:spacing w:after="0"/>
              <w:jc w:val="right"/>
              <w:rPr>
                <w:sz w:val="20"/>
                <w:szCs w:val="20"/>
              </w:rPr>
            </w:pPr>
            <w:r>
              <w:rPr>
                <w:sz w:val="20"/>
                <w:szCs w:val="20"/>
                <w:lang w:val="ga"/>
              </w:rPr>
              <w:t>14.7%</w:t>
            </w:r>
          </w:p>
          <w:p w14:paraId="39B94F48" w14:textId="77777777" w:rsidR="00590BEF" w:rsidRPr="007202FA" w:rsidRDefault="00590BEF" w:rsidP="007202FA">
            <w:pPr>
              <w:spacing w:after="0"/>
              <w:jc w:val="right"/>
              <w:rPr>
                <w:sz w:val="20"/>
                <w:szCs w:val="20"/>
              </w:rPr>
            </w:pPr>
          </w:p>
        </w:tc>
      </w:tr>
      <w:tr w:rsidR="00F31303" w14:paraId="51433236"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056901DC" w14:textId="77777777" w:rsidR="00590BEF" w:rsidRPr="007202FA" w:rsidRDefault="000B4F21" w:rsidP="007202FA">
            <w:pPr>
              <w:spacing w:after="0"/>
              <w:rPr>
                <w:sz w:val="20"/>
                <w:szCs w:val="20"/>
              </w:rPr>
            </w:pPr>
            <w:r>
              <w:rPr>
                <w:rFonts w:cs="Calibri"/>
                <w:color w:val="000000"/>
                <w:sz w:val="20"/>
                <w:szCs w:val="20"/>
                <w:lang w:val="ga"/>
              </w:rPr>
              <w:t>An Roinn Caiteachais Phoiblí agus Athchóirithe</w:t>
            </w:r>
          </w:p>
        </w:tc>
        <w:tc>
          <w:tcPr>
            <w:tcW w:w="1560" w:type="dxa"/>
            <w:tcBorders>
              <w:top w:val="single" w:sz="6" w:space="0" w:color="000000"/>
              <w:left w:val="single" w:sz="6" w:space="0" w:color="000000"/>
              <w:bottom w:val="single" w:sz="6" w:space="0" w:color="000000"/>
              <w:right w:val="single" w:sz="6" w:space="0" w:color="000000"/>
            </w:tcBorders>
          </w:tcPr>
          <w:p w14:paraId="28790361"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496</w:t>
            </w:r>
          </w:p>
          <w:p w14:paraId="45836B64"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5DBBBC49"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22</w:t>
            </w:r>
          </w:p>
          <w:p w14:paraId="06331803"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712CD63F"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4.4%</w:t>
            </w:r>
          </w:p>
          <w:p w14:paraId="602420B3"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65076FEE" w14:textId="77777777" w:rsidR="00590BEF" w:rsidRPr="007202FA" w:rsidRDefault="000B4F21" w:rsidP="007202FA">
            <w:pPr>
              <w:spacing w:after="0"/>
              <w:jc w:val="right"/>
              <w:rPr>
                <w:sz w:val="20"/>
                <w:szCs w:val="20"/>
              </w:rPr>
            </w:pPr>
            <w:r>
              <w:rPr>
                <w:sz w:val="20"/>
                <w:szCs w:val="20"/>
                <w:lang w:val="ga"/>
              </w:rPr>
              <w:t>538</w:t>
            </w:r>
          </w:p>
          <w:p w14:paraId="695DF5CB"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54AB6202" w14:textId="77777777" w:rsidR="00590BEF" w:rsidRPr="007202FA" w:rsidRDefault="000B4F21" w:rsidP="007202FA">
            <w:pPr>
              <w:spacing w:after="0"/>
              <w:jc w:val="right"/>
              <w:rPr>
                <w:sz w:val="20"/>
                <w:szCs w:val="20"/>
              </w:rPr>
            </w:pPr>
            <w:r>
              <w:rPr>
                <w:sz w:val="20"/>
                <w:szCs w:val="20"/>
                <w:lang w:val="ga"/>
              </w:rPr>
              <w:t>40</w:t>
            </w:r>
          </w:p>
          <w:p w14:paraId="4DDBCAD5"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04011AA2" w14:textId="77777777" w:rsidR="00590BEF" w:rsidRPr="007202FA" w:rsidRDefault="000B4F21" w:rsidP="007202FA">
            <w:pPr>
              <w:spacing w:after="0"/>
              <w:jc w:val="right"/>
              <w:rPr>
                <w:sz w:val="20"/>
                <w:szCs w:val="20"/>
              </w:rPr>
            </w:pPr>
            <w:r>
              <w:rPr>
                <w:sz w:val="20"/>
                <w:szCs w:val="20"/>
                <w:lang w:val="ga"/>
              </w:rPr>
              <w:t>7.4%</w:t>
            </w:r>
          </w:p>
          <w:p w14:paraId="396776BE" w14:textId="77777777" w:rsidR="00590BEF" w:rsidRPr="007202FA" w:rsidRDefault="00590BEF" w:rsidP="007202FA">
            <w:pPr>
              <w:spacing w:after="0"/>
              <w:jc w:val="right"/>
              <w:rPr>
                <w:sz w:val="20"/>
                <w:szCs w:val="20"/>
              </w:rPr>
            </w:pPr>
          </w:p>
        </w:tc>
      </w:tr>
      <w:tr w:rsidR="00F31303" w14:paraId="5352CDEA"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19EA1DA2" w14:textId="77777777" w:rsidR="00590BEF" w:rsidRPr="007202FA" w:rsidRDefault="000B4F21" w:rsidP="007202FA">
            <w:pPr>
              <w:spacing w:after="0"/>
              <w:rPr>
                <w:sz w:val="20"/>
                <w:szCs w:val="20"/>
              </w:rPr>
            </w:pPr>
            <w:r>
              <w:rPr>
                <w:rFonts w:cs="Calibri"/>
                <w:color w:val="000000"/>
                <w:sz w:val="20"/>
                <w:szCs w:val="20"/>
                <w:lang w:val="ga"/>
              </w:rPr>
              <w:t xml:space="preserve">An Roinn Forbartha </w:t>
            </w:r>
            <w:r>
              <w:rPr>
                <w:rFonts w:cs="Calibri"/>
                <w:color w:val="000000"/>
                <w:sz w:val="20"/>
                <w:szCs w:val="20"/>
                <w:lang w:val="ga"/>
              </w:rPr>
              <w:lastRenderedPageBreak/>
              <w:t>Tuaithe agus Pobail</w:t>
            </w:r>
          </w:p>
        </w:tc>
        <w:tc>
          <w:tcPr>
            <w:tcW w:w="1560" w:type="dxa"/>
            <w:tcBorders>
              <w:top w:val="single" w:sz="6" w:space="0" w:color="000000"/>
              <w:left w:val="single" w:sz="6" w:space="0" w:color="000000"/>
              <w:bottom w:val="single" w:sz="6" w:space="0" w:color="000000"/>
              <w:right w:val="single" w:sz="6" w:space="0" w:color="000000"/>
            </w:tcBorders>
          </w:tcPr>
          <w:p w14:paraId="457F856D"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lastRenderedPageBreak/>
              <w:t>191</w:t>
            </w:r>
          </w:p>
          <w:p w14:paraId="482E7B91"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3A4742C4"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19</w:t>
            </w:r>
          </w:p>
          <w:p w14:paraId="5AD931EB"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595CE09B"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9.9%</w:t>
            </w:r>
          </w:p>
          <w:p w14:paraId="5B218B26"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30E41FC6" w14:textId="77777777" w:rsidR="00590BEF" w:rsidRPr="007202FA" w:rsidRDefault="000B4F21" w:rsidP="007202FA">
            <w:pPr>
              <w:spacing w:after="0"/>
              <w:jc w:val="right"/>
              <w:rPr>
                <w:sz w:val="20"/>
                <w:szCs w:val="20"/>
              </w:rPr>
            </w:pPr>
            <w:r>
              <w:rPr>
                <w:sz w:val="20"/>
                <w:szCs w:val="20"/>
                <w:lang w:val="ga"/>
              </w:rPr>
              <w:t>202</w:t>
            </w:r>
          </w:p>
          <w:p w14:paraId="3AA3C925"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38685E98" w14:textId="77777777" w:rsidR="00590BEF" w:rsidRPr="007202FA" w:rsidRDefault="000B4F21" w:rsidP="007202FA">
            <w:pPr>
              <w:spacing w:after="0"/>
              <w:jc w:val="right"/>
              <w:rPr>
                <w:sz w:val="20"/>
                <w:szCs w:val="20"/>
              </w:rPr>
            </w:pPr>
            <w:r>
              <w:rPr>
                <w:sz w:val="20"/>
                <w:szCs w:val="20"/>
                <w:lang w:val="ga"/>
              </w:rPr>
              <w:t>24</w:t>
            </w:r>
          </w:p>
          <w:p w14:paraId="1701B201"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3716A076" w14:textId="77777777" w:rsidR="00590BEF" w:rsidRPr="007202FA" w:rsidRDefault="000B4F21" w:rsidP="007202FA">
            <w:pPr>
              <w:spacing w:after="0"/>
              <w:jc w:val="right"/>
              <w:rPr>
                <w:sz w:val="20"/>
                <w:szCs w:val="20"/>
              </w:rPr>
            </w:pPr>
            <w:r>
              <w:rPr>
                <w:sz w:val="20"/>
                <w:szCs w:val="20"/>
                <w:lang w:val="ga"/>
              </w:rPr>
              <w:t>11.9%</w:t>
            </w:r>
          </w:p>
          <w:p w14:paraId="7A16AF5F" w14:textId="77777777" w:rsidR="00590BEF" w:rsidRPr="007202FA" w:rsidRDefault="00590BEF" w:rsidP="007202FA">
            <w:pPr>
              <w:spacing w:after="0"/>
              <w:jc w:val="right"/>
              <w:rPr>
                <w:sz w:val="20"/>
                <w:szCs w:val="20"/>
              </w:rPr>
            </w:pPr>
          </w:p>
        </w:tc>
      </w:tr>
      <w:tr w:rsidR="00F31303" w14:paraId="0E4E84FC"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2AB27455" w14:textId="77777777" w:rsidR="00590BEF" w:rsidRPr="007202FA" w:rsidRDefault="000B4F21" w:rsidP="007202FA">
            <w:pPr>
              <w:spacing w:after="0"/>
              <w:rPr>
                <w:sz w:val="20"/>
                <w:szCs w:val="20"/>
              </w:rPr>
            </w:pPr>
            <w:r>
              <w:rPr>
                <w:rFonts w:cs="Calibri"/>
                <w:color w:val="000000"/>
                <w:sz w:val="20"/>
                <w:szCs w:val="20"/>
                <w:lang w:val="ga"/>
              </w:rPr>
              <w:t>An Roinn Coimirce Sóisialaí</w:t>
            </w:r>
          </w:p>
        </w:tc>
        <w:tc>
          <w:tcPr>
            <w:tcW w:w="1560" w:type="dxa"/>
            <w:tcBorders>
              <w:top w:val="single" w:sz="6" w:space="0" w:color="000000"/>
              <w:left w:val="single" w:sz="6" w:space="0" w:color="000000"/>
              <w:bottom w:val="single" w:sz="6" w:space="0" w:color="000000"/>
              <w:right w:val="single" w:sz="6" w:space="0" w:color="000000"/>
            </w:tcBorders>
          </w:tcPr>
          <w:p w14:paraId="1B25B10E"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7,016</w:t>
            </w:r>
          </w:p>
          <w:p w14:paraId="10062734"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571AA372"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435</w:t>
            </w:r>
          </w:p>
          <w:p w14:paraId="33FD370A"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14354052"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6.2%</w:t>
            </w:r>
          </w:p>
          <w:p w14:paraId="59F13A6B"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165AF04B" w14:textId="77777777" w:rsidR="00590BEF" w:rsidRPr="007202FA" w:rsidRDefault="000B4F21" w:rsidP="007202FA">
            <w:pPr>
              <w:spacing w:after="0"/>
              <w:jc w:val="right"/>
              <w:rPr>
                <w:sz w:val="20"/>
                <w:szCs w:val="20"/>
              </w:rPr>
            </w:pPr>
            <w:r>
              <w:rPr>
                <w:sz w:val="20"/>
                <w:szCs w:val="20"/>
                <w:lang w:val="ga"/>
              </w:rPr>
              <w:t>7,193</w:t>
            </w:r>
          </w:p>
          <w:p w14:paraId="39C1236C"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4178A639" w14:textId="77777777" w:rsidR="00590BEF" w:rsidRPr="007202FA" w:rsidRDefault="000B4F21" w:rsidP="007202FA">
            <w:pPr>
              <w:spacing w:after="0"/>
              <w:jc w:val="right"/>
              <w:rPr>
                <w:sz w:val="20"/>
                <w:szCs w:val="20"/>
              </w:rPr>
            </w:pPr>
            <w:r>
              <w:rPr>
                <w:sz w:val="20"/>
                <w:szCs w:val="20"/>
                <w:lang w:val="ga"/>
              </w:rPr>
              <w:t>907</w:t>
            </w:r>
          </w:p>
          <w:p w14:paraId="4C8DB731"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73B9AE83" w14:textId="77777777" w:rsidR="00590BEF" w:rsidRPr="007202FA" w:rsidRDefault="000B4F21" w:rsidP="007202FA">
            <w:pPr>
              <w:spacing w:after="0"/>
              <w:jc w:val="right"/>
              <w:rPr>
                <w:sz w:val="20"/>
                <w:szCs w:val="20"/>
              </w:rPr>
            </w:pPr>
            <w:r>
              <w:rPr>
                <w:sz w:val="20"/>
                <w:szCs w:val="20"/>
                <w:lang w:val="ga"/>
              </w:rPr>
              <w:t>12.6%</w:t>
            </w:r>
          </w:p>
          <w:p w14:paraId="3568BE05" w14:textId="77777777" w:rsidR="00590BEF" w:rsidRPr="007202FA" w:rsidRDefault="00590BEF" w:rsidP="007202FA">
            <w:pPr>
              <w:spacing w:after="0"/>
              <w:jc w:val="right"/>
              <w:rPr>
                <w:sz w:val="20"/>
                <w:szCs w:val="20"/>
              </w:rPr>
            </w:pPr>
          </w:p>
        </w:tc>
      </w:tr>
      <w:tr w:rsidR="00F31303" w14:paraId="40133074"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75506FBD" w14:textId="018618CA" w:rsidR="00590BEF" w:rsidRPr="007202FA" w:rsidRDefault="000B4F21" w:rsidP="007202FA">
            <w:pPr>
              <w:spacing w:after="0"/>
              <w:rPr>
                <w:sz w:val="20"/>
                <w:szCs w:val="20"/>
              </w:rPr>
            </w:pPr>
            <w:r>
              <w:rPr>
                <w:rFonts w:cs="Calibri"/>
                <w:color w:val="000000"/>
                <w:sz w:val="20"/>
                <w:szCs w:val="20"/>
                <w:lang w:val="ga"/>
              </w:rPr>
              <w:t>An Roinn Comhshaoil, Aeráide agus Cumarsáide</w:t>
            </w:r>
          </w:p>
        </w:tc>
        <w:tc>
          <w:tcPr>
            <w:tcW w:w="1560" w:type="dxa"/>
            <w:tcBorders>
              <w:top w:val="single" w:sz="6" w:space="0" w:color="000000"/>
              <w:left w:val="single" w:sz="6" w:space="0" w:color="000000"/>
              <w:bottom w:val="single" w:sz="6" w:space="0" w:color="000000"/>
              <w:right w:val="single" w:sz="6" w:space="0" w:color="000000"/>
            </w:tcBorders>
          </w:tcPr>
          <w:p w14:paraId="29DBAEB5"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697</w:t>
            </w:r>
          </w:p>
          <w:p w14:paraId="6BCA11C5"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42189F5D"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49</w:t>
            </w:r>
          </w:p>
          <w:p w14:paraId="45A682BC"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1FF238DF"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7.0%</w:t>
            </w:r>
          </w:p>
          <w:p w14:paraId="2A7C7CEF"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04D19FF7" w14:textId="77777777" w:rsidR="00590BEF" w:rsidRPr="007202FA" w:rsidRDefault="000B4F21" w:rsidP="007202FA">
            <w:pPr>
              <w:spacing w:after="0"/>
              <w:jc w:val="right"/>
              <w:rPr>
                <w:sz w:val="20"/>
                <w:szCs w:val="20"/>
              </w:rPr>
            </w:pPr>
            <w:r>
              <w:rPr>
                <w:sz w:val="20"/>
                <w:szCs w:val="20"/>
                <w:lang w:val="ga"/>
              </w:rPr>
              <w:t>811</w:t>
            </w:r>
          </w:p>
          <w:p w14:paraId="78F2709D"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07D7257C" w14:textId="77777777" w:rsidR="00590BEF" w:rsidRPr="007202FA" w:rsidRDefault="000B4F21" w:rsidP="007202FA">
            <w:pPr>
              <w:spacing w:after="0"/>
              <w:jc w:val="right"/>
              <w:rPr>
                <w:sz w:val="20"/>
                <w:szCs w:val="20"/>
              </w:rPr>
            </w:pPr>
            <w:r>
              <w:rPr>
                <w:sz w:val="20"/>
                <w:szCs w:val="20"/>
                <w:lang w:val="ga"/>
              </w:rPr>
              <w:t>62</w:t>
            </w:r>
          </w:p>
          <w:p w14:paraId="63C5AFA1"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31EFAC6C" w14:textId="77777777" w:rsidR="00590BEF" w:rsidRPr="007202FA" w:rsidRDefault="000B4F21" w:rsidP="007202FA">
            <w:pPr>
              <w:spacing w:after="0"/>
              <w:jc w:val="right"/>
              <w:rPr>
                <w:sz w:val="20"/>
                <w:szCs w:val="20"/>
              </w:rPr>
            </w:pPr>
            <w:r>
              <w:rPr>
                <w:sz w:val="20"/>
                <w:szCs w:val="20"/>
                <w:lang w:val="ga"/>
              </w:rPr>
              <w:t>7.6%</w:t>
            </w:r>
          </w:p>
          <w:p w14:paraId="52B68B84" w14:textId="77777777" w:rsidR="00590BEF" w:rsidRPr="007202FA" w:rsidRDefault="00590BEF" w:rsidP="007202FA">
            <w:pPr>
              <w:spacing w:after="0"/>
              <w:jc w:val="right"/>
              <w:rPr>
                <w:sz w:val="20"/>
                <w:szCs w:val="20"/>
              </w:rPr>
            </w:pPr>
          </w:p>
        </w:tc>
      </w:tr>
      <w:tr w:rsidR="00F31303" w14:paraId="4FDE2242"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3B36A264" w14:textId="77777777" w:rsidR="00590BEF" w:rsidRPr="007202FA" w:rsidRDefault="000B4F21" w:rsidP="007202FA">
            <w:pPr>
              <w:spacing w:after="0"/>
              <w:rPr>
                <w:sz w:val="20"/>
                <w:szCs w:val="20"/>
              </w:rPr>
            </w:pPr>
            <w:r>
              <w:rPr>
                <w:rFonts w:cs="Calibri"/>
                <w:color w:val="000000"/>
                <w:sz w:val="20"/>
                <w:szCs w:val="20"/>
                <w:lang w:val="ga"/>
              </w:rPr>
              <w:t>Roinn an Taoisigh</w:t>
            </w:r>
          </w:p>
        </w:tc>
        <w:tc>
          <w:tcPr>
            <w:tcW w:w="1560" w:type="dxa"/>
            <w:tcBorders>
              <w:top w:val="single" w:sz="6" w:space="0" w:color="000000"/>
              <w:left w:val="single" w:sz="6" w:space="0" w:color="000000"/>
              <w:bottom w:val="single" w:sz="6" w:space="0" w:color="000000"/>
              <w:right w:val="single" w:sz="6" w:space="0" w:color="000000"/>
            </w:tcBorders>
          </w:tcPr>
          <w:p w14:paraId="3A009E69"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253</w:t>
            </w:r>
          </w:p>
          <w:p w14:paraId="44C9F1F1"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1253958D"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20</w:t>
            </w:r>
          </w:p>
          <w:p w14:paraId="2B9D0463"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41BE0C5A"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7.9%</w:t>
            </w:r>
          </w:p>
          <w:p w14:paraId="32ECAFFD"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3D2847D7" w14:textId="77777777" w:rsidR="00590BEF" w:rsidRPr="007202FA" w:rsidRDefault="000B4F21" w:rsidP="007202FA">
            <w:pPr>
              <w:spacing w:after="0"/>
              <w:jc w:val="right"/>
              <w:rPr>
                <w:sz w:val="20"/>
                <w:szCs w:val="20"/>
              </w:rPr>
            </w:pPr>
            <w:r>
              <w:rPr>
                <w:sz w:val="20"/>
                <w:szCs w:val="20"/>
                <w:lang w:val="ga"/>
              </w:rPr>
              <w:t>259</w:t>
            </w:r>
          </w:p>
          <w:p w14:paraId="4D58CF28"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63101961" w14:textId="77777777" w:rsidR="00590BEF" w:rsidRPr="007202FA" w:rsidRDefault="000B4F21" w:rsidP="007202FA">
            <w:pPr>
              <w:spacing w:after="0"/>
              <w:jc w:val="right"/>
              <w:rPr>
                <w:sz w:val="20"/>
                <w:szCs w:val="20"/>
              </w:rPr>
            </w:pPr>
            <w:r>
              <w:rPr>
                <w:sz w:val="20"/>
                <w:szCs w:val="20"/>
                <w:lang w:val="ga"/>
              </w:rPr>
              <w:t>19</w:t>
            </w:r>
          </w:p>
          <w:p w14:paraId="7BAA94FF"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5A22F704" w14:textId="77777777" w:rsidR="00590BEF" w:rsidRPr="007202FA" w:rsidRDefault="000B4F21" w:rsidP="007202FA">
            <w:pPr>
              <w:spacing w:after="0"/>
              <w:jc w:val="right"/>
              <w:rPr>
                <w:sz w:val="20"/>
                <w:szCs w:val="20"/>
              </w:rPr>
            </w:pPr>
            <w:r>
              <w:rPr>
                <w:sz w:val="20"/>
                <w:szCs w:val="20"/>
                <w:lang w:val="ga"/>
              </w:rPr>
              <w:t>7.3%</w:t>
            </w:r>
          </w:p>
          <w:p w14:paraId="0A6B4260" w14:textId="77777777" w:rsidR="00590BEF" w:rsidRPr="007202FA" w:rsidRDefault="00590BEF" w:rsidP="007202FA">
            <w:pPr>
              <w:spacing w:after="0"/>
              <w:jc w:val="right"/>
              <w:rPr>
                <w:sz w:val="20"/>
                <w:szCs w:val="20"/>
              </w:rPr>
            </w:pPr>
          </w:p>
        </w:tc>
      </w:tr>
      <w:tr w:rsidR="00F31303" w14:paraId="052993A1"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17D51F76" w14:textId="77777777" w:rsidR="00590BEF" w:rsidRPr="007202FA" w:rsidRDefault="000B4F21" w:rsidP="007202FA">
            <w:pPr>
              <w:spacing w:after="0"/>
              <w:rPr>
                <w:sz w:val="20"/>
                <w:szCs w:val="20"/>
              </w:rPr>
            </w:pPr>
            <w:r>
              <w:rPr>
                <w:rFonts w:cs="Calibri"/>
                <w:color w:val="000000"/>
                <w:sz w:val="20"/>
                <w:szCs w:val="20"/>
                <w:lang w:val="ga"/>
              </w:rPr>
              <w:t xml:space="preserve">An Roinn Turasóireachta, Cultúir, Ealaíon, Gaeltachta, Spóirt agus Meán </w:t>
            </w:r>
          </w:p>
        </w:tc>
        <w:tc>
          <w:tcPr>
            <w:tcW w:w="1560" w:type="dxa"/>
            <w:tcBorders>
              <w:top w:val="single" w:sz="6" w:space="0" w:color="000000"/>
              <w:left w:val="single" w:sz="6" w:space="0" w:color="000000"/>
              <w:bottom w:val="single" w:sz="6" w:space="0" w:color="000000"/>
              <w:right w:val="single" w:sz="6" w:space="0" w:color="000000"/>
            </w:tcBorders>
          </w:tcPr>
          <w:p w14:paraId="6624B168"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453</w:t>
            </w:r>
          </w:p>
          <w:p w14:paraId="28B6BDD2"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059CEF5E"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68</w:t>
            </w:r>
          </w:p>
          <w:p w14:paraId="7097A6F6"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04ED25F4"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15.0%</w:t>
            </w:r>
          </w:p>
          <w:p w14:paraId="18D5BB6A"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5A8386B5" w14:textId="77777777" w:rsidR="00590BEF" w:rsidRPr="007202FA" w:rsidRDefault="000B4F21" w:rsidP="007202FA">
            <w:pPr>
              <w:spacing w:after="0"/>
              <w:jc w:val="right"/>
              <w:rPr>
                <w:sz w:val="20"/>
                <w:szCs w:val="20"/>
              </w:rPr>
            </w:pPr>
            <w:r>
              <w:rPr>
                <w:sz w:val="20"/>
                <w:szCs w:val="20"/>
                <w:lang w:val="ga"/>
              </w:rPr>
              <w:t>473</w:t>
            </w:r>
          </w:p>
          <w:p w14:paraId="02D3A640"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0C9D8639" w14:textId="77777777" w:rsidR="00590BEF" w:rsidRPr="007202FA" w:rsidRDefault="000B4F21" w:rsidP="007202FA">
            <w:pPr>
              <w:spacing w:after="0"/>
              <w:jc w:val="right"/>
              <w:rPr>
                <w:sz w:val="20"/>
                <w:szCs w:val="20"/>
              </w:rPr>
            </w:pPr>
            <w:r>
              <w:rPr>
                <w:sz w:val="20"/>
                <w:szCs w:val="20"/>
                <w:lang w:val="ga"/>
              </w:rPr>
              <w:t>66</w:t>
            </w:r>
          </w:p>
          <w:p w14:paraId="1232E931"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4628B4EA" w14:textId="77777777" w:rsidR="00590BEF" w:rsidRPr="007202FA" w:rsidRDefault="000B4F21" w:rsidP="007202FA">
            <w:pPr>
              <w:spacing w:after="0"/>
              <w:jc w:val="right"/>
              <w:rPr>
                <w:sz w:val="20"/>
                <w:szCs w:val="20"/>
              </w:rPr>
            </w:pPr>
            <w:r>
              <w:rPr>
                <w:sz w:val="20"/>
                <w:szCs w:val="20"/>
                <w:lang w:val="ga"/>
              </w:rPr>
              <w:t>14.0%</w:t>
            </w:r>
          </w:p>
          <w:p w14:paraId="22B14179" w14:textId="77777777" w:rsidR="00590BEF" w:rsidRPr="007202FA" w:rsidRDefault="00590BEF" w:rsidP="007202FA">
            <w:pPr>
              <w:spacing w:after="0"/>
              <w:jc w:val="right"/>
              <w:rPr>
                <w:sz w:val="20"/>
                <w:szCs w:val="20"/>
              </w:rPr>
            </w:pPr>
          </w:p>
        </w:tc>
      </w:tr>
      <w:tr w:rsidR="00F31303" w14:paraId="37289A97" w14:textId="77777777" w:rsidTr="00AD7314">
        <w:tc>
          <w:tcPr>
            <w:tcW w:w="1985" w:type="dxa"/>
            <w:tcBorders>
              <w:top w:val="single" w:sz="6" w:space="0" w:color="000000"/>
              <w:left w:val="single" w:sz="12" w:space="0" w:color="000000"/>
              <w:bottom w:val="single" w:sz="6" w:space="0" w:color="000000"/>
              <w:right w:val="single" w:sz="6" w:space="0" w:color="000000"/>
            </w:tcBorders>
            <w:hideMark/>
          </w:tcPr>
          <w:p w14:paraId="271144B5" w14:textId="77777777" w:rsidR="00590BEF" w:rsidRPr="007202FA" w:rsidRDefault="000B4F21" w:rsidP="007202FA">
            <w:pPr>
              <w:spacing w:after="0"/>
              <w:rPr>
                <w:sz w:val="20"/>
                <w:szCs w:val="20"/>
              </w:rPr>
            </w:pPr>
            <w:r>
              <w:rPr>
                <w:rFonts w:cs="Calibri"/>
                <w:color w:val="000000"/>
                <w:sz w:val="20"/>
                <w:szCs w:val="20"/>
                <w:lang w:val="ga"/>
              </w:rPr>
              <w:t>An Roinn Iompair</w:t>
            </w:r>
          </w:p>
        </w:tc>
        <w:tc>
          <w:tcPr>
            <w:tcW w:w="1560" w:type="dxa"/>
            <w:tcBorders>
              <w:top w:val="single" w:sz="6" w:space="0" w:color="000000"/>
              <w:left w:val="single" w:sz="6" w:space="0" w:color="000000"/>
              <w:bottom w:val="single" w:sz="6" w:space="0" w:color="000000"/>
              <w:right w:val="single" w:sz="6" w:space="0" w:color="000000"/>
            </w:tcBorders>
          </w:tcPr>
          <w:p w14:paraId="5C859697"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643</w:t>
            </w:r>
          </w:p>
          <w:p w14:paraId="0BEEF999"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6" w:space="0" w:color="000000"/>
              <w:right w:val="single" w:sz="6" w:space="0" w:color="000000"/>
            </w:tcBorders>
          </w:tcPr>
          <w:p w14:paraId="69EA14C8"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27</w:t>
            </w:r>
          </w:p>
          <w:p w14:paraId="542C3152" w14:textId="77777777" w:rsidR="00590BEF" w:rsidRPr="007202FA" w:rsidRDefault="00590BEF" w:rsidP="007202FA">
            <w:pPr>
              <w:pStyle w:val="TableCell"/>
              <w:rPr>
                <w:rFonts w:ascii="Verdana" w:hAnsi="Verdana" w:cs="Arial"/>
                <w:kern w:val="2"/>
                <w:sz w:val="20"/>
                <w:szCs w:val="20"/>
                <w14:ligatures w14:val="standardContextual"/>
              </w:rPr>
            </w:pPr>
          </w:p>
        </w:tc>
        <w:tc>
          <w:tcPr>
            <w:tcW w:w="1558" w:type="dxa"/>
            <w:tcBorders>
              <w:top w:val="single" w:sz="6" w:space="0" w:color="000000"/>
              <w:left w:val="single" w:sz="6" w:space="0" w:color="000000"/>
              <w:bottom w:val="single" w:sz="6" w:space="0" w:color="000000"/>
              <w:right w:val="single" w:sz="6" w:space="0" w:color="000000"/>
            </w:tcBorders>
          </w:tcPr>
          <w:p w14:paraId="3E6CE983"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4.2%</w:t>
            </w:r>
          </w:p>
          <w:p w14:paraId="73470E71"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6" w:space="0" w:color="000000"/>
              <w:right w:val="single" w:sz="6" w:space="0" w:color="000000"/>
            </w:tcBorders>
          </w:tcPr>
          <w:p w14:paraId="08020CAD" w14:textId="77777777" w:rsidR="00590BEF" w:rsidRPr="007202FA" w:rsidRDefault="000B4F21" w:rsidP="007202FA">
            <w:pPr>
              <w:spacing w:after="0"/>
              <w:jc w:val="right"/>
              <w:rPr>
                <w:sz w:val="20"/>
                <w:szCs w:val="20"/>
              </w:rPr>
            </w:pPr>
            <w:r>
              <w:rPr>
                <w:sz w:val="20"/>
                <w:szCs w:val="20"/>
                <w:lang w:val="ga"/>
              </w:rPr>
              <w:t>692</w:t>
            </w:r>
          </w:p>
          <w:p w14:paraId="51ACF3A2" w14:textId="77777777" w:rsidR="00590BEF" w:rsidRPr="007202FA" w:rsidRDefault="00590BEF" w:rsidP="007202FA">
            <w:pPr>
              <w:spacing w:after="0"/>
              <w:jc w:val="right"/>
              <w:rPr>
                <w:sz w:val="20"/>
                <w:szCs w:val="20"/>
              </w:rPr>
            </w:pPr>
          </w:p>
        </w:tc>
        <w:tc>
          <w:tcPr>
            <w:tcW w:w="1555" w:type="dxa"/>
            <w:tcBorders>
              <w:top w:val="single" w:sz="6" w:space="0" w:color="000000"/>
              <w:left w:val="single" w:sz="6" w:space="0" w:color="000000"/>
              <w:bottom w:val="single" w:sz="6" w:space="0" w:color="000000"/>
              <w:right w:val="single" w:sz="6" w:space="0" w:color="000000"/>
            </w:tcBorders>
          </w:tcPr>
          <w:p w14:paraId="730B5CD3" w14:textId="77777777" w:rsidR="00590BEF" w:rsidRPr="007202FA" w:rsidRDefault="000B4F21" w:rsidP="007202FA">
            <w:pPr>
              <w:spacing w:after="0"/>
              <w:jc w:val="right"/>
              <w:rPr>
                <w:sz w:val="20"/>
                <w:szCs w:val="20"/>
              </w:rPr>
            </w:pPr>
            <w:r>
              <w:rPr>
                <w:sz w:val="20"/>
                <w:szCs w:val="20"/>
                <w:lang w:val="ga"/>
              </w:rPr>
              <w:t>35</w:t>
            </w:r>
          </w:p>
          <w:p w14:paraId="15F4F5BA" w14:textId="77777777" w:rsidR="00590BEF" w:rsidRPr="007202FA" w:rsidRDefault="00590BEF" w:rsidP="007202FA">
            <w:pPr>
              <w:spacing w:after="0"/>
              <w:jc w:val="right"/>
              <w:rPr>
                <w:sz w:val="20"/>
                <w:szCs w:val="20"/>
              </w:rPr>
            </w:pPr>
          </w:p>
        </w:tc>
        <w:tc>
          <w:tcPr>
            <w:tcW w:w="1701" w:type="dxa"/>
            <w:tcBorders>
              <w:top w:val="single" w:sz="6" w:space="0" w:color="000000"/>
              <w:left w:val="single" w:sz="6" w:space="0" w:color="000000"/>
              <w:bottom w:val="single" w:sz="6" w:space="0" w:color="000000"/>
              <w:right w:val="single" w:sz="12" w:space="0" w:color="000000"/>
            </w:tcBorders>
          </w:tcPr>
          <w:p w14:paraId="7183A9C6" w14:textId="77777777" w:rsidR="00590BEF" w:rsidRPr="007202FA" w:rsidRDefault="000B4F21" w:rsidP="007202FA">
            <w:pPr>
              <w:spacing w:after="0"/>
              <w:jc w:val="right"/>
              <w:rPr>
                <w:sz w:val="20"/>
                <w:szCs w:val="20"/>
              </w:rPr>
            </w:pPr>
            <w:r>
              <w:rPr>
                <w:sz w:val="20"/>
                <w:szCs w:val="20"/>
                <w:lang w:val="ga"/>
              </w:rPr>
              <w:t>5.1%</w:t>
            </w:r>
          </w:p>
          <w:p w14:paraId="6314FC86" w14:textId="77777777" w:rsidR="00590BEF" w:rsidRPr="007202FA" w:rsidRDefault="00590BEF" w:rsidP="007202FA">
            <w:pPr>
              <w:spacing w:after="0"/>
              <w:jc w:val="right"/>
              <w:rPr>
                <w:sz w:val="20"/>
                <w:szCs w:val="20"/>
              </w:rPr>
            </w:pPr>
          </w:p>
        </w:tc>
      </w:tr>
      <w:tr w:rsidR="00F31303" w14:paraId="1B79184A" w14:textId="77777777" w:rsidTr="00AD7314">
        <w:trPr>
          <w:trHeight w:val="583"/>
        </w:trPr>
        <w:tc>
          <w:tcPr>
            <w:tcW w:w="1985" w:type="dxa"/>
            <w:tcBorders>
              <w:top w:val="single" w:sz="6" w:space="0" w:color="000000"/>
              <w:left w:val="single" w:sz="12" w:space="0" w:color="000000"/>
              <w:bottom w:val="single" w:sz="12" w:space="0" w:color="000000"/>
              <w:right w:val="single" w:sz="6" w:space="0" w:color="000000"/>
            </w:tcBorders>
            <w:hideMark/>
          </w:tcPr>
          <w:p w14:paraId="2BBF5AA3" w14:textId="77777777" w:rsidR="00590BEF" w:rsidRPr="007202FA" w:rsidRDefault="000B4F21" w:rsidP="007202FA">
            <w:pPr>
              <w:spacing w:after="0"/>
              <w:rPr>
                <w:rFonts w:cs="Arial"/>
                <w:b/>
                <w:sz w:val="20"/>
                <w:szCs w:val="20"/>
              </w:rPr>
            </w:pPr>
            <w:r>
              <w:rPr>
                <w:rFonts w:cs="Arial"/>
                <w:b/>
                <w:bCs/>
                <w:sz w:val="20"/>
                <w:szCs w:val="20"/>
                <w:lang w:val="ga"/>
              </w:rPr>
              <w:t>Mór-Iomlán</w:t>
            </w:r>
          </w:p>
        </w:tc>
        <w:tc>
          <w:tcPr>
            <w:tcW w:w="1560" w:type="dxa"/>
            <w:tcBorders>
              <w:top w:val="single" w:sz="6" w:space="0" w:color="000000"/>
              <w:left w:val="single" w:sz="6" w:space="0" w:color="000000"/>
              <w:bottom w:val="single" w:sz="12" w:space="0" w:color="000000"/>
              <w:right w:val="single" w:sz="6" w:space="0" w:color="000000"/>
            </w:tcBorders>
          </w:tcPr>
          <w:p w14:paraId="6704F980" w14:textId="77777777" w:rsidR="00590BEF" w:rsidRPr="007202FA" w:rsidRDefault="000B4F21" w:rsidP="007202FA">
            <w:pPr>
              <w:spacing w:after="0"/>
              <w:jc w:val="right"/>
              <w:rPr>
                <w:rFonts w:cs="Calibri"/>
                <w:b/>
                <w:bCs/>
                <w:color w:val="000000"/>
                <w:sz w:val="20"/>
                <w:szCs w:val="20"/>
              </w:rPr>
            </w:pPr>
            <w:r>
              <w:rPr>
                <w:rFonts w:cs="Calibri"/>
                <w:b/>
                <w:bCs/>
                <w:color w:val="000000"/>
                <w:sz w:val="20"/>
                <w:szCs w:val="20"/>
                <w:lang w:val="ga"/>
              </w:rPr>
              <w:t>26,326</w:t>
            </w:r>
          </w:p>
          <w:p w14:paraId="44E49EFB" w14:textId="77777777" w:rsidR="00590BEF" w:rsidRPr="007202FA" w:rsidRDefault="00590BEF" w:rsidP="007202FA">
            <w:pPr>
              <w:pStyle w:val="TableCell"/>
              <w:rPr>
                <w:rFonts w:ascii="Verdana" w:hAnsi="Verdana" w:cs="Arial"/>
                <w:kern w:val="2"/>
                <w:sz w:val="20"/>
                <w:szCs w:val="20"/>
                <w14:ligatures w14:val="standardContextual"/>
              </w:rPr>
            </w:pPr>
          </w:p>
        </w:tc>
        <w:tc>
          <w:tcPr>
            <w:tcW w:w="1702" w:type="dxa"/>
            <w:tcBorders>
              <w:top w:val="single" w:sz="6" w:space="0" w:color="000000"/>
              <w:left w:val="single" w:sz="6" w:space="0" w:color="000000"/>
              <w:bottom w:val="single" w:sz="12" w:space="0" w:color="000000"/>
              <w:right w:val="single" w:sz="6" w:space="0" w:color="000000"/>
            </w:tcBorders>
          </w:tcPr>
          <w:p w14:paraId="11B3EA37" w14:textId="77777777" w:rsidR="00590BEF" w:rsidRPr="007202FA" w:rsidRDefault="000B4F21" w:rsidP="007202FA">
            <w:pPr>
              <w:spacing w:after="0"/>
              <w:jc w:val="right"/>
              <w:rPr>
                <w:rFonts w:cs="Calibri"/>
                <w:b/>
                <w:bCs/>
                <w:color w:val="000000"/>
                <w:sz w:val="20"/>
                <w:szCs w:val="20"/>
              </w:rPr>
            </w:pPr>
            <w:r>
              <w:rPr>
                <w:rFonts w:cs="Calibri"/>
                <w:b/>
                <w:bCs/>
                <w:color w:val="000000"/>
                <w:sz w:val="20"/>
                <w:szCs w:val="20"/>
                <w:lang w:val="ga"/>
              </w:rPr>
              <w:t>1783</w:t>
            </w:r>
          </w:p>
          <w:p w14:paraId="3E2CEA17" w14:textId="77777777" w:rsidR="00590BEF" w:rsidRPr="007202FA" w:rsidRDefault="00590BEF" w:rsidP="007202FA">
            <w:pPr>
              <w:spacing w:after="0"/>
              <w:jc w:val="right"/>
              <w:rPr>
                <w:rFonts w:cs="Arial"/>
                <w:sz w:val="20"/>
                <w:szCs w:val="20"/>
              </w:rPr>
            </w:pPr>
          </w:p>
        </w:tc>
        <w:tc>
          <w:tcPr>
            <w:tcW w:w="1558" w:type="dxa"/>
            <w:tcBorders>
              <w:top w:val="single" w:sz="6" w:space="0" w:color="000000"/>
              <w:left w:val="single" w:sz="6" w:space="0" w:color="000000"/>
              <w:bottom w:val="single" w:sz="12" w:space="0" w:color="000000"/>
              <w:right w:val="single" w:sz="6" w:space="0" w:color="000000"/>
            </w:tcBorders>
          </w:tcPr>
          <w:p w14:paraId="5C1D5157" w14:textId="77777777" w:rsidR="00590BEF" w:rsidRPr="007202FA" w:rsidRDefault="000B4F21" w:rsidP="007202FA">
            <w:pPr>
              <w:spacing w:after="0"/>
              <w:jc w:val="right"/>
              <w:rPr>
                <w:rFonts w:cs="Calibri"/>
                <w:b/>
                <w:bCs/>
                <w:color w:val="000000"/>
                <w:sz w:val="20"/>
                <w:szCs w:val="20"/>
              </w:rPr>
            </w:pPr>
            <w:r>
              <w:rPr>
                <w:rFonts w:cs="Calibri"/>
                <w:b/>
                <w:bCs/>
                <w:color w:val="000000"/>
                <w:sz w:val="20"/>
                <w:szCs w:val="20"/>
                <w:lang w:val="ga"/>
              </w:rPr>
              <w:t>6.8%</w:t>
            </w:r>
          </w:p>
          <w:p w14:paraId="6BC66067" w14:textId="77777777" w:rsidR="00590BEF" w:rsidRPr="007202FA" w:rsidRDefault="00590BEF" w:rsidP="007202FA">
            <w:pPr>
              <w:pStyle w:val="TableCell"/>
              <w:rPr>
                <w:rFonts w:ascii="Verdana" w:hAnsi="Verdana" w:cs="Arial"/>
                <w:kern w:val="2"/>
                <w:sz w:val="20"/>
                <w:szCs w:val="20"/>
                <w14:ligatures w14:val="standardContextual"/>
              </w:rPr>
            </w:pPr>
          </w:p>
        </w:tc>
        <w:tc>
          <w:tcPr>
            <w:tcW w:w="1563" w:type="dxa"/>
            <w:tcBorders>
              <w:top w:val="single" w:sz="6" w:space="0" w:color="000000"/>
              <w:left w:val="single" w:sz="6" w:space="0" w:color="000000"/>
              <w:bottom w:val="single" w:sz="12" w:space="0" w:color="000000"/>
              <w:right w:val="single" w:sz="6" w:space="0" w:color="000000"/>
            </w:tcBorders>
          </w:tcPr>
          <w:p w14:paraId="346D3B8A" w14:textId="77777777" w:rsidR="00590BEF" w:rsidRPr="007202FA" w:rsidRDefault="000B4F21" w:rsidP="007202FA">
            <w:pPr>
              <w:pStyle w:val="TableCell"/>
              <w:rPr>
                <w:rFonts w:ascii="Verdana" w:hAnsi="Verdana"/>
                <w:b/>
                <w:bCs/>
                <w:kern w:val="2"/>
                <w:sz w:val="20"/>
                <w:szCs w:val="20"/>
                <w14:ligatures w14:val="standardContextual"/>
              </w:rPr>
            </w:pPr>
            <w:r>
              <w:rPr>
                <w:rFonts w:ascii="Verdana" w:hAnsi="Verdana"/>
                <w:b/>
                <w:bCs/>
                <w:kern w:val="2"/>
                <w:sz w:val="20"/>
                <w:szCs w:val="20"/>
                <w:lang w:val="ga"/>
                <w14:ligatures w14:val="standardContextual"/>
              </w:rPr>
              <w:t>27,894</w:t>
            </w:r>
          </w:p>
          <w:p w14:paraId="5D91FB2B" w14:textId="77777777" w:rsidR="00590BEF" w:rsidRPr="007202FA" w:rsidRDefault="00590BEF" w:rsidP="007202FA">
            <w:pPr>
              <w:pStyle w:val="TableCell"/>
              <w:rPr>
                <w:rFonts w:ascii="Verdana" w:hAnsi="Verdana"/>
                <w:b/>
                <w:kern w:val="2"/>
                <w:sz w:val="20"/>
                <w:szCs w:val="20"/>
                <w14:ligatures w14:val="standardContextual"/>
              </w:rPr>
            </w:pPr>
          </w:p>
        </w:tc>
        <w:tc>
          <w:tcPr>
            <w:tcW w:w="1555" w:type="dxa"/>
            <w:tcBorders>
              <w:top w:val="single" w:sz="6" w:space="0" w:color="000000"/>
              <w:left w:val="single" w:sz="6" w:space="0" w:color="000000"/>
              <w:bottom w:val="single" w:sz="12" w:space="0" w:color="000000"/>
              <w:right w:val="single" w:sz="6" w:space="0" w:color="000000"/>
            </w:tcBorders>
          </w:tcPr>
          <w:p w14:paraId="445D78E3" w14:textId="77777777" w:rsidR="00590BEF" w:rsidRPr="007202FA" w:rsidRDefault="000B4F21" w:rsidP="007202FA">
            <w:pPr>
              <w:pStyle w:val="TableCell"/>
              <w:rPr>
                <w:rFonts w:ascii="Verdana" w:hAnsi="Verdana"/>
                <w:b/>
                <w:bCs/>
                <w:kern w:val="2"/>
                <w:sz w:val="20"/>
                <w:szCs w:val="20"/>
                <w14:ligatures w14:val="standardContextual"/>
              </w:rPr>
            </w:pPr>
            <w:r>
              <w:rPr>
                <w:rFonts w:ascii="Verdana" w:hAnsi="Verdana"/>
                <w:b/>
                <w:bCs/>
                <w:kern w:val="2"/>
                <w:sz w:val="20"/>
                <w:szCs w:val="20"/>
                <w:lang w:val="ga"/>
                <w14:ligatures w14:val="standardContextual"/>
              </w:rPr>
              <w:t>2,730</w:t>
            </w:r>
          </w:p>
          <w:p w14:paraId="50F37541" w14:textId="77777777" w:rsidR="00590BEF" w:rsidRPr="007202FA" w:rsidRDefault="00590BEF" w:rsidP="007202FA">
            <w:pPr>
              <w:pStyle w:val="TableCell"/>
              <w:rPr>
                <w:rFonts w:ascii="Verdana" w:hAnsi="Verdana"/>
                <w:b/>
                <w:kern w:val="2"/>
                <w:sz w:val="20"/>
                <w:szCs w:val="20"/>
                <w14:ligatures w14:val="standardContextual"/>
              </w:rPr>
            </w:pPr>
          </w:p>
        </w:tc>
        <w:tc>
          <w:tcPr>
            <w:tcW w:w="1701" w:type="dxa"/>
            <w:tcBorders>
              <w:top w:val="single" w:sz="6" w:space="0" w:color="000000"/>
              <w:left w:val="single" w:sz="6" w:space="0" w:color="000000"/>
              <w:bottom w:val="single" w:sz="12" w:space="0" w:color="000000"/>
              <w:right w:val="single" w:sz="12" w:space="0" w:color="000000"/>
            </w:tcBorders>
          </w:tcPr>
          <w:p w14:paraId="26E621D2" w14:textId="77777777" w:rsidR="00590BEF" w:rsidRPr="007202FA" w:rsidRDefault="000B4F21" w:rsidP="007202FA">
            <w:pPr>
              <w:spacing w:after="0"/>
              <w:jc w:val="right"/>
              <w:rPr>
                <w:rFonts w:cs="Calibri"/>
                <w:b/>
                <w:bCs/>
                <w:color w:val="000000"/>
                <w:sz w:val="22"/>
              </w:rPr>
            </w:pPr>
            <w:r>
              <w:rPr>
                <w:rFonts w:cs="Calibri"/>
                <w:b/>
                <w:bCs/>
                <w:color w:val="000000"/>
                <w:sz w:val="22"/>
                <w:lang w:val="ga"/>
              </w:rPr>
              <w:t>9.8%</w:t>
            </w:r>
          </w:p>
          <w:p w14:paraId="65AC3BA5" w14:textId="77777777" w:rsidR="00590BEF" w:rsidRPr="007202FA" w:rsidRDefault="00590BEF" w:rsidP="007202FA">
            <w:pPr>
              <w:pStyle w:val="TableCell"/>
              <w:rPr>
                <w:rFonts w:ascii="Verdana" w:hAnsi="Verdana"/>
                <w:b/>
                <w:color w:val="FF0000"/>
                <w:kern w:val="2"/>
                <w:sz w:val="20"/>
                <w:szCs w:val="20"/>
                <w14:ligatures w14:val="standardContextual"/>
              </w:rPr>
            </w:pPr>
          </w:p>
        </w:tc>
      </w:tr>
    </w:tbl>
    <w:p w14:paraId="0FA57F37" w14:textId="77777777" w:rsidR="00590BEF" w:rsidRPr="007202FA" w:rsidRDefault="000B4F21" w:rsidP="007202FA">
      <w:pPr>
        <w:rPr>
          <w:rFonts w:ascii="Gill Sans" w:hAnsi="Gill Sans"/>
        </w:rPr>
      </w:pPr>
      <w:r>
        <w:rPr>
          <w:rFonts w:ascii="Gill Sans" w:hAnsi="Gill Sans"/>
          <w:kern w:val="0"/>
          <w:lang w:val="ga"/>
          <w14:ligatures w14:val="none"/>
        </w:rPr>
        <w:br w:type="page"/>
      </w:r>
    </w:p>
    <w:p w14:paraId="5B0E1A86" w14:textId="698B8D28" w:rsidR="00590BEF" w:rsidRPr="007202FA" w:rsidRDefault="000B4F21" w:rsidP="007202FA">
      <w:pPr>
        <w:pStyle w:val="Heading1"/>
        <w:rPr>
          <w:color w:val="BF2296"/>
        </w:rPr>
      </w:pPr>
      <w:bookmarkStart w:id="205" w:name="_Toc214033662"/>
      <w:r>
        <w:rPr>
          <w:bCs/>
          <w:color w:val="BF2296"/>
          <w:lang w:val="ga"/>
        </w:rPr>
        <w:lastRenderedPageBreak/>
        <w:t xml:space="preserve">Aguisín B – Ranna Rialtais agus </w:t>
      </w:r>
      <w:bookmarkStart w:id="206" w:name="_Hlk212037878"/>
      <w:r>
        <w:rPr>
          <w:bCs/>
          <w:color w:val="BF2296"/>
          <w:lang w:val="ga"/>
        </w:rPr>
        <w:t>na comhlachtaí atá faoina gcoimirce</w:t>
      </w:r>
      <w:bookmarkEnd w:id="206"/>
      <w:bookmarkEnd w:id="205"/>
    </w:p>
    <w:p w14:paraId="471C73B3" w14:textId="77777777" w:rsidR="00590BEF" w:rsidRPr="005524D6" w:rsidRDefault="000B4F21" w:rsidP="007202FA">
      <w:pPr>
        <w:pStyle w:val="Heading2"/>
        <w:spacing w:after="120"/>
        <w:jc w:val="center"/>
        <w:rPr>
          <w:color w:val="D60093"/>
          <w:lang w:val="it-IT"/>
        </w:rPr>
      </w:pPr>
      <w:bookmarkStart w:id="207" w:name="_Toc176801625"/>
      <w:bookmarkStart w:id="208" w:name="_Toc214033663"/>
      <w:r>
        <w:rPr>
          <w:bCs/>
          <w:lang w:val="ga"/>
        </w:rPr>
        <w:t>An Roinn Talmhaíochta, Bia agus Mara</w:t>
      </w:r>
      <w:bookmarkEnd w:id="207"/>
      <w:bookmarkEnd w:id="208"/>
    </w:p>
    <w:tbl>
      <w:tblPr>
        <w:tblpPr w:leftFromText="180" w:rightFromText="180" w:bottomFromText="240" w:vertAnchor="text" w:horzAnchor="page" w:tblpX="197" w:tblpY="241"/>
        <w:tblW w:w="114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828"/>
        <w:gridCol w:w="1559"/>
        <w:gridCol w:w="1560"/>
        <w:gridCol w:w="1701"/>
        <w:gridCol w:w="1700"/>
        <w:gridCol w:w="1558"/>
        <w:gridCol w:w="1561"/>
      </w:tblGrid>
      <w:tr w:rsidR="00F31303" w14:paraId="61FC33D4" w14:textId="77777777" w:rsidTr="0009706F">
        <w:trPr>
          <w:tblHeader/>
        </w:trPr>
        <w:tc>
          <w:tcPr>
            <w:tcW w:w="1828" w:type="dxa"/>
            <w:tcBorders>
              <w:top w:val="single" w:sz="12" w:space="0" w:color="000000"/>
              <w:left w:val="single" w:sz="12" w:space="0" w:color="000000"/>
              <w:bottom w:val="single" w:sz="6" w:space="0" w:color="000000"/>
              <w:right w:val="single" w:sz="6" w:space="0" w:color="000000"/>
            </w:tcBorders>
            <w:hideMark/>
          </w:tcPr>
          <w:p w14:paraId="298F7EE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59" w:type="dxa"/>
            <w:tcBorders>
              <w:top w:val="single" w:sz="12" w:space="0" w:color="000000"/>
              <w:left w:val="single" w:sz="6" w:space="0" w:color="000000"/>
              <w:bottom w:val="single" w:sz="6" w:space="0" w:color="000000"/>
              <w:right w:val="single" w:sz="6" w:space="0" w:color="000000"/>
            </w:tcBorders>
            <w:hideMark/>
          </w:tcPr>
          <w:p w14:paraId="01036A50"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w:t>
            </w:r>
          </w:p>
          <w:p w14:paraId="7B123A1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iomlán </w:t>
            </w:r>
          </w:p>
          <w:p w14:paraId="054BFCBF"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fostaithe </w:t>
            </w:r>
          </w:p>
          <w:p w14:paraId="4F2BEFCC"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60" w:type="dxa"/>
            <w:tcBorders>
              <w:top w:val="single" w:sz="12" w:space="0" w:color="000000"/>
              <w:left w:val="single" w:sz="6" w:space="0" w:color="000000"/>
              <w:bottom w:val="single" w:sz="6" w:space="0" w:color="000000"/>
              <w:right w:val="single" w:sz="6" w:space="0" w:color="000000"/>
            </w:tcBorders>
            <w:hideMark/>
          </w:tcPr>
          <w:p w14:paraId="639B38B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54DC2CAF"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701" w:type="dxa"/>
            <w:tcBorders>
              <w:top w:val="single" w:sz="12" w:space="0" w:color="000000"/>
              <w:left w:val="single" w:sz="6" w:space="0" w:color="000000"/>
              <w:bottom w:val="single" w:sz="6" w:space="0" w:color="000000"/>
              <w:right w:val="single" w:sz="6" w:space="0" w:color="000000"/>
            </w:tcBorders>
            <w:hideMark/>
          </w:tcPr>
          <w:p w14:paraId="1DAB0BBF"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45EE4D84"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 2023</w:t>
            </w:r>
          </w:p>
        </w:tc>
        <w:tc>
          <w:tcPr>
            <w:tcW w:w="1700" w:type="dxa"/>
            <w:tcBorders>
              <w:top w:val="single" w:sz="12" w:space="0" w:color="000000"/>
              <w:left w:val="single" w:sz="6" w:space="0" w:color="000000"/>
              <w:bottom w:val="single" w:sz="6" w:space="0" w:color="000000"/>
              <w:right w:val="single" w:sz="6" w:space="0" w:color="000000"/>
            </w:tcBorders>
            <w:hideMark/>
          </w:tcPr>
          <w:p w14:paraId="6220A475"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1951FEBD"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2024</w:t>
            </w:r>
          </w:p>
        </w:tc>
        <w:tc>
          <w:tcPr>
            <w:tcW w:w="1558" w:type="dxa"/>
            <w:tcBorders>
              <w:top w:val="single" w:sz="12" w:space="0" w:color="000000"/>
              <w:left w:val="single" w:sz="6" w:space="0" w:color="000000"/>
              <w:bottom w:val="single" w:sz="6" w:space="0" w:color="000000"/>
              <w:right w:val="single" w:sz="6" w:space="0" w:color="000000"/>
            </w:tcBorders>
            <w:hideMark/>
          </w:tcPr>
          <w:p w14:paraId="79A65127"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7C8443B8"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561" w:type="dxa"/>
            <w:tcBorders>
              <w:top w:val="single" w:sz="12" w:space="0" w:color="000000"/>
              <w:left w:val="single" w:sz="6" w:space="0" w:color="000000"/>
              <w:bottom w:val="single" w:sz="6" w:space="0" w:color="000000"/>
              <w:right w:val="single" w:sz="12" w:space="0" w:color="000000"/>
            </w:tcBorders>
            <w:hideMark/>
          </w:tcPr>
          <w:p w14:paraId="7926E21A" w14:textId="77777777" w:rsidR="00590BEF" w:rsidRPr="004023FE" w:rsidRDefault="000B4F21" w:rsidP="007202FA">
            <w:pPr>
              <w:pStyle w:val="TableHead"/>
              <w:rPr>
                <w:rFonts w:ascii="Verdana" w:hAnsi="Verdana"/>
                <w:kern w:val="2"/>
                <w:sz w:val="19"/>
                <w:szCs w:val="19"/>
                <w14:ligatures w14:val="standardContextual"/>
              </w:rPr>
            </w:pPr>
            <w:r w:rsidRPr="004023FE">
              <w:rPr>
                <w:rFonts w:ascii="Verdana" w:hAnsi="Verdana"/>
                <w:bCs/>
                <w:kern w:val="2"/>
                <w:sz w:val="19"/>
                <w:szCs w:val="19"/>
                <w:lang w:val="ga"/>
                <w14:ligatures w14:val="standardContextual"/>
              </w:rPr>
              <w:t>An % d’fhostaithe a thuairiscigh</w:t>
            </w:r>
          </w:p>
          <w:p w14:paraId="63BCEDD0" w14:textId="77777777" w:rsidR="00590BEF" w:rsidRPr="007202FA" w:rsidRDefault="000B4F21" w:rsidP="007202FA">
            <w:pPr>
              <w:pStyle w:val="TableHead"/>
              <w:rPr>
                <w:rFonts w:ascii="Verdana" w:hAnsi="Verdana"/>
                <w:kern w:val="2"/>
                <w:sz w:val="20"/>
                <w:szCs w:val="20"/>
                <w14:ligatures w14:val="standardContextual"/>
              </w:rPr>
            </w:pPr>
            <w:r w:rsidRPr="004023FE">
              <w:rPr>
                <w:rFonts w:ascii="Verdana" w:hAnsi="Verdana"/>
                <w:bCs/>
                <w:kern w:val="2"/>
                <w:sz w:val="19"/>
                <w:szCs w:val="19"/>
                <w:lang w:val="ga"/>
                <w14:ligatures w14:val="standardContextual"/>
              </w:rPr>
              <w:t>míchumas 2024</w:t>
            </w:r>
          </w:p>
        </w:tc>
      </w:tr>
      <w:tr w:rsidR="00F31303" w14:paraId="09DB6554"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hideMark/>
          </w:tcPr>
          <w:p w14:paraId="794DF934" w14:textId="77777777" w:rsidR="005F5C07" w:rsidRPr="007202FA" w:rsidRDefault="000B4F21" w:rsidP="007202FA">
            <w:pPr>
              <w:pStyle w:val="TableHead"/>
              <w:rPr>
                <w:rFonts w:ascii="Verdana" w:hAnsi="Verdana" w:cs="Calibri"/>
                <w:b w:val="0"/>
                <w:color w:val="000000"/>
                <w:kern w:val="2"/>
                <w:sz w:val="20"/>
                <w:szCs w:val="20"/>
                <w14:ligatures w14:val="standardContextual"/>
              </w:rPr>
            </w:pPr>
            <w:r>
              <w:rPr>
                <w:rFonts w:ascii="Verdana" w:hAnsi="Verdana" w:cs="Calibri"/>
                <w:b w:val="0"/>
                <w:color w:val="000000"/>
                <w:kern w:val="2"/>
                <w:sz w:val="20"/>
                <w:szCs w:val="20"/>
                <w:lang w:val="ga"/>
                <w14:ligatures w14:val="standardContextual"/>
              </w:rPr>
              <w:t>An Rialálaí Agraibhia</w:t>
            </w:r>
            <w:r>
              <w:rPr>
                <w:rStyle w:val="FootnoteReference"/>
                <w:rFonts w:cs="Calibri"/>
                <w:b w:val="0"/>
                <w:color w:val="000000"/>
                <w:kern w:val="2"/>
                <w:sz w:val="20"/>
                <w:szCs w:val="20"/>
                <w:lang w:val="ga"/>
                <w14:ligatures w14:val="standardContextual"/>
              </w:rPr>
              <w:footnoteReference w:id="9"/>
            </w:r>
          </w:p>
          <w:p w14:paraId="235D421B" w14:textId="4B182B9D" w:rsidR="00590BEF" w:rsidRPr="007202FA" w:rsidRDefault="000B4F21" w:rsidP="007202FA">
            <w:pPr>
              <w:pStyle w:val="TableHead"/>
              <w:rPr>
                <w:rFonts w:ascii="Verdana" w:hAnsi="Verdana" w:cs="Calibri"/>
                <w:b w:val="0"/>
                <w:color w:val="000000"/>
                <w:kern w:val="2"/>
                <w:sz w:val="20"/>
                <w:szCs w:val="20"/>
                <w14:ligatures w14:val="standardContextual"/>
              </w:rPr>
            </w:pPr>
            <w:r>
              <w:rPr>
                <w:rFonts w:ascii="Verdana" w:hAnsi="Verdana" w:cs="Calibri"/>
                <w:b w:val="0"/>
                <w:color w:val="000000"/>
                <w:kern w:val="2"/>
                <w:sz w:val="20"/>
                <w:szCs w:val="20"/>
                <w:lang w:val="ga"/>
                <w14:ligatures w14:val="standardContextual"/>
              </w:rPr>
              <w:t xml:space="preserve">  </w:t>
            </w:r>
          </w:p>
        </w:tc>
        <w:tc>
          <w:tcPr>
            <w:tcW w:w="1559" w:type="dxa"/>
            <w:tcBorders>
              <w:top w:val="single" w:sz="6" w:space="0" w:color="000000"/>
              <w:left w:val="single" w:sz="6" w:space="0" w:color="000000"/>
              <w:bottom w:val="single" w:sz="6" w:space="0" w:color="000000"/>
              <w:right w:val="single" w:sz="6" w:space="0" w:color="000000"/>
            </w:tcBorders>
            <w:hideMark/>
          </w:tcPr>
          <w:p w14:paraId="4BBDC379"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w:t>
            </w:r>
          </w:p>
        </w:tc>
        <w:tc>
          <w:tcPr>
            <w:tcW w:w="1560" w:type="dxa"/>
            <w:tcBorders>
              <w:top w:val="single" w:sz="6" w:space="0" w:color="000000"/>
              <w:left w:val="single" w:sz="6" w:space="0" w:color="000000"/>
              <w:bottom w:val="single" w:sz="6" w:space="0" w:color="000000"/>
              <w:right w:val="single" w:sz="6" w:space="0" w:color="000000"/>
            </w:tcBorders>
            <w:hideMark/>
          </w:tcPr>
          <w:p w14:paraId="4A00E59A" w14:textId="77777777" w:rsidR="00590BEF"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w:t>
            </w:r>
          </w:p>
        </w:tc>
        <w:tc>
          <w:tcPr>
            <w:tcW w:w="1701" w:type="dxa"/>
            <w:tcBorders>
              <w:top w:val="single" w:sz="6" w:space="0" w:color="000000"/>
              <w:left w:val="single" w:sz="6" w:space="0" w:color="000000"/>
              <w:bottom w:val="single" w:sz="6" w:space="0" w:color="000000"/>
              <w:right w:val="single" w:sz="6" w:space="0" w:color="000000"/>
            </w:tcBorders>
            <w:hideMark/>
          </w:tcPr>
          <w:p w14:paraId="1F752D53" w14:textId="77777777" w:rsidR="00590BEF"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w:t>
            </w:r>
          </w:p>
        </w:tc>
        <w:tc>
          <w:tcPr>
            <w:tcW w:w="1700" w:type="dxa"/>
            <w:tcBorders>
              <w:top w:val="single" w:sz="6" w:space="0" w:color="000000"/>
              <w:left w:val="single" w:sz="6" w:space="0" w:color="000000"/>
              <w:bottom w:val="single" w:sz="6" w:space="0" w:color="000000"/>
              <w:right w:val="single" w:sz="6" w:space="0" w:color="000000"/>
            </w:tcBorders>
            <w:hideMark/>
          </w:tcPr>
          <w:p w14:paraId="6D587D9A" w14:textId="77777777" w:rsidR="00590BEF" w:rsidRPr="007202FA" w:rsidRDefault="000B4F21" w:rsidP="007202FA">
            <w:pPr>
              <w:spacing w:after="0"/>
              <w:jc w:val="right"/>
              <w:rPr>
                <w:sz w:val="20"/>
                <w:szCs w:val="20"/>
              </w:rPr>
            </w:pPr>
            <w:r>
              <w:rPr>
                <w:sz w:val="20"/>
                <w:szCs w:val="20"/>
                <w:lang w:val="ga"/>
              </w:rPr>
              <w:t>15</w:t>
            </w:r>
          </w:p>
        </w:tc>
        <w:tc>
          <w:tcPr>
            <w:tcW w:w="1558" w:type="dxa"/>
            <w:tcBorders>
              <w:top w:val="single" w:sz="6" w:space="0" w:color="000000"/>
              <w:left w:val="single" w:sz="6" w:space="0" w:color="000000"/>
              <w:bottom w:val="single" w:sz="6" w:space="0" w:color="000000"/>
              <w:right w:val="single" w:sz="6" w:space="0" w:color="000000"/>
            </w:tcBorders>
            <w:hideMark/>
          </w:tcPr>
          <w:p w14:paraId="76D75C7A" w14:textId="77777777" w:rsidR="00590BEF"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1</w:t>
            </w:r>
          </w:p>
        </w:tc>
        <w:tc>
          <w:tcPr>
            <w:tcW w:w="1561" w:type="dxa"/>
            <w:tcBorders>
              <w:top w:val="single" w:sz="6" w:space="0" w:color="000000"/>
              <w:left w:val="single" w:sz="6" w:space="0" w:color="000000"/>
              <w:bottom w:val="single" w:sz="6" w:space="0" w:color="000000"/>
              <w:right w:val="single" w:sz="12" w:space="0" w:color="000000"/>
            </w:tcBorders>
            <w:hideMark/>
          </w:tcPr>
          <w:p w14:paraId="3F03A4F0" w14:textId="77777777" w:rsidR="00590BEF"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6.7%</w:t>
            </w:r>
          </w:p>
        </w:tc>
      </w:tr>
      <w:tr w:rsidR="00F31303" w14:paraId="5E013E5F" w14:textId="77777777" w:rsidTr="0009706F">
        <w:trPr>
          <w:trHeight w:val="293"/>
          <w:tblHeader/>
        </w:trPr>
        <w:tc>
          <w:tcPr>
            <w:tcW w:w="1828" w:type="dxa"/>
            <w:tcBorders>
              <w:top w:val="single" w:sz="6" w:space="0" w:color="000000"/>
              <w:left w:val="single" w:sz="12" w:space="0" w:color="000000"/>
              <w:bottom w:val="single" w:sz="6" w:space="0" w:color="000000"/>
              <w:right w:val="single" w:sz="6" w:space="0" w:color="000000"/>
            </w:tcBorders>
          </w:tcPr>
          <w:p w14:paraId="40CB0EB3" w14:textId="730F106B" w:rsidR="004A7C5C" w:rsidRPr="007202FA" w:rsidRDefault="000B4F21" w:rsidP="007202FA">
            <w:pPr>
              <w:pStyle w:val="TableHead"/>
              <w:rPr>
                <w:rFonts w:ascii="Verdana" w:hAnsi="Verdana"/>
                <w:b w:val="0"/>
                <w:kern w:val="2"/>
                <w:sz w:val="20"/>
                <w:szCs w:val="20"/>
                <w14:ligatures w14:val="standardContextual"/>
              </w:rPr>
            </w:pPr>
            <w:r>
              <w:rPr>
                <w:rFonts w:ascii="Verdana" w:hAnsi="Verdana" w:cs="Calibri"/>
                <w:b w:val="0"/>
                <w:color w:val="000000"/>
                <w:kern w:val="2"/>
                <w:sz w:val="20"/>
                <w:szCs w:val="20"/>
                <w:lang w:val="ga"/>
                <w14:ligatures w14:val="standardContextual"/>
              </w:rPr>
              <w:t>Bord Bia</w:t>
            </w:r>
          </w:p>
        </w:tc>
        <w:tc>
          <w:tcPr>
            <w:tcW w:w="1559" w:type="dxa"/>
            <w:tcBorders>
              <w:top w:val="single" w:sz="6" w:space="0" w:color="000000"/>
              <w:left w:val="single" w:sz="6" w:space="0" w:color="000000"/>
              <w:bottom w:val="single" w:sz="6" w:space="0" w:color="000000"/>
              <w:right w:val="single" w:sz="6" w:space="0" w:color="000000"/>
            </w:tcBorders>
          </w:tcPr>
          <w:p w14:paraId="48FFB1EF" w14:textId="10EAF6B4"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166</w:t>
            </w:r>
          </w:p>
        </w:tc>
        <w:tc>
          <w:tcPr>
            <w:tcW w:w="1560" w:type="dxa"/>
            <w:tcBorders>
              <w:top w:val="single" w:sz="6" w:space="0" w:color="000000"/>
              <w:left w:val="single" w:sz="6" w:space="0" w:color="000000"/>
              <w:bottom w:val="single" w:sz="6" w:space="0" w:color="000000"/>
              <w:right w:val="single" w:sz="6" w:space="0" w:color="000000"/>
            </w:tcBorders>
          </w:tcPr>
          <w:p w14:paraId="1459ED8D" w14:textId="21070BC5"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12</w:t>
            </w:r>
          </w:p>
        </w:tc>
        <w:tc>
          <w:tcPr>
            <w:tcW w:w="1701" w:type="dxa"/>
            <w:tcBorders>
              <w:top w:val="single" w:sz="6" w:space="0" w:color="000000"/>
              <w:left w:val="single" w:sz="6" w:space="0" w:color="000000"/>
              <w:bottom w:val="single" w:sz="6" w:space="0" w:color="000000"/>
              <w:right w:val="single" w:sz="6" w:space="0" w:color="000000"/>
            </w:tcBorders>
          </w:tcPr>
          <w:p w14:paraId="58FAF7E3" w14:textId="265B36C5"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7.2%</w:t>
            </w:r>
          </w:p>
        </w:tc>
        <w:tc>
          <w:tcPr>
            <w:tcW w:w="1700" w:type="dxa"/>
            <w:tcBorders>
              <w:top w:val="single" w:sz="6" w:space="0" w:color="000000"/>
              <w:left w:val="single" w:sz="6" w:space="0" w:color="000000"/>
              <w:bottom w:val="single" w:sz="6" w:space="0" w:color="000000"/>
              <w:right w:val="single" w:sz="6" w:space="0" w:color="000000"/>
            </w:tcBorders>
          </w:tcPr>
          <w:p w14:paraId="614B968C" w14:textId="56BD985E" w:rsidR="004A7C5C" w:rsidRPr="007202FA" w:rsidRDefault="000B4F21" w:rsidP="007202FA">
            <w:pPr>
              <w:spacing w:after="0"/>
              <w:jc w:val="right"/>
              <w:rPr>
                <w:sz w:val="20"/>
                <w:szCs w:val="20"/>
              </w:rPr>
            </w:pPr>
            <w:r>
              <w:rPr>
                <w:sz w:val="20"/>
                <w:szCs w:val="20"/>
                <w:lang w:val="ga"/>
              </w:rPr>
              <w:t>159</w:t>
            </w:r>
          </w:p>
        </w:tc>
        <w:tc>
          <w:tcPr>
            <w:tcW w:w="1558" w:type="dxa"/>
            <w:tcBorders>
              <w:top w:val="single" w:sz="6" w:space="0" w:color="000000"/>
              <w:left w:val="single" w:sz="6" w:space="0" w:color="000000"/>
              <w:bottom w:val="single" w:sz="6" w:space="0" w:color="000000"/>
              <w:right w:val="single" w:sz="6" w:space="0" w:color="000000"/>
            </w:tcBorders>
          </w:tcPr>
          <w:p w14:paraId="7D3702FE" w14:textId="70A6882A"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10</w:t>
            </w:r>
          </w:p>
        </w:tc>
        <w:tc>
          <w:tcPr>
            <w:tcW w:w="1561" w:type="dxa"/>
            <w:tcBorders>
              <w:top w:val="single" w:sz="6" w:space="0" w:color="000000"/>
              <w:left w:val="single" w:sz="6" w:space="0" w:color="000000"/>
              <w:bottom w:val="single" w:sz="6" w:space="0" w:color="000000"/>
              <w:right w:val="single" w:sz="12" w:space="0" w:color="000000"/>
            </w:tcBorders>
          </w:tcPr>
          <w:p w14:paraId="7AB3C7B4" w14:textId="0CB12CD1"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6.3%</w:t>
            </w:r>
          </w:p>
        </w:tc>
      </w:tr>
      <w:tr w:rsidR="00F31303" w14:paraId="41BBB7E0"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70C2B79F" w14:textId="00C7BF54" w:rsidR="004A7C5C" w:rsidRPr="007202FA" w:rsidRDefault="000B4F21" w:rsidP="007202FA">
            <w:pPr>
              <w:pStyle w:val="TableHead"/>
              <w:rPr>
                <w:rFonts w:ascii="Verdana" w:hAnsi="Verdana"/>
                <w:b w:val="0"/>
                <w:kern w:val="2"/>
                <w:sz w:val="20"/>
                <w:szCs w:val="20"/>
                <w14:ligatures w14:val="standardContextual"/>
              </w:rPr>
            </w:pPr>
            <w:r>
              <w:rPr>
                <w:rFonts w:ascii="Verdana" w:hAnsi="Verdana" w:cs="Calibri"/>
                <w:b w:val="0"/>
                <w:color w:val="000000"/>
                <w:kern w:val="2"/>
                <w:sz w:val="20"/>
                <w:szCs w:val="20"/>
                <w:lang w:val="ga"/>
                <w14:ligatures w14:val="standardContextual"/>
              </w:rPr>
              <w:t>Bord Iascaigh Mhara</w:t>
            </w:r>
          </w:p>
        </w:tc>
        <w:tc>
          <w:tcPr>
            <w:tcW w:w="1559" w:type="dxa"/>
            <w:tcBorders>
              <w:top w:val="single" w:sz="6" w:space="0" w:color="000000"/>
              <w:left w:val="single" w:sz="6" w:space="0" w:color="000000"/>
              <w:bottom w:val="single" w:sz="6" w:space="0" w:color="000000"/>
              <w:right w:val="single" w:sz="6" w:space="0" w:color="000000"/>
            </w:tcBorders>
          </w:tcPr>
          <w:p w14:paraId="790B4B4A" w14:textId="0A039D43"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136</w:t>
            </w:r>
          </w:p>
        </w:tc>
        <w:tc>
          <w:tcPr>
            <w:tcW w:w="1560" w:type="dxa"/>
            <w:tcBorders>
              <w:top w:val="single" w:sz="6" w:space="0" w:color="000000"/>
              <w:left w:val="single" w:sz="6" w:space="0" w:color="000000"/>
              <w:bottom w:val="single" w:sz="6" w:space="0" w:color="000000"/>
              <w:right w:val="single" w:sz="6" w:space="0" w:color="000000"/>
            </w:tcBorders>
          </w:tcPr>
          <w:p w14:paraId="415451E4" w14:textId="47B4B91B"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17</w:t>
            </w:r>
          </w:p>
        </w:tc>
        <w:tc>
          <w:tcPr>
            <w:tcW w:w="1701" w:type="dxa"/>
            <w:tcBorders>
              <w:top w:val="single" w:sz="6" w:space="0" w:color="000000"/>
              <w:left w:val="single" w:sz="6" w:space="0" w:color="000000"/>
              <w:bottom w:val="single" w:sz="6" w:space="0" w:color="000000"/>
              <w:right w:val="single" w:sz="6" w:space="0" w:color="000000"/>
            </w:tcBorders>
          </w:tcPr>
          <w:p w14:paraId="5AD662FB" w14:textId="7B2E14C3"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12.5%</w:t>
            </w:r>
          </w:p>
        </w:tc>
        <w:tc>
          <w:tcPr>
            <w:tcW w:w="1700" w:type="dxa"/>
            <w:tcBorders>
              <w:top w:val="single" w:sz="6" w:space="0" w:color="000000"/>
              <w:left w:val="single" w:sz="6" w:space="0" w:color="000000"/>
              <w:bottom w:val="single" w:sz="6" w:space="0" w:color="000000"/>
              <w:right w:val="single" w:sz="6" w:space="0" w:color="000000"/>
            </w:tcBorders>
          </w:tcPr>
          <w:p w14:paraId="31DF7E2B" w14:textId="77777777" w:rsidR="004A7C5C" w:rsidRPr="007202FA" w:rsidRDefault="000B4F21" w:rsidP="007202FA">
            <w:pPr>
              <w:spacing w:after="0"/>
              <w:jc w:val="right"/>
              <w:rPr>
                <w:sz w:val="20"/>
                <w:szCs w:val="20"/>
              </w:rPr>
            </w:pPr>
            <w:r>
              <w:rPr>
                <w:sz w:val="20"/>
                <w:szCs w:val="20"/>
                <w:lang w:val="ga"/>
              </w:rPr>
              <w:t>126</w:t>
            </w:r>
          </w:p>
          <w:p w14:paraId="31CAF891" w14:textId="77777777" w:rsidR="004A7C5C" w:rsidRPr="007202FA" w:rsidRDefault="004A7C5C"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65F7FEE0" w14:textId="77777777"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9</w:t>
            </w:r>
          </w:p>
          <w:p w14:paraId="10E0E3DB" w14:textId="77777777" w:rsidR="004A7C5C" w:rsidRPr="007202FA" w:rsidRDefault="004A7C5C" w:rsidP="007202FA">
            <w:pPr>
              <w:pStyle w:val="TableHead"/>
              <w:jc w:val="right"/>
              <w:rPr>
                <w:rFonts w:ascii="Verdana" w:hAnsi="Verdana"/>
                <w:b w:val="0"/>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75F9CD9C" w14:textId="08741BEE"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Cs/>
                <w:kern w:val="2"/>
                <w:sz w:val="20"/>
                <w:szCs w:val="20"/>
                <w:lang w:val="ga"/>
                <w14:ligatures w14:val="standardContextual"/>
              </w:rPr>
              <w:t xml:space="preserve">           </w:t>
            </w:r>
            <w:r>
              <w:rPr>
                <w:rFonts w:ascii="Verdana" w:hAnsi="Verdana"/>
                <w:b w:val="0"/>
                <w:kern w:val="2"/>
                <w:sz w:val="20"/>
                <w:szCs w:val="20"/>
                <w:lang w:val="ga"/>
                <w14:ligatures w14:val="standardContextual"/>
              </w:rPr>
              <w:t>7.1%</w:t>
            </w:r>
          </w:p>
          <w:p w14:paraId="605F43DF" w14:textId="77777777" w:rsidR="004A7C5C" w:rsidRPr="007202FA" w:rsidRDefault="004A7C5C" w:rsidP="007202FA">
            <w:pPr>
              <w:pStyle w:val="TableHead"/>
              <w:jc w:val="right"/>
              <w:rPr>
                <w:rFonts w:ascii="Verdana" w:hAnsi="Verdana"/>
                <w:b w:val="0"/>
                <w:kern w:val="2"/>
                <w:sz w:val="20"/>
                <w:szCs w:val="20"/>
                <w14:ligatures w14:val="standardContextual"/>
              </w:rPr>
            </w:pPr>
          </w:p>
        </w:tc>
      </w:tr>
      <w:tr w:rsidR="00F31303" w14:paraId="2A9591EF"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5989DB7F" w14:textId="45F76682" w:rsidR="004A7C5C" w:rsidRPr="007202FA" w:rsidRDefault="000B4F21" w:rsidP="007202FA">
            <w:pPr>
              <w:pStyle w:val="TableHead"/>
              <w:rPr>
                <w:rFonts w:ascii="Verdana" w:hAnsi="Verdana"/>
                <w:b w:val="0"/>
                <w:kern w:val="2"/>
                <w:sz w:val="20"/>
                <w:szCs w:val="20"/>
                <w14:ligatures w14:val="standardContextual"/>
              </w:rPr>
            </w:pPr>
            <w:r>
              <w:rPr>
                <w:rFonts w:ascii="Verdana" w:hAnsi="Verdana" w:cs="Calibri"/>
                <w:b w:val="0"/>
                <w:color w:val="000000"/>
                <w:kern w:val="2"/>
                <w:sz w:val="20"/>
                <w:szCs w:val="20"/>
                <w:lang w:val="ga"/>
                <w14:ligatures w14:val="standardContextual"/>
              </w:rPr>
              <w:t>Coillte</w:t>
            </w:r>
          </w:p>
        </w:tc>
        <w:tc>
          <w:tcPr>
            <w:tcW w:w="1559" w:type="dxa"/>
            <w:tcBorders>
              <w:top w:val="single" w:sz="6" w:space="0" w:color="000000"/>
              <w:left w:val="single" w:sz="6" w:space="0" w:color="000000"/>
              <w:bottom w:val="single" w:sz="6" w:space="0" w:color="000000"/>
              <w:right w:val="single" w:sz="6" w:space="0" w:color="000000"/>
            </w:tcBorders>
          </w:tcPr>
          <w:p w14:paraId="18B69026" w14:textId="3F247054"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484</w:t>
            </w:r>
          </w:p>
        </w:tc>
        <w:tc>
          <w:tcPr>
            <w:tcW w:w="1560" w:type="dxa"/>
            <w:tcBorders>
              <w:top w:val="single" w:sz="6" w:space="0" w:color="000000"/>
              <w:left w:val="single" w:sz="6" w:space="0" w:color="000000"/>
              <w:bottom w:val="single" w:sz="6" w:space="0" w:color="000000"/>
              <w:right w:val="single" w:sz="6" w:space="0" w:color="000000"/>
            </w:tcBorders>
          </w:tcPr>
          <w:p w14:paraId="2EC4C2B2" w14:textId="73F61DF4"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31</w:t>
            </w:r>
          </w:p>
        </w:tc>
        <w:tc>
          <w:tcPr>
            <w:tcW w:w="1701" w:type="dxa"/>
            <w:tcBorders>
              <w:top w:val="single" w:sz="6" w:space="0" w:color="000000"/>
              <w:left w:val="single" w:sz="6" w:space="0" w:color="000000"/>
              <w:bottom w:val="single" w:sz="6" w:space="0" w:color="000000"/>
              <w:right w:val="single" w:sz="6" w:space="0" w:color="000000"/>
            </w:tcBorders>
          </w:tcPr>
          <w:p w14:paraId="4D6DE5AE" w14:textId="43E818DE"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6.4%</w:t>
            </w:r>
          </w:p>
        </w:tc>
        <w:tc>
          <w:tcPr>
            <w:tcW w:w="1700" w:type="dxa"/>
            <w:tcBorders>
              <w:top w:val="single" w:sz="6" w:space="0" w:color="000000"/>
              <w:left w:val="single" w:sz="6" w:space="0" w:color="000000"/>
              <w:bottom w:val="single" w:sz="6" w:space="0" w:color="000000"/>
              <w:right w:val="single" w:sz="6" w:space="0" w:color="000000"/>
            </w:tcBorders>
          </w:tcPr>
          <w:p w14:paraId="06591A4E" w14:textId="1F00D770" w:rsidR="004A7C5C" w:rsidRPr="007202FA" w:rsidRDefault="000B4F21" w:rsidP="007202FA">
            <w:pPr>
              <w:spacing w:after="0"/>
              <w:jc w:val="right"/>
              <w:rPr>
                <w:sz w:val="20"/>
                <w:szCs w:val="20"/>
              </w:rPr>
            </w:pPr>
            <w:r>
              <w:rPr>
                <w:sz w:val="20"/>
                <w:szCs w:val="20"/>
                <w:lang w:val="ga"/>
              </w:rPr>
              <w:t>479</w:t>
            </w:r>
          </w:p>
        </w:tc>
        <w:tc>
          <w:tcPr>
            <w:tcW w:w="1558" w:type="dxa"/>
            <w:tcBorders>
              <w:top w:val="single" w:sz="6" w:space="0" w:color="000000"/>
              <w:left w:val="single" w:sz="6" w:space="0" w:color="000000"/>
              <w:bottom w:val="single" w:sz="6" w:space="0" w:color="000000"/>
              <w:right w:val="single" w:sz="6" w:space="0" w:color="000000"/>
            </w:tcBorders>
          </w:tcPr>
          <w:p w14:paraId="2E3D97ED" w14:textId="38830AAB"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27</w:t>
            </w:r>
          </w:p>
        </w:tc>
        <w:tc>
          <w:tcPr>
            <w:tcW w:w="1561" w:type="dxa"/>
            <w:tcBorders>
              <w:top w:val="single" w:sz="6" w:space="0" w:color="000000"/>
              <w:left w:val="single" w:sz="6" w:space="0" w:color="000000"/>
              <w:bottom w:val="single" w:sz="6" w:space="0" w:color="000000"/>
              <w:right w:val="single" w:sz="12" w:space="0" w:color="000000"/>
            </w:tcBorders>
          </w:tcPr>
          <w:p w14:paraId="17B23485" w14:textId="5CD4D58C"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5.6%</w:t>
            </w:r>
          </w:p>
        </w:tc>
      </w:tr>
      <w:tr w:rsidR="00F31303" w14:paraId="1B9D207F" w14:textId="77777777" w:rsidTr="0009706F">
        <w:trPr>
          <w:trHeight w:val="506"/>
          <w:tblHeader/>
        </w:trPr>
        <w:tc>
          <w:tcPr>
            <w:tcW w:w="1828" w:type="dxa"/>
            <w:tcBorders>
              <w:top w:val="single" w:sz="6" w:space="0" w:color="000000"/>
              <w:left w:val="single" w:sz="12" w:space="0" w:color="000000"/>
              <w:bottom w:val="single" w:sz="6" w:space="0" w:color="000000"/>
              <w:right w:val="single" w:sz="6" w:space="0" w:color="000000"/>
            </w:tcBorders>
            <w:hideMark/>
          </w:tcPr>
          <w:p w14:paraId="470C3978" w14:textId="77777777" w:rsidR="004A7C5C" w:rsidRPr="007202FA" w:rsidRDefault="000B4F21" w:rsidP="007202FA">
            <w:pPr>
              <w:pStyle w:val="TableHead"/>
              <w:rPr>
                <w:rFonts w:ascii="Verdana" w:hAnsi="Verdana"/>
                <w:b w:val="0"/>
                <w:kern w:val="2"/>
                <w:sz w:val="20"/>
                <w:szCs w:val="20"/>
                <w14:ligatures w14:val="standardContextual"/>
              </w:rPr>
            </w:pPr>
            <w:r>
              <w:rPr>
                <w:rFonts w:ascii="Verdana" w:hAnsi="Verdana" w:cs="Calibri"/>
                <w:b w:val="0"/>
                <w:color w:val="000000"/>
                <w:kern w:val="2"/>
                <w:sz w:val="20"/>
                <w:szCs w:val="20"/>
                <w:lang w:val="ga"/>
                <w14:ligatures w14:val="standardContextual"/>
              </w:rPr>
              <w:t>Rásaíocht Capall Éireann</w:t>
            </w:r>
          </w:p>
        </w:tc>
        <w:tc>
          <w:tcPr>
            <w:tcW w:w="1559" w:type="dxa"/>
            <w:tcBorders>
              <w:top w:val="single" w:sz="6" w:space="0" w:color="000000"/>
              <w:left w:val="single" w:sz="6" w:space="0" w:color="000000"/>
              <w:bottom w:val="single" w:sz="6" w:space="0" w:color="000000"/>
              <w:right w:val="single" w:sz="6" w:space="0" w:color="000000"/>
            </w:tcBorders>
            <w:hideMark/>
          </w:tcPr>
          <w:p w14:paraId="3B057A8C" w14:textId="77777777"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221</w:t>
            </w:r>
          </w:p>
        </w:tc>
        <w:tc>
          <w:tcPr>
            <w:tcW w:w="1560" w:type="dxa"/>
            <w:tcBorders>
              <w:top w:val="single" w:sz="6" w:space="0" w:color="000000"/>
              <w:left w:val="single" w:sz="6" w:space="0" w:color="000000"/>
              <w:bottom w:val="single" w:sz="6" w:space="0" w:color="000000"/>
              <w:right w:val="single" w:sz="6" w:space="0" w:color="000000"/>
            </w:tcBorders>
            <w:hideMark/>
          </w:tcPr>
          <w:p w14:paraId="5C3B3169" w14:textId="77777777"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11</w:t>
            </w:r>
          </w:p>
        </w:tc>
        <w:tc>
          <w:tcPr>
            <w:tcW w:w="1701" w:type="dxa"/>
            <w:tcBorders>
              <w:top w:val="single" w:sz="6" w:space="0" w:color="000000"/>
              <w:left w:val="single" w:sz="6" w:space="0" w:color="000000"/>
              <w:bottom w:val="single" w:sz="6" w:space="0" w:color="000000"/>
              <w:right w:val="single" w:sz="6" w:space="0" w:color="000000"/>
            </w:tcBorders>
            <w:hideMark/>
          </w:tcPr>
          <w:p w14:paraId="65E38034" w14:textId="77777777"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5.0%</w:t>
            </w:r>
          </w:p>
        </w:tc>
        <w:tc>
          <w:tcPr>
            <w:tcW w:w="1700" w:type="dxa"/>
            <w:tcBorders>
              <w:top w:val="single" w:sz="6" w:space="0" w:color="000000"/>
              <w:left w:val="single" w:sz="6" w:space="0" w:color="000000"/>
              <w:bottom w:val="single" w:sz="6" w:space="0" w:color="000000"/>
              <w:right w:val="single" w:sz="6" w:space="0" w:color="000000"/>
            </w:tcBorders>
          </w:tcPr>
          <w:p w14:paraId="63BA3CC8" w14:textId="77777777" w:rsidR="004A7C5C" w:rsidRPr="007202FA" w:rsidRDefault="000B4F21" w:rsidP="007202FA">
            <w:pPr>
              <w:spacing w:after="0"/>
              <w:jc w:val="right"/>
              <w:rPr>
                <w:sz w:val="20"/>
                <w:szCs w:val="20"/>
              </w:rPr>
            </w:pPr>
            <w:r>
              <w:rPr>
                <w:sz w:val="20"/>
                <w:szCs w:val="20"/>
                <w:lang w:val="ga"/>
              </w:rPr>
              <w:t>235</w:t>
            </w:r>
          </w:p>
          <w:p w14:paraId="7ABAA217" w14:textId="77777777" w:rsidR="004A7C5C" w:rsidRPr="007202FA" w:rsidRDefault="004A7C5C"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64E93999" w14:textId="0F09F4F1"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13</w:t>
            </w:r>
          </w:p>
          <w:p w14:paraId="62539C7D" w14:textId="77777777" w:rsidR="004A7C5C" w:rsidRPr="007202FA" w:rsidRDefault="004A7C5C"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3CA7558E" w14:textId="7DBBC677"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5.5%</w:t>
            </w:r>
          </w:p>
          <w:p w14:paraId="7A8A02DF" w14:textId="77777777" w:rsidR="004A7C5C" w:rsidRPr="007202FA" w:rsidRDefault="004A7C5C" w:rsidP="007202FA">
            <w:pPr>
              <w:pStyle w:val="TableHead"/>
              <w:jc w:val="right"/>
              <w:rPr>
                <w:rFonts w:ascii="Verdana" w:hAnsi="Verdana"/>
                <w:b w:val="0"/>
                <w:bCs/>
                <w:kern w:val="2"/>
                <w:sz w:val="20"/>
                <w:szCs w:val="20"/>
                <w14:ligatures w14:val="standardContextual"/>
              </w:rPr>
            </w:pPr>
          </w:p>
        </w:tc>
      </w:tr>
      <w:tr w:rsidR="00F31303" w14:paraId="785E321B"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hideMark/>
          </w:tcPr>
          <w:p w14:paraId="75F468CC" w14:textId="77777777" w:rsidR="004A7C5C" w:rsidRPr="007202FA" w:rsidRDefault="000B4F21" w:rsidP="007202FA">
            <w:pPr>
              <w:pStyle w:val="TableHead"/>
              <w:rPr>
                <w:rFonts w:ascii="Verdana" w:hAnsi="Verdana"/>
                <w:b w:val="0"/>
                <w:kern w:val="2"/>
                <w:sz w:val="20"/>
                <w:szCs w:val="20"/>
                <w14:ligatures w14:val="standardContextual"/>
              </w:rPr>
            </w:pPr>
            <w:r>
              <w:rPr>
                <w:rFonts w:ascii="Verdana" w:hAnsi="Verdana" w:cs="Calibri"/>
                <w:b w:val="0"/>
                <w:color w:val="000000"/>
                <w:kern w:val="2"/>
                <w:sz w:val="20"/>
                <w:szCs w:val="20"/>
                <w:lang w:val="ga"/>
                <w14:ligatures w14:val="standardContextual"/>
              </w:rPr>
              <w:t>Graí Náisiúnta na hÉireann</w:t>
            </w:r>
          </w:p>
        </w:tc>
        <w:tc>
          <w:tcPr>
            <w:tcW w:w="1559" w:type="dxa"/>
            <w:tcBorders>
              <w:top w:val="single" w:sz="6" w:space="0" w:color="000000"/>
              <w:left w:val="single" w:sz="6" w:space="0" w:color="000000"/>
              <w:bottom w:val="single" w:sz="6" w:space="0" w:color="000000"/>
              <w:right w:val="single" w:sz="6" w:space="0" w:color="000000"/>
            </w:tcBorders>
            <w:hideMark/>
          </w:tcPr>
          <w:p w14:paraId="3C6550F2" w14:textId="77777777"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52</w:t>
            </w:r>
          </w:p>
        </w:tc>
        <w:tc>
          <w:tcPr>
            <w:tcW w:w="1560" w:type="dxa"/>
            <w:tcBorders>
              <w:top w:val="single" w:sz="6" w:space="0" w:color="000000"/>
              <w:left w:val="single" w:sz="6" w:space="0" w:color="000000"/>
              <w:bottom w:val="single" w:sz="6" w:space="0" w:color="000000"/>
              <w:right w:val="single" w:sz="6" w:space="0" w:color="000000"/>
            </w:tcBorders>
            <w:hideMark/>
          </w:tcPr>
          <w:p w14:paraId="15DF310E" w14:textId="77777777"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6</w:t>
            </w:r>
          </w:p>
        </w:tc>
        <w:tc>
          <w:tcPr>
            <w:tcW w:w="1701" w:type="dxa"/>
            <w:tcBorders>
              <w:top w:val="single" w:sz="6" w:space="0" w:color="000000"/>
              <w:left w:val="single" w:sz="6" w:space="0" w:color="000000"/>
              <w:bottom w:val="single" w:sz="6" w:space="0" w:color="000000"/>
              <w:right w:val="single" w:sz="6" w:space="0" w:color="000000"/>
            </w:tcBorders>
            <w:hideMark/>
          </w:tcPr>
          <w:p w14:paraId="2E699119" w14:textId="77777777" w:rsidR="004A7C5C"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11.5%</w:t>
            </w:r>
          </w:p>
        </w:tc>
        <w:tc>
          <w:tcPr>
            <w:tcW w:w="1700" w:type="dxa"/>
            <w:tcBorders>
              <w:top w:val="single" w:sz="6" w:space="0" w:color="000000"/>
              <w:left w:val="single" w:sz="6" w:space="0" w:color="000000"/>
              <w:bottom w:val="single" w:sz="6" w:space="0" w:color="000000"/>
              <w:right w:val="single" w:sz="6" w:space="0" w:color="000000"/>
            </w:tcBorders>
          </w:tcPr>
          <w:p w14:paraId="22F0299A" w14:textId="77777777" w:rsidR="004A7C5C" w:rsidRPr="007202FA" w:rsidRDefault="000B4F21" w:rsidP="007202FA">
            <w:pPr>
              <w:spacing w:after="0"/>
              <w:jc w:val="right"/>
              <w:rPr>
                <w:sz w:val="20"/>
                <w:szCs w:val="20"/>
              </w:rPr>
            </w:pPr>
            <w:r>
              <w:rPr>
                <w:sz w:val="20"/>
                <w:szCs w:val="20"/>
                <w:lang w:val="ga"/>
              </w:rPr>
              <w:t>51</w:t>
            </w:r>
          </w:p>
          <w:p w14:paraId="7278B14A" w14:textId="77777777" w:rsidR="004A7C5C" w:rsidRPr="007202FA" w:rsidRDefault="004A7C5C"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1B365481" w14:textId="77777777"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4</w:t>
            </w:r>
          </w:p>
          <w:p w14:paraId="0E548CA4" w14:textId="77777777" w:rsidR="004A7C5C" w:rsidRPr="007202FA" w:rsidRDefault="004A7C5C"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5CA436C2" w14:textId="61EE5A80" w:rsidR="004A7C5C"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7.8%</w:t>
            </w:r>
          </w:p>
          <w:p w14:paraId="22D59FBF" w14:textId="77777777" w:rsidR="004A7C5C" w:rsidRPr="007202FA" w:rsidRDefault="004A7C5C" w:rsidP="007202FA">
            <w:pPr>
              <w:pStyle w:val="TableHead"/>
              <w:jc w:val="right"/>
              <w:rPr>
                <w:rFonts w:ascii="Verdana" w:hAnsi="Verdana"/>
                <w:b w:val="0"/>
                <w:bCs/>
                <w:kern w:val="2"/>
                <w:sz w:val="20"/>
                <w:szCs w:val="20"/>
                <w14:ligatures w14:val="standardContextual"/>
              </w:rPr>
            </w:pPr>
          </w:p>
        </w:tc>
      </w:tr>
      <w:tr w:rsidR="00F31303" w14:paraId="223B2089"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50B54033" w14:textId="540876C2" w:rsidR="002F1852" w:rsidRPr="007202FA" w:rsidRDefault="000B4F21" w:rsidP="007202FA">
            <w:pPr>
              <w:pStyle w:val="TableHead"/>
              <w:rPr>
                <w:rFonts w:ascii="Verdana" w:hAnsi="Verdana" w:cs="Calibri"/>
                <w:b w:val="0"/>
                <w:color w:val="000000"/>
                <w:kern w:val="2"/>
                <w:sz w:val="20"/>
                <w:szCs w:val="20"/>
                <w14:ligatures w14:val="standardContextual"/>
              </w:rPr>
            </w:pPr>
            <w:r>
              <w:rPr>
                <w:rFonts w:ascii="Verdana" w:hAnsi="Verdana" w:cs="Calibri"/>
                <w:b w:val="0"/>
                <w:color w:val="000000"/>
                <w:kern w:val="2"/>
                <w:sz w:val="20"/>
                <w:szCs w:val="20"/>
                <w:lang w:val="ga"/>
                <w14:ligatures w14:val="standardContextual"/>
              </w:rPr>
              <w:t>Foras na Mara</w:t>
            </w:r>
          </w:p>
        </w:tc>
        <w:tc>
          <w:tcPr>
            <w:tcW w:w="1559" w:type="dxa"/>
            <w:tcBorders>
              <w:top w:val="single" w:sz="6" w:space="0" w:color="000000"/>
              <w:left w:val="single" w:sz="6" w:space="0" w:color="000000"/>
              <w:bottom w:val="single" w:sz="6" w:space="0" w:color="000000"/>
              <w:right w:val="single" w:sz="6" w:space="0" w:color="000000"/>
            </w:tcBorders>
          </w:tcPr>
          <w:p w14:paraId="546CD13F" w14:textId="63C0C3DF"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245</w:t>
            </w:r>
          </w:p>
        </w:tc>
        <w:tc>
          <w:tcPr>
            <w:tcW w:w="1560" w:type="dxa"/>
            <w:tcBorders>
              <w:top w:val="single" w:sz="6" w:space="0" w:color="000000"/>
              <w:left w:val="single" w:sz="6" w:space="0" w:color="000000"/>
              <w:bottom w:val="single" w:sz="6" w:space="0" w:color="000000"/>
              <w:right w:val="single" w:sz="6" w:space="0" w:color="000000"/>
            </w:tcBorders>
          </w:tcPr>
          <w:p w14:paraId="6DA44D3A" w14:textId="75272237" w:rsidR="002F1852"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15</w:t>
            </w:r>
          </w:p>
        </w:tc>
        <w:tc>
          <w:tcPr>
            <w:tcW w:w="1701" w:type="dxa"/>
            <w:tcBorders>
              <w:top w:val="single" w:sz="6" w:space="0" w:color="000000"/>
              <w:left w:val="single" w:sz="6" w:space="0" w:color="000000"/>
              <w:bottom w:val="single" w:sz="6" w:space="0" w:color="000000"/>
              <w:right w:val="single" w:sz="6" w:space="0" w:color="000000"/>
            </w:tcBorders>
          </w:tcPr>
          <w:p w14:paraId="5333A720" w14:textId="7958A0DF" w:rsidR="002F1852"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6.1%</w:t>
            </w:r>
          </w:p>
        </w:tc>
        <w:tc>
          <w:tcPr>
            <w:tcW w:w="1700" w:type="dxa"/>
            <w:tcBorders>
              <w:top w:val="single" w:sz="6" w:space="0" w:color="000000"/>
              <w:left w:val="single" w:sz="6" w:space="0" w:color="000000"/>
              <w:bottom w:val="single" w:sz="6" w:space="0" w:color="000000"/>
              <w:right w:val="single" w:sz="6" w:space="0" w:color="000000"/>
            </w:tcBorders>
          </w:tcPr>
          <w:p w14:paraId="1ECA6C4D" w14:textId="7B678DCC" w:rsidR="002F1852" w:rsidRPr="007202FA" w:rsidRDefault="000B4F21" w:rsidP="007202FA">
            <w:pPr>
              <w:spacing w:after="0"/>
              <w:jc w:val="right"/>
              <w:rPr>
                <w:sz w:val="20"/>
                <w:szCs w:val="20"/>
              </w:rPr>
            </w:pPr>
            <w:r>
              <w:rPr>
                <w:sz w:val="20"/>
                <w:szCs w:val="20"/>
                <w:lang w:val="ga"/>
              </w:rPr>
              <w:t>249</w:t>
            </w:r>
          </w:p>
        </w:tc>
        <w:tc>
          <w:tcPr>
            <w:tcW w:w="1558" w:type="dxa"/>
            <w:tcBorders>
              <w:top w:val="single" w:sz="6" w:space="0" w:color="000000"/>
              <w:left w:val="single" w:sz="6" w:space="0" w:color="000000"/>
              <w:bottom w:val="single" w:sz="6" w:space="0" w:color="000000"/>
              <w:right w:val="single" w:sz="6" w:space="0" w:color="000000"/>
            </w:tcBorders>
          </w:tcPr>
          <w:p w14:paraId="3FAD768D" w14:textId="7B5E950C"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15</w:t>
            </w:r>
          </w:p>
        </w:tc>
        <w:tc>
          <w:tcPr>
            <w:tcW w:w="1561" w:type="dxa"/>
            <w:tcBorders>
              <w:top w:val="single" w:sz="6" w:space="0" w:color="000000"/>
              <w:left w:val="single" w:sz="6" w:space="0" w:color="000000"/>
              <w:bottom w:val="single" w:sz="6" w:space="0" w:color="000000"/>
              <w:right w:val="single" w:sz="12" w:space="0" w:color="000000"/>
            </w:tcBorders>
          </w:tcPr>
          <w:p w14:paraId="1B944581" w14:textId="4403D667"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6.0%</w:t>
            </w:r>
          </w:p>
        </w:tc>
      </w:tr>
      <w:tr w:rsidR="00F31303" w14:paraId="4586D7C0"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hideMark/>
          </w:tcPr>
          <w:p w14:paraId="515BE3DC" w14:textId="047C0165" w:rsidR="002F1852" w:rsidRPr="007202FA" w:rsidRDefault="000B4F21" w:rsidP="007202FA">
            <w:pPr>
              <w:pStyle w:val="TableHead"/>
              <w:rPr>
                <w:rFonts w:ascii="Verdana" w:hAnsi="Verdana" w:cs="Calibri"/>
                <w:b w:val="0"/>
                <w:color w:val="000000"/>
                <w:kern w:val="2"/>
                <w:sz w:val="20"/>
                <w:szCs w:val="20"/>
                <w14:ligatures w14:val="standardContextual"/>
              </w:rPr>
            </w:pPr>
            <w:r>
              <w:rPr>
                <w:rFonts w:ascii="Verdana" w:hAnsi="Verdana" w:cs="Calibri"/>
                <w:b w:val="0"/>
                <w:color w:val="000000"/>
                <w:kern w:val="2"/>
                <w:sz w:val="20"/>
                <w:szCs w:val="20"/>
                <w:lang w:val="ga"/>
                <w14:ligatures w14:val="standardContextual"/>
              </w:rPr>
              <w:t>An Ghníomh</w:t>
            </w:r>
            <w:r w:rsidR="00927F07">
              <w:rPr>
                <w:rFonts w:ascii="Verdana" w:hAnsi="Verdana" w:cs="Calibri"/>
                <w:b w:val="0"/>
                <w:color w:val="000000"/>
                <w:kern w:val="2"/>
                <w:sz w:val="20"/>
                <w:szCs w:val="20"/>
                <w:lang w:val="ga"/>
                <w14:ligatures w14:val="standardContextual"/>
              </w:rPr>
              <w:t>-</w:t>
            </w:r>
            <w:r>
              <w:rPr>
                <w:rFonts w:ascii="Verdana" w:hAnsi="Verdana" w:cs="Calibri"/>
                <w:b w:val="0"/>
                <w:color w:val="000000"/>
                <w:kern w:val="2"/>
                <w:sz w:val="20"/>
                <w:szCs w:val="20"/>
                <w:lang w:val="ga"/>
                <w14:ligatures w14:val="standardContextual"/>
              </w:rPr>
              <w:t>aireacht Náisiúnta Bainne</w:t>
            </w:r>
          </w:p>
        </w:tc>
        <w:tc>
          <w:tcPr>
            <w:tcW w:w="1559" w:type="dxa"/>
            <w:tcBorders>
              <w:top w:val="single" w:sz="6" w:space="0" w:color="000000"/>
              <w:left w:val="single" w:sz="6" w:space="0" w:color="000000"/>
              <w:bottom w:val="single" w:sz="6" w:space="0" w:color="000000"/>
              <w:right w:val="single" w:sz="6" w:space="0" w:color="000000"/>
            </w:tcBorders>
            <w:hideMark/>
          </w:tcPr>
          <w:p w14:paraId="4D4162B0" w14:textId="77777777"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5</w:t>
            </w:r>
          </w:p>
        </w:tc>
        <w:tc>
          <w:tcPr>
            <w:tcW w:w="1560" w:type="dxa"/>
            <w:tcBorders>
              <w:top w:val="single" w:sz="6" w:space="0" w:color="000000"/>
              <w:left w:val="single" w:sz="6" w:space="0" w:color="000000"/>
              <w:bottom w:val="single" w:sz="6" w:space="0" w:color="000000"/>
              <w:right w:val="single" w:sz="6" w:space="0" w:color="000000"/>
            </w:tcBorders>
            <w:hideMark/>
          </w:tcPr>
          <w:p w14:paraId="6073C5C3" w14:textId="77777777" w:rsidR="002F1852"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0</w:t>
            </w:r>
          </w:p>
        </w:tc>
        <w:tc>
          <w:tcPr>
            <w:tcW w:w="1701" w:type="dxa"/>
            <w:tcBorders>
              <w:top w:val="single" w:sz="6" w:space="0" w:color="000000"/>
              <w:left w:val="single" w:sz="6" w:space="0" w:color="000000"/>
              <w:bottom w:val="single" w:sz="6" w:space="0" w:color="000000"/>
              <w:right w:val="single" w:sz="6" w:space="0" w:color="000000"/>
            </w:tcBorders>
            <w:hideMark/>
          </w:tcPr>
          <w:p w14:paraId="5476C326" w14:textId="77777777" w:rsidR="002F1852"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0.0%</w:t>
            </w:r>
          </w:p>
        </w:tc>
        <w:tc>
          <w:tcPr>
            <w:tcW w:w="1700" w:type="dxa"/>
            <w:tcBorders>
              <w:top w:val="single" w:sz="6" w:space="0" w:color="000000"/>
              <w:left w:val="single" w:sz="6" w:space="0" w:color="000000"/>
              <w:bottom w:val="single" w:sz="6" w:space="0" w:color="000000"/>
              <w:right w:val="single" w:sz="6" w:space="0" w:color="000000"/>
            </w:tcBorders>
          </w:tcPr>
          <w:p w14:paraId="6B296590" w14:textId="77777777" w:rsidR="002F1852" w:rsidRPr="007202FA" w:rsidRDefault="000B4F21" w:rsidP="007202FA">
            <w:pPr>
              <w:spacing w:after="0"/>
              <w:jc w:val="right"/>
              <w:rPr>
                <w:sz w:val="20"/>
                <w:szCs w:val="20"/>
              </w:rPr>
            </w:pPr>
            <w:r>
              <w:rPr>
                <w:sz w:val="20"/>
                <w:szCs w:val="20"/>
                <w:lang w:val="ga"/>
              </w:rPr>
              <w:t>4</w:t>
            </w:r>
          </w:p>
          <w:p w14:paraId="2E2A4092" w14:textId="77777777" w:rsidR="002F1852" w:rsidRPr="007202FA" w:rsidRDefault="002F1852"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25FBF33D" w14:textId="77777777"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0</w:t>
            </w:r>
          </w:p>
          <w:p w14:paraId="4DAF289A" w14:textId="77777777" w:rsidR="002F1852" w:rsidRPr="007202FA" w:rsidRDefault="002F1852"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53B573AF" w14:textId="77777777"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0.0%</w:t>
            </w:r>
          </w:p>
          <w:p w14:paraId="7323F54F" w14:textId="77777777" w:rsidR="002F1852" w:rsidRPr="007202FA" w:rsidRDefault="002F1852" w:rsidP="007202FA">
            <w:pPr>
              <w:pStyle w:val="TableHead"/>
              <w:jc w:val="right"/>
              <w:rPr>
                <w:rFonts w:ascii="Verdana" w:hAnsi="Verdana"/>
                <w:b w:val="0"/>
                <w:bCs/>
                <w:kern w:val="2"/>
                <w:sz w:val="20"/>
                <w:szCs w:val="20"/>
                <w14:ligatures w14:val="standardContextual"/>
              </w:rPr>
            </w:pPr>
          </w:p>
        </w:tc>
      </w:tr>
      <w:tr w:rsidR="00F31303" w14:paraId="3A086B68"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hideMark/>
          </w:tcPr>
          <w:p w14:paraId="610FCAEC" w14:textId="2F324F1E" w:rsidR="002F1852" w:rsidRPr="007202FA" w:rsidRDefault="000B4F21" w:rsidP="007202FA">
            <w:pPr>
              <w:pStyle w:val="TableHead"/>
              <w:rPr>
                <w:rFonts w:ascii="Verdana" w:hAnsi="Verdana" w:cs="Calibri"/>
                <w:b w:val="0"/>
                <w:color w:val="000000"/>
                <w:kern w:val="2"/>
                <w:sz w:val="20"/>
                <w:szCs w:val="20"/>
                <w14:ligatures w14:val="standardContextual"/>
              </w:rPr>
            </w:pPr>
            <w:r>
              <w:rPr>
                <w:rFonts w:ascii="Verdana" w:hAnsi="Verdana" w:cs="Calibri"/>
                <w:b w:val="0"/>
                <w:color w:val="000000"/>
                <w:kern w:val="2"/>
                <w:sz w:val="20"/>
                <w:szCs w:val="20"/>
                <w:lang w:val="ga"/>
                <w14:ligatures w14:val="standardContextual"/>
              </w:rPr>
              <w:t xml:space="preserve">Rásaíocht Con Éireann </w:t>
            </w:r>
          </w:p>
        </w:tc>
        <w:tc>
          <w:tcPr>
            <w:tcW w:w="1559" w:type="dxa"/>
            <w:tcBorders>
              <w:top w:val="single" w:sz="6" w:space="0" w:color="000000"/>
              <w:left w:val="single" w:sz="6" w:space="0" w:color="000000"/>
              <w:bottom w:val="single" w:sz="6" w:space="0" w:color="000000"/>
              <w:right w:val="single" w:sz="6" w:space="0" w:color="000000"/>
            </w:tcBorders>
            <w:hideMark/>
          </w:tcPr>
          <w:p w14:paraId="35E8A856" w14:textId="77777777"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189</w:t>
            </w:r>
          </w:p>
        </w:tc>
        <w:tc>
          <w:tcPr>
            <w:tcW w:w="1560" w:type="dxa"/>
            <w:tcBorders>
              <w:top w:val="single" w:sz="6" w:space="0" w:color="000000"/>
              <w:left w:val="single" w:sz="6" w:space="0" w:color="000000"/>
              <w:bottom w:val="single" w:sz="6" w:space="0" w:color="000000"/>
              <w:right w:val="single" w:sz="6" w:space="0" w:color="000000"/>
            </w:tcBorders>
            <w:hideMark/>
          </w:tcPr>
          <w:p w14:paraId="398EB499" w14:textId="77777777" w:rsidR="002F1852" w:rsidRPr="007202FA" w:rsidRDefault="000B4F21" w:rsidP="007202FA">
            <w:pPr>
              <w:pStyle w:val="TableHead"/>
              <w:jc w:val="right"/>
              <w:rPr>
                <w:rFonts w:ascii="Verdana" w:hAnsi="Verdana"/>
                <w:b w:val="0"/>
                <w:kern w:val="2"/>
                <w:sz w:val="20"/>
                <w:szCs w:val="20"/>
                <w14:ligatures w14:val="standardContextual"/>
              </w:rPr>
            </w:pPr>
            <w:r>
              <w:rPr>
                <w:rFonts w:ascii="Verdana" w:hAnsi="Verdana" w:cs="Calibri"/>
                <w:b w:val="0"/>
                <w:color w:val="000000"/>
                <w:kern w:val="2"/>
                <w:sz w:val="20"/>
                <w:szCs w:val="20"/>
                <w:lang w:val="ga"/>
                <w14:ligatures w14:val="standardContextual"/>
              </w:rPr>
              <w:t>5</w:t>
            </w:r>
          </w:p>
        </w:tc>
        <w:tc>
          <w:tcPr>
            <w:tcW w:w="1701" w:type="dxa"/>
            <w:tcBorders>
              <w:top w:val="single" w:sz="6" w:space="0" w:color="000000"/>
              <w:left w:val="single" w:sz="6" w:space="0" w:color="000000"/>
              <w:bottom w:val="single" w:sz="6" w:space="0" w:color="000000"/>
              <w:right w:val="single" w:sz="6" w:space="0" w:color="000000"/>
            </w:tcBorders>
            <w:hideMark/>
          </w:tcPr>
          <w:p w14:paraId="32B324C1" w14:textId="77777777" w:rsidR="002F1852" w:rsidRPr="007202FA" w:rsidRDefault="000B4F21" w:rsidP="007202FA">
            <w:pPr>
              <w:pStyle w:val="TableHead"/>
              <w:ind w:left="-114" w:firstLine="114"/>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2.6%</w:t>
            </w:r>
          </w:p>
        </w:tc>
        <w:tc>
          <w:tcPr>
            <w:tcW w:w="1700" w:type="dxa"/>
            <w:tcBorders>
              <w:top w:val="single" w:sz="6" w:space="0" w:color="000000"/>
              <w:left w:val="single" w:sz="6" w:space="0" w:color="000000"/>
              <w:bottom w:val="single" w:sz="6" w:space="0" w:color="000000"/>
              <w:right w:val="single" w:sz="6" w:space="0" w:color="000000"/>
            </w:tcBorders>
          </w:tcPr>
          <w:p w14:paraId="1D95CB6B" w14:textId="77777777" w:rsidR="002F1852" w:rsidRPr="007202FA" w:rsidRDefault="000B4F21" w:rsidP="007202FA">
            <w:pPr>
              <w:spacing w:after="0"/>
              <w:jc w:val="right"/>
              <w:rPr>
                <w:sz w:val="20"/>
                <w:szCs w:val="20"/>
              </w:rPr>
            </w:pPr>
            <w:r>
              <w:rPr>
                <w:sz w:val="20"/>
                <w:szCs w:val="20"/>
                <w:lang w:val="ga"/>
              </w:rPr>
              <w:t>172</w:t>
            </w:r>
          </w:p>
          <w:p w14:paraId="16A99068" w14:textId="77777777" w:rsidR="002F1852" w:rsidRPr="007202FA" w:rsidRDefault="002F1852"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021592AB" w14:textId="77777777" w:rsidR="002F1852" w:rsidRPr="007202FA" w:rsidRDefault="000B4F21" w:rsidP="007202FA">
            <w:pPr>
              <w:pStyle w:val="TableHead"/>
              <w:jc w:val="right"/>
              <w:rPr>
                <w:rFonts w:ascii="Verdana" w:hAnsi="Verdana" w:cs="Calibri"/>
                <w:b w:val="0"/>
                <w:bCs/>
                <w:color w:val="000000"/>
                <w:kern w:val="2"/>
                <w:sz w:val="20"/>
                <w:szCs w:val="20"/>
                <w14:ligatures w14:val="standardContextual"/>
              </w:rPr>
            </w:pPr>
            <w:r>
              <w:rPr>
                <w:rFonts w:ascii="Verdana" w:hAnsi="Verdana" w:cs="Calibri"/>
                <w:b w:val="0"/>
                <w:color w:val="000000"/>
                <w:kern w:val="2"/>
                <w:sz w:val="20"/>
                <w:szCs w:val="20"/>
                <w:lang w:val="ga"/>
                <w14:ligatures w14:val="standardContextual"/>
              </w:rPr>
              <w:t xml:space="preserve">                 7</w:t>
            </w:r>
          </w:p>
          <w:p w14:paraId="10A85608" w14:textId="77777777" w:rsidR="002F1852" w:rsidRPr="007202FA" w:rsidRDefault="002F1852"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24F93552" w14:textId="0F928CD9"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4.1%</w:t>
            </w:r>
          </w:p>
          <w:p w14:paraId="077F4F0D" w14:textId="77777777" w:rsidR="002F1852" w:rsidRPr="007202FA" w:rsidRDefault="002F1852" w:rsidP="007202FA">
            <w:pPr>
              <w:pStyle w:val="TableHead"/>
              <w:jc w:val="right"/>
              <w:rPr>
                <w:rFonts w:ascii="Verdana" w:hAnsi="Verdana"/>
                <w:b w:val="0"/>
                <w:bCs/>
                <w:kern w:val="2"/>
                <w:sz w:val="20"/>
                <w:szCs w:val="20"/>
                <w14:ligatures w14:val="standardContextual"/>
              </w:rPr>
            </w:pPr>
          </w:p>
        </w:tc>
      </w:tr>
      <w:tr w:rsidR="00F31303" w14:paraId="55842081"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63714F71" w14:textId="197973E0" w:rsidR="002F1852" w:rsidRPr="007202FA" w:rsidRDefault="000B4F21" w:rsidP="007202FA">
            <w:pPr>
              <w:pStyle w:val="TableHead"/>
              <w:rPr>
                <w:rFonts w:ascii="Verdana" w:hAnsi="Verdana" w:cs="Calibri"/>
                <w:b w:val="0"/>
                <w:color w:val="000000"/>
                <w:kern w:val="2"/>
                <w:sz w:val="20"/>
                <w:szCs w:val="20"/>
                <w14:ligatures w14:val="standardContextual"/>
              </w:rPr>
            </w:pPr>
            <w:r>
              <w:rPr>
                <w:rFonts w:ascii="Verdana" w:hAnsi="Verdana" w:cs="Calibri"/>
                <w:b w:val="0"/>
                <w:color w:val="000000"/>
                <w:kern w:val="2"/>
                <w:sz w:val="20"/>
                <w:szCs w:val="20"/>
                <w:lang w:val="ga"/>
                <w14:ligatures w14:val="standardContextual"/>
              </w:rPr>
              <w:t>An tÚdarás um Chosaint Iascaigh Mhara</w:t>
            </w:r>
          </w:p>
        </w:tc>
        <w:tc>
          <w:tcPr>
            <w:tcW w:w="1559" w:type="dxa"/>
            <w:tcBorders>
              <w:top w:val="single" w:sz="6" w:space="0" w:color="000000"/>
              <w:left w:val="single" w:sz="6" w:space="0" w:color="000000"/>
              <w:bottom w:val="single" w:sz="6" w:space="0" w:color="000000"/>
              <w:right w:val="single" w:sz="6" w:space="0" w:color="000000"/>
            </w:tcBorders>
          </w:tcPr>
          <w:p w14:paraId="0D017B5E" w14:textId="635F2A6B"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188</w:t>
            </w:r>
          </w:p>
        </w:tc>
        <w:tc>
          <w:tcPr>
            <w:tcW w:w="1560" w:type="dxa"/>
            <w:tcBorders>
              <w:top w:val="single" w:sz="6" w:space="0" w:color="000000"/>
              <w:left w:val="single" w:sz="6" w:space="0" w:color="000000"/>
              <w:bottom w:val="single" w:sz="6" w:space="0" w:color="000000"/>
              <w:right w:val="single" w:sz="6" w:space="0" w:color="000000"/>
            </w:tcBorders>
          </w:tcPr>
          <w:p w14:paraId="0CE68C69" w14:textId="54EB471A" w:rsidR="002F1852" w:rsidRPr="007202FA" w:rsidRDefault="000B4F21" w:rsidP="007202FA">
            <w:pPr>
              <w:pStyle w:val="TableHead"/>
              <w:jc w:val="right"/>
              <w:rPr>
                <w:rFonts w:ascii="Verdana" w:hAnsi="Verdana" w:cs="Calibri"/>
                <w:b w:val="0"/>
                <w:color w:val="000000"/>
                <w:kern w:val="2"/>
                <w:sz w:val="20"/>
                <w:szCs w:val="20"/>
                <w14:ligatures w14:val="standardContextual"/>
              </w:rPr>
            </w:pPr>
            <w:r>
              <w:rPr>
                <w:rFonts w:ascii="Verdana" w:hAnsi="Verdana"/>
                <w:b w:val="0"/>
                <w:kern w:val="2"/>
                <w:sz w:val="20"/>
                <w:szCs w:val="20"/>
                <w:lang w:val="ga"/>
                <w14:ligatures w14:val="standardContextual"/>
              </w:rPr>
              <w:t>13</w:t>
            </w:r>
          </w:p>
        </w:tc>
        <w:tc>
          <w:tcPr>
            <w:tcW w:w="1701" w:type="dxa"/>
            <w:tcBorders>
              <w:top w:val="single" w:sz="6" w:space="0" w:color="000000"/>
              <w:left w:val="single" w:sz="6" w:space="0" w:color="000000"/>
              <w:bottom w:val="single" w:sz="6" w:space="0" w:color="000000"/>
              <w:right w:val="single" w:sz="6" w:space="0" w:color="000000"/>
            </w:tcBorders>
          </w:tcPr>
          <w:p w14:paraId="03A541A9" w14:textId="6113906D" w:rsidR="002F1852" w:rsidRPr="007202FA" w:rsidRDefault="000B4F21" w:rsidP="007202FA">
            <w:pPr>
              <w:pStyle w:val="TableHead"/>
              <w:ind w:left="-114" w:firstLine="114"/>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6.9%</w:t>
            </w:r>
          </w:p>
        </w:tc>
        <w:tc>
          <w:tcPr>
            <w:tcW w:w="1700" w:type="dxa"/>
            <w:tcBorders>
              <w:top w:val="single" w:sz="6" w:space="0" w:color="000000"/>
              <w:left w:val="single" w:sz="6" w:space="0" w:color="000000"/>
              <w:bottom w:val="single" w:sz="6" w:space="0" w:color="000000"/>
              <w:right w:val="single" w:sz="6" w:space="0" w:color="000000"/>
            </w:tcBorders>
          </w:tcPr>
          <w:p w14:paraId="46989996" w14:textId="77777777" w:rsidR="002F1852" w:rsidRPr="007202FA" w:rsidRDefault="000B4F21" w:rsidP="007202FA">
            <w:pPr>
              <w:spacing w:after="0"/>
              <w:jc w:val="right"/>
              <w:rPr>
                <w:sz w:val="20"/>
                <w:szCs w:val="20"/>
              </w:rPr>
            </w:pPr>
            <w:r>
              <w:rPr>
                <w:sz w:val="20"/>
                <w:szCs w:val="20"/>
                <w:lang w:val="ga"/>
              </w:rPr>
              <w:t>203</w:t>
            </w:r>
          </w:p>
          <w:p w14:paraId="75D495A2" w14:textId="77777777" w:rsidR="002F1852" w:rsidRPr="007202FA" w:rsidRDefault="002F1852"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6748F039" w14:textId="77777777"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16</w:t>
            </w:r>
          </w:p>
          <w:p w14:paraId="777D4C41" w14:textId="77777777" w:rsidR="002F1852" w:rsidRPr="007202FA" w:rsidRDefault="002F1852" w:rsidP="007202FA">
            <w:pPr>
              <w:pStyle w:val="TableHead"/>
              <w:jc w:val="right"/>
              <w:rPr>
                <w:rFonts w:ascii="Verdana" w:hAnsi="Verdana" w:cs="Calibri"/>
                <w:b w:val="0"/>
                <w:bCs/>
                <w:color w:val="000000"/>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7434A7A6" w14:textId="77777777"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7.9%</w:t>
            </w:r>
          </w:p>
          <w:p w14:paraId="1CE342BD" w14:textId="77777777" w:rsidR="002F1852" w:rsidRPr="007202FA" w:rsidRDefault="002F1852" w:rsidP="007202FA">
            <w:pPr>
              <w:pStyle w:val="TableHead"/>
              <w:jc w:val="right"/>
              <w:rPr>
                <w:rFonts w:ascii="Verdana" w:hAnsi="Verdana"/>
                <w:b w:val="0"/>
                <w:bCs/>
                <w:kern w:val="2"/>
                <w:sz w:val="20"/>
                <w:szCs w:val="20"/>
                <w14:ligatures w14:val="standardContextual"/>
              </w:rPr>
            </w:pPr>
          </w:p>
        </w:tc>
      </w:tr>
      <w:tr w:rsidR="00F31303" w14:paraId="6EBD8A50"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3C084746" w14:textId="76CE79CE" w:rsidR="002F1852" w:rsidRPr="007202FA" w:rsidRDefault="000B4F21" w:rsidP="007202FA">
            <w:pPr>
              <w:pStyle w:val="TableHead"/>
              <w:rPr>
                <w:rFonts w:ascii="Verdana" w:hAnsi="Verdana" w:cs="Calibri"/>
                <w:b w:val="0"/>
                <w:color w:val="000000"/>
                <w:kern w:val="2"/>
                <w:sz w:val="20"/>
                <w:szCs w:val="20"/>
                <w14:ligatures w14:val="standardContextual"/>
              </w:rPr>
            </w:pPr>
            <w:r>
              <w:rPr>
                <w:rFonts w:ascii="Verdana" w:hAnsi="Verdana" w:cs="Calibri"/>
                <w:b w:val="0"/>
                <w:color w:val="000000"/>
                <w:kern w:val="2"/>
                <w:sz w:val="20"/>
                <w:szCs w:val="20"/>
                <w:lang w:val="ga"/>
                <w14:ligatures w14:val="standardContextual"/>
              </w:rPr>
              <w:t xml:space="preserve">Teagasc </w:t>
            </w:r>
          </w:p>
        </w:tc>
        <w:tc>
          <w:tcPr>
            <w:tcW w:w="1559" w:type="dxa"/>
            <w:tcBorders>
              <w:top w:val="single" w:sz="6" w:space="0" w:color="000000"/>
              <w:left w:val="single" w:sz="6" w:space="0" w:color="000000"/>
              <w:bottom w:val="single" w:sz="6" w:space="0" w:color="000000"/>
              <w:right w:val="single" w:sz="6" w:space="0" w:color="000000"/>
            </w:tcBorders>
          </w:tcPr>
          <w:p w14:paraId="24A32E8F" w14:textId="6A23BF22"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1,525</w:t>
            </w:r>
          </w:p>
        </w:tc>
        <w:tc>
          <w:tcPr>
            <w:tcW w:w="1560" w:type="dxa"/>
            <w:tcBorders>
              <w:top w:val="single" w:sz="6" w:space="0" w:color="000000"/>
              <w:left w:val="single" w:sz="6" w:space="0" w:color="000000"/>
              <w:bottom w:val="single" w:sz="6" w:space="0" w:color="000000"/>
              <w:right w:val="single" w:sz="6" w:space="0" w:color="000000"/>
            </w:tcBorders>
          </w:tcPr>
          <w:p w14:paraId="233DED88" w14:textId="78685962" w:rsidR="002F1852"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100</w:t>
            </w:r>
          </w:p>
        </w:tc>
        <w:tc>
          <w:tcPr>
            <w:tcW w:w="1701" w:type="dxa"/>
            <w:tcBorders>
              <w:top w:val="single" w:sz="6" w:space="0" w:color="000000"/>
              <w:left w:val="single" w:sz="6" w:space="0" w:color="000000"/>
              <w:bottom w:val="single" w:sz="6" w:space="0" w:color="000000"/>
              <w:right w:val="single" w:sz="6" w:space="0" w:color="000000"/>
            </w:tcBorders>
          </w:tcPr>
          <w:p w14:paraId="19CE3C1F" w14:textId="563A033B" w:rsidR="002F1852" w:rsidRPr="007202FA" w:rsidRDefault="000B4F21" w:rsidP="007202FA">
            <w:pPr>
              <w:pStyle w:val="TableHead"/>
              <w:ind w:left="-114" w:firstLine="114"/>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6.6%</w:t>
            </w:r>
          </w:p>
        </w:tc>
        <w:tc>
          <w:tcPr>
            <w:tcW w:w="1700" w:type="dxa"/>
            <w:tcBorders>
              <w:top w:val="single" w:sz="6" w:space="0" w:color="000000"/>
              <w:left w:val="single" w:sz="6" w:space="0" w:color="000000"/>
              <w:bottom w:val="single" w:sz="6" w:space="0" w:color="000000"/>
              <w:right w:val="single" w:sz="6" w:space="0" w:color="000000"/>
            </w:tcBorders>
          </w:tcPr>
          <w:p w14:paraId="17E53034" w14:textId="7E448D44" w:rsidR="002F1852" w:rsidRPr="007202FA" w:rsidRDefault="000B4F21" w:rsidP="007202FA">
            <w:pPr>
              <w:spacing w:after="0"/>
              <w:jc w:val="right"/>
              <w:rPr>
                <w:sz w:val="20"/>
                <w:szCs w:val="20"/>
              </w:rPr>
            </w:pPr>
            <w:r>
              <w:rPr>
                <w:sz w:val="20"/>
                <w:szCs w:val="20"/>
                <w:lang w:val="ga"/>
              </w:rPr>
              <w:t>1,539</w:t>
            </w:r>
          </w:p>
        </w:tc>
        <w:tc>
          <w:tcPr>
            <w:tcW w:w="1558" w:type="dxa"/>
            <w:tcBorders>
              <w:top w:val="single" w:sz="6" w:space="0" w:color="000000"/>
              <w:left w:val="single" w:sz="6" w:space="0" w:color="000000"/>
              <w:bottom w:val="single" w:sz="6" w:space="0" w:color="000000"/>
              <w:right w:val="single" w:sz="6" w:space="0" w:color="000000"/>
            </w:tcBorders>
          </w:tcPr>
          <w:p w14:paraId="4E77048B" w14:textId="582340E2"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85</w:t>
            </w:r>
          </w:p>
        </w:tc>
        <w:tc>
          <w:tcPr>
            <w:tcW w:w="1561" w:type="dxa"/>
            <w:tcBorders>
              <w:top w:val="single" w:sz="6" w:space="0" w:color="000000"/>
              <w:left w:val="single" w:sz="6" w:space="0" w:color="000000"/>
              <w:bottom w:val="single" w:sz="6" w:space="0" w:color="000000"/>
              <w:right w:val="single" w:sz="12" w:space="0" w:color="000000"/>
            </w:tcBorders>
          </w:tcPr>
          <w:p w14:paraId="46F6378A" w14:textId="2F4D26B8" w:rsidR="002F1852"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5.5%</w:t>
            </w:r>
          </w:p>
        </w:tc>
      </w:tr>
      <w:tr w:rsidR="00F31303" w14:paraId="4EEC3502" w14:textId="77777777" w:rsidTr="0009706F">
        <w:trPr>
          <w:tblHeader/>
        </w:trPr>
        <w:tc>
          <w:tcPr>
            <w:tcW w:w="1828" w:type="dxa"/>
            <w:tcBorders>
              <w:top w:val="single" w:sz="6" w:space="0" w:color="000000"/>
              <w:left w:val="single" w:sz="12" w:space="0" w:color="000000"/>
              <w:bottom w:val="single" w:sz="6" w:space="0" w:color="000000"/>
              <w:right w:val="single" w:sz="6" w:space="0" w:color="000000"/>
            </w:tcBorders>
          </w:tcPr>
          <w:p w14:paraId="6E1C3BBD" w14:textId="685BBB3D" w:rsidR="00FB3EE7" w:rsidRPr="007202FA" w:rsidRDefault="000B4F21" w:rsidP="007202FA">
            <w:pPr>
              <w:pStyle w:val="TableHead"/>
              <w:rPr>
                <w:rFonts w:ascii="Verdana" w:hAnsi="Verdana" w:cs="Calibri"/>
                <w:b w:val="0"/>
                <w:color w:val="000000"/>
                <w:kern w:val="2"/>
                <w:sz w:val="20"/>
                <w:szCs w:val="20"/>
                <w14:ligatures w14:val="standardContextual"/>
              </w:rPr>
            </w:pPr>
            <w:r>
              <w:rPr>
                <w:rFonts w:ascii="Verdana" w:hAnsi="Verdana" w:cs="Calibri"/>
                <w:b w:val="0"/>
                <w:color w:val="000000"/>
                <w:kern w:val="2"/>
                <w:sz w:val="20"/>
                <w:szCs w:val="20"/>
                <w:lang w:val="ga"/>
                <w14:ligatures w14:val="standardContextual"/>
              </w:rPr>
              <w:t>Comhairle Tréidlianna na hÉireann</w:t>
            </w:r>
          </w:p>
        </w:tc>
        <w:tc>
          <w:tcPr>
            <w:tcW w:w="1559" w:type="dxa"/>
            <w:tcBorders>
              <w:top w:val="single" w:sz="6" w:space="0" w:color="000000"/>
              <w:left w:val="single" w:sz="6" w:space="0" w:color="000000"/>
              <w:bottom w:val="single" w:sz="6" w:space="0" w:color="000000"/>
              <w:right w:val="single" w:sz="6" w:space="0" w:color="000000"/>
            </w:tcBorders>
          </w:tcPr>
          <w:p w14:paraId="4C2CB666" w14:textId="222AF41F" w:rsidR="00FB3EE7"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11</w:t>
            </w:r>
          </w:p>
        </w:tc>
        <w:tc>
          <w:tcPr>
            <w:tcW w:w="1560" w:type="dxa"/>
            <w:tcBorders>
              <w:top w:val="single" w:sz="6" w:space="0" w:color="000000"/>
              <w:left w:val="single" w:sz="6" w:space="0" w:color="000000"/>
              <w:bottom w:val="single" w:sz="6" w:space="0" w:color="000000"/>
              <w:right w:val="single" w:sz="6" w:space="0" w:color="000000"/>
            </w:tcBorders>
          </w:tcPr>
          <w:p w14:paraId="6A5E40E4" w14:textId="64E3FE62" w:rsidR="00FB3EE7"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0</w:t>
            </w:r>
          </w:p>
        </w:tc>
        <w:tc>
          <w:tcPr>
            <w:tcW w:w="1701" w:type="dxa"/>
            <w:tcBorders>
              <w:top w:val="single" w:sz="6" w:space="0" w:color="000000"/>
              <w:left w:val="single" w:sz="6" w:space="0" w:color="000000"/>
              <w:bottom w:val="single" w:sz="6" w:space="0" w:color="000000"/>
              <w:right w:val="single" w:sz="6" w:space="0" w:color="000000"/>
            </w:tcBorders>
          </w:tcPr>
          <w:p w14:paraId="3CEC62DD" w14:textId="19A2ED7D" w:rsidR="00FB3EE7" w:rsidRPr="007202FA" w:rsidRDefault="000B4F21" w:rsidP="007202FA">
            <w:pPr>
              <w:pStyle w:val="TableHead"/>
              <w:ind w:left="-114" w:firstLine="114"/>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0.0%</w:t>
            </w:r>
          </w:p>
        </w:tc>
        <w:tc>
          <w:tcPr>
            <w:tcW w:w="1700" w:type="dxa"/>
            <w:tcBorders>
              <w:top w:val="single" w:sz="6" w:space="0" w:color="000000"/>
              <w:left w:val="single" w:sz="6" w:space="0" w:color="000000"/>
              <w:bottom w:val="single" w:sz="6" w:space="0" w:color="000000"/>
              <w:right w:val="single" w:sz="6" w:space="0" w:color="000000"/>
            </w:tcBorders>
          </w:tcPr>
          <w:p w14:paraId="1A7D9FDE" w14:textId="77777777" w:rsidR="00FB3EE7" w:rsidRPr="007202FA" w:rsidRDefault="000B4F21" w:rsidP="007202FA">
            <w:pPr>
              <w:spacing w:after="0"/>
              <w:jc w:val="right"/>
              <w:rPr>
                <w:sz w:val="20"/>
                <w:szCs w:val="20"/>
              </w:rPr>
            </w:pPr>
            <w:r>
              <w:rPr>
                <w:sz w:val="20"/>
                <w:szCs w:val="20"/>
                <w:lang w:val="ga"/>
              </w:rPr>
              <w:t>12</w:t>
            </w:r>
          </w:p>
          <w:p w14:paraId="539991AC" w14:textId="77777777" w:rsidR="00FB3EE7" w:rsidRPr="007202FA" w:rsidRDefault="00FB3EE7" w:rsidP="007202FA">
            <w:pPr>
              <w:spacing w:after="0"/>
              <w:jc w:val="right"/>
              <w:rPr>
                <w:sz w:val="20"/>
                <w:szCs w:val="20"/>
              </w:rPr>
            </w:pPr>
          </w:p>
        </w:tc>
        <w:tc>
          <w:tcPr>
            <w:tcW w:w="1558" w:type="dxa"/>
            <w:tcBorders>
              <w:top w:val="single" w:sz="6" w:space="0" w:color="000000"/>
              <w:left w:val="single" w:sz="6" w:space="0" w:color="000000"/>
              <w:bottom w:val="single" w:sz="6" w:space="0" w:color="000000"/>
              <w:right w:val="single" w:sz="6" w:space="0" w:color="000000"/>
            </w:tcBorders>
          </w:tcPr>
          <w:p w14:paraId="606AB7C0" w14:textId="77777777" w:rsidR="00FB3EE7"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0</w:t>
            </w:r>
          </w:p>
          <w:p w14:paraId="45766813" w14:textId="77777777" w:rsidR="00FB3EE7" w:rsidRPr="007202FA" w:rsidRDefault="00FB3EE7"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6" w:space="0" w:color="000000"/>
              <w:right w:val="single" w:sz="12" w:space="0" w:color="000000"/>
            </w:tcBorders>
          </w:tcPr>
          <w:p w14:paraId="7918321D" w14:textId="77777777" w:rsidR="00FB3EE7"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0.0%</w:t>
            </w:r>
          </w:p>
          <w:p w14:paraId="6A836CA7" w14:textId="77777777" w:rsidR="00FB3EE7" w:rsidRPr="007202FA" w:rsidRDefault="00FB3EE7" w:rsidP="007202FA">
            <w:pPr>
              <w:pStyle w:val="TableHead"/>
              <w:jc w:val="right"/>
              <w:rPr>
                <w:rFonts w:ascii="Verdana" w:hAnsi="Verdana"/>
                <w:b w:val="0"/>
                <w:bCs/>
                <w:kern w:val="2"/>
                <w:sz w:val="20"/>
                <w:szCs w:val="20"/>
                <w14:ligatures w14:val="standardContextual"/>
              </w:rPr>
            </w:pPr>
          </w:p>
        </w:tc>
      </w:tr>
      <w:tr w:rsidR="00F31303" w14:paraId="50A96B0E" w14:textId="77777777" w:rsidTr="0009706F">
        <w:trPr>
          <w:trHeight w:val="310"/>
          <w:tblHeader/>
        </w:trPr>
        <w:tc>
          <w:tcPr>
            <w:tcW w:w="1828" w:type="dxa"/>
            <w:tcBorders>
              <w:top w:val="single" w:sz="6" w:space="0" w:color="000000"/>
              <w:left w:val="single" w:sz="12" w:space="0" w:color="000000"/>
              <w:bottom w:val="single" w:sz="12" w:space="0" w:color="000000"/>
              <w:right w:val="single" w:sz="6" w:space="0" w:color="000000"/>
            </w:tcBorders>
          </w:tcPr>
          <w:p w14:paraId="5613C1E8" w14:textId="03889AC3" w:rsidR="00FB3EE7" w:rsidRPr="007202FA" w:rsidRDefault="000B4F21" w:rsidP="007202FA">
            <w:pPr>
              <w:pStyle w:val="TableHead"/>
              <w:rPr>
                <w:rFonts w:ascii="Verdana" w:hAnsi="Verdana" w:cs="Calibri"/>
                <w:b w:val="0"/>
                <w:color w:val="000000"/>
                <w:kern w:val="2"/>
                <w:sz w:val="20"/>
                <w:szCs w:val="20"/>
                <w14:ligatures w14:val="standardContextual"/>
              </w:rPr>
            </w:pPr>
            <w:r>
              <w:rPr>
                <w:rFonts w:ascii="Verdana" w:hAnsi="Verdana"/>
                <w:bCs/>
                <w:kern w:val="2"/>
                <w:sz w:val="20"/>
                <w:szCs w:val="20"/>
                <w:lang w:val="ga"/>
                <w14:ligatures w14:val="standardContextual"/>
              </w:rPr>
              <w:t>Mór-Iomlán</w:t>
            </w:r>
          </w:p>
        </w:tc>
        <w:tc>
          <w:tcPr>
            <w:tcW w:w="1559" w:type="dxa"/>
            <w:tcBorders>
              <w:top w:val="single" w:sz="6" w:space="0" w:color="000000"/>
              <w:left w:val="single" w:sz="6" w:space="0" w:color="000000"/>
              <w:bottom w:val="single" w:sz="12" w:space="0" w:color="000000"/>
              <w:right w:val="single" w:sz="6" w:space="0" w:color="000000"/>
            </w:tcBorders>
          </w:tcPr>
          <w:p w14:paraId="4F02C5AF" w14:textId="2AA5EE80" w:rsidR="00FB3EE7"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Cs/>
                <w:kern w:val="2"/>
                <w:sz w:val="20"/>
                <w:szCs w:val="20"/>
                <w:lang w:val="ga"/>
                <w14:ligatures w14:val="standardContextual"/>
              </w:rPr>
              <w:t>3,222</w:t>
            </w:r>
          </w:p>
        </w:tc>
        <w:tc>
          <w:tcPr>
            <w:tcW w:w="1560" w:type="dxa"/>
            <w:tcBorders>
              <w:top w:val="single" w:sz="6" w:space="0" w:color="000000"/>
              <w:left w:val="single" w:sz="6" w:space="0" w:color="000000"/>
              <w:bottom w:val="single" w:sz="12" w:space="0" w:color="000000"/>
              <w:right w:val="single" w:sz="6" w:space="0" w:color="000000"/>
            </w:tcBorders>
          </w:tcPr>
          <w:p w14:paraId="3866B3B3" w14:textId="3ABB7F2A" w:rsidR="00FB3EE7" w:rsidRPr="007202FA" w:rsidRDefault="000B4F21" w:rsidP="007202FA">
            <w:pPr>
              <w:pStyle w:val="TableHead"/>
              <w:jc w:val="right"/>
              <w:rPr>
                <w:rFonts w:ascii="Verdana" w:hAnsi="Verdana"/>
                <w:b w:val="0"/>
                <w:kern w:val="2"/>
                <w:sz w:val="20"/>
                <w:szCs w:val="20"/>
                <w14:ligatures w14:val="standardContextual"/>
              </w:rPr>
            </w:pPr>
            <w:r>
              <w:rPr>
                <w:rFonts w:ascii="Verdana" w:hAnsi="Verdana"/>
                <w:bCs/>
                <w:kern w:val="2"/>
                <w:sz w:val="20"/>
                <w:szCs w:val="20"/>
                <w:lang w:val="ga"/>
                <w14:ligatures w14:val="standardContextual"/>
              </w:rPr>
              <w:t>210</w:t>
            </w:r>
          </w:p>
        </w:tc>
        <w:tc>
          <w:tcPr>
            <w:tcW w:w="1701" w:type="dxa"/>
            <w:tcBorders>
              <w:top w:val="single" w:sz="6" w:space="0" w:color="000000"/>
              <w:left w:val="single" w:sz="6" w:space="0" w:color="000000"/>
              <w:bottom w:val="single" w:sz="12" w:space="0" w:color="000000"/>
              <w:right w:val="single" w:sz="6" w:space="0" w:color="000000"/>
            </w:tcBorders>
          </w:tcPr>
          <w:p w14:paraId="5708ADCC" w14:textId="460A3FDB" w:rsidR="00FB3EE7" w:rsidRPr="007202FA" w:rsidRDefault="000B4F21" w:rsidP="007202FA">
            <w:pPr>
              <w:pStyle w:val="TableHead"/>
              <w:ind w:left="-114" w:firstLine="114"/>
              <w:jc w:val="right"/>
              <w:rPr>
                <w:rFonts w:ascii="Verdana" w:hAnsi="Verdana"/>
                <w:b w:val="0"/>
                <w:kern w:val="2"/>
                <w:sz w:val="20"/>
                <w:szCs w:val="20"/>
                <w14:ligatures w14:val="standardContextual"/>
              </w:rPr>
            </w:pPr>
            <w:r>
              <w:rPr>
                <w:rFonts w:ascii="Verdana" w:hAnsi="Verdana"/>
                <w:bCs/>
                <w:kern w:val="2"/>
                <w:sz w:val="20"/>
                <w:szCs w:val="20"/>
                <w:lang w:val="ga"/>
                <w14:ligatures w14:val="standardContextual"/>
              </w:rPr>
              <w:t>6.5%</w:t>
            </w:r>
          </w:p>
        </w:tc>
        <w:tc>
          <w:tcPr>
            <w:tcW w:w="1700" w:type="dxa"/>
            <w:tcBorders>
              <w:top w:val="single" w:sz="6" w:space="0" w:color="000000"/>
              <w:left w:val="single" w:sz="6" w:space="0" w:color="000000"/>
              <w:bottom w:val="single" w:sz="12" w:space="0" w:color="000000"/>
              <w:right w:val="single" w:sz="6" w:space="0" w:color="000000"/>
            </w:tcBorders>
          </w:tcPr>
          <w:p w14:paraId="124086FC" w14:textId="77777777" w:rsidR="00FB3EE7"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3,244</w:t>
            </w:r>
          </w:p>
          <w:p w14:paraId="030047CD" w14:textId="77777777" w:rsidR="00FB3EE7" w:rsidRPr="007202FA" w:rsidRDefault="00FB3EE7" w:rsidP="007202FA">
            <w:pPr>
              <w:spacing w:after="0"/>
              <w:jc w:val="right"/>
              <w:rPr>
                <w:sz w:val="20"/>
                <w:szCs w:val="20"/>
              </w:rPr>
            </w:pPr>
          </w:p>
        </w:tc>
        <w:tc>
          <w:tcPr>
            <w:tcW w:w="1558" w:type="dxa"/>
            <w:tcBorders>
              <w:top w:val="single" w:sz="6" w:space="0" w:color="000000"/>
              <w:left w:val="single" w:sz="6" w:space="0" w:color="000000"/>
              <w:bottom w:val="single" w:sz="12" w:space="0" w:color="000000"/>
              <w:right w:val="single" w:sz="6" w:space="0" w:color="000000"/>
            </w:tcBorders>
          </w:tcPr>
          <w:p w14:paraId="50871D87" w14:textId="77777777" w:rsidR="00FB3EE7"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 xml:space="preserve">           187</w:t>
            </w:r>
          </w:p>
          <w:p w14:paraId="3CCF2B09" w14:textId="77777777" w:rsidR="00FB3EE7" w:rsidRPr="007202FA" w:rsidRDefault="00FB3EE7" w:rsidP="007202FA">
            <w:pPr>
              <w:pStyle w:val="TableHead"/>
              <w:jc w:val="right"/>
              <w:rPr>
                <w:rFonts w:ascii="Verdana" w:hAnsi="Verdana"/>
                <w:b w:val="0"/>
                <w:bCs/>
                <w:kern w:val="2"/>
                <w:sz w:val="20"/>
                <w:szCs w:val="20"/>
                <w14:ligatures w14:val="standardContextual"/>
              </w:rPr>
            </w:pPr>
          </w:p>
        </w:tc>
        <w:tc>
          <w:tcPr>
            <w:tcW w:w="1561" w:type="dxa"/>
            <w:tcBorders>
              <w:top w:val="single" w:sz="6" w:space="0" w:color="000000"/>
              <w:left w:val="single" w:sz="6" w:space="0" w:color="000000"/>
              <w:bottom w:val="single" w:sz="12" w:space="0" w:color="000000"/>
              <w:right w:val="single" w:sz="12" w:space="0" w:color="000000"/>
            </w:tcBorders>
          </w:tcPr>
          <w:p w14:paraId="72B2CE83" w14:textId="6A84B5C8" w:rsidR="00FB3EE7"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Cs/>
                <w:kern w:val="2"/>
                <w:sz w:val="20"/>
                <w:szCs w:val="20"/>
                <w:lang w:val="ga"/>
                <w14:ligatures w14:val="standardContextual"/>
              </w:rPr>
              <w:t>5.8%</w:t>
            </w:r>
          </w:p>
        </w:tc>
      </w:tr>
    </w:tbl>
    <w:p w14:paraId="01D0C7C5" w14:textId="600CC088" w:rsidR="002F1852" w:rsidRPr="007202FA" w:rsidRDefault="002F1852" w:rsidP="007202FA">
      <w:pPr>
        <w:spacing w:after="0"/>
        <w:rPr>
          <w:sz w:val="20"/>
          <w:szCs w:val="20"/>
        </w:rPr>
      </w:pPr>
    </w:p>
    <w:p w14:paraId="700D4BC5" w14:textId="0BB38A64" w:rsidR="00590BEF" w:rsidRPr="007202FA" w:rsidRDefault="00590BEF" w:rsidP="007202FA">
      <w:pPr>
        <w:spacing w:after="0"/>
        <w:rPr>
          <w:sz w:val="20"/>
          <w:szCs w:val="20"/>
        </w:rPr>
      </w:pPr>
    </w:p>
    <w:p w14:paraId="782614CB" w14:textId="77777777" w:rsidR="00590BEF" w:rsidRPr="007202FA" w:rsidRDefault="00590BEF" w:rsidP="007202FA">
      <w:pPr>
        <w:rPr>
          <w:rFonts w:ascii="Gill Sans" w:hAnsi="Gill Sans"/>
          <w:b/>
        </w:rPr>
      </w:pPr>
    </w:p>
    <w:p w14:paraId="67F8A48F" w14:textId="77777777" w:rsidR="00590BEF" w:rsidRPr="007202FA" w:rsidRDefault="000B4F21" w:rsidP="007202FA">
      <w:pPr>
        <w:rPr>
          <w:rFonts w:ascii="Gill Sans" w:hAnsi="Gill Sans"/>
          <w:b/>
        </w:rPr>
      </w:pPr>
      <w:r>
        <w:rPr>
          <w:rFonts w:ascii="Gill Sans" w:hAnsi="Gill Sans"/>
          <w:b/>
          <w:bCs/>
          <w:kern w:val="0"/>
          <w:lang w:val="ga"/>
          <w14:ligatures w14:val="none"/>
        </w:rPr>
        <w:br w:type="page"/>
      </w:r>
    </w:p>
    <w:p w14:paraId="48CDE2AE" w14:textId="77777777" w:rsidR="00590BEF" w:rsidRPr="007202FA" w:rsidRDefault="000B4F21" w:rsidP="007202FA">
      <w:pPr>
        <w:pStyle w:val="Heading2"/>
        <w:spacing w:after="120"/>
        <w:jc w:val="center"/>
      </w:pPr>
      <w:bookmarkStart w:id="209" w:name="_Toc176801626"/>
      <w:bookmarkStart w:id="210" w:name="_Toc214033664"/>
      <w:r>
        <w:rPr>
          <w:bCs/>
          <w:lang w:val="ga"/>
        </w:rPr>
        <w:lastRenderedPageBreak/>
        <w:t>An Roinn Leanaí, Comhionannais, Míchumais, Lánpháirtíochta agus Óige</w:t>
      </w:r>
      <w:bookmarkEnd w:id="209"/>
      <w:bookmarkEnd w:id="210"/>
    </w:p>
    <w:tbl>
      <w:tblPr>
        <w:tblStyle w:val="TableGrid"/>
        <w:tblpPr w:leftFromText="180" w:rightFromText="180" w:vertAnchor="text" w:horzAnchor="margin" w:tblpXSpec="center" w:tblpY="175"/>
        <w:tblW w:w="11475" w:type="dxa"/>
        <w:tblLayout w:type="fixed"/>
        <w:tblLook w:val="04A0" w:firstRow="1" w:lastRow="0" w:firstColumn="1" w:lastColumn="0" w:noHBand="0" w:noVBand="1"/>
      </w:tblPr>
      <w:tblGrid>
        <w:gridCol w:w="1555"/>
        <w:gridCol w:w="1559"/>
        <w:gridCol w:w="1557"/>
        <w:gridCol w:w="1843"/>
        <w:gridCol w:w="1701"/>
        <w:gridCol w:w="1701"/>
        <w:gridCol w:w="1559"/>
      </w:tblGrid>
      <w:tr w:rsidR="00F31303" w14:paraId="4D65A308" w14:textId="77777777" w:rsidTr="0058567F">
        <w:trPr>
          <w:tblHeader/>
        </w:trPr>
        <w:tc>
          <w:tcPr>
            <w:tcW w:w="1555" w:type="dxa"/>
            <w:tcBorders>
              <w:top w:val="single" w:sz="4" w:space="0" w:color="auto"/>
              <w:left w:val="single" w:sz="4" w:space="0" w:color="auto"/>
              <w:bottom w:val="single" w:sz="4" w:space="0" w:color="auto"/>
              <w:right w:val="single" w:sz="4" w:space="0" w:color="auto"/>
            </w:tcBorders>
            <w:hideMark/>
          </w:tcPr>
          <w:p w14:paraId="1D7E1A29" w14:textId="77777777"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59" w:type="dxa"/>
            <w:tcBorders>
              <w:top w:val="single" w:sz="4" w:space="0" w:color="auto"/>
              <w:left w:val="single" w:sz="4" w:space="0" w:color="auto"/>
              <w:bottom w:val="single" w:sz="4" w:space="0" w:color="auto"/>
              <w:right w:val="single" w:sz="4" w:space="0" w:color="auto"/>
            </w:tcBorders>
            <w:hideMark/>
          </w:tcPr>
          <w:p w14:paraId="09BE4E6C" w14:textId="77777777"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w:t>
            </w:r>
          </w:p>
          <w:p w14:paraId="64D32933" w14:textId="77777777"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iomlán </w:t>
            </w:r>
          </w:p>
          <w:p w14:paraId="13E06A90" w14:textId="77777777"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fostaithe </w:t>
            </w:r>
          </w:p>
          <w:p w14:paraId="2364D268" w14:textId="77777777"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57" w:type="dxa"/>
            <w:tcBorders>
              <w:top w:val="single" w:sz="4" w:space="0" w:color="auto"/>
              <w:left w:val="single" w:sz="4" w:space="0" w:color="auto"/>
              <w:bottom w:val="single" w:sz="4" w:space="0" w:color="auto"/>
              <w:right w:val="single" w:sz="4" w:space="0" w:color="auto"/>
            </w:tcBorders>
            <w:hideMark/>
          </w:tcPr>
          <w:p w14:paraId="6DE8AD2E" w14:textId="77777777"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An líon fostaithe a thuairiscigh míchumas</w:t>
            </w:r>
          </w:p>
          <w:p w14:paraId="1248AFE8" w14:textId="77777777"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843" w:type="dxa"/>
            <w:tcBorders>
              <w:top w:val="single" w:sz="4" w:space="0" w:color="auto"/>
              <w:left w:val="single" w:sz="4" w:space="0" w:color="auto"/>
              <w:bottom w:val="single" w:sz="4" w:space="0" w:color="auto"/>
              <w:right w:val="single" w:sz="4" w:space="0" w:color="auto"/>
            </w:tcBorders>
            <w:hideMark/>
          </w:tcPr>
          <w:p w14:paraId="099103DE" w14:textId="77777777" w:rsidR="00590BEF" w:rsidRPr="007202FA" w:rsidRDefault="000B4F21" w:rsidP="007202FA">
            <w:pPr>
              <w:pStyle w:val="TableRowHead"/>
              <w:rPr>
                <w:rFonts w:ascii="Verdana" w:hAnsi="Verdana"/>
                <w:kern w:val="2"/>
                <w:sz w:val="20"/>
                <w:szCs w:val="20"/>
                <w14:ligatures w14:val="standardContextual"/>
              </w:rPr>
            </w:pPr>
            <w:bookmarkStart w:id="211" w:name="_Hlk212037998"/>
            <w:r>
              <w:rPr>
                <w:rFonts w:ascii="Verdana" w:hAnsi="Verdana"/>
                <w:bCs/>
                <w:kern w:val="2"/>
                <w:sz w:val="20"/>
                <w:szCs w:val="20"/>
                <w:lang w:val="ga"/>
                <w14:ligatures w14:val="standardContextual"/>
              </w:rPr>
              <w:t>An % d’fhostaithe a thuairiscigh</w:t>
            </w:r>
          </w:p>
          <w:p w14:paraId="1B4E120D" w14:textId="048EB3E6"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 2023</w:t>
            </w:r>
            <w:bookmarkEnd w:id="211"/>
          </w:p>
        </w:tc>
        <w:tc>
          <w:tcPr>
            <w:tcW w:w="1701" w:type="dxa"/>
            <w:tcBorders>
              <w:top w:val="single" w:sz="4" w:space="0" w:color="auto"/>
              <w:left w:val="single" w:sz="4" w:space="0" w:color="auto"/>
              <w:bottom w:val="single" w:sz="4" w:space="0" w:color="auto"/>
              <w:right w:val="single" w:sz="4" w:space="0" w:color="auto"/>
            </w:tcBorders>
            <w:hideMark/>
          </w:tcPr>
          <w:p w14:paraId="1D172B41" w14:textId="77777777"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1CE32EBD" w14:textId="77777777"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2024</w:t>
            </w:r>
          </w:p>
        </w:tc>
        <w:tc>
          <w:tcPr>
            <w:tcW w:w="1701" w:type="dxa"/>
            <w:tcBorders>
              <w:top w:val="single" w:sz="4" w:space="0" w:color="auto"/>
              <w:left w:val="single" w:sz="4" w:space="0" w:color="auto"/>
              <w:bottom w:val="single" w:sz="4" w:space="0" w:color="auto"/>
              <w:right w:val="single" w:sz="4" w:space="0" w:color="auto"/>
            </w:tcBorders>
            <w:hideMark/>
          </w:tcPr>
          <w:p w14:paraId="5284BF22" w14:textId="77777777"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49A55737" w14:textId="77777777" w:rsidR="00590BEF" w:rsidRPr="007202FA" w:rsidRDefault="000B4F21" w:rsidP="007202FA">
            <w:pPr>
              <w:pStyle w:val="TableRow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559" w:type="dxa"/>
            <w:tcBorders>
              <w:top w:val="single" w:sz="4" w:space="0" w:color="auto"/>
              <w:left w:val="single" w:sz="4" w:space="0" w:color="auto"/>
              <w:bottom w:val="single" w:sz="4" w:space="0" w:color="auto"/>
              <w:right w:val="single" w:sz="4" w:space="0" w:color="auto"/>
            </w:tcBorders>
            <w:hideMark/>
          </w:tcPr>
          <w:p w14:paraId="670FA6FB" w14:textId="77777777" w:rsidR="00590BEF" w:rsidRPr="004023FE" w:rsidRDefault="000B4F21" w:rsidP="007202FA">
            <w:pPr>
              <w:pStyle w:val="TableRowHead"/>
              <w:rPr>
                <w:rFonts w:ascii="Verdana" w:hAnsi="Verdana"/>
                <w:kern w:val="2"/>
                <w:sz w:val="18"/>
                <w:szCs w:val="18"/>
                <w14:ligatures w14:val="standardContextual"/>
              </w:rPr>
            </w:pPr>
            <w:r w:rsidRPr="004023FE">
              <w:rPr>
                <w:rFonts w:ascii="Verdana" w:hAnsi="Verdana"/>
                <w:bCs/>
                <w:kern w:val="2"/>
                <w:sz w:val="18"/>
                <w:szCs w:val="18"/>
                <w:lang w:val="ga"/>
                <w14:ligatures w14:val="standardContextual"/>
              </w:rPr>
              <w:t>An % d’fhostaithe a thuairiscigh</w:t>
            </w:r>
          </w:p>
          <w:p w14:paraId="5E85C865" w14:textId="77777777" w:rsidR="00590BEF" w:rsidRPr="007202FA" w:rsidRDefault="000B4F21" w:rsidP="007202FA">
            <w:pPr>
              <w:pStyle w:val="TableRowHead"/>
              <w:rPr>
                <w:rFonts w:ascii="Verdana" w:hAnsi="Verdana"/>
                <w:kern w:val="2"/>
                <w:sz w:val="20"/>
                <w:szCs w:val="20"/>
                <w14:ligatures w14:val="standardContextual"/>
              </w:rPr>
            </w:pPr>
            <w:r w:rsidRPr="004023FE">
              <w:rPr>
                <w:rFonts w:ascii="Verdana" w:hAnsi="Verdana"/>
                <w:bCs/>
                <w:kern w:val="2"/>
                <w:sz w:val="18"/>
                <w:szCs w:val="18"/>
                <w:lang w:val="ga"/>
                <w14:ligatures w14:val="standardContextual"/>
              </w:rPr>
              <w:t>míchumas 2024</w:t>
            </w:r>
          </w:p>
        </w:tc>
      </w:tr>
      <w:tr w:rsidR="00F31303" w14:paraId="306E98D1" w14:textId="77777777" w:rsidTr="0058567F">
        <w:trPr>
          <w:trHeight w:val="255"/>
          <w:tblHeader/>
        </w:trPr>
        <w:tc>
          <w:tcPr>
            <w:tcW w:w="1555" w:type="dxa"/>
            <w:tcBorders>
              <w:top w:val="single" w:sz="4" w:space="0" w:color="auto"/>
              <w:left w:val="single" w:sz="4" w:space="0" w:color="auto"/>
              <w:bottom w:val="single" w:sz="4" w:space="0" w:color="auto"/>
              <w:right w:val="single" w:sz="4" w:space="0" w:color="auto"/>
            </w:tcBorders>
            <w:noWrap/>
            <w:hideMark/>
          </w:tcPr>
          <w:p w14:paraId="4F2C49AA" w14:textId="77777777" w:rsidR="00590BEF" w:rsidRPr="007202FA" w:rsidRDefault="000B4F21" w:rsidP="007202FA">
            <w:pPr>
              <w:rPr>
                <w:rFonts w:cs="Arial"/>
                <w:sz w:val="20"/>
                <w:szCs w:val="20"/>
              </w:rPr>
            </w:pPr>
            <w:r>
              <w:rPr>
                <w:rFonts w:cs="Calibri"/>
                <w:color w:val="000000"/>
                <w:sz w:val="20"/>
                <w:szCs w:val="20"/>
                <w:lang w:val="ga"/>
              </w:rPr>
              <w:t xml:space="preserve">Údarás Uchtála na hÉireann </w:t>
            </w:r>
          </w:p>
        </w:tc>
        <w:tc>
          <w:tcPr>
            <w:tcW w:w="1559" w:type="dxa"/>
            <w:tcBorders>
              <w:top w:val="single" w:sz="4" w:space="0" w:color="auto"/>
              <w:left w:val="nil"/>
              <w:bottom w:val="single" w:sz="4" w:space="0" w:color="auto"/>
              <w:right w:val="single" w:sz="4" w:space="0" w:color="auto"/>
            </w:tcBorders>
            <w:noWrap/>
            <w:hideMark/>
          </w:tcPr>
          <w:p w14:paraId="7112DDD7" w14:textId="77777777" w:rsidR="00590BEF" w:rsidRPr="007202FA" w:rsidRDefault="000B4F21" w:rsidP="007202FA">
            <w:pPr>
              <w:jc w:val="right"/>
              <w:rPr>
                <w:rFonts w:cs="Arial"/>
                <w:sz w:val="20"/>
                <w:szCs w:val="20"/>
              </w:rPr>
            </w:pPr>
            <w:r>
              <w:rPr>
                <w:rFonts w:cs="Arial"/>
                <w:sz w:val="20"/>
                <w:szCs w:val="20"/>
                <w:lang w:val="ga"/>
              </w:rPr>
              <w:t>62</w:t>
            </w:r>
          </w:p>
        </w:tc>
        <w:tc>
          <w:tcPr>
            <w:tcW w:w="1557" w:type="dxa"/>
            <w:tcBorders>
              <w:top w:val="single" w:sz="4" w:space="0" w:color="auto"/>
              <w:left w:val="nil"/>
              <w:bottom w:val="single" w:sz="4" w:space="0" w:color="auto"/>
              <w:right w:val="single" w:sz="4" w:space="0" w:color="auto"/>
            </w:tcBorders>
            <w:noWrap/>
            <w:hideMark/>
          </w:tcPr>
          <w:p w14:paraId="7BD56E33" w14:textId="77777777" w:rsidR="00590BEF" w:rsidRPr="007202FA" w:rsidRDefault="000B4F21" w:rsidP="007202FA">
            <w:pPr>
              <w:jc w:val="right"/>
              <w:rPr>
                <w:rFonts w:cs="Arial"/>
                <w:sz w:val="20"/>
                <w:szCs w:val="20"/>
              </w:rPr>
            </w:pPr>
            <w:r>
              <w:rPr>
                <w:rFonts w:cs="Arial"/>
                <w:sz w:val="20"/>
                <w:szCs w:val="20"/>
                <w:lang w:val="ga"/>
              </w:rPr>
              <w:t>3</w:t>
            </w:r>
          </w:p>
        </w:tc>
        <w:tc>
          <w:tcPr>
            <w:tcW w:w="1843" w:type="dxa"/>
            <w:tcBorders>
              <w:top w:val="single" w:sz="4" w:space="0" w:color="auto"/>
              <w:left w:val="nil"/>
              <w:bottom w:val="single" w:sz="4" w:space="0" w:color="auto"/>
              <w:right w:val="single" w:sz="4" w:space="0" w:color="auto"/>
            </w:tcBorders>
            <w:noWrap/>
            <w:hideMark/>
          </w:tcPr>
          <w:p w14:paraId="45F18659" w14:textId="77777777" w:rsidR="00590BEF" w:rsidRPr="007202FA" w:rsidRDefault="000B4F21" w:rsidP="007202FA">
            <w:pPr>
              <w:jc w:val="right"/>
              <w:rPr>
                <w:rFonts w:cs="Arial"/>
                <w:sz w:val="20"/>
                <w:szCs w:val="20"/>
              </w:rPr>
            </w:pPr>
            <w:r>
              <w:rPr>
                <w:rFonts w:cs="Arial"/>
                <w:sz w:val="20"/>
                <w:szCs w:val="20"/>
                <w:lang w:val="ga"/>
              </w:rPr>
              <w:t>4.8%</w:t>
            </w:r>
          </w:p>
        </w:tc>
        <w:tc>
          <w:tcPr>
            <w:tcW w:w="1701" w:type="dxa"/>
            <w:tcBorders>
              <w:top w:val="single" w:sz="4" w:space="0" w:color="auto"/>
              <w:left w:val="nil"/>
              <w:bottom w:val="single" w:sz="4" w:space="0" w:color="auto"/>
              <w:right w:val="single" w:sz="4" w:space="0" w:color="auto"/>
            </w:tcBorders>
            <w:noWrap/>
          </w:tcPr>
          <w:p w14:paraId="5DBBECDB" w14:textId="77777777" w:rsidR="00590BEF" w:rsidRPr="007202FA" w:rsidRDefault="000B4F21" w:rsidP="007202FA">
            <w:pPr>
              <w:jc w:val="right"/>
              <w:rPr>
                <w:rFonts w:cs="Arial"/>
                <w:sz w:val="20"/>
                <w:szCs w:val="20"/>
              </w:rPr>
            </w:pPr>
            <w:r>
              <w:rPr>
                <w:rFonts w:cs="Arial"/>
                <w:sz w:val="20"/>
                <w:szCs w:val="20"/>
                <w:lang w:val="ga"/>
              </w:rPr>
              <w:t>57</w:t>
            </w:r>
          </w:p>
          <w:p w14:paraId="0D7A7650" w14:textId="77777777" w:rsidR="00590BEF" w:rsidRPr="007202FA" w:rsidRDefault="00590BEF" w:rsidP="007202FA">
            <w:pPr>
              <w:jc w:val="right"/>
              <w:rPr>
                <w:rFonts w:cs="Arial"/>
                <w:sz w:val="20"/>
                <w:szCs w:val="20"/>
              </w:rPr>
            </w:pPr>
          </w:p>
        </w:tc>
        <w:tc>
          <w:tcPr>
            <w:tcW w:w="1701" w:type="dxa"/>
            <w:tcBorders>
              <w:top w:val="single" w:sz="4" w:space="0" w:color="auto"/>
              <w:left w:val="nil"/>
              <w:bottom w:val="single" w:sz="4" w:space="0" w:color="auto"/>
              <w:right w:val="single" w:sz="4" w:space="0" w:color="auto"/>
            </w:tcBorders>
            <w:noWrap/>
          </w:tcPr>
          <w:p w14:paraId="2E198BFE" w14:textId="77777777" w:rsidR="00590BEF" w:rsidRPr="007202FA" w:rsidRDefault="000B4F21" w:rsidP="007202FA">
            <w:pPr>
              <w:jc w:val="right"/>
              <w:rPr>
                <w:rFonts w:cs="Arial"/>
                <w:sz w:val="20"/>
                <w:szCs w:val="20"/>
              </w:rPr>
            </w:pPr>
            <w:r>
              <w:rPr>
                <w:rFonts w:cs="Arial"/>
                <w:sz w:val="20"/>
                <w:szCs w:val="20"/>
                <w:lang w:val="ga"/>
              </w:rPr>
              <w:t>2</w:t>
            </w:r>
          </w:p>
          <w:p w14:paraId="251C5A34" w14:textId="77777777" w:rsidR="00590BEF" w:rsidRPr="007202FA" w:rsidRDefault="00590BEF" w:rsidP="007202FA">
            <w:pPr>
              <w:jc w:val="right"/>
              <w:rPr>
                <w:rFonts w:cs="Arial"/>
                <w:sz w:val="20"/>
                <w:szCs w:val="20"/>
              </w:rPr>
            </w:pPr>
          </w:p>
        </w:tc>
        <w:tc>
          <w:tcPr>
            <w:tcW w:w="1559" w:type="dxa"/>
            <w:tcBorders>
              <w:top w:val="single" w:sz="4" w:space="0" w:color="auto"/>
              <w:left w:val="nil"/>
              <w:bottom w:val="single" w:sz="4" w:space="0" w:color="auto"/>
              <w:right w:val="single" w:sz="4" w:space="0" w:color="auto"/>
            </w:tcBorders>
            <w:noWrap/>
          </w:tcPr>
          <w:p w14:paraId="4BBD48F1" w14:textId="77777777" w:rsidR="00590BEF" w:rsidRPr="007202FA" w:rsidRDefault="000B4F21" w:rsidP="007202FA">
            <w:pPr>
              <w:jc w:val="right"/>
              <w:rPr>
                <w:rFonts w:cs="Arial"/>
                <w:sz w:val="20"/>
                <w:szCs w:val="20"/>
              </w:rPr>
            </w:pPr>
            <w:r>
              <w:rPr>
                <w:rFonts w:cs="Arial"/>
                <w:sz w:val="20"/>
                <w:szCs w:val="20"/>
                <w:lang w:val="ga"/>
              </w:rPr>
              <w:t>3.5%</w:t>
            </w:r>
          </w:p>
          <w:p w14:paraId="37A42D67" w14:textId="77777777" w:rsidR="00590BEF" w:rsidRPr="007202FA" w:rsidRDefault="00590BEF" w:rsidP="007202FA">
            <w:pPr>
              <w:jc w:val="right"/>
              <w:rPr>
                <w:rFonts w:cs="Arial"/>
                <w:sz w:val="20"/>
                <w:szCs w:val="20"/>
              </w:rPr>
            </w:pPr>
          </w:p>
        </w:tc>
      </w:tr>
      <w:tr w:rsidR="00F31303" w14:paraId="2F4A4712" w14:textId="77777777" w:rsidTr="0058567F">
        <w:trPr>
          <w:trHeight w:val="255"/>
          <w:tblHeader/>
        </w:trPr>
        <w:tc>
          <w:tcPr>
            <w:tcW w:w="1555" w:type="dxa"/>
            <w:tcBorders>
              <w:top w:val="nil"/>
              <w:left w:val="single" w:sz="4" w:space="0" w:color="auto"/>
              <w:bottom w:val="single" w:sz="4" w:space="0" w:color="auto"/>
              <w:right w:val="single" w:sz="4" w:space="0" w:color="auto"/>
            </w:tcBorders>
            <w:noWrap/>
            <w:hideMark/>
          </w:tcPr>
          <w:p w14:paraId="1DE95FF2" w14:textId="702ACC01" w:rsidR="00590BEF" w:rsidRPr="005524D6" w:rsidRDefault="000B4F21" w:rsidP="007202FA">
            <w:pPr>
              <w:rPr>
                <w:rFonts w:cs="Arial"/>
                <w:sz w:val="20"/>
                <w:szCs w:val="20"/>
                <w:lang w:val="de-DE"/>
              </w:rPr>
            </w:pPr>
            <w:r>
              <w:rPr>
                <w:rFonts w:cs="Calibri"/>
                <w:color w:val="000000"/>
                <w:sz w:val="20"/>
                <w:szCs w:val="20"/>
                <w:lang w:val="ga"/>
              </w:rPr>
              <w:t>An Ghníomh</w:t>
            </w:r>
            <w:r w:rsidR="004023FE">
              <w:rPr>
                <w:rFonts w:cs="Calibri"/>
                <w:color w:val="000000"/>
                <w:sz w:val="20"/>
                <w:szCs w:val="20"/>
                <w:lang w:val="ga"/>
              </w:rPr>
              <w:t>-</w:t>
            </w:r>
            <w:r>
              <w:rPr>
                <w:rFonts w:cs="Calibri"/>
                <w:color w:val="000000"/>
                <w:sz w:val="20"/>
                <w:szCs w:val="20"/>
                <w:lang w:val="ga"/>
              </w:rPr>
              <w:t>aireacht um Leanaí agus an Teaghlach (TUSLA)</w:t>
            </w:r>
          </w:p>
        </w:tc>
        <w:tc>
          <w:tcPr>
            <w:tcW w:w="1559" w:type="dxa"/>
            <w:tcBorders>
              <w:top w:val="nil"/>
              <w:left w:val="nil"/>
              <w:bottom w:val="single" w:sz="4" w:space="0" w:color="auto"/>
              <w:right w:val="single" w:sz="4" w:space="0" w:color="auto"/>
            </w:tcBorders>
            <w:noWrap/>
            <w:hideMark/>
          </w:tcPr>
          <w:p w14:paraId="1D128E79" w14:textId="77777777" w:rsidR="00590BEF" w:rsidRPr="007202FA" w:rsidRDefault="000B4F21" w:rsidP="007202FA">
            <w:pPr>
              <w:jc w:val="right"/>
              <w:rPr>
                <w:rFonts w:cs="Arial"/>
                <w:sz w:val="20"/>
                <w:szCs w:val="20"/>
              </w:rPr>
            </w:pPr>
            <w:r>
              <w:rPr>
                <w:rFonts w:cs="Arial"/>
                <w:sz w:val="20"/>
                <w:szCs w:val="20"/>
                <w:lang w:val="ga"/>
              </w:rPr>
              <w:t>5,485</w:t>
            </w:r>
          </w:p>
        </w:tc>
        <w:tc>
          <w:tcPr>
            <w:tcW w:w="1557" w:type="dxa"/>
            <w:tcBorders>
              <w:top w:val="nil"/>
              <w:left w:val="nil"/>
              <w:bottom w:val="single" w:sz="4" w:space="0" w:color="auto"/>
              <w:right w:val="single" w:sz="4" w:space="0" w:color="auto"/>
            </w:tcBorders>
            <w:noWrap/>
            <w:hideMark/>
          </w:tcPr>
          <w:p w14:paraId="6BF07D57" w14:textId="77777777" w:rsidR="00590BEF" w:rsidRPr="007202FA" w:rsidRDefault="000B4F21" w:rsidP="007202FA">
            <w:pPr>
              <w:jc w:val="right"/>
              <w:rPr>
                <w:rFonts w:cs="Arial"/>
                <w:sz w:val="20"/>
                <w:szCs w:val="20"/>
              </w:rPr>
            </w:pPr>
            <w:r>
              <w:rPr>
                <w:rFonts w:cs="Arial"/>
                <w:sz w:val="20"/>
                <w:szCs w:val="20"/>
                <w:lang w:val="ga"/>
              </w:rPr>
              <w:t>267</w:t>
            </w:r>
          </w:p>
        </w:tc>
        <w:tc>
          <w:tcPr>
            <w:tcW w:w="1843" w:type="dxa"/>
            <w:tcBorders>
              <w:top w:val="nil"/>
              <w:left w:val="nil"/>
              <w:bottom w:val="single" w:sz="4" w:space="0" w:color="auto"/>
              <w:right w:val="single" w:sz="4" w:space="0" w:color="auto"/>
            </w:tcBorders>
            <w:noWrap/>
            <w:hideMark/>
          </w:tcPr>
          <w:p w14:paraId="04055417" w14:textId="77777777" w:rsidR="00590BEF" w:rsidRPr="007202FA" w:rsidRDefault="000B4F21" w:rsidP="007202FA">
            <w:pPr>
              <w:jc w:val="right"/>
              <w:rPr>
                <w:rFonts w:cs="Arial"/>
                <w:sz w:val="20"/>
                <w:szCs w:val="20"/>
              </w:rPr>
            </w:pPr>
            <w:r>
              <w:rPr>
                <w:rFonts w:cs="Arial"/>
                <w:sz w:val="20"/>
                <w:szCs w:val="20"/>
                <w:lang w:val="ga"/>
              </w:rPr>
              <w:t>4.9%</w:t>
            </w:r>
          </w:p>
        </w:tc>
        <w:tc>
          <w:tcPr>
            <w:tcW w:w="1701" w:type="dxa"/>
            <w:tcBorders>
              <w:top w:val="nil"/>
              <w:left w:val="nil"/>
              <w:bottom w:val="single" w:sz="4" w:space="0" w:color="auto"/>
              <w:right w:val="single" w:sz="4" w:space="0" w:color="auto"/>
            </w:tcBorders>
            <w:noWrap/>
          </w:tcPr>
          <w:p w14:paraId="5B77B5F8" w14:textId="77777777" w:rsidR="00590BEF" w:rsidRPr="007202FA" w:rsidRDefault="000B4F21" w:rsidP="007202FA">
            <w:pPr>
              <w:jc w:val="right"/>
              <w:rPr>
                <w:rFonts w:cs="Arial"/>
                <w:sz w:val="20"/>
                <w:szCs w:val="20"/>
              </w:rPr>
            </w:pPr>
            <w:r>
              <w:rPr>
                <w:rFonts w:cs="Arial"/>
                <w:sz w:val="20"/>
                <w:szCs w:val="20"/>
                <w:lang w:val="ga"/>
              </w:rPr>
              <w:t>6,140</w:t>
            </w:r>
          </w:p>
          <w:p w14:paraId="1A8CCD1A" w14:textId="77777777" w:rsidR="00590BEF" w:rsidRPr="007202FA" w:rsidRDefault="00590BEF" w:rsidP="007202FA">
            <w:pPr>
              <w:jc w:val="right"/>
              <w:rPr>
                <w:rFonts w:cs="Arial"/>
                <w:sz w:val="20"/>
                <w:szCs w:val="20"/>
              </w:rPr>
            </w:pPr>
          </w:p>
        </w:tc>
        <w:tc>
          <w:tcPr>
            <w:tcW w:w="1701" w:type="dxa"/>
            <w:tcBorders>
              <w:top w:val="nil"/>
              <w:left w:val="nil"/>
              <w:bottom w:val="single" w:sz="4" w:space="0" w:color="auto"/>
              <w:right w:val="single" w:sz="4" w:space="0" w:color="auto"/>
            </w:tcBorders>
            <w:noWrap/>
          </w:tcPr>
          <w:p w14:paraId="26A52867" w14:textId="77777777" w:rsidR="00590BEF" w:rsidRPr="007202FA" w:rsidRDefault="000B4F21" w:rsidP="007202FA">
            <w:pPr>
              <w:jc w:val="right"/>
              <w:rPr>
                <w:rFonts w:cs="Arial"/>
                <w:sz w:val="20"/>
                <w:szCs w:val="20"/>
              </w:rPr>
            </w:pPr>
            <w:r>
              <w:rPr>
                <w:rFonts w:cs="Arial"/>
                <w:sz w:val="20"/>
                <w:szCs w:val="20"/>
                <w:lang w:val="ga"/>
              </w:rPr>
              <w:t>322</w:t>
            </w:r>
          </w:p>
          <w:p w14:paraId="290BB59C" w14:textId="77777777" w:rsidR="00590BEF" w:rsidRPr="007202FA" w:rsidRDefault="00590BEF" w:rsidP="007202FA">
            <w:pPr>
              <w:jc w:val="right"/>
              <w:rPr>
                <w:rFonts w:cs="Arial"/>
                <w:sz w:val="20"/>
                <w:szCs w:val="20"/>
              </w:rPr>
            </w:pPr>
          </w:p>
        </w:tc>
        <w:tc>
          <w:tcPr>
            <w:tcW w:w="1559" w:type="dxa"/>
            <w:tcBorders>
              <w:top w:val="nil"/>
              <w:left w:val="nil"/>
              <w:bottom w:val="single" w:sz="4" w:space="0" w:color="auto"/>
              <w:right w:val="single" w:sz="4" w:space="0" w:color="auto"/>
            </w:tcBorders>
            <w:noWrap/>
          </w:tcPr>
          <w:p w14:paraId="4142F25F" w14:textId="77777777" w:rsidR="00590BEF" w:rsidRPr="007202FA" w:rsidRDefault="000B4F21" w:rsidP="007202FA">
            <w:pPr>
              <w:jc w:val="right"/>
              <w:rPr>
                <w:rFonts w:cs="Arial"/>
                <w:sz w:val="20"/>
                <w:szCs w:val="20"/>
              </w:rPr>
            </w:pPr>
            <w:r>
              <w:rPr>
                <w:rFonts w:cs="Arial"/>
                <w:sz w:val="20"/>
                <w:szCs w:val="20"/>
                <w:lang w:val="ga"/>
              </w:rPr>
              <w:t>5.2%</w:t>
            </w:r>
          </w:p>
          <w:p w14:paraId="4058F20A" w14:textId="77777777" w:rsidR="00590BEF" w:rsidRPr="007202FA" w:rsidRDefault="00590BEF" w:rsidP="007202FA">
            <w:pPr>
              <w:jc w:val="right"/>
              <w:rPr>
                <w:rFonts w:cs="Arial"/>
                <w:sz w:val="20"/>
                <w:szCs w:val="20"/>
              </w:rPr>
            </w:pPr>
          </w:p>
        </w:tc>
      </w:tr>
      <w:tr w:rsidR="00F31303" w14:paraId="3DAE5510" w14:textId="77777777" w:rsidTr="0058567F">
        <w:trPr>
          <w:trHeight w:val="255"/>
          <w:tblHeader/>
        </w:trPr>
        <w:tc>
          <w:tcPr>
            <w:tcW w:w="1555" w:type="dxa"/>
            <w:tcBorders>
              <w:top w:val="nil"/>
              <w:left w:val="single" w:sz="4" w:space="0" w:color="auto"/>
              <w:bottom w:val="single" w:sz="4" w:space="0" w:color="auto"/>
              <w:right w:val="single" w:sz="4" w:space="0" w:color="auto"/>
            </w:tcBorders>
            <w:noWrap/>
            <w:hideMark/>
          </w:tcPr>
          <w:p w14:paraId="4F95446C" w14:textId="77777777" w:rsidR="00590BEF" w:rsidRPr="007202FA" w:rsidRDefault="000B4F21" w:rsidP="007202FA">
            <w:pPr>
              <w:rPr>
                <w:rFonts w:cs="Arial"/>
                <w:sz w:val="20"/>
                <w:szCs w:val="20"/>
              </w:rPr>
            </w:pPr>
            <w:r>
              <w:rPr>
                <w:rFonts w:cs="Calibri"/>
                <w:color w:val="000000"/>
                <w:sz w:val="20"/>
                <w:szCs w:val="20"/>
                <w:lang w:val="ga"/>
              </w:rPr>
              <w:t>An tÚdarás Náisiúnta Míchumais</w:t>
            </w:r>
          </w:p>
        </w:tc>
        <w:tc>
          <w:tcPr>
            <w:tcW w:w="1559" w:type="dxa"/>
            <w:tcBorders>
              <w:top w:val="nil"/>
              <w:left w:val="nil"/>
              <w:bottom w:val="single" w:sz="4" w:space="0" w:color="auto"/>
              <w:right w:val="single" w:sz="4" w:space="0" w:color="auto"/>
            </w:tcBorders>
            <w:noWrap/>
            <w:hideMark/>
          </w:tcPr>
          <w:p w14:paraId="2C6EB6A2" w14:textId="77777777" w:rsidR="00590BEF" w:rsidRPr="007202FA" w:rsidRDefault="000B4F21" w:rsidP="007202FA">
            <w:pPr>
              <w:jc w:val="right"/>
              <w:rPr>
                <w:rFonts w:cs="Arial"/>
                <w:sz w:val="20"/>
                <w:szCs w:val="20"/>
              </w:rPr>
            </w:pPr>
            <w:r>
              <w:rPr>
                <w:rFonts w:cs="Arial"/>
                <w:sz w:val="20"/>
                <w:szCs w:val="20"/>
                <w:lang w:val="ga"/>
              </w:rPr>
              <w:t>45</w:t>
            </w:r>
          </w:p>
        </w:tc>
        <w:tc>
          <w:tcPr>
            <w:tcW w:w="1557" w:type="dxa"/>
            <w:tcBorders>
              <w:top w:val="nil"/>
              <w:left w:val="nil"/>
              <w:bottom w:val="single" w:sz="4" w:space="0" w:color="auto"/>
              <w:right w:val="single" w:sz="4" w:space="0" w:color="auto"/>
            </w:tcBorders>
            <w:noWrap/>
            <w:hideMark/>
          </w:tcPr>
          <w:p w14:paraId="2E611EB3" w14:textId="77777777" w:rsidR="00590BEF" w:rsidRPr="007202FA" w:rsidRDefault="000B4F21" w:rsidP="007202FA">
            <w:pPr>
              <w:jc w:val="right"/>
              <w:rPr>
                <w:rFonts w:cs="Arial"/>
                <w:sz w:val="20"/>
                <w:szCs w:val="20"/>
              </w:rPr>
            </w:pPr>
            <w:r>
              <w:rPr>
                <w:rFonts w:cs="Arial"/>
                <w:sz w:val="20"/>
                <w:szCs w:val="20"/>
                <w:lang w:val="ga"/>
              </w:rPr>
              <w:t>15</w:t>
            </w:r>
          </w:p>
        </w:tc>
        <w:tc>
          <w:tcPr>
            <w:tcW w:w="1843" w:type="dxa"/>
            <w:tcBorders>
              <w:top w:val="nil"/>
              <w:left w:val="nil"/>
              <w:bottom w:val="single" w:sz="4" w:space="0" w:color="auto"/>
              <w:right w:val="single" w:sz="4" w:space="0" w:color="auto"/>
            </w:tcBorders>
            <w:noWrap/>
            <w:hideMark/>
          </w:tcPr>
          <w:p w14:paraId="5EE37531" w14:textId="77777777" w:rsidR="00590BEF" w:rsidRPr="007202FA" w:rsidRDefault="000B4F21" w:rsidP="007202FA">
            <w:pPr>
              <w:jc w:val="right"/>
              <w:rPr>
                <w:rFonts w:cs="Arial"/>
                <w:sz w:val="20"/>
                <w:szCs w:val="20"/>
              </w:rPr>
            </w:pPr>
            <w:r>
              <w:rPr>
                <w:rFonts w:cs="Arial"/>
                <w:sz w:val="20"/>
                <w:szCs w:val="20"/>
                <w:lang w:val="ga"/>
              </w:rPr>
              <w:t>33.3%</w:t>
            </w:r>
          </w:p>
        </w:tc>
        <w:tc>
          <w:tcPr>
            <w:tcW w:w="1701" w:type="dxa"/>
            <w:tcBorders>
              <w:top w:val="nil"/>
              <w:left w:val="nil"/>
              <w:bottom w:val="single" w:sz="4" w:space="0" w:color="auto"/>
              <w:right w:val="single" w:sz="4" w:space="0" w:color="auto"/>
            </w:tcBorders>
            <w:noWrap/>
          </w:tcPr>
          <w:p w14:paraId="5713D388" w14:textId="77777777" w:rsidR="00590BEF" w:rsidRPr="007202FA" w:rsidRDefault="000B4F21" w:rsidP="007202FA">
            <w:pPr>
              <w:jc w:val="right"/>
              <w:rPr>
                <w:rFonts w:cs="Arial"/>
                <w:sz w:val="20"/>
                <w:szCs w:val="20"/>
              </w:rPr>
            </w:pPr>
            <w:r>
              <w:rPr>
                <w:rFonts w:cs="Arial"/>
                <w:sz w:val="20"/>
                <w:szCs w:val="20"/>
                <w:lang w:val="ga"/>
              </w:rPr>
              <w:t>51</w:t>
            </w:r>
          </w:p>
          <w:p w14:paraId="2EA6F67A" w14:textId="77777777" w:rsidR="00590BEF" w:rsidRPr="007202FA" w:rsidRDefault="00590BEF" w:rsidP="007202FA">
            <w:pPr>
              <w:jc w:val="right"/>
              <w:rPr>
                <w:rFonts w:cs="Arial"/>
                <w:sz w:val="20"/>
                <w:szCs w:val="20"/>
              </w:rPr>
            </w:pPr>
          </w:p>
        </w:tc>
        <w:tc>
          <w:tcPr>
            <w:tcW w:w="1701" w:type="dxa"/>
            <w:tcBorders>
              <w:top w:val="nil"/>
              <w:left w:val="nil"/>
              <w:bottom w:val="single" w:sz="4" w:space="0" w:color="auto"/>
              <w:right w:val="single" w:sz="4" w:space="0" w:color="auto"/>
            </w:tcBorders>
            <w:noWrap/>
          </w:tcPr>
          <w:p w14:paraId="564A79A4" w14:textId="77777777" w:rsidR="00590BEF" w:rsidRPr="007202FA" w:rsidRDefault="000B4F21" w:rsidP="007202FA">
            <w:pPr>
              <w:jc w:val="right"/>
              <w:rPr>
                <w:rFonts w:cs="Arial"/>
                <w:sz w:val="20"/>
                <w:szCs w:val="20"/>
              </w:rPr>
            </w:pPr>
            <w:r>
              <w:rPr>
                <w:rFonts w:cs="Arial"/>
                <w:sz w:val="20"/>
                <w:szCs w:val="20"/>
                <w:lang w:val="ga"/>
              </w:rPr>
              <w:t>15</w:t>
            </w:r>
          </w:p>
          <w:p w14:paraId="022961D2" w14:textId="77777777" w:rsidR="00590BEF" w:rsidRPr="007202FA" w:rsidRDefault="00590BEF" w:rsidP="007202FA">
            <w:pPr>
              <w:jc w:val="right"/>
              <w:rPr>
                <w:rFonts w:cs="Arial"/>
                <w:sz w:val="20"/>
                <w:szCs w:val="20"/>
              </w:rPr>
            </w:pPr>
          </w:p>
        </w:tc>
        <w:tc>
          <w:tcPr>
            <w:tcW w:w="1559" w:type="dxa"/>
            <w:tcBorders>
              <w:top w:val="nil"/>
              <w:left w:val="nil"/>
              <w:bottom w:val="single" w:sz="4" w:space="0" w:color="auto"/>
              <w:right w:val="single" w:sz="4" w:space="0" w:color="auto"/>
            </w:tcBorders>
            <w:noWrap/>
          </w:tcPr>
          <w:p w14:paraId="089A7595" w14:textId="77777777" w:rsidR="00590BEF" w:rsidRPr="007202FA" w:rsidRDefault="000B4F21" w:rsidP="007202FA">
            <w:pPr>
              <w:jc w:val="right"/>
              <w:rPr>
                <w:rFonts w:cs="Arial"/>
                <w:sz w:val="20"/>
                <w:szCs w:val="20"/>
              </w:rPr>
            </w:pPr>
            <w:r>
              <w:rPr>
                <w:rFonts w:cs="Arial"/>
                <w:sz w:val="20"/>
                <w:szCs w:val="20"/>
                <w:lang w:val="ga"/>
              </w:rPr>
              <w:t>29.4%</w:t>
            </w:r>
          </w:p>
          <w:p w14:paraId="289D82C4" w14:textId="77777777" w:rsidR="00590BEF" w:rsidRPr="007202FA" w:rsidRDefault="00590BEF" w:rsidP="007202FA">
            <w:pPr>
              <w:jc w:val="right"/>
              <w:rPr>
                <w:rFonts w:cs="Arial"/>
                <w:sz w:val="20"/>
                <w:szCs w:val="20"/>
              </w:rPr>
            </w:pPr>
          </w:p>
        </w:tc>
      </w:tr>
      <w:tr w:rsidR="00F31303" w14:paraId="15B6253C" w14:textId="77777777" w:rsidTr="0058567F">
        <w:trPr>
          <w:trHeight w:val="255"/>
          <w:tblHeader/>
        </w:trPr>
        <w:tc>
          <w:tcPr>
            <w:tcW w:w="1555" w:type="dxa"/>
            <w:tcBorders>
              <w:top w:val="nil"/>
              <w:left w:val="single" w:sz="4" w:space="0" w:color="auto"/>
              <w:bottom w:val="single" w:sz="4" w:space="0" w:color="auto"/>
              <w:right w:val="single" w:sz="4" w:space="0" w:color="auto"/>
            </w:tcBorders>
            <w:noWrap/>
            <w:hideMark/>
          </w:tcPr>
          <w:p w14:paraId="6402166C" w14:textId="77777777" w:rsidR="00590BEF" w:rsidRPr="007202FA" w:rsidRDefault="000B4F21" w:rsidP="007202FA">
            <w:pPr>
              <w:rPr>
                <w:rFonts w:cs="Arial"/>
                <w:sz w:val="20"/>
                <w:szCs w:val="20"/>
              </w:rPr>
            </w:pPr>
            <w:r>
              <w:rPr>
                <w:rFonts w:cs="Calibri"/>
                <w:color w:val="000000"/>
                <w:sz w:val="20"/>
                <w:szCs w:val="20"/>
                <w:lang w:val="ga"/>
              </w:rPr>
              <w:t>Campas Coinneála Leanaí Bhaile an Oibricigh</w:t>
            </w:r>
          </w:p>
        </w:tc>
        <w:tc>
          <w:tcPr>
            <w:tcW w:w="1559" w:type="dxa"/>
            <w:tcBorders>
              <w:top w:val="nil"/>
              <w:left w:val="nil"/>
              <w:bottom w:val="single" w:sz="4" w:space="0" w:color="auto"/>
              <w:right w:val="single" w:sz="4" w:space="0" w:color="auto"/>
            </w:tcBorders>
            <w:noWrap/>
            <w:hideMark/>
          </w:tcPr>
          <w:p w14:paraId="3F231A08" w14:textId="77777777" w:rsidR="00590BEF" w:rsidRPr="007202FA" w:rsidRDefault="000B4F21" w:rsidP="007202FA">
            <w:pPr>
              <w:jc w:val="right"/>
              <w:rPr>
                <w:rFonts w:cs="Arial"/>
                <w:sz w:val="20"/>
                <w:szCs w:val="20"/>
              </w:rPr>
            </w:pPr>
            <w:r>
              <w:rPr>
                <w:rFonts w:cs="Arial"/>
                <w:sz w:val="20"/>
                <w:szCs w:val="20"/>
                <w:lang w:val="ga"/>
              </w:rPr>
              <w:t>248</w:t>
            </w:r>
          </w:p>
        </w:tc>
        <w:tc>
          <w:tcPr>
            <w:tcW w:w="1557" w:type="dxa"/>
            <w:tcBorders>
              <w:top w:val="nil"/>
              <w:left w:val="nil"/>
              <w:bottom w:val="single" w:sz="4" w:space="0" w:color="auto"/>
              <w:right w:val="single" w:sz="4" w:space="0" w:color="auto"/>
            </w:tcBorders>
            <w:noWrap/>
            <w:hideMark/>
          </w:tcPr>
          <w:p w14:paraId="40AA74DB" w14:textId="77777777" w:rsidR="00590BEF" w:rsidRPr="007202FA" w:rsidRDefault="000B4F21" w:rsidP="007202FA">
            <w:pPr>
              <w:jc w:val="right"/>
              <w:rPr>
                <w:rFonts w:cs="Arial"/>
                <w:sz w:val="20"/>
                <w:szCs w:val="20"/>
              </w:rPr>
            </w:pPr>
            <w:r>
              <w:rPr>
                <w:rFonts w:cs="Arial"/>
                <w:sz w:val="20"/>
                <w:szCs w:val="20"/>
                <w:lang w:val="ga"/>
              </w:rPr>
              <w:t>9</w:t>
            </w:r>
          </w:p>
        </w:tc>
        <w:tc>
          <w:tcPr>
            <w:tcW w:w="1843" w:type="dxa"/>
            <w:tcBorders>
              <w:top w:val="nil"/>
              <w:left w:val="nil"/>
              <w:bottom w:val="single" w:sz="4" w:space="0" w:color="auto"/>
              <w:right w:val="single" w:sz="4" w:space="0" w:color="auto"/>
            </w:tcBorders>
            <w:noWrap/>
            <w:hideMark/>
          </w:tcPr>
          <w:p w14:paraId="6651C821" w14:textId="77777777" w:rsidR="00590BEF" w:rsidRPr="007202FA" w:rsidRDefault="000B4F21" w:rsidP="007202FA">
            <w:pPr>
              <w:jc w:val="right"/>
              <w:rPr>
                <w:rFonts w:cs="Arial"/>
                <w:sz w:val="20"/>
                <w:szCs w:val="20"/>
              </w:rPr>
            </w:pPr>
            <w:r>
              <w:rPr>
                <w:rFonts w:cs="Arial"/>
                <w:sz w:val="20"/>
                <w:szCs w:val="20"/>
                <w:lang w:val="ga"/>
              </w:rPr>
              <w:t>3.6%</w:t>
            </w:r>
          </w:p>
        </w:tc>
        <w:tc>
          <w:tcPr>
            <w:tcW w:w="1701" w:type="dxa"/>
            <w:tcBorders>
              <w:top w:val="nil"/>
              <w:left w:val="nil"/>
              <w:bottom w:val="single" w:sz="4" w:space="0" w:color="auto"/>
              <w:right w:val="single" w:sz="4" w:space="0" w:color="auto"/>
            </w:tcBorders>
            <w:noWrap/>
          </w:tcPr>
          <w:p w14:paraId="6A777A45" w14:textId="77777777" w:rsidR="00590BEF" w:rsidRPr="007202FA" w:rsidRDefault="000B4F21" w:rsidP="007202FA">
            <w:pPr>
              <w:jc w:val="right"/>
              <w:rPr>
                <w:rFonts w:cs="Arial"/>
                <w:sz w:val="20"/>
                <w:szCs w:val="20"/>
              </w:rPr>
            </w:pPr>
            <w:r>
              <w:rPr>
                <w:rFonts w:cs="Arial"/>
                <w:sz w:val="20"/>
                <w:szCs w:val="20"/>
                <w:lang w:val="ga"/>
              </w:rPr>
              <w:t>255</w:t>
            </w:r>
          </w:p>
          <w:p w14:paraId="049A9292" w14:textId="77777777" w:rsidR="00590BEF" w:rsidRPr="007202FA" w:rsidRDefault="00590BEF" w:rsidP="007202FA">
            <w:pPr>
              <w:jc w:val="right"/>
              <w:rPr>
                <w:rFonts w:cs="Arial"/>
                <w:sz w:val="20"/>
                <w:szCs w:val="20"/>
              </w:rPr>
            </w:pPr>
          </w:p>
        </w:tc>
        <w:tc>
          <w:tcPr>
            <w:tcW w:w="1701" w:type="dxa"/>
            <w:tcBorders>
              <w:top w:val="nil"/>
              <w:left w:val="nil"/>
              <w:bottom w:val="single" w:sz="4" w:space="0" w:color="auto"/>
              <w:right w:val="single" w:sz="4" w:space="0" w:color="auto"/>
            </w:tcBorders>
            <w:noWrap/>
          </w:tcPr>
          <w:p w14:paraId="38F594ED" w14:textId="77777777" w:rsidR="00590BEF" w:rsidRPr="007202FA" w:rsidRDefault="000B4F21" w:rsidP="007202FA">
            <w:pPr>
              <w:jc w:val="right"/>
              <w:rPr>
                <w:rFonts w:cs="Arial"/>
                <w:sz w:val="20"/>
                <w:szCs w:val="20"/>
              </w:rPr>
            </w:pPr>
            <w:r>
              <w:rPr>
                <w:rFonts w:cs="Arial"/>
                <w:sz w:val="20"/>
                <w:szCs w:val="20"/>
                <w:lang w:val="ga"/>
              </w:rPr>
              <w:t>8</w:t>
            </w:r>
          </w:p>
          <w:p w14:paraId="405F102E" w14:textId="77777777" w:rsidR="00590BEF" w:rsidRPr="007202FA" w:rsidRDefault="00590BEF" w:rsidP="007202FA">
            <w:pPr>
              <w:jc w:val="right"/>
              <w:rPr>
                <w:rFonts w:cs="Arial"/>
                <w:sz w:val="20"/>
                <w:szCs w:val="20"/>
              </w:rPr>
            </w:pPr>
          </w:p>
        </w:tc>
        <w:tc>
          <w:tcPr>
            <w:tcW w:w="1559" w:type="dxa"/>
            <w:tcBorders>
              <w:top w:val="nil"/>
              <w:left w:val="nil"/>
              <w:bottom w:val="single" w:sz="4" w:space="0" w:color="auto"/>
              <w:right w:val="single" w:sz="4" w:space="0" w:color="auto"/>
            </w:tcBorders>
            <w:noWrap/>
          </w:tcPr>
          <w:p w14:paraId="19FC8483" w14:textId="77777777" w:rsidR="00590BEF" w:rsidRPr="007202FA" w:rsidRDefault="000B4F21" w:rsidP="007202FA">
            <w:pPr>
              <w:jc w:val="right"/>
              <w:rPr>
                <w:rFonts w:cs="Arial"/>
                <w:sz w:val="20"/>
                <w:szCs w:val="20"/>
              </w:rPr>
            </w:pPr>
            <w:r>
              <w:rPr>
                <w:rFonts w:cs="Arial"/>
                <w:sz w:val="20"/>
                <w:szCs w:val="20"/>
                <w:lang w:val="ga"/>
              </w:rPr>
              <w:t>3.1%</w:t>
            </w:r>
          </w:p>
          <w:p w14:paraId="07745A3A" w14:textId="77777777" w:rsidR="00590BEF" w:rsidRPr="007202FA" w:rsidRDefault="00590BEF" w:rsidP="007202FA">
            <w:pPr>
              <w:jc w:val="right"/>
              <w:rPr>
                <w:rFonts w:cs="Arial"/>
                <w:sz w:val="20"/>
                <w:szCs w:val="20"/>
              </w:rPr>
            </w:pPr>
          </w:p>
        </w:tc>
      </w:tr>
      <w:tr w:rsidR="00F31303" w14:paraId="0CCFD284" w14:textId="77777777" w:rsidTr="0058567F">
        <w:trPr>
          <w:trHeight w:val="255"/>
          <w:tblHeader/>
        </w:trPr>
        <w:tc>
          <w:tcPr>
            <w:tcW w:w="1555" w:type="dxa"/>
            <w:tcBorders>
              <w:top w:val="nil"/>
              <w:left w:val="single" w:sz="4" w:space="0" w:color="auto"/>
              <w:bottom w:val="single" w:sz="4" w:space="0" w:color="auto"/>
              <w:right w:val="single" w:sz="4" w:space="0" w:color="auto"/>
            </w:tcBorders>
            <w:noWrap/>
          </w:tcPr>
          <w:p w14:paraId="4CCEAF5D" w14:textId="20C97547" w:rsidR="00590BEF" w:rsidRPr="007202FA" w:rsidRDefault="000B4F21" w:rsidP="007202FA">
            <w:pPr>
              <w:rPr>
                <w:rFonts w:cs="Calibri"/>
                <w:color w:val="000000"/>
                <w:sz w:val="20"/>
                <w:szCs w:val="20"/>
              </w:rPr>
            </w:pPr>
            <w:r>
              <w:rPr>
                <w:rFonts w:cs="Calibri"/>
                <w:color w:val="000000"/>
                <w:sz w:val="20"/>
                <w:szCs w:val="20"/>
                <w:lang w:val="ga"/>
              </w:rPr>
              <w:t>Oifig an Stiúrthóra um Idirghabháil Údaraithe</w:t>
            </w:r>
            <w:r>
              <w:rPr>
                <w:rStyle w:val="FootnoteReference"/>
                <w:rFonts w:cs="Calibri"/>
                <w:color w:val="000000"/>
                <w:sz w:val="20"/>
                <w:szCs w:val="20"/>
                <w:lang w:val="ga"/>
              </w:rPr>
              <w:footnoteReference w:id="10"/>
            </w:r>
          </w:p>
        </w:tc>
        <w:tc>
          <w:tcPr>
            <w:tcW w:w="1559" w:type="dxa"/>
            <w:tcBorders>
              <w:top w:val="nil"/>
              <w:left w:val="nil"/>
              <w:bottom w:val="single" w:sz="4" w:space="0" w:color="auto"/>
              <w:right w:val="single" w:sz="4" w:space="0" w:color="auto"/>
            </w:tcBorders>
            <w:noWrap/>
            <w:hideMark/>
          </w:tcPr>
          <w:p w14:paraId="302A7414" w14:textId="77777777" w:rsidR="00590BEF" w:rsidRPr="007202FA" w:rsidRDefault="000B4F21" w:rsidP="007202FA">
            <w:pPr>
              <w:jc w:val="right"/>
              <w:rPr>
                <w:rFonts w:cs="Arial"/>
                <w:sz w:val="20"/>
                <w:szCs w:val="20"/>
              </w:rPr>
            </w:pPr>
            <w:r>
              <w:rPr>
                <w:rFonts w:cs="Arial"/>
                <w:sz w:val="20"/>
                <w:szCs w:val="20"/>
                <w:lang w:val="ga"/>
              </w:rPr>
              <w:t>-</w:t>
            </w:r>
          </w:p>
        </w:tc>
        <w:tc>
          <w:tcPr>
            <w:tcW w:w="1557" w:type="dxa"/>
            <w:tcBorders>
              <w:top w:val="nil"/>
              <w:left w:val="nil"/>
              <w:bottom w:val="single" w:sz="4" w:space="0" w:color="auto"/>
              <w:right w:val="single" w:sz="4" w:space="0" w:color="auto"/>
            </w:tcBorders>
            <w:noWrap/>
            <w:hideMark/>
          </w:tcPr>
          <w:p w14:paraId="67B3EF51" w14:textId="77777777" w:rsidR="00590BEF" w:rsidRPr="007202FA" w:rsidRDefault="000B4F21" w:rsidP="007202FA">
            <w:pPr>
              <w:jc w:val="right"/>
              <w:rPr>
                <w:rFonts w:cs="Arial"/>
                <w:sz w:val="20"/>
                <w:szCs w:val="20"/>
              </w:rPr>
            </w:pPr>
            <w:r>
              <w:rPr>
                <w:rFonts w:cs="Arial"/>
                <w:sz w:val="20"/>
                <w:szCs w:val="20"/>
                <w:lang w:val="ga"/>
              </w:rPr>
              <w:t>-</w:t>
            </w:r>
          </w:p>
        </w:tc>
        <w:tc>
          <w:tcPr>
            <w:tcW w:w="1843" w:type="dxa"/>
            <w:tcBorders>
              <w:top w:val="nil"/>
              <w:left w:val="nil"/>
              <w:bottom w:val="single" w:sz="4" w:space="0" w:color="auto"/>
              <w:right w:val="single" w:sz="4" w:space="0" w:color="auto"/>
            </w:tcBorders>
            <w:noWrap/>
            <w:hideMark/>
          </w:tcPr>
          <w:p w14:paraId="7CF0DE46" w14:textId="77777777" w:rsidR="00590BEF" w:rsidRPr="007202FA" w:rsidRDefault="000B4F21" w:rsidP="007202FA">
            <w:pPr>
              <w:jc w:val="right"/>
              <w:rPr>
                <w:rFonts w:cs="Arial"/>
                <w:sz w:val="20"/>
                <w:szCs w:val="20"/>
              </w:rPr>
            </w:pPr>
            <w:r>
              <w:rPr>
                <w:rFonts w:cs="Arial"/>
                <w:sz w:val="20"/>
                <w:szCs w:val="20"/>
                <w:lang w:val="ga"/>
              </w:rPr>
              <w:t>-</w:t>
            </w:r>
          </w:p>
        </w:tc>
        <w:tc>
          <w:tcPr>
            <w:tcW w:w="1701" w:type="dxa"/>
            <w:tcBorders>
              <w:top w:val="nil"/>
              <w:left w:val="nil"/>
              <w:bottom w:val="single" w:sz="4" w:space="0" w:color="auto"/>
              <w:right w:val="single" w:sz="4" w:space="0" w:color="auto"/>
            </w:tcBorders>
            <w:noWrap/>
          </w:tcPr>
          <w:p w14:paraId="3F8C1A31" w14:textId="77777777" w:rsidR="00590BEF" w:rsidRPr="007202FA" w:rsidRDefault="000B4F21" w:rsidP="007202FA">
            <w:pPr>
              <w:jc w:val="right"/>
              <w:rPr>
                <w:rFonts w:cs="Arial"/>
                <w:sz w:val="20"/>
                <w:szCs w:val="20"/>
              </w:rPr>
            </w:pPr>
            <w:r>
              <w:rPr>
                <w:rFonts w:cs="Arial"/>
                <w:sz w:val="20"/>
                <w:szCs w:val="20"/>
                <w:lang w:val="ga"/>
              </w:rPr>
              <w:t>13</w:t>
            </w:r>
          </w:p>
          <w:p w14:paraId="7CD59FE4" w14:textId="77777777" w:rsidR="00590BEF" w:rsidRPr="007202FA" w:rsidRDefault="00590BEF" w:rsidP="007202FA">
            <w:pPr>
              <w:jc w:val="right"/>
              <w:rPr>
                <w:rFonts w:cs="Arial"/>
                <w:sz w:val="20"/>
                <w:szCs w:val="20"/>
              </w:rPr>
            </w:pPr>
          </w:p>
        </w:tc>
        <w:tc>
          <w:tcPr>
            <w:tcW w:w="1701" w:type="dxa"/>
            <w:tcBorders>
              <w:top w:val="nil"/>
              <w:left w:val="nil"/>
              <w:bottom w:val="single" w:sz="4" w:space="0" w:color="auto"/>
              <w:right w:val="single" w:sz="4" w:space="0" w:color="auto"/>
            </w:tcBorders>
            <w:noWrap/>
          </w:tcPr>
          <w:p w14:paraId="2A63E2B8" w14:textId="77777777" w:rsidR="00590BEF" w:rsidRPr="007202FA" w:rsidRDefault="000B4F21" w:rsidP="007202FA">
            <w:pPr>
              <w:jc w:val="right"/>
              <w:rPr>
                <w:rFonts w:cs="Arial"/>
                <w:sz w:val="20"/>
                <w:szCs w:val="20"/>
              </w:rPr>
            </w:pPr>
            <w:r>
              <w:rPr>
                <w:rFonts w:cs="Arial"/>
                <w:sz w:val="20"/>
                <w:szCs w:val="20"/>
                <w:lang w:val="ga"/>
              </w:rPr>
              <w:t>1</w:t>
            </w:r>
          </w:p>
          <w:p w14:paraId="54FD6E1B" w14:textId="77777777" w:rsidR="00590BEF" w:rsidRPr="007202FA" w:rsidRDefault="00590BEF" w:rsidP="007202FA">
            <w:pPr>
              <w:jc w:val="right"/>
              <w:rPr>
                <w:rFonts w:cs="Arial"/>
                <w:sz w:val="20"/>
                <w:szCs w:val="20"/>
              </w:rPr>
            </w:pPr>
          </w:p>
        </w:tc>
        <w:tc>
          <w:tcPr>
            <w:tcW w:w="1559" w:type="dxa"/>
            <w:tcBorders>
              <w:top w:val="nil"/>
              <w:left w:val="nil"/>
              <w:bottom w:val="single" w:sz="4" w:space="0" w:color="auto"/>
              <w:right w:val="single" w:sz="4" w:space="0" w:color="auto"/>
            </w:tcBorders>
            <w:noWrap/>
          </w:tcPr>
          <w:p w14:paraId="1975E3AB" w14:textId="77777777" w:rsidR="00590BEF" w:rsidRPr="007202FA" w:rsidRDefault="000B4F21" w:rsidP="007202FA">
            <w:pPr>
              <w:jc w:val="right"/>
              <w:rPr>
                <w:rFonts w:cs="Arial"/>
                <w:sz w:val="20"/>
                <w:szCs w:val="20"/>
              </w:rPr>
            </w:pPr>
            <w:r>
              <w:rPr>
                <w:rFonts w:cs="Arial"/>
                <w:sz w:val="20"/>
                <w:szCs w:val="20"/>
                <w:lang w:val="ga"/>
              </w:rPr>
              <w:t>7.7%</w:t>
            </w:r>
          </w:p>
          <w:p w14:paraId="5AABD323" w14:textId="77777777" w:rsidR="00590BEF" w:rsidRPr="007202FA" w:rsidRDefault="00590BEF" w:rsidP="007202FA">
            <w:pPr>
              <w:jc w:val="right"/>
              <w:rPr>
                <w:rFonts w:cs="Arial"/>
                <w:sz w:val="20"/>
                <w:szCs w:val="20"/>
              </w:rPr>
            </w:pPr>
          </w:p>
        </w:tc>
      </w:tr>
      <w:tr w:rsidR="00F31303" w14:paraId="261D1779" w14:textId="77777777" w:rsidTr="0058567F">
        <w:trPr>
          <w:trHeight w:val="512"/>
          <w:tblHeader/>
        </w:trPr>
        <w:tc>
          <w:tcPr>
            <w:tcW w:w="1555" w:type="dxa"/>
            <w:tcBorders>
              <w:top w:val="single" w:sz="4" w:space="0" w:color="auto"/>
              <w:left w:val="single" w:sz="4" w:space="0" w:color="auto"/>
              <w:bottom w:val="single" w:sz="4" w:space="0" w:color="auto"/>
              <w:right w:val="single" w:sz="4" w:space="0" w:color="auto"/>
            </w:tcBorders>
            <w:hideMark/>
          </w:tcPr>
          <w:p w14:paraId="1BCBBB8A" w14:textId="77777777" w:rsidR="00590BEF" w:rsidRPr="007202FA" w:rsidRDefault="000B4F21" w:rsidP="007202FA">
            <w:pPr>
              <w:ind w:firstLineChars="11" w:firstLine="22"/>
              <w:rPr>
                <w:b/>
                <w:sz w:val="20"/>
                <w:szCs w:val="20"/>
              </w:rPr>
            </w:pPr>
            <w:r>
              <w:rPr>
                <w:b/>
                <w:bCs/>
                <w:sz w:val="20"/>
                <w:szCs w:val="20"/>
                <w:lang w:val="ga"/>
              </w:rPr>
              <w:t>Mór-Iomlán</w:t>
            </w:r>
          </w:p>
        </w:tc>
        <w:tc>
          <w:tcPr>
            <w:tcW w:w="1559" w:type="dxa"/>
            <w:tcBorders>
              <w:top w:val="single" w:sz="4" w:space="0" w:color="auto"/>
              <w:left w:val="single" w:sz="4" w:space="0" w:color="auto"/>
              <w:bottom w:val="single" w:sz="4" w:space="0" w:color="auto"/>
              <w:right w:val="single" w:sz="4" w:space="0" w:color="auto"/>
            </w:tcBorders>
            <w:hideMark/>
          </w:tcPr>
          <w:p w14:paraId="71E66FB3" w14:textId="77777777" w:rsidR="00590BEF" w:rsidRPr="007202FA" w:rsidRDefault="000B4F21" w:rsidP="007202FA">
            <w:pPr>
              <w:jc w:val="right"/>
              <w:rPr>
                <w:rFonts w:cs="Arial"/>
                <w:b/>
                <w:bCs/>
                <w:color w:val="000000"/>
                <w:sz w:val="20"/>
                <w:szCs w:val="20"/>
              </w:rPr>
            </w:pPr>
            <w:r>
              <w:rPr>
                <w:rFonts w:cs="Arial"/>
                <w:b/>
                <w:bCs/>
                <w:color w:val="000000"/>
                <w:sz w:val="20"/>
                <w:szCs w:val="20"/>
                <w:lang w:val="ga"/>
              </w:rPr>
              <w:t>5,840</w:t>
            </w:r>
          </w:p>
        </w:tc>
        <w:tc>
          <w:tcPr>
            <w:tcW w:w="1557" w:type="dxa"/>
            <w:tcBorders>
              <w:top w:val="single" w:sz="4" w:space="0" w:color="auto"/>
              <w:left w:val="single" w:sz="4" w:space="0" w:color="auto"/>
              <w:bottom w:val="single" w:sz="4" w:space="0" w:color="auto"/>
              <w:right w:val="single" w:sz="4" w:space="0" w:color="auto"/>
            </w:tcBorders>
            <w:hideMark/>
          </w:tcPr>
          <w:p w14:paraId="30582CAD" w14:textId="77777777" w:rsidR="00590BEF" w:rsidRPr="007202FA" w:rsidRDefault="000B4F21" w:rsidP="007202FA">
            <w:pPr>
              <w:jc w:val="right"/>
              <w:rPr>
                <w:rFonts w:cs="Arial"/>
                <w:b/>
                <w:bCs/>
                <w:color w:val="000000"/>
                <w:sz w:val="20"/>
                <w:szCs w:val="20"/>
              </w:rPr>
            </w:pPr>
            <w:r>
              <w:rPr>
                <w:rFonts w:cs="Arial"/>
                <w:b/>
                <w:bCs/>
                <w:color w:val="000000"/>
                <w:sz w:val="20"/>
                <w:szCs w:val="20"/>
                <w:lang w:val="ga"/>
              </w:rPr>
              <w:t>294</w:t>
            </w:r>
          </w:p>
        </w:tc>
        <w:tc>
          <w:tcPr>
            <w:tcW w:w="1843" w:type="dxa"/>
            <w:tcBorders>
              <w:top w:val="single" w:sz="4" w:space="0" w:color="auto"/>
              <w:left w:val="single" w:sz="4" w:space="0" w:color="auto"/>
              <w:bottom w:val="single" w:sz="4" w:space="0" w:color="auto"/>
              <w:right w:val="single" w:sz="4" w:space="0" w:color="auto"/>
            </w:tcBorders>
            <w:hideMark/>
          </w:tcPr>
          <w:p w14:paraId="41B6AC0F" w14:textId="77777777" w:rsidR="00590BEF" w:rsidRPr="007202FA" w:rsidRDefault="000B4F21" w:rsidP="007202FA">
            <w:pPr>
              <w:jc w:val="right"/>
              <w:rPr>
                <w:rFonts w:cs="Arial"/>
                <w:b/>
                <w:bCs/>
                <w:color w:val="000000"/>
                <w:sz w:val="20"/>
                <w:szCs w:val="20"/>
              </w:rPr>
            </w:pPr>
            <w:r>
              <w:rPr>
                <w:rFonts w:cs="Arial"/>
                <w:b/>
                <w:bCs/>
                <w:sz w:val="20"/>
                <w:szCs w:val="20"/>
                <w:lang w:val="ga"/>
              </w:rPr>
              <w:t>5.0%</w:t>
            </w:r>
          </w:p>
        </w:tc>
        <w:tc>
          <w:tcPr>
            <w:tcW w:w="1701" w:type="dxa"/>
            <w:tcBorders>
              <w:top w:val="single" w:sz="4" w:space="0" w:color="auto"/>
              <w:left w:val="single" w:sz="4" w:space="0" w:color="auto"/>
              <w:bottom w:val="single" w:sz="4" w:space="0" w:color="auto"/>
              <w:right w:val="single" w:sz="4" w:space="0" w:color="auto"/>
            </w:tcBorders>
          </w:tcPr>
          <w:p w14:paraId="17F392AB" w14:textId="77777777" w:rsidR="00590BEF" w:rsidRPr="007202FA" w:rsidRDefault="000B4F21" w:rsidP="007202FA">
            <w:pPr>
              <w:jc w:val="right"/>
              <w:rPr>
                <w:rFonts w:cs="Arial"/>
                <w:b/>
                <w:bCs/>
                <w:color w:val="000000"/>
                <w:sz w:val="20"/>
                <w:szCs w:val="20"/>
              </w:rPr>
            </w:pPr>
            <w:r>
              <w:rPr>
                <w:rFonts w:cs="Arial"/>
                <w:b/>
                <w:bCs/>
                <w:color w:val="000000"/>
                <w:sz w:val="20"/>
                <w:szCs w:val="20"/>
                <w:lang w:val="ga"/>
              </w:rPr>
              <w:t>6,516</w:t>
            </w:r>
          </w:p>
          <w:p w14:paraId="764E6E14" w14:textId="77777777" w:rsidR="00590BEF" w:rsidRPr="007202FA" w:rsidRDefault="00590BEF" w:rsidP="007202FA">
            <w:pPr>
              <w:jc w:val="right"/>
              <w:rPr>
                <w:rFonts w:cs="Arial"/>
                <w:b/>
                <w:bCs/>
                <w:color w:val="000000"/>
                <w:sz w:val="20"/>
                <w:szCs w:val="20"/>
              </w:rPr>
            </w:pPr>
          </w:p>
        </w:tc>
        <w:tc>
          <w:tcPr>
            <w:tcW w:w="1701" w:type="dxa"/>
            <w:tcBorders>
              <w:top w:val="single" w:sz="4" w:space="0" w:color="auto"/>
              <w:left w:val="nil"/>
              <w:bottom w:val="single" w:sz="4" w:space="0" w:color="auto"/>
              <w:right w:val="single" w:sz="4" w:space="0" w:color="auto"/>
            </w:tcBorders>
          </w:tcPr>
          <w:p w14:paraId="39E1EBCE" w14:textId="77777777" w:rsidR="00590BEF" w:rsidRPr="007202FA" w:rsidRDefault="000B4F21" w:rsidP="007202FA">
            <w:pPr>
              <w:jc w:val="right"/>
              <w:rPr>
                <w:rFonts w:cs="Arial"/>
                <w:b/>
                <w:bCs/>
                <w:color w:val="000000"/>
                <w:sz w:val="20"/>
                <w:szCs w:val="20"/>
              </w:rPr>
            </w:pPr>
            <w:r>
              <w:rPr>
                <w:rFonts w:cs="Arial"/>
                <w:b/>
                <w:bCs/>
                <w:color w:val="000000"/>
                <w:sz w:val="20"/>
                <w:szCs w:val="20"/>
                <w:lang w:val="ga"/>
              </w:rPr>
              <w:t>348</w:t>
            </w:r>
          </w:p>
          <w:p w14:paraId="2B1FFF1A" w14:textId="77777777" w:rsidR="00590BEF" w:rsidRPr="007202FA" w:rsidRDefault="00590BEF" w:rsidP="007202FA">
            <w:pPr>
              <w:jc w:val="right"/>
              <w:rPr>
                <w:rFonts w:cs="Arial"/>
                <w:b/>
                <w:bCs/>
                <w:color w:val="000000"/>
                <w:sz w:val="20"/>
                <w:szCs w:val="20"/>
              </w:rPr>
            </w:pPr>
          </w:p>
        </w:tc>
        <w:tc>
          <w:tcPr>
            <w:tcW w:w="1559" w:type="dxa"/>
            <w:tcBorders>
              <w:top w:val="single" w:sz="4" w:space="0" w:color="auto"/>
              <w:left w:val="nil"/>
              <w:bottom w:val="single" w:sz="4" w:space="0" w:color="auto"/>
              <w:right w:val="single" w:sz="4" w:space="0" w:color="auto"/>
            </w:tcBorders>
          </w:tcPr>
          <w:p w14:paraId="058A43F1" w14:textId="77777777" w:rsidR="00590BEF" w:rsidRPr="007202FA" w:rsidRDefault="000B4F21" w:rsidP="007202FA">
            <w:pPr>
              <w:jc w:val="right"/>
              <w:rPr>
                <w:rFonts w:cs="Arial"/>
                <w:b/>
                <w:bCs/>
                <w:sz w:val="20"/>
                <w:szCs w:val="20"/>
              </w:rPr>
            </w:pPr>
            <w:r>
              <w:rPr>
                <w:rFonts w:cs="Arial"/>
                <w:b/>
                <w:bCs/>
                <w:sz w:val="20"/>
                <w:szCs w:val="20"/>
                <w:lang w:val="ga"/>
              </w:rPr>
              <w:t>5.3%</w:t>
            </w:r>
          </w:p>
          <w:p w14:paraId="245D3092" w14:textId="77777777" w:rsidR="00590BEF" w:rsidRPr="007202FA" w:rsidRDefault="00590BEF" w:rsidP="007202FA">
            <w:pPr>
              <w:jc w:val="right"/>
              <w:rPr>
                <w:rFonts w:cs="Arial"/>
                <w:b/>
                <w:bCs/>
                <w:sz w:val="20"/>
                <w:szCs w:val="20"/>
              </w:rPr>
            </w:pPr>
          </w:p>
        </w:tc>
      </w:tr>
    </w:tbl>
    <w:p w14:paraId="451A4CE8" w14:textId="77777777" w:rsidR="00590BEF" w:rsidRPr="007202FA" w:rsidRDefault="000B4F21" w:rsidP="007202FA">
      <w:pPr>
        <w:spacing w:after="0"/>
        <w:rPr>
          <w:rFonts w:ascii="Gill Sans" w:hAnsi="Gill Sans"/>
          <w:b/>
        </w:rPr>
      </w:pPr>
      <w:r>
        <w:rPr>
          <w:rFonts w:ascii="Gill Sans" w:hAnsi="Gill Sans"/>
          <w:b/>
          <w:bCs/>
          <w:kern w:val="0"/>
          <w:lang w:val="ga"/>
          <w14:ligatures w14:val="none"/>
        </w:rPr>
        <w:br w:type="page"/>
      </w:r>
    </w:p>
    <w:p w14:paraId="1D0532DB" w14:textId="77777777" w:rsidR="00590BEF" w:rsidRPr="007202FA" w:rsidRDefault="000B4F21" w:rsidP="007202FA">
      <w:pPr>
        <w:pStyle w:val="Heading2"/>
        <w:spacing w:after="120"/>
        <w:jc w:val="center"/>
      </w:pPr>
      <w:bookmarkStart w:id="212" w:name="_Toc176801627"/>
      <w:bookmarkStart w:id="213" w:name="_Toc214033665"/>
      <w:r>
        <w:rPr>
          <w:bCs/>
          <w:lang w:val="ga"/>
        </w:rPr>
        <w:lastRenderedPageBreak/>
        <w:t>An Roinn Fiontar, Trádála agus Fostaíochta</w:t>
      </w:r>
      <w:bookmarkEnd w:id="212"/>
      <w:bookmarkEnd w:id="213"/>
    </w:p>
    <w:tbl>
      <w:tblPr>
        <w:tblStyle w:val="TableGrid"/>
        <w:tblpPr w:leftFromText="180" w:rightFromText="180" w:vertAnchor="text" w:horzAnchor="margin" w:tblpXSpec="center" w:tblpY="241"/>
        <w:tblW w:w="11340" w:type="dxa"/>
        <w:tblLayout w:type="fixed"/>
        <w:tblLook w:val="04A0" w:firstRow="1" w:lastRow="0" w:firstColumn="1" w:lastColumn="0" w:noHBand="0" w:noVBand="1"/>
      </w:tblPr>
      <w:tblGrid>
        <w:gridCol w:w="1696"/>
        <w:gridCol w:w="1560"/>
        <w:gridCol w:w="1559"/>
        <w:gridCol w:w="1701"/>
        <w:gridCol w:w="1559"/>
        <w:gridCol w:w="1701"/>
        <w:gridCol w:w="1564"/>
      </w:tblGrid>
      <w:tr w:rsidR="00F31303" w14:paraId="17FAFFBA" w14:textId="77777777" w:rsidTr="0058567F">
        <w:trPr>
          <w:tblHeader/>
        </w:trPr>
        <w:tc>
          <w:tcPr>
            <w:tcW w:w="1696" w:type="dxa"/>
            <w:tcBorders>
              <w:top w:val="single" w:sz="4" w:space="0" w:color="auto"/>
              <w:left w:val="single" w:sz="4" w:space="0" w:color="auto"/>
              <w:bottom w:val="single" w:sz="4" w:space="0" w:color="auto"/>
              <w:right w:val="single" w:sz="4" w:space="0" w:color="auto"/>
            </w:tcBorders>
            <w:hideMark/>
          </w:tcPr>
          <w:p w14:paraId="6B7CB57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60" w:type="dxa"/>
            <w:tcBorders>
              <w:top w:val="single" w:sz="4" w:space="0" w:color="auto"/>
              <w:left w:val="single" w:sz="4" w:space="0" w:color="auto"/>
              <w:bottom w:val="single" w:sz="4" w:space="0" w:color="auto"/>
              <w:right w:val="single" w:sz="4" w:space="0" w:color="auto"/>
            </w:tcBorders>
            <w:hideMark/>
          </w:tcPr>
          <w:p w14:paraId="2A4AF2D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1852328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2023</w:t>
            </w:r>
          </w:p>
        </w:tc>
        <w:tc>
          <w:tcPr>
            <w:tcW w:w="1559" w:type="dxa"/>
            <w:tcBorders>
              <w:top w:val="single" w:sz="4" w:space="0" w:color="auto"/>
              <w:left w:val="single" w:sz="4" w:space="0" w:color="auto"/>
              <w:bottom w:val="single" w:sz="4" w:space="0" w:color="auto"/>
              <w:right w:val="single" w:sz="4" w:space="0" w:color="auto"/>
            </w:tcBorders>
            <w:hideMark/>
          </w:tcPr>
          <w:p w14:paraId="2469A037"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03342DC8"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701" w:type="dxa"/>
            <w:tcBorders>
              <w:top w:val="single" w:sz="4" w:space="0" w:color="auto"/>
              <w:left w:val="single" w:sz="4" w:space="0" w:color="auto"/>
              <w:bottom w:val="single" w:sz="4" w:space="0" w:color="auto"/>
              <w:right w:val="single" w:sz="4" w:space="0" w:color="auto"/>
            </w:tcBorders>
            <w:hideMark/>
          </w:tcPr>
          <w:p w14:paraId="03CD164B"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6DDCFD68"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 2023</w:t>
            </w:r>
          </w:p>
        </w:tc>
        <w:tc>
          <w:tcPr>
            <w:tcW w:w="1559" w:type="dxa"/>
            <w:tcBorders>
              <w:top w:val="single" w:sz="4" w:space="0" w:color="auto"/>
              <w:left w:val="single" w:sz="4" w:space="0" w:color="auto"/>
              <w:bottom w:val="single" w:sz="4" w:space="0" w:color="auto"/>
              <w:right w:val="single" w:sz="4" w:space="0" w:color="auto"/>
            </w:tcBorders>
            <w:hideMark/>
          </w:tcPr>
          <w:p w14:paraId="51F27E86"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5EECC00E"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2024</w:t>
            </w:r>
          </w:p>
        </w:tc>
        <w:tc>
          <w:tcPr>
            <w:tcW w:w="1701" w:type="dxa"/>
            <w:tcBorders>
              <w:top w:val="single" w:sz="4" w:space="0" w:color="auto"/>
              <w:left w:val="single" w:sz="4" w:space="0" w:color="auto"/>
              <w:bottom w:val="single" w:sz="4" w:space="0" w:color="auto"/>
              <w:right w:val="single" w:sz="4" w:space="0" w:color="auto"/>
            </w:tcBorders>
            <w:hideMark/>
          </w:tcPr>
          <w:p w14:paraId="3B90D013"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líon fostaithe a thuairiscigh míchumas</w:t>
            </w:r>
          </w:p>
          <w:p w14:paraId="3D8B2D76"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564" w:type="dxa"/>
            <w:tcBorders>
              <w:top w:val="single" w:sz="4" w:space="0" w:color="auto"/>
              <w:left w:val="single" w:sz="4" w:space="0" w:color="auto"/>
              <w:bottom w:val="single" w:sz="4" w:space="0" w:color="auto"/>
              <w:right w:val="single" w:sz="4" w:space="0" w:color="auto"/>
            </w:tcBorders>
            <w:hideMark/>
          </w:tcPr>
          <w:p w14:paraId="1F5BE96D" w14:textId="77777777" w:rsidR="00590BEF" w:rsidRPr="00927F07" w:rsidRDefault="000B4F21" w:rsidP="007202FA">
            <w:pPr>
              <w:pStyle w:val="TableHead"/>
              <w:rPr>
                <w:rFonts w:ascii="Verdana" w:hAnsi="Verdana"/>
                <w:kern w:val="2"/>
                <w:sz w:val="19"/>
                <w:szCs w:val="19"/>
                <w14:ligatures w14:val="standardContextual"/>
              </w:rPr>
            </w:pPr>
            <w:r w:rsidRPr="00927F07">
              <w:rPr>
                <w:rFonts w:ascii="Verdana" w:hAnsi="Verdana"/>
                <w:bCs/>
                <w:kern w:val="2"/>
                <w:sz w:val="19"/>
                <w:szCs w:val="19"/>
                <w:lang w:val="ga"/>
                <w14:ligatures w14:val="standardContextual"/>
              </w:rPr>
              <w:t>An % d’fhostaithe a thuairiscigh</w:t>
            </w:r>
          </w:p>
          <w:p w14:paraId="2416C11B" w14:textId="77777777" w:rsidR="00590BEF" w:rsidRPr="007202FA" w:rsidRDefault="000B4F21" w:rsidP="007202FA">
            <w:pPr>
              <w:pStyle w:val="TableHead"/>
              <w:rPr>
                <w:rFonts w:ascii="Verdana" w:hAnsi="Verdana"/>
                <w:kern w:val="2"/>
                <w:sz w:val="20"/>
                <w:szCs w:val="20"/>
                <w14:ligatures w14:val="standardContextual"/>
              </w:rPr>
            </w:pPr>
            <w:r w:rsidRPr="00927F07">
              <w:rPr>
                <w:rFonts w:ascii="Verdana" w:hAnsi="Verdana"/>
                <w:bCs/>
                <w:kern w:val="2"/>
                <w:sz w:val="19"/>
                <w:szCs w:val="19"/>
                <w:lang w:val="ga"/>
                <w14:ligatures w14:val="standardContextual"/>
              </w:rPr>
              <w:t>míchumas 2024</w:t>
            </w:r>
          </w:p>
        </w:tc>
      </w:tr>
      <w:tr w:rsidR="00F31303" w14:paraId="3D7503F8"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13315106" w14:textId="77777777" w:rsidR="00590BEF" w:rsidRPr="007202FA" w:rsidRDefault="000B4F21" w:rsidP="007202FA">
            <w:pPr>
              <w:rPr>
                <w:sz w:val="20"/>
                <w:szCs w:val="20"/>
              </w:rPr>
            </w:pPr>
            <w:r>
              <w:rPr>
                <w:rFonts w:cs="Calibri"/>
                <w:color w:val="000000"/>
                <w:sz w:val="20"/>
                <w:szCs w:val="20"/>
                <w:lang w:val="ga"/>
              </w:rPr>
              <w:t>An Coimisiún um Iomaíocht agus Cosaint Tomhaltóirí</w:t>
            </w:r>
          </w:p>
        </w:tc>
        <w:tc>
          <w:tcPr>
            <w:tcW w:w="1560" w:type="dxa"/>
            <w:tcBorders>
              <w:top w:val="single" w:sz="4" w:space="0" w:color="auto"/>
              <w:left w:val="single" w:sz="4" w:space="0" w:color="auto"/>
              <w:bottom w:val="single" w:sz="4" w:space="0" w:color="auto"/>
              <w:right w:val="single" w:sz="4" w:space="0" w:color="auto"/>
            </w:tcBorders>
            <w:hideMark/>
          </w:tcPr>
          <w:p w14:paraId="65FE0D79" w14:textId="77777777" w:rsidR="00590BEF" w:rsidRPr="007202FA" w:rsidRDefault="000B4F21" w:rsidP="007202FA">
            <w:pPr>
              <w:jc w:val="right"/>
              <w:rPr>
                <w:sz w:val="20"/>
                <w:szCs w:val="20"/>
              </w:rPr>
            </w:pPr>
            <w:r>
              <w:rPr>
                <w:sz w:val="20"/>
                <w:szCs w:val="20"/>
                <w:lang w:val="ga"/>
              </w:rPr>
              <w:t>195</w:t>
            </w:r>
          </w:p>
        </w:tc>
        <w:tc>
          <w:tcPr>
            <w:tcW w:w="1559" w:type="dxa"/>
            <w:tcBorders>
              <w:top w:val="single" w:sz="4" w:space="0" w:color="auto"/>
              <w:left w:val="single" w:sz="4" w:space="0" w:color="auto"/>
              <w:bottom w:val="single" w:sz="4" w:space="0" w:color="auto"/>
              <w:right w:val="single" w:sz="4" w:space="0" w:color="auto"/>
            </w:tcBorders>
            <w:hideMark/>
          </w:tcPr>
          <w:p w14:paraId="5E57C0EF" w14:textId="77777777" w:rsidR="00590BEF" w:rsidRPr="007202FA" w:rsidRDefault="000B4F21" w:rsidP="007202FA">
            <w:pPr>
              <w:jc w:val="right"/>
              <w:rPr>
                <w:sz w:val="20"/>
                <w:szCs w:val="20"/>
              </w:rPr>
            </w:pPr>
            <w:r>
              <w:rPr>
                <w:sz w:val="20"/>
                <w:szCs w:val="20"/>
                <w:lang w:val="ga"/>
              </w:rPr>
              <w:t>14</w:t>
            </w:r>
          </w:p>
        </w:tc>
        <w:tc>
          <w:tcPr>
            <w:tcW w:w="1701" w:type="dxa"/>
            <w:tcBorders>
              <w:top w:val="single" w:sz="4" w:space="0" w:color="auto"/>
              <w:left w:val="single" w:sz="4" w:space="0" w:color="auto"/>
              <w:bottom w:val="single" w:sz="4" w:space="0" w:color="auto"/>
              <w:right w:val="single" w:sz="4" w:space="0" w:color="auto"/>
            </w:tcBorders>
            <w:hideMark/>
          </w:tcPr>
          <w:p w14:paraId="679172D4" w14:textId="77777777" w:rsidR="00590BEF" w:rsidRPr="007202FA" w:rsidRDefault="000B4F21" w:rsidP="007202FA">
            <w:pPr>
              <w:jc w:val="right"/>
              <w:rPr>
                <w:sz w:val="20"/>
                <w:szCs w:val="20"/>
              </w:rPr>
            </w:pPr>
            <w:r>
              <w:rPr>
                <w:sz w:val="20"/>
                <w:szCs w:val="20"/>
                <w:lang w:val="ga"/>
              </w:rPr>
              <w:t>7.2%</w:t>
            </w:r>
          </w:p>
        </w:tc>
        <w:tc>
          <w:tcPr>
            <w:tcW w:w="1559" w:type="dxa"/>
            <w:tcBorders>
              <w:top w:val="single" w:sz="4" w:space="0" w:color="auto"/>
              <w:left w:val="single" w:sz="4" w:space="0" w:color="auto"/>
              <w:bottom w:val="single" w:sz="4" w:space="0" w:color="auto"/>
              <w:right w:val="single" w:sz="4" w:space="0" w:color="auto"/>
            </w:tcBorders>
          </w:tcPr>
          <w:p w14:paraId="51EF1F55" w14:textId="77777777" w:rsidR="00590BEF" w:rsidRPr="007202FA" w:rsidRDefault="000B4F21" w:rsidP="007202FA">
            <w:pPr>
              <w:jc w:val="right"/>
              <w:rPr>
                <w:sz w:val="20"/>
                <w:szCs w:val="20"/>
              </w:rPr>
            </w:pPr>
            <w:r>
              <w:rPr>
                <w:sz w:val="20"/>
                <w:szCs w:val="20"/>
                <w:lang w:val="ga"/>
              </w:rPr>
              <w:t>231</w:t>
            </w:r>
          </w:p>
          <w:p w14:paraId="5D91E46E"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F54706" w14:textId="77777777" w:rsidR="00590BEF" w:rsidRPr="007202FA" w:rsidRDefault="000B4F21" w:rsidP="007202FA">
            <w:pPr>
              <w:jc w:val="right"/>
              <w:rPr>
                <w:sz w:val="20"/>
                <w:szCs w:val="20"/>
              </w:rPr>
            </w:pPr>
            <w:r>
              <w:rPr>
                <w:sz w:val="20"/>
                <w:szCs w:val="20"/>
                <w:lang w:val="ga"/>
              </w:rPr>
              <w:t>19</w:t>
            </w:r>
          </w:p>
          <w:p w14:paraId="1CB27CB6"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06670931" w14:textId="77777777" w:rsidR="00590BEF" w:rsidRPr="007202FA" w:rsidRDefault="000B4F21" w:rsidP="007202FA">
            <w:pPr>
              <w:jc w:val="right"/>
              <w:rPr>
                <w:sz w:val="20"/>
                <w:szCs w:val="20"/>
              </w:rPr>
            </w:pPr>
            <w:r>
              <w:rPr>
                <w:sz w:val="20"/>
                <w:szCs w:val="20"/>
                <w:lang w:val="ga"/>
              </w:rPr>
              <w:t>8.2%</w:t>
            </w:r>
          </w:p>
          <w:p w14:paraId="39D863AF" w14:textId="77777777" w:rsidR="00590BEF" w:rsidRPr="007202FA" w:rsidRDefault="00590BEF" w:rsidP="007202FA">
            <w:pPr>
              <w:jc w:val="right"/>
              <w:rPr>
                <w:sz w:val="20"/>
                <w:szCs w:val="20"/>
              </w:rPr>
            </w:pPr>
          </w:p>
        </w:tc>
      </w:tr>
      <w:tr w:rsidR="00F31303" w14:paraId="02DE818B"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4D26214D" w14:textId="77777777" w:rsidR="00590BEF" w:rsidRPr="007202FA" w:rsidRDefault="000B4F21" w:rsidP="007202FA">
            <w:pPr>
              <w:rPr>
                <w:sz w:val="20"/>
                <w:szCs w:val="20"/>
              </w:rPr>
            </w:pPr>
            <w:r>
              <w:rPr>
                <w:rFonts w:cs="Calibri"/>
                <w:color w:val="000000"/>
                <w:sz w:val="20"/>
                <w:szCs w:val="20"/>
                <w:lang w:val="ga"/>
              </w:rPr>
              <w:t>Fiontraíocht Éireann</w:t>
            </w:r>
          </w:p>
        </w:tc>
        <w:tc>
          <w:tcPr>
            <w:tcW w:w="1560" w:type="dxa"/>
            <w:tcBorders>
              <w:top w:val="single" w:sz="4" w:space="0" w:color="auto"/>
              <w:left w:val="single" w:sz="4" w:space="0" w:color="auto"/>
              <w:bottom w:val="single" w:sz="4" w:space="0" w:color="auto"/>
              <w:right w:val="single" w:sz="4" w:space="0" w:color="auto"/>
            </w:tcBorders>
            <w:hideMark/>
          </w:tcPr>
          <w:p w14:paraId="4AD86981" w14:textId="77777777" w:rsidR="00590BEF" w:rsidRPr="007202FA" w:rsidRDefault="000B4F21" w:rsidP="007202FA">
            <w:pPr>
              <w:jc w:val="right"/>
              <w:rPr>
                <w:sz w:val="20"/>
                <w:szCs w:val="20"/>
              </w:rPr>
            </w:pPr>
            <w:r>
              <w:rPr>
                <w:sz w:val="20"/>
                <w:szCs w:val="20"/>
                <w:lang w:val="ga"/>
              </w:rPr>
              <w:t>792</w:t>
            </w:r>
          </w:p>
        </w:tc>
        <w:tc>
          <w:tcPr>
            <w:tcW w:w="1559" w:type="dxa"/>
            <w:tcBorders>
              <w:top w:val="single" w:sz="4" w:space="0" w:color="auto"/>
              <w:left w:val="single" w:sz="4" w:space="0" w:color="auto"/>
              <w:bottom w:val="single" w:sz="4" w:space="0" w:color="auto"/>
              <w:right w:val="single" w:sz="4" w:space="0" w:color="auto"/>
            </w:tcBorders>
            <w:hideMark/>
          </w:tcPr>
          <w:p w14:paraId="6B544E3B" w14:textId="77777777" w:rsidR="00590BEF" w:rsidRPr="007202FA" w:rsidRDefault="000B4F21" w:rsidP="007202FA">
            <w:pPr>
              <w:jc w:val="right"/>
              <w:rPr>
                <w:sz w:val="20"/>
                <w:szCs w:val="20"/>
              </w:rPr>
            </w:pPr>
            <w:r>
              <w:rPr>
                <w:sz w:val="20"/>
                <w:szCs w:val="20"/>
                <w:lang w:val="ga"/>
              </w:rPr>
              <w:t>39</w:t>
            </w:r>
          </w:p>
        </w:tc>
        <w:tc>
          <w:tcPr>
            <w:tcW w:w="1701" w:type="dxa"/>
            <w:tcBorders>
              <w:top w:val="single" w:sz="4" w:space="0" w:color="auto"/>
              <w:left w:val="single" w:sz="4" w:space="0" w:color="auto"/>
              <w:bottom w:val="single" w:sz="4" w:space="0" w:color="auto"/>
              <w:right w:val="single" w:sz="4" w:space="0" w:color="auto"/>
            </w:tcBorders>
            <w:hideMark/>
          </w:tcPr>
          <w:p w14:paraId="1C4A1B81" w14:textId="77777777" w:rsidR="00590BEF" w:rsidRPr="007202FA" w:rsidRDefault="000B4F21" w:rsidP="007202FA">
            <w:pPr>
              <w:jc w:val="right"/>
              <w:rPr>
                <w:sz w:val="20"/>
                <w:szCs w:val="20"/>
              </w:rPr>
            </w:pPr>
            <w:r>
              <w:rPr>
                <w:sz w:val="20"/>
                <w:szCs w:val="20"/>
                <w:lang w:val="ga"/>
              </w:rPr>
              <w:t>4.9%</w:t>
            </w:r>
          </w:p>
        </w:tc>
        <w:tc>
          <w:tcPr>
            <w:tcW w:w="1559" w:type="dxa"/>
            <w:tcBorders>
              <w:top w:val="single" w:sz="4" w:space="0" w:color="auto"/>
              <w:left w:val="single" w:sz="4" w:space="0" w:color="auto"/>
              <w:bottom w:val="single" w:sz="4" w:space="0" w:color="auto"/>
              <w:right w:val="single" w:sz="4" w:space="0" w:color="auto"/>
            </w:tcBorders>
          </w:tcPr>
          <w:p w14:paraId="620DF742" w14:textId="77777777" w:rsidR="00590BEF" w:rsidRPr="007202FA" w:rsidRDefault="000B4F21" w:rsidP="007202FA">
            <w:pPr>
              <w:jc w:val="right"/>
              <w:rPr>
                <w:sz w:val="20"/>
                <w:szCs w:val="20"/>
              </w:rPr>
            </w:pPr>
            <w:r>
              <w:rPr>
                <w:sz w:val="20"/>
                <w:szCs w:val="20"/>
                <w:lang w:val="ga"/>
              </w:rPr>
              <w:t>697</w:t>
            </w:r>
          </w:p>
          <w:p w14:paraId="4CD37F2F"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8C3109A" w14:textId="77777777" w:rsidR="00590BEF" w:rsidRPr="007202FA" w:rsidRDefault="000B4F21" w:rsidP="007202FA">
            <w:pPr>
              <w:jc w:val="right"/>
              <w:rPr>
                <w:sz w:val="20"/>
                <w:szCs w:val="20"/>
              </w:rPr>
            </w:pPr>
            <w:r>
              <w:rPr>
                <w:sz w:val="20"/>
                <w:szCs w:val="20"/>
                <w:lang w:val="ga"/>
              </w:rPr>
              <w:t>34</w:t>
            </w:r>
          </w:p>
          <w:p w14:paraId="1E60DEAE"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054B80EC" w14:textId="77777777" w:rsidR="00590BEF" w:rsidRPr="007202FA" w:rsidRDefault="000B4F21" w:rsidP="007202FA">
            <w:pPr>
              <w:jc w:val="right"/>
              <w:rPr>
                <w:sz w:val="20"/>
                <w:szCs w:val="20"/>
              </w:rPr>
            </w:pPr>
            <w:r>
              <w:rPr>
                <w:sz w:val="20"/>
                <w:szCs w:val="20"/>
                <w:lang w:val="ga"/>
              </w:rPr>
              <w:t>4.9%</w:t>
            </w:r>
          </w:p>
          <w:p w14:paraId="3C9D8AB1" w14:textId="77777777" w:rsidR="00590BEF" w:rsidRPr="007202FA" w:rsidRDefault="00590BEF" w:rsidP="007202FA">
            <w:pPr>
              <w:jc w:val="right"/>
              <w:rPr>
                <w:sz w:val="20"/>
                <w:szCs w:val="20"/>
              </w:rPr>
            </w:pPr>
          </w:p>
        </w:tc>
      </w:tr>
      <w:tr w:rsidR="00F31303" w14:paraId="7A44EA9B"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2D1C71C9" w14:textId="77777777" w:rsidR="00590BEF" w:rsidRPr="00927F07" w:rsidRDefault="000B4F21" w:rsidP="007202FA">
            <w:pPr>
              <w:rPr>
                <w:sz w:val="19"/>
                <w:szCs w:val="19"/>
              </w:rPr>
            </w:pPr>
            <w:r w:rsidRPr="00927F07">
              <w:rPr>
                <w:rFonts w:cs="Calibri"/>
                <w:color w:val="000000"/>
                <w:sz w:val="19"/>
                <w:szCs w:val="19"/>
                <w:lang w:val="ga"/>
              </w:rPr>
              <w:t>An tÚdarás Sláinte agus Sábháilteachta</w:t>
            </w:r>
          </w:p>
        </w:tc>
        <w:tc>
          <w:tcPr>
            <w:tcW w:w="1560" w:type="dxa"/>
            <w:tcBorders>
              <w:top w:val="single" w:sz="4" w:space="0" w:color="auto"/>
              <w:left w:val="single" w:sz="4" w:space="0" w:color="auto"/>
              <w:bottom w:val="single" w:sz="4" w:space="0" w:color="auto"/>
              <w:right w:val="single" w:sz="4" w:space="0" w:color="auto"/>
            </w:tcBorders>
            <w:hideMark/>
          </w:tcPr>
          <w:p w14:paraId="37460004" w14:textId="77777777" w:rsidR="00590BEF" w:rsidRPr="007202FA" w:rsidRDefault="000B4F21" w:rsidP="007202FA">
            <w:pPr>
              <w:jc w:val="right"/>
              <w:rPr>
                <w:sz w:val="20"/>
                <w:szCs w:val="20"/>
              </w:rPr>
            </w:pPr>
            <w:r>
              <w:rPr>
                <w:sz w:val="20"/>
                <w:szCs w:val="20"/>
                <w:lang w:val="ga"/>
              </w:rPr>
              <w:t>260</w:t>
            </w:r>
          </w:p>
        </w:tc>
        <w:tc>
          <w:tcPr>
            <w:tcW w:w="1559" w:type="dxa"/>
            <w:tcBorders>
              <w:top w:val="single" w:sz="4" w:space="0" w:color="auto"/>
              <w:left w:val="single" w:sz="4" w:space="0" w:color="auto"/>
              <w:bottom w:val="single" w:sz="4" w:space="0" w:color="auto"/>
              <w:right w:val="single" w:sz="4" w:space="0" w:color="auto"/>
            </w:tcBorders>
            <w:hideMark/>
          </w:tcPr>
          <w:p w14:paraId="137B7BB0" w14:textId="77777777" w:rsidR="00590BEF" w:rsidRPr="007202FA" w:rsidRDefault="000B4F21" w:rsidP="007202FA">
            <w:pPr>
              <w:jc w:val="right"/>
              <w:rPr>
                <w:sz w:val="20"/>
                <w:szCs w:val="20"/>
              </w:rPr>
            </w:pPr>
            <w:r>
              <w:rPr>
                <w:sz w:val="20"/>
                <w:szCs w:val="20"/>
                <w:lang w:val="ga"/>
              </w:rPr>
              <w:t>24</w:t>
            </w:r>
          </w:p>
        </w:tc>
        <w:tc>
          <w:tcPr>
            <w:tcW w:w="1701" w:type="dxa"/>
            <w:tcBorders>
              <w:top w:val="single" w:sz="4" w:space="0" w:color="auto"/>
              <w:left w:val="single" w:sz="4" w:space="0" w:color="auto"/>
              <w:bottom w:val="single" w:sz="4" w:space="0" w:color="auto"/>
              <w:right w:val="single" w:sz="4" w:space="0" w:color="auto"/>
            </w:tcBorders>
            <w:hideMark/>
          </w:tcPr>
          <w:p w14:paraId="0344C770" w14:textId="77777777" w:rsidR="00590BEF" w:rsidRPr="007202FA" w:rsidRDefault="000B4F21" w:rsidP="007202FA">
            <w:pPr>
              <w:jc w:val="right"/>
              <w:rPr>
                <w:sz w:val="20"/>
                <w:szCs w:val="20"/>
              </w:rPr>
            </w:pPr>
            <w:r>
              <w:rPr>
                <w:sz w:val="20"/>
                <w:szCs w:val="20"/>
                <w:lang w:val="ga"/>
              </w:rPr>
              <w:t>9.2%</w:t>
            </w:r>
          </w:p>
        </w:tc>
        <w:tc>
          <w:tcPr>
            <w:tcW w:w="1559" w:type="dxa"/>
            <w:tcBorders>
              <w:top w:val="single" w:sz="4" w:space="0" w:color="auto"/>
              <w:left w:val="single" w:sz="4" w:space="0" w:color="auto"/>
              <w:bottom w:val="single" w:sz="4" w:space="0" w:color="auto"/>
              <w:right w:val="single" w:sz="4" w:space="0" w:color="auto"/>
            </w:tcBorders>
          </w:tcPr>
          <w:p w14:paraId="00A3C585" w14:textId="77777777" w:rsidR="00590BEF" w:rsidRPr="007202FA" w:rsidRDefault="000B4F21" w:rsidP="007202FA">
            <w:pPr>
              <w:jc w:val="right"/>
              <w:rPr>
                <w:sz w:val="20"/>
                <w:szCs w:val="20"/>
              </w:rPr>
            </w:pPr>
            <w:r>
              <w:rPr>
                <w:sz w:val="20"/>
                <w:szCs w:val="20"/>
                <w:lang w:val="ga"/>
              </w:rPr>
              <w:t>275</w:t>
            </w:r>
          </w:p>
          <w:p w14:paraId="25DD2AC7"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0BEEC41" w14:textId="77777777" w:rsidR="00590BEF" w:rsidRPr="007202FA" w:rsidRDefault="000B4F21" w:rsidP="007202FA">
            <w:pPr>
              <w:jc w:val="right"/>
              <w:rPr>
                <w:sz w:val="20"/>
                <w:szCs w:val="20"/>
              </w:rPr>
            </w:pPr>
            <w:r>
              <w:rPr>
                <w:sz w:val="20"/>
                <w:szCs w:val="20"/>
                <w:lang w:val="ga"/>
              </w:rPr>
              <w:t>24</w:t>
            </w:r>
          </w:p>
          <w:p w14:paraId="277A49C0"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196C1B90" w14:textId="77777777" w:rsidR="00590BEF" w:rsidRPr="007202FA" w:rsidRDefault="000B4F21" w:rsidP="007202FA">
            <w:pPr>
              <w:jc w:val="right"/>
              <w:rPr>
                <w:sz w:val="20"/>
                <w:szCs w:val="20"/>
              </w:rPr>
            </w:pPr>
            <w:r>
              <w:rPr>
                <w:sz w:val="20"/>
                <w:szCs w:val="20"/>
                <w:lang w:val="ga"/>
              </w:rPr>
              <w:t>8.7%</w:t>
            </w:r>
          </w:p>
          <w:p w14:paraId="636A261C" w14:textId="77777777" w:rsidR="00590BEF" w:rsidRPr="007202FA" w:rsidRDefault="00590BEF" w:rsidP="007202FA">
            <w:pPr>
              <w:jc w:val="right"/>
              <w:rPr>
                <w:sz w:val="20"/>
                <w:szCs w:val="20"/>
              </w:rPr>
            </w:pPr>
          </w:p>
        </w:tc>
      </w:tr>
      <w:tr w:rsidR="00F31303" w14:paraId="3718E004" w14:textId="77777777" w:rsidTr="00A23E52">
        <w:trPr>
          <w:trHeight w:val="87"/>
        </w:trPr>
        <w:tc>
          <w:tcPr>
            <w:tcW w:w="1696" w:type="dxa"/>
            <w:tcBorders>
              <w:top w:val="single" w:sz="4" w:space="0" w:color="auto"/>
              <w:left w:val="single" w:sz="4" w:space="0" w:color="auto"/>
              <w:bottom w:val="single" w:sz="4" w:space="0" w:color="auto"/>
              <w:right w:val="single" w:sz="4" w:space="0" w:color="auto"/>
            </w:tcBorders>
          </w:tcPr>
          <w:p w14:paraId="40E92A27" w14:textId="164A7A9B" w:rsidR="00590BEF" w:rsidRPr="007202FA" w:rsidRDefault="000B4F21" w:rsidP="007202FA">
            <w:pPr>
              <w:rPr>
                <w:sz w:val="20"/>
                <w:szCs w:val="20"/>
              </w:rPr>
            </w:pPr>
            <w:r>
              <w:rPr>
                <w:sz w:val="20"/>
                <w:szCs w:val="20"/>
                <w:lang w:val="ga"/>
              </w:rPr>
              <w:t>GFT Éireann</w:t>
            </w:r>
          </w:p>
        </w:tc>
        <w:tc>
          <w:tcPr>
            <w:tcW w:w="1560" w:type="dxa"/>
            <w:tcBorders>
              <w:top w:val="single" w:sz="4" w:space="0" w:color="auto"/>
              <w:left w:val="single" w:sz="4" w:space="0" w:color="auto"/>
              <w:bottom w:val="single" w:sz="4" w:space="0" w:color="auto"/>
              <w:right w:val="single" w:sz="4" w:space="0" w:color="auto"/>
            </w:tcBorders>
          </w:tcPr>
          <w:p w14:paraId="4C02FF19" w14:textId="3E08BA71" w:rsidR="00590BEF" w:rsidRPr="007202FA" w:rsidRDefault="000B4F21" w:rsidP="007202FA">
            <w:pPr>
              <w:jc w:val="right"/>
              <w:rPr>
                <w:sz w:val="20"/>
                <w:szCs w:val="20"/>
              </w:rPr>
            </w:pPr>
            <w:r>
              <w:rPr>
                <w:sz w:val="20"/>
                <w:szCs w:val="20"/>
                <w:lang w:val="ga"/>
              </w:rPr>
              <w:t>360</w:t>
            </w:r>
          </w:p>
        </w:tc>
        <w:tc>
          <w:tcPr>
            <w:tcW w:w="1559" w:type="dxa"/>
            <w:tcBorders>
              <w:top w:val="single" w:sz="4" w:space="0" w:color="auto"/>
              <w:left w:val="single" w:sz="4" w:space="0" w:color="auto"/>
              <w:bottom w:val="single" w:sz="4" w:space="0" w:color="auto"/>
              <w:right w:val="single" w:sz="4" w:space="0" w:color="auto"/>
            </w:tcBorders>
          </w:tcPr>
          <w:p w14:paraId="2A012F43" w14:textId="4D5E08AE" w:rsidR="00590BEF" w:rsidRPr="007202FA" w:rsidRDefault="000B4F21" w:rsidP="007202FA">
            <w:pPr>
              <w:jc w:val="right"/>
              <w:rPr>
                <w:sz w:val="20"/>
                <w:szCs w:val="20"/>
              </w:rPr>
            </w:pPr>
            <w:r>
              <w:rPr>
                <w:sz w:val="20"/>
                <w:szCs w:val="20"/>
                <w:lang w:val="ga"/>
              </w:rPr>
              <w:t>20</w:t>
            </w:r>
          </w:p>
        </w:tc>
        <w:tc>
          <w:tcPr>
            <w:tcW w:w="1701" w:type="dxa"/>
            <w:tcBorders>
              <w:top w:val="single" w:sz="4" w:space="0" w:color="auto"/>
              <w:left w:val="single" w:sz="4" w:space="0" w:color="auto"/>
              <w:bottom w:val="single" w:sz="4" w:space="0" w:color="auto"/>
              <w:right w:val="single" w:sz="4" w:space="0" w:color="auto"/>
            </w:tcBorders>
          </w:tcPr>
          <w:p w14:paraId="0A7ED444" w14:textId="4BAE9D13" w:rsidR="00590BEF" w:rsidRPr="007202FA" w:rsidRDefault="000B4F21" w:rsidP="007202FA">
            <w:pPr>
              <w:jc w:val="right"/>
              <w:rPr>
                <w:sz w:val="20"/>
                <w:szCs w:val="20"/>
              </w:rPr>
            </w:pPr>
            <w:r>
              <w:rPr>
                <w:sz w:val="20"/>
                <w:szCs w:val="20"/>
                <w:lang w:val="ga"/>
              </w:rPr>
              <w:t>5.6%</w:t>
            </w:r>
          </w:p>
        </w:tc>
        <w:tc>
          <w:tcPr>
            <w:tcW w:w="1559" w:type="dxa"/>
            <w:tcBorders>
              <w:top w:val="single" w:sz="4" w:space="0" w:color="auto"/>
              <w:left w:val="single" w:sz="4" w:space="0" w:color="auto"/>
              <w:bottom w:val="single" w:sz="4" w:space="0" w:color="auto"/>
              <w:right w:val="single" w:sz="4" w:space="0" w:color="auto"/>
            </w:tcBorders>
          </w:tcPr>
          <w:p w14:paraId="6526D4F1" w14:textId="4AA672DF" w:rsidR="00590BEF" w:rsidRPr="007202FA" w:rsidRDefault="000B4F21" w:rsidP="007202FA">
            <w:pPr>
              <w:jc w:val="right"/>
              <w:rPr>
                <w:sz w:val="20"/>
                <w:szCs w:val="20"/>
              </w:rPr>
            </w:pPr>
            <w:r>
              <w:rPr>
                <w:sz w:val="20"/>
                <w:szCs w:val="20"/>
                <w:lang w:val="ga"/>
              </w:rPr>
              <w:t>395</w:t>
            </w:r>
          </w:p>
        </w:tc>
        <w:tc>
          <w:tcPr>
            <w:tcW w:w="1701" w:type="dxa"/>
            <w:tcBorders>
              <w:top w:val="single" w:sz="4" w:space="0" w:color="auto"/>
              <w:left w:val="single" w:sz="4" w:space="0" w:color="auto"/>
              <w:bottom w:val="single" w:sz="4" w:space="0" w:color="auto"/>
              <w:right w:val="single" w:sz="4" w:space="0" w:color="auto"/>
            </w:tcBorders>
          </w:tcPr>
          <w:p w14:paraId="0367934E" w14:textId="66BF896D" w:rsidR="00590BEF" w:rsidRPr="007202FA" w:rsidRDefault="000B4F21" w:rsidP="007202FA">
            <w:pPr>
              <w:jc w:val="right"/>
              <w:rPr>
                <w:sz w:val="20"/>
                <w:szCs w:val="20"/>
              </w:rPr>
            </w:pPr>
            <w:r>
              <w:rPr>
                <w:sz w:val="20"/>
                <w:szCs w:val="20"/>
                <w:lang w:val="ga"/>
              </w:rPr>
              <w:t>20</w:t>
            </w:r>
          </w:p>
        </w:tc>
        <w:tc>
          <w:tcPr>
            <w:tcW w:w="1564" w:type="dxa"/>
            <w:tcBorders>
              <w:top w:val="single" w:sz="4" w:space="0" w:color="auto"/>
              <w:left w:val="single" w:sz="4" w:space="0" w:color="auto"/>
              <w:bottom w:val="single" w:sz="4" w:space="0" w:color="auto"/>
              <w:right w:val="single" w:sz="4" w:space="0" w:color="auto"/>
            </w:tcBorders>
          </w:tcPr>
          <w:p w14:paraId="622EC3C2" w14:textId="11445133" w:rsidR="00590BEF" w:rsidRPr="007202FA" w:rsidRDefault="000B4F21" w:rsidP="007202FA">
            <w:pPr>
              <w:jc w:val="right"/>
              <w:rPr>
                <w:sz w:val="20"/>
                <w:szCs w:val="20"/>
              </w:rPr>
            </w:pPr>
            <w:r>
              <w:rPr>
                <w:sz w:val="20"/>
                <w:szCs w:val="20"/>
                <w:lang w:val="ga"/>
              </w:rPr>
              <w:t>5.1%</w:t>
            </w:r>
          </w:p>
        </w:tc>
      </w:tr>
      <w:tr w:rsidR="00F31303" w14:paraId="3A50E9E2"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5056BA91" w14:textId="77777777" w:rsidR="00590BEF" w:rsidRPr="007202FA" w:rsidRDefault="000B4F21" w:rsidP="007202FA">
            <w:pPr>
              <w:rPr>
                <w:sz w:val="20"/>
                <w:szCs w:val="20"/>
              </w:rPr>
            </w:pPr>
            <w:r>
              <w:rPr>
                <w:rFonts w:cs="Calibri"/>
                <w:color w:val="000000"/>
                <w:sz w:val="20"/>
                <w:szCs w:val="20"/>
                <w:lang w:val="ga"/>
              </w:rPr>
              <w:t>Idir-Thrádáil Éireann</w:t>
            </w:r>
          </w:p>
        </w:tc>
        <w:tc>
          <w:tcPr>
            <w:tcW w:w="1560" w:type="dxa"/>
            <w:tcBorders>
              <w:top w:val="single" w:sz="4" w:space="0" w:color="auto"/>
              <w:left w:val="single" w:sz="4" w:space="0" w:color="auto"/>
              <w:bottom w:val="single" w:sz="4" w:space="0" w:color="auto"/>
              <w:right w:val="single" w:sz="4" w:space="0" w:color="auto"/>
            </w:tcBorders>
            <w:hideMark/>
          </w:tcPr>
          <w:p w14:paraId="2A402099" w14:textId="77777777" w:rsidR="00590BEF" w:rsidRPr="007202FA" w:rsidRDefault="000B4F21" w:rsidP="007202FA">
            <w:pPr>
              <w:jc w:val="right"/>
              <w:rPr>
                <w:sz w:val="20"/>
                <w:szCs w:val="20"/>
              </w:rPr>
            </w:pPr>
            <w:r>
              <w:rPr>
                <w:sz w:val="20"/>
                <w:szCs w:val="20"/>
                <w:lang w:val="ga"/>
              </w:rPr>
              <w:t>52</w:t>
            </w:r>
          </w:p>
        </w:tc>
        <w:tc>
          <w:tcPr>
            <w:tcW w:w="1559" w:type="dxa"/>
            <w:tcBorders>
              <w:top w:val="single" w:sz="4" w:space="0" w:color="auto"/>
              <w:left w:val="single" w:sz="4" w:space="0" w:color="auto"/>
              <w:bottom w:val="single" w:sz="4" w:space="0" w:color="auto"/>
              <w:right w:val="single" w:sz="4" w:space="0" w:color="auto"/>
            </w:tcBorders>
            <w:hideMark/>
          </w:tcPr>
          <w:p w14:paraId="792F51D7" w14:textId="77777777" w:rsidR="00590BEF" w:rsidRPr="007202FA" w:rsidRDefault="000B4F21" w:rsidP="007202FA">
            <w:pPr>
              <w:jc w:val="right"/>
              <w:rPr>
                <w:sz w:val="20"/>
                <w:szCs w:val="20"/>
              </w:rPr>
            </w:pPr>
            <w:r>
              <w:rPr>
                <w:sz w:val="20"/>
                <w:szCs w:val="20"/>
                <w:lang w:val="ga"/>
              </w:rPr>
              <w:t>6</w:t>
            </w:r>
          </w:p>
        </w:tc>
        <w:tc>
          <w:tcPr>
            <w:tcW w:w="1701" w:type="dxa"/>
            <w:tcBorders>
              <w:top w:val="single" w:sz="4" w:space="0" w:color="auto"/>
              <w:left w:val="single" w:sz="4" w:space="0" w:color="auto"/>
              <w:bottom w:val="single" w:sz="4" w:space="0" w:color="auto"/>
              <w:right w:val="single" w:sz="4" w:space="0" w:color="auto"/>
            </w:tcBorders>
            <w:hideMark/>
          </w:tcPr>
          <w:p w14:paraId="27639127" w14:textId="77777777" w:rsidR="00590BEF" w:rsidRPr="007202FA" w:rsidRDefault="000B4F21" w:rsidP="007202FA">
            <w:pPr>
              <w:jc w:val="right"/>
              <w:rPr>
                <w:sz w:val="20"/>
                <w:szCs w:val="20"/>
              </w:rPr>
            </w:pPr>
            <w:r>
              <w:rPr>
                <w:sz w:val="20"/>
                <w:szCs w:val="20"/>
                <w:lang w:val="ga"/>
              </w:rPr>
              <w:t>11.5%</w:t>
            </w:r>
          </w:p>
        </w:tc>
        <w:tc>
          <w:tcPr>
            <w:tcW w:w="1559" w:type="dxa"/>
            <w:tcBorders>
              <w:top w:val="single" w:sz="4" w:space="0" w:color="auto"/>
              <w:left w:val="single" w:sz="4" w:space="0" w:color="auto"/>
              <w:bottom w:val="single" w:sz="4" w:space="0" w:color="auto"/>
              <w:right w:val="single" w:sz="4" w:space="0" w:color="auto"/>
            </w:tcBorders>
          </w:tcPr>
          <w:p w14:paraId="31C45C50" w14:textId="77777777" w:rsidR="00590BEF" w:rsidRPr="007202FA" w:rsidRDefault="000B4F21" w:rsidP="007202FA">
            <w:pPr>
              <w:jc w:val="right"/>
              <w:rPr>
                <w:sz w:val="20"/>
                <w:szCs w:val="20"/>
              </w:rPr>
            </w:pPr>
            <w:r>
              <w:rPr>
                <w:sz w:val="20"/>
                <w:szCs w:val="20"/>
                <w:lang w:val="ga"/>
              </w:rPr>
              <w:t>60</w:t>
            </w:r>
          </w:p>
          <w:p w14:paraId="5516260E"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DBEBB61" w14:textId="77777777" w:rsidR="00590BEF" w:rsidRPr="007202FA" w:rsidRDefault="000B4F21" w:rsidP="007202FA">
            <w:pPr>
              <w:jc w:val="right"/>
              <w:rPr>
                <w:sz w:val="20"/>
                <w:szCs w:val="20"/>
              </w:rPr>
            </w:pPr>
            <w:r>
              <w:rPr>
                <w:sz w:val="20"/>
                <w:szCs w:val="20"/>
                <w:lang w:val="ga"/>
              </w:rPr>
              <w:t>10</w:t>
            </w:r>
          </w:p>
          <w:p w14:paraId="29275F57"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6681640B" w14:textId="77777777" w:rsidR="00590BEF" w:rsidRPr="007202FA" w:rsidRDefault="000B4F21" w:rsidP="007202FA">
            <w:pPr>
              <w:jc w:val="right"/>
              <w:rPr>
                <w:sz w:val="20"/>
                <w:szCs w:val="20"/>
              </w:rPr>
            </w:pPr>
            <w:r>
              <w:rPr>
                <w:sz w:val="20"/>
                <w:szCs w:val="20"/>
                <w:lang w:val="ga"/>
              </w:rPr>
              <w:t>16.7%</w:t>
            </w:r>
          </w:p>
          <w:p w14:paraId="0CE7F93A" w14:textId="77777777" w:rsidR="00590BEF" w:rsidRPr="007202FA" w:rsidRDefault="00590BEF" w:rsidP="007202FA">
            <w:pPr>
              <w:jc w:val="right"/>
              <w:rPr>
                <w:sz w:val="20"/>
                <w:szCs w:val="20"/>
              </w:rPr>
            </w:pPr>
          </w:p>
        </w:tc>
      </w:tr>
      <w:tr w:rsidR="00F31303" w14:paraId="7EF6CF00"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4D294556" w14:textId="77777777" w:rsidR="00590BEF" w:rsidRPr="007202FA" w:rsidRDefault="000B4F21" w:rsidP="007202FA">
            <w:pPr>
              <w:rPr>
                <w:sz w:val="20"/>
                <w:szCs w:val="20"/>
              </w:rPr>
            </w:pPr>
            <w:r>
              <w:rPr>
                <w:rFonts w:cs="Calibri"/>
                <w:color w:val="000000"/>
                <w:sz w:val="20"/>
                <w:szCs w:val="20"/>
                <w:lang w:val="ga"/>
              </w:rPr>
              <w:t>An tÚdarás um Chaighdeáin Náisiúnta na hÉireann</w:t>
            </w:r>
          </w:p>
        </w:tc>
        <w:tc>
          <w:tcPr>
            <w:tcW w:w="1560" w:type="dxa"/>
            <w:tcBorders>
              <w:top w:val="single" w:sz="4" w:space="0" w:color="auto"/>
              <w:left w:val="single" w:sz="4" w:space="0" w:color="auto"/>
              <w:bottom w:val="single" w:sz="4" w:space="0" w:color="auto"/>
              <w:right w:val="single" w:sz="4" w:space="0" w:color="auto"/>
            </w:tcBorders>
            <w:hideMark/>
          </w:tcPr>
          <w:p w14:paraId="4355E3F6" w14:textId="77777777" w:rsidR="00590BEF" w:rsidRPr="007202FA" w:rsidRDefault="000B4F21" w:rsidP="007202FA">
            <w:pPr>
              <w:jc w:val="right"/>
              <w:rPr>
                <w:sz w:val="20"/>
                <w:szCs w:val="20"/>
              </w:rPr>
            </w:pPr>
            <w:r>
              <w:rPr>
                <w:sz w:val="20"/>
                <w:szCs w:val="20"/>
                <w:lang w:val="ga"/>
              </w:rPr>
              <w:t>201</w:t>
            </w:r>
          </w:p>
        </w:tc>
        <w:tc>
          <w:tcPr>
            <w:tcW w:w="1559" w:type="dxa"/>
            <w:tcBorders>
              <w:top w:val="single" w:sz="4" w:space="0" w:color="auto"/>
              <w:left w:val="single" w:sz="4" w:space="0" w:color="auto"/>
              <w:bottom w:val="single" w:sz="4" w:space="0" w:color="auto"/>
              <w:right w:val="single" w:sz="4" w:space="0" w:color="auto"/>
            </w:tcBorders>
            <w:hideMark/>
          </w:tcPr>
          <w:p w14:paraId="51172789" w14:textId="77777777" w:rsidR="00590BEF" w:rsidRPr="007202FA" w:rsidRDefault="000B4F21" w:rsidP="007202FA">
            <w:pPr>
              <w:jc w:val="right"/>
              <w:rPr>
                <w:sz w:val="20"/>
                <w:szCs w:val="20"/>
              </w:rPr>
            </w:pPr>
            <w:r>
              <w:rPr>
                <w:sz w:val="20"/>
                <w:szCs w:val="20"/>
                <w:lang w:val="ga"/>
              </w:rPr>
              <w:t>12</w:t>
            </w:r>
          </w:p>
        </w:tc>
        <w:tc>
          <w:tcPr>
            <w:tcW w:w="1701" w:type="dxa"/>
            <w:tcBorders>
              <w:top w:val="single" w:sz="4" w:space="0" w:color="auto"/>
              <w:left w:val="single" w:sz="4" w:space="0" w:color="auto"/>
              <w:bottom w:val="single" w:sz="4" w:space="0" w:color="auto"/>
              <w:right w:val="single" w:sz="4" w:space="0" w:color="auto"/>
            </w:tcBorders>
            <w:hideMark/>
          </w:tcPr>
          <w:p w14:paraId="0054A471" w14:textId="77777777" w:rsidR="00590BEF" w:rsidRPr="007202FA" w:rsidRDefault="000B4F21" w:rsidP="007202FA">
            <w:pPr>
              <w:jc w:val="right"/>
              <w:rPr>
                <w:sz w:val="20"/>
                <w:szCs w:val="20"/>
              </w:rPr>
            </w:pPr>
            <w:r>
              <w:rPr>
                <w:sz w:val="20"/>
                <w:szCs w:val="20"/>
                <w:lang w:val="ga"/>
              </w:rPr>
              <w:t>6.0%</w:t>
            </w:r>
          </w:p>
        </w:tc>
        <w:tc>
          <w:tcPr>
            <w:tcW w:w="1559" w:type="dxa"/>
            <w:tcBorders>
              <w:top w:val="single" w:sz="4" w:space="0" w:color="auto"/>
              <w:left w:val="single" w:sz="4" w:space="0" w:color="auto"/>
              <w:bottom w:val="single" w:sz="4" w:space="0" w:color="auto"/>
              <w:right w:val="single" w:sz="4" w:space="0" w:color="auto"/>
            </w:tcBorders>
          </w:tcPr>
          <w:p w14:paraId="4A352538" w14:textId="77777777" w:rsidR="00590BEF" w:rsidRPr="007202FA" w:rsidRDefault="000B4F21" w:rsidP="007202FA">
            <w:pPr>
              <w:jc w:val="right"/>
              <w:rPr>
                <w:sz w:val="20"/>
                <w:szCs w:val="20"/>
              </w:rPr>
            </w:pPr>
            <w:r>
              <w:rPr>
                <w:sz w:val="20"/>
                <w:szCs w:val="20"/>
                <w:lang w:val="ga"/>
              </w:rPr>
              <w:t>224</w:t>
            </w:r>
          </w:p>
          <w:p w14:paraId="73E1A896"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30D8984" w14:textId="77777777" w:rsidR="00590BEF" w:rsidRPr="007202FA" w:rsidRDefault="000B4F21" w:rsidP="007202FA">
            <w:pPr>
              <w:jc w:val="right"/>
              <w:rPr>
                <w:sz w:val="20"/>
                <w:szCs w:val="20"/>
              </w:rPr>
            </w:pPr>
            <w:r>
              <w:rPr>
                <w:sz w:val="20"/>
                <w:szCs w:val="20"/>
                <w:lang w:val="ga"/>
              </w:rPr>
              <w:t>17</w:t>
            </w:r>
          </w:p>
          <w:p w14:paraId="29614CB8"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14C8F86D" w14:textId="77777777" w:rsidR="00590BEF" w:rsidRPr="007202FA" w:rsidRDefault="000B4F21" w:rsidP="007202FA">
            <w:pPr>
              <w:jc w:val="right"/>
              <w:rPr>
                <w:sz w:val="20"/>
                <w:szCs w:val="20"/>
              </w:rPr>
            </w:pPr>
            <w:r>
              <w:rPr>
                <w:sz w:val="20"/>
                <w:szCs w:val="20"/>
                <w:lang w:val="ga"/>
              </w:rPr>
              <w:t>7.6%</w:t>
            </w:r>
          </w:p>
          <w:p w14:paraId="7CEF2F4E" w14:textId="77777777" w:rsidR="00590BEF" w:rsidRPr="007202FA" w:rsidRDefault="00590BEF" w:rsidP="007202FA">
            <w:pPr>
              <w:jc w:val="right"/>
              <w:rPr>
                <w:sz w:val="20"/>
                <w:szCs w:val="20"/>
              </w:rPr>
            </w:pPr>
          </w:p>
        </w:tc>
      </w:tr>
      <w:tr w:rsidR="00F31303" w14:paraId="41F1C434"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5D702304" w14:textId="77777777" w:rsidR="00590BEF" w:rsidRPr="005524D6" w:rsidRDefault="000B4F21" w:rsidP="007202FA">
            <w:pPr>
              <w:rPr>
                <w:sz w:val="20"/>
                <w:szCs w:val="20"/>
                <w:lang w:val="de-DE"/>
              </w:rPr>
            </w:pPr>
            <w:r>
              <w:rPr>
                <w:rFonts w:cs="Calibri"/>
                <w:color w:val="000000"/>
                <w:sz w:val="20"/>
                <w:szCs w:val="20"/>
                <w:lang w:val="ga"/>
              </w:rPr>
              <w:t>An Bord um Réiteach Díobhálacha</w:t>
            </w:r>
            <w:r>
              <w:rPr>
                <w:rStyle w:val="FootnoteReference"/>
                <w:rFonts w:cs="Calibri"/>
                <w:color w:val="000000"/>
                <w:sz w:val="20"/>
                <w:szCs w:val="20"/>
                <w:lang w:val="ga"/>
              </w:rPr>
              <w:footnoteReference w:id="11"/>
            </w:r>
            <w:r>
              <w:rPr>
                <w:rFonts w:cs="Calibri"/>
                <w:color w:val="000000"/>
                <w:sz w:val="20"/>
                <w:szCs w:val="20"/>
                <w:lang w:val="ga"/>
              </w:rPr>
              <w:t xml:space="preserve"> </w:t>
            </w:r>
          </w:p>
        </w:tc>
        <w:tc>
          <w:tcPr>
            <w:tcW w:w="1560" w:type="dxa"/>
            <w:tcBorders>
              <w:top w:val="single" w:sz="4" w:space="0" w:color="auto"/>
              <w:left w:val="single" w:sz="4" w:space="0" w:color="auto"/>
              <w:bottom w:val="single" w:sz="4" w:space="0" w:color="auto"/>
              <w:right w:val="single" w:sz="4" w:space="0" w:color="auto"/>
            </w:tcBorders>
            <w:hideMark/>
          </w:tcPr>
          <w:p w14:paraId="31FC3F93" w14:textId="77777777" w:rsidR="00590BEF" w:rsidRPr="007202FA" w:rsidRDefault="000B4F21" w:rsidP="007202FA">
            <w:pPr>
              <w:jc w:val="right"/>
              <w:rPr>
                <w:sz w:val="20"/>
                <w:szCs w:val="20"/>
              </w:rPr>
            </w:pPr>
            <w:r>
              <w:rPr>
                <w:sz w:val="20"/>
                <w:szCs w:val="20"/>
                <w:lang w:val="ga"/>
              </w:rPr>
              <w:t>74</w:t>
            </w:r>
          </w:p>
        </w:tc>
        <w:tc>
          <w:tcPr>
            <w:tcW w:w="1559" w:type="dxa"/>
            <w:tcBorders>
              <w:top w:val="single" w:sz="4" w:space="0" w:color="auto"/>
              <w:left w:val="single" w:sz="4" w:space="0" w:color="auto"/>
              <w:bottom w:val="single" w:sz="4" w:space="0" w:color="auto"/>
              <w:right w:val="single" w:sz="4" w:space="0" w:color="auto"/>
            </w:tcBorders>
            <w:hideMark/>
          </w:tcPr>
          <w:p w14:paraId="351FAC31" w14:textId="77777777" w:rsidR="00590BEF" w:rsidRPr="007202FA" w:rsidRDefault="000B4F21" w:rsidP="007202FA">
            <w:pPr>
              <w:jc w:val="right"/>
              <w:rPr>
                <w:sz w:val="20"/>
                <w:szCs w:val="20"/>
              </w:rPr>
            </w:pPr>
            <w:r>
              <w:rPr>
                <w:sz w:val="20"/>
                <w:szCs w:val="20"/>
                <w:lang w:val="ga"/>
              </w:rPr>
              <w:t>6</w:t>
            </w:r>
          </w:p>
        </w:tc>
        <w:tc>
          <w:tcPr>
            <w:tcW w:w="1701" w:type="dxa"/>
            <w:tcBorders>
              <w:top w:val="single" w:sz="4" w:space="0" w:color="auto"/>
              <w:left w:val="single" w:sz="4" w:space="0" w:color="auto"/>
              <w:bottom w:val="single" w:sz="4" w:space="0" w:color="auto"/>
              <w:right w:val="single" w:sz="4" w:space="0" w:color="auto"/>
            </w:tcBorders>
            <w:hideMark/>
          </w:tcPr>
          <w:p w14:paraId="1B1D99B6" w14:textId="77777777" w:rsidR="00590BEF" w:rsidRPr="007202FA" w:rsidRDefault="000B4F21" w:rsidP="007202FA">
            <w:pPr>
              <w:jc w:val="right"/>
              <w:rPr>
                <w:sz w:val="20"/>
                <w:szCs w:val="20"/>
              </w:rPr>
            </w:pPr>
            <w:r>
              <w:rPr>
                <w:sz w:val="20"/>
                <w:szCs w:val="20"/>
                <w:lang w:val="ga"/>
              </w:rPr>
              <w:t>8.1%</w:t>
            </w:r>
          </w:p>
        </w:tc>
        <w:tc>
          <w:tcPr>
            <w:tcW w:w="1559" w:type="dxa"/>
            <w:tcBorders>
              <w:top w:val="single" w:sz="4" w:space="0" w:color="auto"/>
              <w:left w:val="single" w:sz="4" w:space="0" w:color="auto"/>
              <w:bottom w:val="single" w:sz="4" w:space="0" w:color="auto"/>
              <w:right w:val="single" w:sz="4" w:space="0" w:color="auto"/>
            </w:tcBorders>
          </w:tcPr>
          <w:p w14:paraId="599EA0A6" w14:textId="77777777" w:rsidR="00590BEF" w:rsidRPr="007202FA" w:rsidRDefault="000B4F21" w:rsidP="007202FA">
            <w:pPr>
              <w:jc w:val="right"/>
              <w:rPr>
                <w:sz w:val="20"/>
                <w:szCs w:val="20"/>
              </w:rPr>
            </w:pPr>
            <w:r>
              <w:rPr>
                <w:sz w:val="20"/>
                <w:szCs w:val="20"/>
                <w:lang w:val="ga"/>
              </w:rPr>
              <w:t>77</w:t>
            </w:r>
          </w:p>
          <w:p w14:paraId="3585EFB9"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4A69DD" w14:textId="77777777" w:rsidR="00590BEF" w:rsidRPr="007202FA" w:rsidRDefault="000B4F21" w:rsidP="007202FA">
            <w:pPr>
              <w:jc w:val="right"/>
              <w:rPr>
                <w:sz w:val="20"/>
                <w:szCs w:val="20"/>
              </w:rPr>
            </w:pPr>
            <w:r>
              <w:rPr>
                <w:sz w:val="20"/>
                <w:szCs w:val="20"/>
                <w:lang w:val="ga"/>
              </w:rPr>
              <w:t>8</w:t>
            </w:r>
          </w:p>
          <w:p w14:paraId="37CC4570" w14:textId="77777777" w:rsidR="00590BEF" w:rsidRPr="007202FA" w:rsidRDefault="00590BEF" w:rsidP="007202FA">
            <w:pPr>
              <w:jc w:val="right"/>
              <w:rPr>
                <w:sz w:val="20"/>
                <w:szCs w:val="20"/>
              </w:rPr>
            </w:pPr>
          </w:p>
        </w:tc>
        <w:tc>
          <w:tcPr>
            <w:tcW w:w="1564" w:type="dxa"/>
            <w:tcBorders>
              <w:top w:val="single" w:sz="4" w:space="0" w:color="auto"/>
              <w:left w:val="single" w:sz="4" w:space="0" w:color="auto"/>
              <w:bottom w:val="single" w:sz="4" w:space="0" w:color="auto"/>
              <w:right w:val="single" w:sz="4" w:space="0" w:color="auto"/>
            </w:tcBorders>
          </w:tcPr>
          <w:p w14:paraId="3290A0CC" w14:textId="77777777" w:rsidR="00590BEF" w:rsidRPr="007202FA" w:rsidRDefault="000B4F21" w:rsidP="007202FA">
            <w:pPr>
              <w:jc w:val="right"/>
              <w:rPr>
                <w:sz w:val="20"/>
                <w:szCs w:val="20"/>
              </w:rPr>
            </w:pPr>
            <w:r>
              <w:rPr>
                <w:sz w:val="20"/>
                <w:szCs w:val="20"/>
                <w:lang w:val="ga"/>
              </w:rPr>
              <w:t>10.4%</w:t>
            </w:r>
          </w:p>
          <w:p w14:paraId="7175740B" w14:textId="77777777" w:rsidR="00590BEF" w:rsidRPr="007202FA" w:rsidRDefault="00590BEF" w:rsidP="007202FA">
            <w:pPr>
              <w:jc w:val="right"/>
              <w:rPr>
                <w:sz w:val="20"/>
                <w:szCs w:val="20"/>
              </w:rPr>
            </w:pPr>
          </w:p>
        </w:tc>
      </w:tr>
      <w:tr w:rsidR="00F31303" w14:paraId="0F1AE141" w14:textId="77777777" w:rsidTr="0058567F">
        <w:tc>
          <w:tcPr>
            <w:tcW w:w="1696" w:type="dxa"/>
            <w:tcBorders>
              <w:top w:val="single" w:sz="4" w:space="0" w:color="auto"/>
              <w:left w:val="single" w:sz="4" w:space="0" w:color="auto"/>
              <w:bottom w:val="single" w:sz="4" w:space="0" w:color="auto"/>
              <w:right w:val="single" w:sz="4" w:space="0" w:color="auto"/>
            </w:tcBorders>
            <w:hideMark/>
          </w:tcPr>
          <w:p w14:paraId="7300E29E"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Mór-Iomlán</w:t>
            </w:r>
          </w:p>
        </w:tc>
        <w:tc>
          <w:tcPr>
            <w:tcW w:w="1560" w:type="dxa"/>
            <w:tcBorders>
              <w:top w:val="single" w:sz="4" w:space="0" w:color="auto"/>
              <w:left w:val="single" w:sz="4" w:space="0" w:color="auto"/>
              <w:bottom w:val="single" w:sz="4" w:space="0" w:color="auto"/>
              <w:right w:val="single" w:sz="4" w:space="0" w:color="auto"/>
            </w:tcBorders>
            <w:hideMark/>
          </w:tcPr>
          <w:p w14:paraId="0402BE8A" w14:textId="77777777" w:rsidR="00590BEF" w:rsidRPr="007202FA" w:rsidRDefault="000B4F21" w:rsidP="007202FA">
            <w:pPr>
              <w:jc w:val="right"/>
              <w:rPr>
                <w:b/>
                <w:bCs/>
                <w:sz w:val="20"/>
                <w:szCs w:val="20"/>
              </w:rPr>
            </w:pPr>
            <w:r>
              <w:rPr>
                <w:b/>
                <w:bCs/>
                <w:sz w:val="20"/>
                <w:szCs w:val="20"/>
                <w:lang w:val="ga"/>
              </w:rPr>
              <w:t>1,934</w:t>
            </w:r>
          </w:p>
        </w:tc>
        <w:tc>
          <w:tcPr>
            <w:tcW w:w="1559" w:type="dxa"/>
            <w:tcBorders>
              <w:top w:val="single" w:sz="4" w:space="0" w:color="auto"/>
              <w:left w:val="single" w:sz="4" w:space="0" w:color="auto"/>
              <w:bottom w:val="single" w:sz="4" w:space="0" w:color="auto"/>
              <w:right w:val="single" w:sz="4" w:space="0" w:color="auto"/>
            </w:tcBorders>
            <w:hideMark/>
          </w:tcPr>
          <w:p w14:paraId="7854606A" w14:textId="77777777" w:rsidR="00590BEF"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121</w:t>
            </w:r>
          </w:p>
        </w:tc>
        <w:tc>
          <w:tcPr>
            <w:tcW w:w="1701" w:type="dxa"/>
            <w:tcBorders>
              <w:top w:val="single" w:sz="4" w:space="0" w:color="auto"/>
              <w:left w:val="single" w:sz="4" w:space="0" w:color="auto"/>
              <w:bottom w:val="single" w:sz="4" w:space="0" w:color="auto"/>
              <w:right w:val="single" w:sz="4" w:space="0" w:color="auto"/>
            </w:tcBorders>
            <w:hideMark/>
          </w:tcPr>
          <w:p w14:paraId="5803A9C2" w14:textId="77777777" w:rsidR="00590BEF" w:rsidRPr="007202FA" w:rsidRDefault="000B4F21" w:rsidP="007202FA">
            <w:pPr>
              <w:jc w:val="right"/>
              <w:rPr>
                <w:b/>
                <w:bCs/>
                <w:sz w:val="20"/>
                <w:szCs w:val="20"/>
              </w:rPr>
            </w:pPr>
            <w:r>
              <w:rPr>
                <w:b/>
                <w:bCs/>
                <w:sz w:val="20"/>
                <w:szCs w:val="20"/>
                <w:lang w:val="ga"/>
              </w:rPr>
              <w:t>6.3%</w:t>
            </w:r>
          </w:p>
        </w:tc>
        <w:tc>
          <w:tcPr>
            <w:tcW w:w="1559" w:type="dxa"/>
            <w:tcBorders>
              <w:top w:val="single" w:sz="4" w:space="0" w:color="auto"/>
              <w:left w:val="single" w:sz="4" w:space="0" w:color="auto"/>
              <w:bottom w:val="single" w:sz="4" w:space="0" w:color="auto"/>
              <w:right w:val="single" w:sz="4" w:space="0" w:color="auto"/>
            </w:tcBorders>
          </w:tcPr>
          <w:p w14:paraId="1F945D02" w14:textId="77777777" w:rsidR="00590BEF" w:rsidRPr="007202FA" w:rsidRDefault="000B4F21" w:rsidP="007202FA">
            <w:pPr>
              <w:pStyle w:val="TableHead"/>
              <w:rPr>
                <w:rFonts w:ascii="Verdana" w:hAnsi="Verdana"/>
                <w:bCs/>
                <w:kern w:val="2"/>
                <w:sz w:val="20"/>
                <w:szCs w:val="20"/>
                <w14:ligatures w14:val="standardContextual"/>
              </w:rPr>
            </w:pPr>
            <w:r>
              <w:rPr>
                <w:rFonts w:ascii="Verdana" w:hAnsi="Verdana"/>
                <w:bCs/>
                <w:kern w:val="2"/>
                <w:sz w:val="20"/>
                <w:szCs w:val="20"/>
                <w:lang w:val="ga"/>
                <w14:ligatures w14:val="standardContextual"/>
              </w:rPr>
              <w:t>1,959</w:t>
            </w:r>
          </w:p>
          <w:p w14:paraId="19C0CDED" w14:textId="77777777" w:rsidR="00590BEF" w:rsidRPr="007202FA" w:rsidRDefault="00590BEF" w:rsidP="007202FA">
            <w:pPr>
              <w:pStyle w:val="TableHead"/>
              <w:jc w:val="right"/>
              <w:rPr>
                <w:rFonts w:ascii="Verdana" w:hAnsi="Verdana"/>
                <w:bCs/>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14A8B96B" w14:textId="77777777" w:rsidR="00590BEF" w:rsidRPr="007202FA" w:rsidRDefault="000B4F21" w:rsidP="007202FA">
            <w:pPr>
              <w:pStyle w:val="TableHead"/>
              <w:rPr>
                <w:rFonts w:ascii="Verdana" w:hAnsi="Verdana"/>
                <w:bCs/>
                <w:kern w:val="2"/>
                <w:sz w:val="20"/>
                <w:szCs w:val="20"/>
                <w14:ligatures w14:val="standardContextual"/>
              </w:rPr>
            </w:pPr>
            <w:r>
              <w:rPr>
                <w:rFonts w:ascii="Verdana" w:hAnsi="Verdana"/>
                <w:bCs/>
                <w:kern w:val="2"/>
                <w:sz w:val="20"/>
                <w:szCs w:val="20"/>
                <w:lang w:val="ga"/>
                <w14:ligatures w14:val="standardContextual"/>
              </w:rPr>
              <w:t>132</w:t>
            </w:r>
          </w:p>
          <w:p w14:paraId="27DDF9D1" w14:textId="77777777" w:rsidR="00590BEF" w:rsidRPr="007202FA" w:rsidRDefault="00590BEF" w:rsidP="007202FA">
            <w:pPr>
              <w:pStyle w:val="TableHead"/>
              <w:jc w:val="right"/>
              <w:rPr>
                <w:rFonts w:ascii="Verdana" w:hAnsi="Verdana"/>
                <w:bCs/>
                <w:kern w:val="2"/>
                <w:sz w:val="20"/>
                <w:szCs w:val="20"/>
                <w14:ligatures w14:val="standardContextual"/>
              </w:rPr>
            </w:pPr>
          </w:p>
        </w:tc>
        <w:tc>
          <w:tcPr>
            <w:tcW w:w="1564" w:type="dxa"/>
            <w:tcBorders>
              <w:top w:val="single" w:sz="4" w:space="0" w:color="auto"/>
              <w:left w:val="single" w:sz="4" w:space="0" w:color="auto"/>
              <w:bottom w:val="single" w:sz="4" w:space="0" w:color="auto"/>
              <w:right w:val="single" w:sz="4" w:space="0" w:color="auto"/>
            </w:tcBorders>
          </w:tcPr>
          <w:p w14:paraId="09C58665" w14:textId="77777777" w:rsidR="00590BEF" w:rsidRPr="007202FA" w:rsidRDefault="000B4F21" w:rsidP="007202FA">
            <w:pPr>
              <w:pStyle w:val="TableHead"/>
              <w:rPr>
                <w:rFonts w:ascii="Verdana" w:hAnsi="Verdana"/>
                <w:bCs/>
                <w:kern w:val="2"/>
                <w:sz w:val="20"/>
                <w:szCs w:val="20"/>
                <w14:ligatures w14:val="standardContextual"/>
              </w:rPr>
            </w:pPr>
            <w:r>
              <w:rPr>
                <w:rFonts w:ascii="Verdana" w:hAnsi="Verdana"/>
                <w:bCs/>
                <w:kern w:val="2"/>
                <w:sz w:val="20"/>
                <w:szCs w:val="20"/>
                <w:lang w:val="ga"/>
                <w14:ligatures w14:val="standardContextual"/>
              </w:rPr>
              <w:t>6.7%</w:t>
            </w:r>
          </w:p>
          <w:p w14:paraId="79C17E65" w14:textId="77777777" w:rsidR="00590BEF" w:rsidRPr="007202FA" w:rsidRDefault="00590BEF" w:rsidP="007202FA">
            <w:pPr>
              <w:pStyle w:val="TableHead"/>
              <w:jc w:val="right"/>
              <w:rPr>
                <w:rFonts w:ascii="Verdana" w:hAnsi="Verdana"/>
                <w:bCs/>
                <w:kern w:val="2"/>
                <w:sz w:val="20"/>
                <w:szCs w:val="20"/>
                <w14:ligatures w14:val="standardContextual"/>
              </w:rPr>
            </w:pPr>
          </w:p>
        </w:tc>
      </w:tr>
    </w:tbl>
    <w:p w14:paraId="15403822" w14:textId="77777777" w:rsidR="00590BEF" w:rsidRPr="007202FA" w:rsidRDefault="00590BEF" w:rsidP="007202FA">
      <w:pPr>
        <w:pStyle w:val="TableSummary"/>
        <w:spacing w:after="0"/>
        <w:ind w:left="0"/>
        <w:jc w:val="left"/>
        <w:rPr>
          <w:rFonts w:ascii="Gill Sans" w:hAnsi="Gill Sans"/>
          <w:i w:val="0"/>
        </w:rPr>
      </w:pPr>
    </w:p>
    <w:p w14:paraId="5BB628B2" w14:textId="77777777" w:rsidR="00590BEF" w:rsidRPr="007202FA" w:rsidRDefault="000B4F21" w:rsidP="007202FA">
      <w:pPr>
        <w:spacing w:after="0"/>
        <w:rPr>
          <w:rFonts w:ascii="Gill Sans" w:hAnsi="Gill Sans"/>
        </w:rPr>
      </w:pPr>
      <w:r>
        <w:rPr>
          <w:rFonts w:ascii="Gill Sans" w:hAnsi="Gill Sans"/>
          <w:i/>
          <w:iCs/>
          <w:kern w:val="0"/>
          <w:lang w:val="ga"/>
          <w14:ligatures w14:val="none"/>
        </w:rPr>
        <w:br w:type="page"/>
      </w:r>
    </w:p>
    <w:p w14:paraId="76442547" w14:textId="77777777" w:rsidR="00590BEF" w:rsidRPr="007202FA" w:rsidRDefault="00590BEF" w:rsidP="007202FA">
      <w:pPr>
        <w:rPr>
          <w:rFonts w:ascii="Gill Sans" w:hAnsi="Gill Sans"/>
        </w:rPr>
      </w:pPr>
    </w:p>
    <w:p w14:paraId="2F571539" w14:textId="77777777" w:rsidR="00590BEF" w:rsidRPr="007202FA" w:rsidRDefault="000B4F21" w:rsidP="007202FA">
      <w:pPr>
        <w:pStyle w:val="Heading2"/>
        <w:spacing w:after="120"/>
        <w:jc w:val="center"/>
      </w:pPr>
      <w:bookmarkStart w:id="214" w:name="_Toc176801628"/>
      <w:bookmarkStart w:id="215" w:name="_Toc214033666"/>
      <w:r>
        <w:rPr>
          <w:bCs/>
          <w:lang w:val="ga"/>
        </w:rPr>
        <w:t>An Roinn Airgeadais</w:t>
      </w:r>
      <w:bookmarkEnd w:id="214"/>
      <w:bookmarkEnd w:id="215"/>
    </w:p>
    <w:tbl>
      <w:tblPr>
        <w:tblStyle w:val="TableGrid"/>
        <w:tblpPr w:leftFromText="180" w:rightFromText="180" w:vertAnchor="text" w:horzAnchor="margin" w:tblpXSpec="center" w:tblpY="209"/>
        <w:tblW w:w="11340" w:type="dxa"/>
        <w:tblLayout w:type="fixed"/>
        <w:tblLook w:val="04A0" w:firstRow="1" w:lastRow="0" w:firstColumn="1" w:lastColumn="0" w:noHBand="0" w:noVBand="1"/>
      </w:tblPr>
      <w:tblGrid>
        <w:gridCol w:w="1696"/>
        <w:gridCol w:w="1560"/>
        <w:gridCol w:w="1559"/>
        <w:gridCol w:w="1701"/>
        <w:gridCol w:w="1559"/>
        <w:gridCol w:w="1559"/>
        <w:gridCol w:w="1706"/>
      </w:tblGrid>
      <w:tr w:rsidR="00F31303" w14:paraId="639FB8A0" w14:textId="77777777" w:rsidTr="005F5C07">
        <w:trPr>
          <w:tblHeader/>
        </w:trPr>
        <w:tc>
          <w:tcPr>
            <w:tcW w:w="1696" w:type="dxa"/>
            <w:tcBorders>
              <w:top w:val="single" w:sz="4" w:space="0" w:color="auto"/>
              <w:left w:val="single" w:sz="4" w:space="0" w:color="auto"/>
              <w:bottom w:val="single" w:sz="4" w:space="0" w:color="auto"/>
              <w:right w:val="single" w:sz="4" w:space="0" w:color="auto"/>
            </w:tcBorders>
            <w:hideMark/>
          </w:tcPr>
          <w:p w14:paraId="3AD5EC1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60" w:type="dxa"/>
            <w:tcBorders>
              <w:top w:val="single" w:sz="4" w:space="0" w:color="auto"/>
              <w:left w:val="single" w:sz="4" w:space="0" w:color="auto"/>
              <w:bottom w:val="single" w:sz="4" w:space="0" w:color="auto"/>
              <w:right w:val="single" w:sz="4" w:space="0" w:color="auto"/>
            </w:tcBorders>
            <w:hideMark/>
          </w:tcPr>
          <w:p w14:paraId="3BCE4981"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73E6A0F8"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2023</w:t>
            </w:r>
          </w:p>
        </w:tc>
        <w:tc>
          <w:tcPr>
            <w:tcW w:w="1559" w:type="dxa"/>
            <w:tcBorders>
              <w:top w:val="single" w:sz="4" w:space="0" w:color="auto"/>
              <w:left w:val="single" w:sz="4" w:space="0" w:color="auto"/>
              <w:bottom w:val="single" w:sz="4" w:space="0" w:color="auto"/>
              <w:right w:val="single" w:sz="4" w:space="0" w:color="auto"/>
            </w:tcBorders>
            <w:hideMark/>
          </w:tcPr>
          <w:p w14:paraId="71BA3264"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0F2C208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701" w:type="dxa"/>
            <w:tcBorders>
              <w:top w:val="single" w:sz="4" w:space="0" w:color="auto"/>
              <w:left w:val="single" w:sz="4" w:space="0" w:color="auto"/>
              <w:bottom w:val="single" w:sz="4" w:space="0" w:color="auto"/>
              <w:right w:val="single" w:sz="4" w:space="0" w:color="auto"/>
            </w:tcBorders>
            <w:hideMark/>
          </w:tcPr>
          <w:p w14:paraId="2AE90B80"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496AFE46"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 2023</w:t>
            </w:r>
          </w:p>
        </w:tc>
        <w:tc>
          <w:tcPr>
            <w:tcW w:w="1559" w:type="dxa"/>
            <w:tcBorders>
              <w:top w:val="single" w:sz="4" w:space="0" w:color="auto"/>
              <w:left w:val="single" w:sz="4" w:space="0" w:color="auto"/>
              <w:bottom w:val="single" w:sz="4" w:space="0" w:color="auto"/>
              <w:right w:val="single" w:sz="4" w:space="0" w:color="auto"/>
            </w:tcBorders>
            <w:hideMark/>
          </w:tcPr>
          <w:p w14:paraId="28A995ED"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0CE97E6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2024</w:t>
            </w:r>
          </w:p>
        </w:tc>
        <w:tc>
          <w:tcPr>
            <w:tcW w:w="1559" w:type="dxa"/>
            <w:tcBorders>
              <w:top w:val="single" w:sz="4" w:space="0" w:color="auto"/>
              <w:left w:val="single" w:sz="4" w:space="0" w:color="auto"/>
              <w:bottom w:val="single" w:sz="4" w:space="0" w:color="auto"/>
              <w:right w:val="single" w:sz="4" w:space="0" w:color="auto"/>
            </w:tcBorders>
            <w:hideMark/>
          </w:tcPr>
          <w:p w14:paraId="74A36FC3"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líon fostaithe a thuairiscigh míchumas</w:t>
            </w:r>
          </w:p>
          <w:p w14:paraId="3D038214"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706" w:type="dxa"/>
            <w:tcBorders>
              <w:top w:val="single" w:sz="4" w:space="0" w:color="auto"/>
              <w:left w:val="single" w:sz="4" w:space="0" w:color="auto"/>
              <w:bottom w:val="single" w:sz="4" w:space="0" w:color="auto"/>
              <w:right w:val="single" w:sz="4" w:space="0" w:color="auto"/>
            </w:tcBorders>
            <w:hideMark/>
          </w:tcPr>
          <w:p w14:paraId="4AA20505"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44A75CCB"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 2024</w:t>
            </w:r>
          </w:p>
        </w:tc>
      </w:tr>
      <w:tr w:rsidR="00F31303" w14:paraId="2B2C3F1C" w14:textId="77777777" w:rsidTr="005F5C07">
        <w:tc>
          <w:tcPr>
            <w:tcW w:w="1696" w:type="dxa"/>
            <w:tcBorders>
              <w:top w:val="single" w:sz="4" w:space="0" w:color="auto"/>
              <w:left w:val="single" w:sz="4" w:space="0" w:color="auto"/>
              <w:bottom w:val="single" w:sz="4" w:space="0" w:color="auto"/>
              <w:right w:val="single" w:sz="4" w:space="0" w:color="auto"/>
            </w:tcBorders>
          </w:tcPr>
          <w:p w14:paraId="5F179B5E" w14:textId="62B314ED" w:rsidR="00590BEF" w:rsidRPr="007202FA" w:rsidRDefault="000B4F21" w:rsidP="007202FA">
            <w:pPr>
              <w:rPr>
                <w:sz w:val="20"/>
                <w:szCs w:val="20"/>
              </w:rPr>
            </w:pPr>
            <w:r>
              <w:rPr>
                <w:rFonts w:cs="Calibri"/>
                <w:color w:val="000000"/>
                <w:sz w:val="20"/>
                <w:szCs w:val="20"/>
                <w:lang w:val="ga"/>
              </w:rPr>
              <w:t>Gníomh</w:t>
            </w:r>
            <w:r w:rsidR="007910FD">
              <w:rPr>
                <w:rFonts w:cs="Calibri"/>
                <w:color w:val="000000"/>
                <w:sz w:val="20"/>
                <w:szCs w:val="20"/>
                <w:lang w:val="ga"/>
              </w:rPr>
              <w:t>-</w:t>
            </w:r>
            <w:r>
              <w:rPr>
                <w:rFonts w:cs="Calibri"/>
                <w:color w:val="000000"/>
                <w:sz w:val="20"/>
                <w:szCs w:val="20"/>
                <w:lang w:val="ga"/>
              </w:rPr>
              <w:t>aireacht Bainistíochta an Chisteáin Náisiúnta</w:t>
            </w:r>
          </w:p>
        </w:tc>
        <w:tc>
          <w:tcPr>
            <w:tcW w:w="1560" w:type="dxa"/>
            <w:tcBorders>
              <w:top w:val="single" w:sz="4" w:space="0" w:color="auto"/>
              <w:left w:val="single" w:sz="4" w:space="0" w:color="auto"/>
              <w:bottom w:val="single" w:sz="4" w:space="0" w:color="auto"/>
              <w:right w:val="single" w:sz="4" w:space="0" w:color="auto"/>
            </w:tcBorders>
            <w:hideMark/>
          </w:tcPr>
          <w:p w14:paraId="27B05698" w14:textId="77777777" w:rsidR="00590BEF" w:rsidRPr="007202FA" w:rsidRDefault="000B4F21" w:rsidP="007202FA">
            <w:pPr>
              <w:jc w:val="right"/>
              <w:rPr>
                <w:sz w:val="20"/>
                <w:szCs w:val="20"/>
              </w:rPr>
            </w:pPr>
            <w:r>
              <w:rPr>
                <w:sz w:val="20"/>
                <w:szCs w:val="20"/>
                <w:lang w:val="ga"/>
              </w:rPr>
              <w:t>811</w:t>
            </w:r>
          </w:p>
        </w:tc>
        <w:tc>
          <w:tcPr>
            <w:tcW w:w="1559" w:type="dxa"/>
            <w:tcBorders>
              <w:top w:val="single" w:sz="4" w:space="0" w:color="auto"/>
              <w:left w:val="single" w:sz="4" w:space="0" w:color="auto"/>
              <w:bottom w:val="single" w:sz="4" w:space="0" w:color="auto"/>
              <w:right w:val="single" w:sz="4" w:space="0" w:color="auto"/>
            </w:tcBorders>
            <w:hideMark/>
          </w:tcPr>
          <w:p w14:paraId="32F6C44F" w14:textId="77777777" w:rsidR="00590BEF" w:rsidRPr="007202FA" w:rsidRDefault="000B4F21" w:rsidP="007202FA">
            <w:pPr>
              <w:jc w:val="right"/>
              <w:rPr>
                <w:sz w:val="20"/>
                <w:szCs w:val="20"/>
              </w:rPr>
            </w:pPr>
            <w:r>
              <w:rPr>
                <w:sz w:val="20"/>
                <w:szCs w:val="20"/>
                <w:lang w:val="ga"/>
              </w:rPr>
              <w:t>40</w:t>
            </w:r>
          </w:p>
        </w:tc>
        <w:tc>
          <w:tcPr>
            <w:tcW w:w="1701" w:type="dxa"/>
            <w:tcBorders>
              <w:top w:val="single" w:sz="4" w:space="0" w:color="auto"/>
              <w:left w:val="single" w:sz="4" w:space="0" w:color="auto"/>
              <w:bottom w:val="single" w:sz="4" w:space="0" w:color="auto"/>
              <w:right w:val="single" w:sz="4" w:space="0" w:color="auto"/>
            </w:tcBorders>
            <w:hideMark/>
          </w:tcPr>
          <w:p w14:paraId="3FD5E24A" w14:textId="77777777" w:rsidR="00590BEF" w:rsidRPr="007202FA" w:rsidRDefault="000B4F21" w:rsidP="007202FA">
            <w:pPr>
              <w:jc w:val="right"/>
              <w:rPr>
                <w:sz w:val="20"/>
                <w:szCs w:val="20"/>
              </w:rPr>
            </w:pPr>
            <w:r>
              <w:rPr>
                <w:sz w:val="20"/>
                <w:szCs w:val="20"/>
                <w:lang w:val="ga"/>
              </w:rPr>
              <w:t>4.9%</w:t>
            </w:r>
          </w:p>
        </w:tc>
        <w:tc>
          <w:tcPr>
            <w:tcW w:w="1559" w:type="dxa"/>
            <w:tcBorders>
              <w:top w:val="single" w:sz="4" w:space="0" w:color="auto"/>
              <w:left w:val="single" w:sz="4" w:space="0" w:color="auto"/>
              <w:bottom w:val="single" w:sz="4" w:space="0" w:color="auto"/>
              <w:right w:val="single" w:sz="4" w:space="0" w:color="auto"/>
            </w:tcBorders>
          </w:tcPr>
          <w:p w14:paraId="0B5717B0" w14:textId="77777777" w:rsidR="00590BEF" w:rsidRPr="007202FA" w:rsidRDefault="000B4F21" w:rsidP="007202FA">
            <w:pPr>
              <w:jc w:val="right"/>
              <w:rPr>
                <w:sz w:val="20"/>
                <w:szCs w:val="20"/>
              </w:rPr>
            </w:pPr>
            <w:r>
              <w:rPr>
                <w:sz w:val="20"/>
                <w:szCs w:val="20"/>
                <w:lang w:val="ga"/>
              </w:rPr>
              <w:t>838</w:t>
            </w:r>
          </w:p>
          <w:p w14:paraId="27347682"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B31C37" w14:textId="77777777" w:rsidR="00590BEF" w:rsidRPr="007202FA" w:rsidRDefault="000B4F21" w:rsidP="007202FA">
            <w:pPr>
              <w:jc w:val="right"/>
              <w:rPr>
                <w:sz w:val="20"/>
                <w:szCs w:val="20"/>
              </w:rPr>
            </w:pPr>
            <w:r>
              <w:rPr>
                <w:sz w:val="20"/>
                <w:szCs w:val="20"/>
                <w:lang w:val="ga"/>
              </w:rPr>
              <w:t>79</w:t>
            </w:r>
          </w:p>
          <w:p w14:paraId="4C4E2C4B" w14:textId="77777777" w:rsidR="00590BEF" w:rsidRPr="007202FA" w:rsidRDefault="00590BEF" w:rsidP="007202FA">
            <w:pPr>
              <w:jc w:val="right"/>
              <w:rPr>
                <w:sz w:val="20"/>
                <w:szCs w:val="20"/>
              </w:rPr>
            </w:pPr>
          </w:p>
        </w:tc>
        <w:tc>
          <w:tcPr>
            <w:tcW w:w="1706" w:type="dxa"/>
            <w:tcBorders>
              <w:top w:val="single" w:sz="4" w:space="0" w:color="auto"/>
              <w:left w:val="single" w:sz="4" w:space="0" w:color="auto"/>
              <w:bottom w:val="single" w:sz="4" w:space="0" w:color="auto"/>
              <w:right w:val="single" w:sz="4" w:space="0" w:color="auto"/>
            </w:tcBorders>
          </w:tcPr>
          <w:p w14:paraId="6E060991" w14:textId="77777777" w:rsidR="00590BEF" w:rsidRPr="007202FA" w:rsidRDefault="000B4F21" w:rsidP="007202FA">
            <w:pPr>
              <w:jc w:val="right"/>
              <w:rPr>
                <w:sz w:val="20"/>
                <w:szCs w:val="20"/>
              </w:rPr>
            </w:pPr>
            <w:r>
              <w:rPr>
                <w:sz w:val="20"/>
                <w:szCs w:val="20"/>
                <w:lang w:val="ga"/>
              </w:rPr>
              <w:t>9.4%</w:t>
            </w:r>
          </w:p>
          <w:p w14:paraId="78A9F516" w14:textId="77777777" w:rsidR="00590BEF" w:rsidRPr="007202FA" w:rsidRDefault="00590BEF" w:rsidP="007202FA">
            <w:pPr>
              <w:jc w:val="right"/>
              <w:rPr>
                <w:sz w:val="20"/>
                <w:szCs w:val="20"/>
              </w:rPr>
            </w:pPr>
          </w:p>
        </w:tc>
      </w:tr>
      <w:tr w:rsidR="00F31303" w14:paraId="4F0A32F0" w14:textId="77777777" w:rsidTr="005F5C07">
        <w:tc>
          <w:tcPr>
            <w:tcW w:w="1696" w:type="dxa"/>
            <w:tcBorders>
              <w:top w:val="single" w:sz="4" w:space="0" w:color="auto"/>
              <w:left w:val="single" w:sz="4" w:space="0" w:color="auto"/>
              <w:bottom w:val="single" w:sz="4" w:space="0" w:color="auto"/>
              <w:right w:val="single" w:sz="4" w:space="0" w:color="auto"/>
            </w:tcBorders>
            <w:hideMark/>
          </w:tcPr>
          <w:p w14:paraId="5B7DE139"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Mór-Iomlán</w:t>
            </w:r>
          </w:p>
        </w:tc>
        <w:tc>
          <w:tcPr>
            <w:tcW w:w="1560" w:type="dxa"/>
            <w:tcBorders>
              <w:top w:val="single" w:sz="4" w:space="0" w:color="auto"/>
              <w:left w:val="single" w:sz="4" w:space="0" w:color="auto"/>
              <w:bottom w:val="single" w:sz="4" w:space="0" w:color="auto"/>
              <w:right w:val="single" w:sz="4" w:space="0" w:color="auto"/>
            </w:tcBorders>
            <w:hideMark/>
          </w:tcPr>
          <w:p w14:paraId="07362F90"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811</w:t>
            </w:r>
          </w:p>
        </w:tc>
        <w:tc>
          <w:tcPr>
            <w:tcW w:w="1559" w:type="dxa"/>
            <w:tcBorders>
              <w:top w:val="single" w:sz="4" w:space="0" w:color="auto"/>
              <w:left w:val="single" w:sz="4" w:space="0" w:color="auto"/>
              <w:bottom w:val="single" w:sz="4" w:space="0" w:color="auto"/>
              <w:right w:val="single" w:sz="4" w:space="0" w:color="auto"/>
            </w:tcBorders>
            <w:hideMark/>
          </w:tcPr>
          <w:p w14:paraId="44CB5159"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40</w:t>
            </w:r>
          </w:p>
        </w:tc>
        <w:tc>
          <w:tcPr>
            <w:tcW w:w="1701" w:type="dxa"/>
            <w:tcBorders>
              <w:top w:val="single" w:sz="4" w:space="0" w:color="auto"/>
              <w:left w:val="single" w:sz="4" w:space="0" w:color="auto"/>
              <w:bottom w:val="single" w:sz="4" w:space="0" w:color="auto"/>
              <w:right w:val="single" w:sz="4" w:space="0" w:color="auto"/>
            </w:tcBorders>
            <w:hideMark/>
          </w:tcPr>
          <w:p w14:paraId="46FC995A"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4.9%</w:t>
            </w:r>
          </w:p>
        </w:tc>
        <w:tc>
          <w:tcPr>
            <w:tcW w:w="1559" w:type="dxa"/>
            <w:tcBorders>
              <w:top w:val="single" w:sz="4" w:space="0" w:color="auto"/>
              <w:left w:val="single" w:sz="4" w:space="0" w:color="auto"/>
              <w:bottom w:val="single" w:sz="4" w:space="0" w:color="auto"/>
              <w:right w:val="single" w:sz="4" w:space="0" w:color="auto"/>
            </w:tcBorders>
          </w:tcPr>
          <w:p w14:paraId="6393D940" w14:textId="77777777" w:rsidR="00590BEF"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 xml:space="preserve">      838</w:t>
            </w:r>
          </w:p>
          <w:p w14:paraId="3A0257FF" w14:textId="77777777" w:rsidR="00590BEF" w:rsidRPr="007202FA" w:rsidRDefault="00590BEF" w:rsidP="007202FA">
            <w:pPr>
              <w:pStyle w:val="TableHead"/>
              <w:jc w:val="right"/>
              <w:rPr>
                <w:rFonts w:ascii="Verdana" w:hAnsi="Verdana"/>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06F6B31F" w14:textId="77777777" w:rsidR="00590BEF"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 xml:space="preserve">             79</w:t>
            </w:r>
          </w:p>
          <w:p w14:paraId="41426BCD" w14:textId="77777777" w:rsidR="00590BEF" w:rsidRPr="007202FA" w:rsidRDefault="00590BEF" w:rsidP="007202FA">
            <w:pPr>
              <w:pStyle w:val="TableHead"/>
              <w:jc w:val="right"/>
              <w:rPr>
                <w:rFonts w:ascii="Verdana" w:hAnsi="Verdana"/>
                <w:kern w:val="2"/>
                <w:sz w:val="20"/>
                <w:szCs w:val="20"/>
                <w14:ligatures w14:val="standardContextual"/>
              </w:rPr>
            </w:pPr>
          </w:p>
        </w:tc>
        <w:tc>
          <w:tcPr>
            <w:tcW w:w="1706" w:type="dxa"/>
            <w:tcBorders>
              <w:top w:val="single" w:sz="4" w:space="0" w:color="auto"/>
              <w:left w:val="single" w:sz="4" w:space="0" w:color="auto"/>
              <w:bottom w:val="single" w:sz="4" w:space="0" w:color="auto"/>
              <w:right w:val="single" w:sz="4" w:space="0" w:color="auto"/>
            </w:tcBorders>
          </w:tcPr>
          <w:p w14:paraId="2C2E7283" w14:textId="77777777" w:rsidR="00590BEF"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 xml:space="preserve">     9.4%</w:t>
            </w:r>
          </w:p>
          <w:p w14:paraId="0CEBD9AB" w14:textId="77777777" w:rsidR="00590BEF" w:rsidRPr="007202FA" w:rsidRDefault="00590BEF" w:rsidP="007202FA">
            <w:pPr>
              <w:pStyle w:val="TableHead"/>
              <w:jc w:val="right"/>
              <w:rPr>
                <w:rFonts w:ascii="Verdana" w:hAnsi="Verdana"/>
                <w:kern w:val="2"/>
                <w:sz w:val="20"/>
                <w:szCs w:val="20"/>
                <w14:ligatures w14:val="standardContextual"/>
              </w:rPr>
            </w:pPr>
          </w:p>
        </w:tc>
      </w:tr>
    </w:tbl>
    <w:p w14:paraId="5550F568" w14:textId="77777777" w:rsidR="00590BEF" w:rsidRPr="007202FA" w:rsidRDefault="00590BEF" w:rsidP="007202FA">
      <w:pPr>
        <w:pStyle w:val="TableSummary"/>
        <w:ind w:left="0"/>
        <w:jc w:val="left"/>
        <w:rPr>
          <w:rFonts w:ascii="Gill Sans" w:hAnsi="Gill Sans"/>
        </w:rPr>
      </w:pPr>
    </w:p>
    <w:p w14:paraId="1DE376EB" w14:textId="77777777" w:rsidR="00590BEF" w:rsidRPr="007202FA" w:rsidRDefault="000B4F21" w:rsidP="007202FA">
      <w:pPr>
        <w:spacing w:after="0"/>
        <w:rPr>
          <w:rFonts w:ascii="Gill Sans" w:hAnsi="Gill Sans"/>
          <w:b/>
          <w:color w:val="000000"/>
          <w:sz w:val="32"/>
          <w:szCs w:val="32"/>
        </w:rPr>
      </w:pPr>
      <w:r>
        <w:rPr>
          <w:rFonts w:ascii="Gill Sans" w:hAnsi="Gill Sans"/>
          <w:color w:val="000000"/>
          <w:kern w:val="0"/>
          <w:lang w:val="ga"/>
          <w14:ligatures w14:val="none"/>
        </w:rPr>
        <w:br w:type="page"/>
      </w:r>
    </w:p>
    <w:p w14:paraId="3A55CA92" w14:textId="77777777" w:rsidR="00590BEF" w:rsidRPr="007202FA" w:rsidRDefault="000B4F21" w:rsidP="007202FA">
      <w:pPr>
        <w:pStyle w:val="Heading2"/>
        <w:spacing w:after="240"/>
        <w:rPr>
          <w:color w:val="D60093"/>
        </w:rPr>
      </w:pPr>
      <w:bookmarkStart w:id="216" w:name="_Toc176801629"/>
      <w:bookmarkStart w:id="217" w:name="_Toc214033667"/>
      <w:r>
        <w:rPr>
          <w:bCs/>
          <w:lang w:val="ga"/>
        </w:rPr>
        <w:lastRenderedPageBreak/>
        <w:t>An Roinn Breisoideachais agus Ardoideachais, Taighde, Nuálaíochta agus Eolaíochta</w:t>
      </w:r>
      <w:bookmarkEnd w:id="216"/>
      <w:bookmarkEnd w:id="217"/>
    </w:p>
    <w:tbl>
      <w:tblPr>
        <w:tblStyle w:val="TableGrid"/>
        <w:tblW w:w="11355" w:type="dxa"/>
        <w:jc w:val="center"/>
        <w:tblLayout w:type="fixed"/>
        <w:tblLook w:val="04A0" w:firstRow="1" w:lastRow="0" w:firstColumn="1" w:lastColumn="0" w:noHBand="0" w:noVBand="1"/>
      </w:tblPr>
      <w:tblGrid>
        <w:gridCol w:w="1838"/>
        <w:gridCol w:w="1559"/>
        <w:gridCol w:w="1701"/>
        <w:gridCol w:w="1560"/>
        <w:gridCol w:w="1559"/>
        <w:gridCol w:w="1559"/>
        <w:gridCol w:w="1579"/>
      </w:tblGrid>
      <w:tr w:rsidR="00F31303" w14:paraId="02DC1C4D" w14:textId="77777777" w:rsidTr="0050231C">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08491B88"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59" w:type="dxa"/>
            <w:tcBorders>
              <w:top w:val="single" w:sz="4" w:space="0" w:color="auto"/>
              <w:left w:val="single" w:sz="4" w:space="0" w:color="auto"/>
              <w:bottom w:val="single" w:sz="4" w:space="0" w:color="auto"/>
              <w:right w:val="single" w:sz="4" w:space="0" w:color="auto"/>
            </w:tcBorders>
            <w:hideMark/>
          </w:tcPr>
          <w:p w14:paraId="77B1F7BC"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w:t>
            </w:r>
          </w:p>
          <w:p w14:paraId="0179E48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iomlán </w:t>
            </w:r>
          </w:p>
          <w:p w14:paraId="3C3FF06C"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fostaithe </w:t>
            </w:r>
          </w:p>
          <w:p w14:paraId="7BF7249E"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701" w:type="dxa"/>
            <w:tcBorders>
              <w:top w:val="single" w:sz="4" w:space="0" w:color="auto"/>
              <w:left w:val="single" w:sz="4" w:space="0" w:color="auto"/>
              <w:bottom w:val="single" w:sz="4" w:space="0" w:color="auto"/>
              <w:right w:val="single" w:sz="4" w:space="0" w:color="auto"/>
            </w:tcBorders>
            <w:hideMark/>
          </w:tcPr>
          <w:p w14:paraId="5344AE58"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0CE1440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60" w:type="dxa"/>
            <w:tcBorders>
              <w:top w:val="single" w:sz="4" w:space="0" w:color="auto"/>
              <w:left w:val="single" w:sz="4" w:space="0" w:color="auto"/>
              <w:bottom w:val="single" w:sz="4" w:space="0" w:color="auto"/>
              <w:right w:val="single" w:sz="4" w:space="0" w:color="auto"/>
            </w:tcBorders>
            <w:hideMark/>
          </w:tcPr>
          <w:p w14:paraId="38FAB2A1" w14:textId="77777777" w:rsidR="00590BEF" w:rsidRPr="007910FD" w:rsidRDefault="000B4F21" w:rsidP="007202FA">
            <w:pPr>
              <w:pStyle w:val="TableHead"/>
              <w:rPr>
                <w:rFonts w:ascii="Verdana" w:hAnsi="Verdana"/>
                <w:kern w:val="2"/>
                <w:sz w:val="19"/>
                <w:szCs w:val="19"/>
                <w14:ligatures w14:val="standardContextual"/>
              </w:rPr>
            </w:pPr>
            <w:r w:rsidRPr="007910FD">
              <w:rPr>
                <w:rFonts w:ascii="Verdana" w:hAnsi="Verdana"/>
                <w:bCs/>
                <w:kern w:val="2"/>
                <w:sz w:val="19"/>
                <w:szCs w:val="19"/>
                <w:lang w:val="ga"/>
                <w14:ligatures w14:val="standardContextual"/>
              </w:rPr>
              <w:t>An % d’fhostaithe a thuairiscigh</w:t>
            </w:r>
          </w:p>
          <w:p w14:paraId="04A3A348" w14:textId="77777777" w:rsidR="00590BEF" w:rsidRPr="007202FA" w:rsidRDefault="000B4F21" w:rsidP="007202FA">
            <w:pPr>
              <w:pStyle w:val="TableHead"/>
              <w:rPr>
                <w:rFonts w:ascii="Verdana" w:hAnsi="Verdana"/>
                <w:kern w:val="2"/>
                <w:sz w:val="20"/>
                <w:szCs w:val="20"/>
                <w14:ligatures w14:val="standardContextual"/>
              </w:rPr>
            </w:pPr>
            <w:r w:rsidRPr="007910FD">
              <w:rPr>
                <w:rFonts w:ascii="Verdana" w:hAnsi="Verdana"/>
                <w:bCs/>
                <w:kern w:val="2"/>
                <w:sz w:val="19"/>
                <w:szCs w:val="19"/>
                <w:lang w:val="ga"/>
                <w14:ligatures w14:val="standardContextual"/>
              </w:rPr>
              <w:t>míchumas 2023</w:t>
            </w:r>
          </w:p>
        </w:tc>
        <w:tc>
          <w:tcPr>
            <w:tcW w:w="1559" w:type="dxa"/>
            <w:tcBorders>
              <w:top w:val="single" w:sz="4" w:space="0" w:color="auto"/>
              <w:left w:val="single" w:sz="4" w:space="0" w:color="auto"/>
              <w:bottom w:val="single" w:sz="4" w:space="0" w:color="auto"/>
              <w:right w:val="single" w:sz="4" w:space="0" w:color="auto"/>
            </w:tcBorders>
            <w:hideMark/>
          </w:tcPr>
          <w:p w14:paraId="14BBBE00"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0174CC5D"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2024</w:t>
            </w:r>
          </w:p>
        </w:tc>
        <w:tc>
          <w:tcPr>
            <w:tcW w:w="1559" w:type="dxa"/>
            <w:tcBorders>
              <w:top w:val="single" w:sz="4" w:space="0" w:color="auto"/>
              <w:left w:val="single" w:sz="4" w:space="0" w:color="auto"/>
              <w:bottom w:val="single" w:sz="4" w:space="0" w:color="auto"/>
              <w:right w:val="single" w:sz="4" w:space="0" w:color="auto"/>
            </w:tcBorders>
            <w:hideMark/>
          </w:tcPr>
          <w:p w14:paraId="78D0AE66"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78BF7C1C"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579" w:type="dxa"/>
            <w:tcBorders>
              <w:top w:val="single" w:sz="4" w:space="0" w:color="auto"/>
              <w:left w:val="single" w:sz="4" w:space="0" w:color="auto"/>
              <w:bottom w:val="single" w:sz="4" w:space="0" w:color="auto"/>
              <w:right w:val="single" w:sz="4" w:space="0" w:color="auto"/>
            </w:tcBorders>
            <w:hideMark/>
          </w:tcPr>
          <w:p w14:paraId="650929B1"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2B915E51"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 2024</w:t>
            </w:r>
          </w:p>
        </w:tc>
      </w:tr>
      <w:tr w:rsidR="00F31303" w14:paraId="26BCEF7A"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51366567" w14:textId="77777777" w:rsidR="00590BEF" w:rsidRPr="007202FA" w:rsidRDefault="000B4F21" w:rsidP="007202FA">
            <w:pPr>
              <w:rPr>
                <w:rFonts w:cs="Calibri"/>
                <w:color w:val="000000"/>
                <w:sz w:val="20"/>
                <w:szCs w:val="20"/>
              </w:rPr>
            </w:pPr>
            <w:r>
              <w:rPr>
                <w:rFonts w:cs="Calibri"/>
                <w:color w:val="000000"/>
                <w:sz w:val="20"/>
                <w:szCs w:val="20"/>
                <w:lang w:val="ga"/>
              </w:rPr>
              <w:t xml:space="preserve">Ollscoil Teicneolaíochta an Atlantaigh </w:t>
            </w:r>
          </w:p>
        </w:tc>
        <w:tc>
          <w:tcPr>
            <w:tcW w:w="1559" w:type="dxa"/>
            <w:tcBorders>
              <w:top w:val="single" w:sz="4" w:space="0" w:color="auto"/>
              <w:left w:val="single" w:sz="4" w:space="0" w:color="auto"/>
              <w:bottom w:val="single" w:sz="4" w:space="0" w:color="auto"/>
              <w:right w:val="single" w:sz="4" w:space="0" w:color="auto"/>
            </w:tcBorders>
            <w:hideMark/>
          </w:tcPr>
          <w:p w14:paraId="2EDCF970" w14:textId="77777777" w:rsidR="00590BEF" w:rsidRPr="007202FA" w:rsidRDefault="000B4F21" w:rsidP="007202FA">
            <w:pPr>
              <w:jc w:val="right"/>
              <w:rPr>
                <w:rFonts w:cs="Calibri"/>
                <w:color w:val="000000"/>
                <w:sz w:val="20"/>
                <w:szCs w:val="20"/>
              </w:rPr>
            </w:pPr>
            <w:r>
              <w:rPr>
                <w:rFonts w:cs="Calibri"/>
                <w:color w:val="000000"/>
                <w:sz w:val="20"/>
                <w:szCs w:val="20"/>
                <w:lang w:val="ga"/>
              </w:rPr>
              <w:t>2,759</w:t>
            </w:r>
          </w:p>
        </w:tc>
        <w:tc>
          <w:tcPr>
            <w:tcW w:w="1701" w:type="dxa"/>
            <w:tcBorders>
              <w:top w:val="single" w:sz="4" w:space="0" w:color="auto"/>
              <w:left w:val="single" w:sz="4" w:space="0" w:color="auto"/>
              <w:bottom w:val="single" w:sz="4" w:space="0" w:color="auto"/>
              <w:right w:val="single" w:sz="4" w:space="0" w:color="auto"/>
            </w:tcBorders>
            <w:hideMark/>
          </w:tcPr>
          <w:p w14:paraId="6E5A0012" w14:textId="77777777" w:rsidR="00590BEF" w:rsidRPr="007202FA" w:rsidRDefault="000B4F21" w:rsidP="007202FA">
            <w:pPr>
              <w:jc w:val="right"/>
              <w:rPr>
                <w:rFonts w:cs="Calibri"/>
                <w:color w:val="000000"/>
                <w:sz w:val="20"/>
                <w:szCs w:val="20"/>
              </w:rPr>
            </w:pPr>
            <w:r>
              <w:rPr>
                <w:rFonts w:cs="Calibri"/>
                <w:color w:val="000000"/>
                <w:sz w:val="20"/>
                <w:szCs w:val="20"/>
                <w:lang w:val="ga"/>
              </w:rPr>
              <w:t>90</w:t>
            </w:r>
          </w:p>
        </w:tc>
        <w:tc>
          <w:tcPr>
            <w:tcW w:w="1560" w:type="dxa"/>
            <w:tcBorders>
              <w:top w:val="single" w:sz="4" w:space="0" w:color="auto"/>
              <w:left w:val="single" w:sz="4" w:space="0" w:color="auto"/>
              <w:bottom w:val="single" w:sz="4" w:space="0" w:color="auto"/>
              <w:right w:val="single" w:sz="4" w:space="0" w:color="auto"/>
            </w:tcBorders>
            <w:hideMark/>
          </w:tcPr>
          <w:p w14:paraId="0DC1B032" w14:textId="77777777" w:rsidR="00590BEF" w:rsidRPr="007202FA" w:rsidRDefault="000B4F21" w:rsidP="007202FA">
            <w:pPr>
              <w:jc w:val="right"/>
              <w:rPr>
                <w:rFonts w:cs="Calibri"/>
                <w:color w:val="000000"/>
                <w:sz w:val="20"/>
                <w:szCs w:val="20"/>
              </w:rPr>
            </w:pPr>
            <w:r>
              <w:rPr>
                <w:rFonts w:cs="Calibri"/>
                <w:color w:val="000000"/>
                <w:sz w:val="20"/>
                <w:szCs w:val="20"/>
                <w:lang w:val="ga"/>
              </w:rPr>
              <w:t>3.3%</w:t>
            </w:r>
          </w:p>
        </w:tc>
        <w:tc>
          <w:tcPr>
            <w:tcW w:w="1559" w:type="dxa"/>
            <w:tcBorders>
              <w:top w:val="single" w:sz="4" w:space="0" w:color="auto"/>
              <w:left w:val="single" w:sz="4" w:space="0" w:color="auto"/>
              <w:bottom w:val="single" w:sz="4" w:space="0" w:color="auto"/>
              <w:right w:val="single" w:sz="4" w:space="0" w:color="auto"/>
            </w:tcBorders>
          </w:tcPr>
          <w:p w14:paraId="5A91392A" w14:textId="77777777" w:rsidR="00590BEF" w:rsidRPr="007202FA" w:rsidRDefault="000B4F21" w:rsidP="007202FA">
            <w:pPr>
              <w:jc w:val="right"/>
              <w:rPr>
                <w:rFonts w:cs="Calibri"/>
                <w:color w:val="000000"/>
                <w:sz w:val="20"/>
                <w:szCs w:val="20"/>
              </w:rPr>
            </w:pPr>
            <w:r>
              <w:rPr>
                <w:rFonts w:cs="Calibri"/>
                <w:color w:val="000000"/>
                <w:sz w:val="20"/>
                <w:szCs w:val="20"/>
                <w:lang w:val="ga"/>
              </w:rPr>
              <w:t xml:space="preserve">   2,663</w:t>
            </w:r>
          </w:p>
          <w:p w14:paraId="104AF9A5" w14:textId="77777777" w:rsidR="00590BEF" w:rsidRPr="007202FA" w:rsidRDefault="00590BEF" w:rsidP="007202FA">
            <w:pPr>
              <w:jc w:val="center"/>
              <w:rPr>
                <w:rFonts w:cs="Calibri"/>
                <w:color w:val="000000"/>
                <w:sz w:val="20"/>
                <w:szCs w:val="20"/>
              </w:rPr>
            </w:pPr>
          </w:p>
          <w:p w14:paraId="2757EC4F" w14:textId="77777777" w:rsidR="00590BEF" w:rsidRPr="007202FA" w:rsidRDefault="00590BEF" w:rsidP="007202FA">
            <w:pPr>
              <w:jc w:val="right"/>
              <w:rPr>
                <w:rFonts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116378" w14:textId="77777777" w:rsidR="00590BEF" w:rsidRPr="007202FA" w:rsidRDefault="000B4F21" w:rsidP="007202FA">
            <w:pPr>
              <w:jc w:val="right"/>
              <w:rPr>
                <w:rFonts w:cs="Calibri"/>
                <w:color w:val="000000"/>
                <w:sz w:val="20"/>
                <w:szCs w:val="20"/>
              </w:rPr>
            </w:pPr>
            <w:r>
              <w:rPr>
                <w:rFonts w:cs="Calibri"/>
                <w:color w:val="000000"/>
                <w:sz w:val="20"/>
                <w:szCs w:val="20"/>
                <w:lang w:val="ga"/>
              </w:rPr>
              <w:t>90</w:t>
            </w:r>
          </w:p>
          <w:p w14:paraId="7D21EB73" w14:textId="77777777" w:rsidR="00590BEF" w:rsidRPr="007202FA" w:rsidRDefault="00590BEF" w:rsidP="007202FA">
            <w:pPr>
              <w:jc w:val="right"/>
              <w:rPr>
                <w:rFonts w:cs="Calibri"/>
                <w:color w:val="000000"/>
                <w:sz w:val="20"/>
                <w:szCs w:val="20"/>
              </w:rPr>
            </w:pPr>
          </w:p>
        </w:tc>
        <w:tc>
          <w:tcPr>
            <w:tcW w:w="1579" w:type="dxa"/>
            <w:tcBorders>
              <w:top w:val="single" w:sz="4" w:space="0" w:color="auto"/>
              <w:left w:val="single" w:sz="4" w:space="0" w:color="auto"/>
              <w:bottom w:val="single" w:sz="4" w:space="0" w:color="auto"/>
              <w:right w:val="single" w:sz="4" w:space="0" w:color="auto"/>
            </w:tcBorders>
          </w:tcPr>
          <w:p w14:paraId="19529A88" w14:textId="77777777" w:rsidR="00590BEF" w:rsidRPr="007202FA" w:rsidRDefault="000B4F21" w:rsidP="007202FA">
            <w:pPr>
              <w:jc w:val="right"/>
              <w:rPr>
                <w:rFonts w:cs="Calibri"/>
                <w:color w:val="000000"/>
                <w:sz w:val="20"/>
                <w:szCs w:val="20"/>
              </w:rPr>
            </w:pPr>
            <w:r>
              <w:rPr>
                <w:rFonts w:cs="Calibri"/>
                <w:color w:val="000000"/>
                <w:sz w:val="20"/>
                <w:szCs w:val="20"/>
                <w:lang w:val="ga"/>
              </w:rPr>
              <w:t>3.4%</w:t>
            </w:r>
          </w:p>
          <w:p w14:paraId="10FF21B6" w14:textId="77777777" w:rsidR="00590BEF" w:rsidRPr="007202FA" w:rsidRDefault="00590BEF" w:rsidP="007202FA">
            <w:pPr>
              <w:jc w:val="right"/>
              <w:rPr>
                <w:rFonts w:cs="Calibri"/>
                <w:color w:val="000000"/>
                <w:sz w:val="20"/>
                <w:szCs w:val="20"/>
              </w:rPr>
            </w:pPr>
          </w:p>
        </w:tc>
      </w:tr>
      <w:tr w:rsidR="00F31303" w14:paraId="5F25522D"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393BE32D" w14:textId="77777777" w:rsidR="00590BEF" w:rsidRPr="007202FA" w:rsidRDefault="000B4F21" w:rsidP="007202FA">
            <w:pPr>
              <w:rPr>
                <w:rFonts w:cs="Calibri"/>
                <w:color w:val="000000"/>
                <w:sz w:val="20"/>
                <w:szCs w:val="20"/>
              </w:rPr>
            </w:pPr>
            <w:r>
              <w:rPr>
                <w:rFonts w:cs="Calibri"/>
                <w:color w:val="000000"/>
                <w:sz w:val="20"/>
                <w:szCs w:val="20"/>
                <w:lang w:val="ga"/>
              </w:rPr>
              <w:t>Institiúid Ealaíne, Deartha agus Teicneolaíochta Dhún Laoghaire</w:t>
            </w:r>
          </w:p>
        </w:tc>
        <w:tc>
          <w:tcPr>
            <w:tcW w:w="1559" w:type="dxa"/>
            <w:tcBorders>
              <w:top w:val="single" w:sz="4" w:space="0" w:color="auto"/>
              <w:left w:val="single" w:sz="4" w:space="0" w:color="auto"/>
              <w:bottom w:val="single" w:sz="4" w:space="0" w:color="auto"/>
              <w:right w:val="single" w:sz="4" w:space="0" w:color="auto"/>
            </w:tcBorders>
            <w:hideMark/>
          </w:tcPr>
          <w:p w14:paraId="4987169B" w14:textId="77777777" w:rsidR="00590BEF" w:rsidRPr="007202FA" w:rsidRDefault="000B4F21" w:rsidP="007202FA">
            <w:pPr>
              <w:jc w:val="right"/>
              <w:rPr>
                <w:rFonts w:cs="Calibri"/>
                <w:color w:val="000000"/>
                <w:sz w:val="20"/>
                <w:szCs w:val="20"/>
              </w:rPr>
            </w:pPr>
            <w:r>
              <w:rPr>
                <w:rFonts w:cs="Calibri"/>
                <w:color w:val="000000"/>
                <w:sz w:val="20"/>
                <w:szCs w:val="20"/>
                <w:lang w:val="ga"/>
              </w:rPr>
              <w:t>383</w:t>
            </w:r>
          </w:p>
        </w:tc>
        <w:tc>
          <w:tcPr>
            <w:tcW w:w="1701" w:type="dxa"/>
            <w:tcBorders>
              <w:top w:val="single" w:sz="4" w:space="0" w:color="auto"/>
              <w:left w:val="single" w:sz="4" w:space="0" w:color="auto"/>
              <w:bottom w:val="single" w:sz="4" w:space="0" w:color="auto"/>
              <w:right w:val="single" w:sz="4" w:space="0" w:color="auto"/>
            </w:tcBorders>
            <w:hideMark/>
          </w:tcPr>
          <w:p w14:paraId="5E7B094E" w14:textId="77777777" w:rsidR="00590BEF" w:rsidRPr="007202FA" w:rsidRDefault="000B4F21" w:rsidP="007202FA">
            <w:pPr>
              <w:jc w:val="right"/>
              <w:rPr>
                <w:rFonts w:cs="Calibri"/>
                <w:color w:val="000000"/>
                <w:sz w:val="20"/>
                <w:szCs w:val="20"/>
              </w:rPr>
            </w:pPr>
            <w:r>
              <w:rPr>
                <w:rFonts w:cs="Calibri"/>
                <w:color w:val="000000"/>
                <w:sz w:val="20"/>
                <w:szCs w:val="20"/>
                <w:lang w:val="ga"/>
              </w:rPr>
              <w:t>34</w:t>
            </w:r>
          </w:p>
        </w:tc>
        <w:tc>
          <w:tcPr>
            <w:tcW w:w="1560" w:type="dxa"/>
            <w:tcBorders>
              <w:top w:val="single" w:sz="4" w:space="0" w:color="auto"/>
              <w:left w:val="single" w:sz="4" w:space="0" w:color="auto"/>
              <w:bottom w:val="single" w:sz="4" w:space="0" w:color="auto"/>
              <w:right w:val="single" w:sz="4" w:space="0" w:color="auto"/>
            </w:tcBorders>
            <w:hideMark/>
          </w:tcPr>
          <w:p w14:paraId="3120DCBD" w14:textId="77777777" w:rsidR="00590BEF" w:rsidRPr="007202FA" w:rsidRDefault="000B4F21" w:rsidP="007202FA">
            <w:pPr>
              <w:jc w:val="right"/>
              <w:rPr>
                <w:rFonts w:cs="Calibri"/>
                <w:color w:val="000000"/>
                <w:sz w:val="20"/>
                <w:szCs w:val="20"/>
              </w:rPr>
            </w:pPr>
            <w:r>
              <w:rPr>
                <w:rFonts w:cs="Calibri"/>
                <w:color w:val="000000"/>
                <w:sz w:val="20"/>
                <w:szCs w:val="20"/>
                <w:lang w:val="ga"/>
              </w:rPr>
              <w:t>8.9%</w:t>
            </w:r>
          </w:p>
        </w:tc>
        <w:tc>
          <w:tcPr>
            <w:tcW w:w="1559" w:type="dxa"/>
            <w:tcBorders>
              <w:top w:val="single" w:sz="4" w:space="0" w:color="auto"/>
              <w:left w:val="single" w:sz="4" w:space="0" w:color="auto"/>
              <w:bottom w:val="single" w:sz="4" w:space="0" w:color="auto"/>
              <w:right w:val="single" w:sz="4" w:space="0" w:color="auto"/>
            </w:tcBorders>
          </w:tcPr>
          <w:p w14:paraId="54C10B9C" w14:textId="77777777" w:rsidR="00590BEF" w:rsidRPr="007202FA" w:rsidRDefault="000B4F21" w:rsidP="007202FA">
            <w:pPr>
              <w:jc w:val="right"/>
              <w:rPr>
                <w:rFonts w:cs="Calibri"/>
                <w:color w:val="000000"/>
                <w:sz w:val="20"/>
                <w:szCs w:val="20"/>
              </w:rPr>
            </w:pPr>
            <w:r>
              <w:rPr>
                <w:rFonts w:cs="Calibri"/>
                <w:color w:val="000000"/>
                <w:sz w:val="20"/>
                <w:szCs w:val="20"/>
                <w:lang w:val="ga"/>
              </w:rPr>
              <w:t>438</w:t>
            </w:r>
          </w:p>
          <w:p w14:paraId="0CE74E6B" w14:textId="77777777" w:rsidR="00590BEF" w:rsidRPr="007202FA" w:rsidRDefault="00590BEF" w:rsidP="007202FA">
            <w:pPr>
              <w:jc w:val="right"/>
              <w:rPr>
                <w:rFonts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0B8242F" w14:textId="77777777" w:rsidR="00590BEF" w:rsidRPr="007202FA" w:rsidRDefault="000B4F21" w:rsidP="007202FA">
            <w:pPr>
              <w:jc w:val="right"/>
              <w:rPr>
                <w:rFonts w:cs="Calibri"/>
                <w:color w:val="000000"/>
                <w:sz w:val="20"/>
                <w:szCs w:val="20"/>
              </w:rPr>
            </w:pPr>
            <w:r>
              <w:rPr>
                <w:rFonts w:cs="Calibri"/>
                <w:color w:val="000000"/>
                <w:sz w:val="20"/>
                <w:szCs w:val="20"/>
                <w:lang w:val="ga"/>
              </w:rPr>
              <w:t>27</w:t>
            </w:r>
          </w:p>
          <w:p w14:paraId="5350D339" w14:textId="77777777" w:rsidR="00590BEF" w:rsidRPr="007202FA" w:rsidRDefault="00590BEF" w:rsidP="007202FA">
            <w:pPr>
              <w:jc w:val="right"/>
              <w:rPr>
                <w:rFonts w:cs="Calibri"/>
                <w:color w:val="000000"/>
                <w:sz w:val="20"/>
                <w:szCs w:val="20"/>
              </w:rPr>
            </w:pPr>
          </w:p>
        </w:tc>
        <w:tc>
          <w:tcPr>
            <w:tcW w:w="1579" w:type="dxa"/>
            <w:tcBorders>
              <w:top w:val="single" w:sz="4" w:space="0" w:color="auto"/>
              <w:left w:val="single" w:sz="4" w:space="0" w:color="auto"/>
              <w:bottom w:val="single" w:sz="4" w:space="0" w:color="auto"/>
              <w:right w:val="single" w:sz="4" w:space="0" w:color="auto"/>
            </w:tcBorders>
          </w:tcPr>
          <w:p w14:paraId="5EC41BBB" w14:textId="77777777" w:rsidR="00590BEF" w:rsidRPr="007202FA" w:rsidRDefault="000B4F21" w:rsidP="007202FA">
            <w:pPr>
              <w:jc w:val="right"/>
              <w:rPr>
                <w:rFonts w:cs="Calibri"/>
                <w:color w:val="000000"/>
                <w:sz w:val="20"/>
                <w:szCs w:val="20"/>
              </w:rPr>
            </w:pPr>
            <w:r>
              <w:rPr>
                <w:rFonts w:cs="Calibri"/>
                <w:color w:val="000000"/>
                <w:sz w:val="20"/>
                <w:szCs w:val="20"/>
                <w:lang w:val="ga"/>
              </w:rPr>
              <w:t>6.2%</w:t>
            </w:r>
          </w:p>
          <w:p w14:paraId="2468AF99" w14:textId="77777777" w:rsidR="00590BEF" w:rsidRPr="007202FA" w:rsidRDefault="00590BEF" w:rsidP="007202FA">
            <w:pPr>
              <w:jc w:val="right"/>
              <w:rPr>
                <w:rFonts w:cs="Calibri"/>
                <w:color w:val="000000"/>
                <w:sz w:val="20"/>
                <w:szCs w:val="20"/>
              </w:rPr>
            </w:pPr>
          </w:p>
        </w:tc>
      </w:tr>
      <w:tr w:rsidR="00F31303" w14:paraId="24B2C25C"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35CE8122" w14:textId="77777777" w:rsidR="00590BEF" w:rsidRPr="007202FA" w:rsidRDefault="000B4F21" w:rsidP="007202FA">
            <w:pPr>
              <w:rPr>
                <w:sz w:val="20"/>
                <w:szCs w:val="20"/>
              </w:rPr>
            </w:pPr>
            <w:r>
              <w:rPr>
                <w:rFonts w:cs="Calibri"/>
                <w:color w:val="000000"/>
                <w:sz w:val="20"/>
                <w:szCs w:val="20"/>
                <w:lang w:val="ga"/>
              </w:rPr>
              <w:t>Institiúid Teicneolaíochta Dhún Dealgan</w:t>
            </w:r>
          </w:p>
        </w:tc>
        <w:tc>
          <w:tcPr>
            <w:tcW w:w="1559" w:type="dxa"/>
            <w:tcBorders>
              <w:top w:val="single" w:sz="4" w:space="0" w:color="auto"/>
              <w:left w:val="single" w:sz="4" w:space="0" w:color="auto"/>
              <w:bottom w:val="single" w:sz="4" w:space="0" w:color="auto"/>
              <w:right w:val="single" w:sz="4" w:space="0" w:color="auto"/>
            </w:tcBorders>
            <w:hideMark/>
          </w:tcPr>
          <w:p w14:paraId="4E3CC7B2" w14:textId="77777777" w:rsidR="00590BEF" w:rsidRPr="007202FA" w:rsidRDefault="000B4F21" w:rsidP="007202FA">
            <w:pPr>
              <w:jc w:val="right"/>
              <w:rPr>
                <w:sz w:val="20"/>
                <w:szCs w:val="20"/>
              </w:rPr>
            </w:pPr>
            <w:r>
              <w:rPr>
                <w:sz w:val="20"/>
                <w:szCs w:val="20"/>
                <w:lang w:val="ga"/>
              </w:rPr>
              <w:t>807</w:t>
            </w:r>
          </w:p>
        </w:tc>
        <w:tc>
          <w:tcPr>
            <w:tcW w:w="1701" w:type="dxa"/>
            <w:tcBorders>
              <w:top w:val="single" w:sz="4" w:space="0" w:color="auto"/>
              <w:left w:val="single" w:sz="4" w:space="0" w:color="auto"/>
              <w:bottom w:val="single" w:sz="4" w:space="0" w:color="auto"/>
              <w:right w:val="single" w:sz="4" w:space="0" w:color="auto"/>
            </w:tcBorders>
            <w:hideMark/>
          </w:tcPr>
          <w:p w14:paraId="0CC5E969" w14:textId="77777777" w:rsidR="00590BEF" w:rsidRPr="007202FA" w:rsidRDefault="000B4F21" w:rsidP="007202FA">
            <w:pPr>
              <w:jc w:val="right"/>
              <w:rPr>
                <w:sz w:val="20"/>
                <w:szCs w:val="20"/>
              </w:rPr>
            </w:pPr>
            <w:r>
              <w:rPr>
                <w:sz w:val="20"/>
                <w:szCs w:val="20"/>
                <w:lang w:val="ga"/>
              </w:rPr>
              <w:t>38</w:t>
            </w:r>
          </w:p>
        </w:tc>
        <w:tc>
          <w:tcPr>
            <w:tcW w:w="1560" w:type="dxa"/>
            <w:tcBorders>
              <w:top w:val="single" w:sz="4" w:space="0" w:color="auto"/>
              <w:left w:val="single" w:sz="4" w:space="0" w:color="auto"/>
              <w:bottom w:val="single" w:sz="4" w:space="0" w:color="auto"/>
              <w:right w:val="single" w:sz="4" w:space="0" w:color="auto"/>
            </w:tcBorders>
            <w:hideMark/>
          </w:tcPr>
          <w:p w14:paraId="1F980A48" w14:textId="77777777" w:rsidR="00590BEF" w:rsidRPr="007202FA" w:rsidRDefault="000B4F21" w:rsidP="007202FA">
            <w:pPr>
              <w:jc w:val="right"/>
              <w:rPr>
                <w:sz w:val="20"/>
                <w:szCs w:val="20"/>
              </w:rPr>
            </w:pPr>
            <w:r>
              <w:rPr>
                <w:sz w:val="20"/>
                <w:szCs w:val="20"/>
                <w:lang w:val="ga"/>
              </w:rPr>
              <w:t>4.7%</w:t>
            </w:r>
          </w:p>
        </w:tc>
        <w:tc>
          <w:tcPr>
            <w:tcW w:w="1559" w:type="dxa"/>
            <w:tcBorders>
              <w:top w:val="single" w:sz="4" w:space="0" w:color="auto"/>
              <w:left w:val="single" w:sz="4" w:space="0" w:color="auto"/>
              <w:bottom w:val="single" w:sz="4" w:space="0" w:color="auto"/>
              <w:right w:val="single" w:sz="4" w:space="0" w:color="auto"/>
            </w:tcBorders>
          </w:tcPr>
          <w:p w14:paraId="77220BCD" w14:textId="4153FF24"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753</w:t>
            </w:r>
          </w:p>
        </w:tc>
        <w:tc>
          <w:tcPr>
            <w:tcW w:w="1559" w:type="dxa"/>
            <w:tcBorders>
              <w:top w:val="single" w:sz="4" w:space="0" w:color="auto"/>
              <w:left w:val="single" w:sz="4" w:space="0" w:color="auto"/>
              <w:bottom w:val="single" w:sz="4" w:space="0" w:color="auto"/>
              <w:right w:val="single" w:sz="4" w:space="0" w:color="auto"/>
            </w:tcBorders>
          </w:tcPr>
          <w:p w14:paraId="547504BC" w14:textId="341E32D9"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40</w:t>
            </w:r>
          </w:p>
        </w:tc>
        <w:tc>
          <w:tcPr>
            <w:tcW w:w="1579" w:type="dxa"/>
            <w:tcBorders>
              <w:top w:val="single" w:sz="4" w:space="0" w:color="auto"/>
              <w:left w:val="single" w:sz="4" w:space="0" w:color="auto"/>
              <w:bottom w:val="single" w:sz="4" w:space="0" w:color="auto"/>
              <w:right w:val="single" w:sz="4" w:space="0" w:color="auto"/>
            </w:tcBorders>
          </w:tcPr>
          <w:p w14:paraId="40695A1C" w14:textId="5E06CFD3" w:rsidR="00590BEF"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5.3%</w:t>
            </w:r>
          </w:p>
        </w:tc>
      </w:tr>
      <w:tr w:rsidR="00F31303" w14:paraId="233FD1FC"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78D70342" w14:textId="77777777" w:rsidR="00590BEF" w:rsidRPr="007202FA" w:rsidRDefault="000B4F21" w:rsidP="007202FA">
            <w:pPr>
              <w:rPr>
                <w:sz w:val="20"/>
                <w:szCs w:val="20"/>
              </w:rPr>
            </w:pPr>
            <w:r>
              <w:rPr>
                <w:rFonts w:cs="Calibri"/>
                <w:color w:val="000000"/>
                <w:sz w:val="20"/>
                <w:szCs w:val="20"/>
                <w:lang w:val="ga"/>
              </w:rPr>
              <w:t>Léargas</w:t>
            </w:r>
          </w:p>
        </w:tc>
        <w:tc>
          <w:tcPr>
            <w:tcW w:w="1559" w:type="dxa"/>
            <w:tcBorders>
              <w:top w:val="single" w:sz="4" w:space="0" w:color="auto"/>
              <w:left w:val="single" w:sz="4" w:space="0" w:color="auto"/>
              <w:bottom w:val="single" w:sz="4" w:space="0" w:color="auto"/>
              <w:right w:val="single" w:sz="4" w:space="0" w:color="auto"/>
            </w:tcBorders>
            <w:hideMark/>
          </w:tcPr>
          <w:p w14:paraId="6BA4F1E3" w14:textId="77777777" w:rsidR="00590BEF" w:rsidRPr="007202FA" w:rsidRDefault="000B4F21" w:rsidP="007202FA">
            <w:pPr>
              <w:jc w:val="right"/>
              <w:rPr>
                <w:sz w:val="20"/>
                <w:szCs w:val="20"/>
              </w:rPr>
            </w:pPr>
            <w:r>
              <w:rPr>
                <w:sz w:val="20"/>
                <w:szCs w:val="20"/>
                <w:lang w:val="ga"/>
              </w:rPr>
              <w:t>50</w:t>
            </w:r>
          </w:p>
        </w:tc>
        <w:tc>
          <w:tcPr>
            <w:tcW w:w="1701" w:type="dxa"/>
            <w:tcBorders>
              <w:top w:val="single" w:sz="4" w:space="0" w:color="auto"/>
              <w:left w:val="single" w:sz="4" w:space="0" w:color="auto"/>
              <w:bottom w:val="single" w:sz="4" w:space="0" w:color="auto"/>
              <w:right w:val="single" w:sz="4" w:space="0" w:color="auto"/>
            </w:tcBorders>
            <w:hideMark/>
          </w:tcPr>
          <w:p w14:paraId="31E0757F" w14:textId="77777777" w:rsidR="00590BEF" w:rsidRPr="007202FA" w:rsidRDefault="000B4F21" w:rsidP="007202FA">
            <w:pPr>
              <w:jc w:val="right"/>
              <w:rPr>
                <w:sz w:val="20"/>
                <w:szCs w:val="20"/>
              </w:rPr>
            </w:pPr>
            <w:r>
              <w:rPr>
                <w:sz w:val="20"/>
                <w:szCs w:val="20"/>
                <w:lang w:val="ga"/>
              </w:rPr>
              <w:t>8</w:t>
            </w:r>
          </w:p>
        </w:tc>
        <w:tc>
          <w:tcPr>
            <w:tcW w:w="1560" w:type="dxa"/>
            <w:tcBorders>
              <w:top w:val="single" w:sz="4" w:space="0" w:color="auto"/>
              <w:left w:val="single" w:sz="4" w:space="0" w:color="auto"/>
              <w:bottom w:val="single" w:sz="4" w:space="0" w:color="auto"/>
              <w:right w:val="single" w:sz="4" w:space="0" w:color="auto"/>
            </w:tcBorders>
            <w:hideMark/>
          </w:tcPr>
          <w:p w14:paraId="0B084F7F" w14:textId="77777777" w:rsidR="00590BEF" w:rsidRPr="007202FA" w:rsidRDefault="000B4F21" w:rsidP="007202FA">
            <w:pPr>
              <w:jc w:val="right"/>
              <w:rPr>
                <w:sz w:val="20"/>
                <w:szCs w:val="20"/>
              </w:rPr>
            </w:pPr>
            <w:r>
              <w:rPr>
                <w:sz w:val="20"/>
                <w:szCs w:val="20"/>
                <w:lang w:val="ga"/>
              </w:rPr>
              <w:t>16.0%</w:t>
            </w:r>
          </w:p>
        </w:tc>
        <w:tc>
          <w:tcPr>
            <w:tcW w:w="1559" w:type="dxa"/>
            <w:tcBorders>
              <w:top w:val="single" w:sz="4" w:space="0" w:color="auto"/>
              <w:left w:val="single" w:sz="4" w:space="0" w:color="auto"/>
              <w:bottom w:val="single" w:sz="4" w:space="0" w:color="auto"/>
              <w:right w:val="single" w:sz="4" w:space="0" w:color="auto"/>
            </w:tcBorders>
          </w:tcPr>
          <w:p w14:paraId="6B7F4997" w14:textId="242A80BF" w:rsidR="00590BEF" w:rsidRPr="007202FA" w:rsidRDefault="000B4F21" w:rsidP="007202FA">
            <w:pPr>
              <w:jc w:val="right"/>
              <w:rPr>
                <w:sz w:val="20"/>
                <w:szCs w:val="20"/>
              </w:rPr>
            </w:pPr>
            <w:r>
              <w:rPr>
                <w:sz w:val="20"/>
                <w:szCs w:val="20"/>
                <w:lang w:val="ga"/>
              </w:rPr>
              <w:t>54</w:t>
            </w:r>
          </w:p>
        </w:tc>
        <w:tc>
          <w:tcPr>
            <w:tcW w:w="1559" w:type="dxa"/>
            <w:tcBorders>
              <w:top w:val="single" w:sz="4" w:space="0" w:color="auto"/>
              <w:left w:val="single" w:sz="4" w:space="0" w:color="auto"/>
              <w:bottom w:val="single" w:sz="4" w:space="0" w:color="auto"/>
              <w:right w:val="single" w:sz="4" w:space="0" w:color="auto"/>
            </w:tcBorders>
          </w:tcPr>
          <w:p w14:paraId="12E4F6DD" w14:textId="0D99D244" w:rsidR="00590BEF" w:rsidRPr="007202FA" w:rsidRDefault="000B4F21" w:rsidP="007202FA">
            <w:pPr>
              <w:jc w:val="right"/>
              <w:rPr>
                <w:sz w:val="20"/>
                <w:szCs w:val="20"/>
              </w:rPr>
            </w:pPr>
            <w:r>
              <w:rPr>
                <w:sz w:val="20"/>
                <w:szCs w:val="20"/>
                <w:lang w:val="ga"/>
              </w:rPr>
              <w:t>5</w:t>
            </w:r>
          </w:p>
        </w:tc>
        <w:tc>
          <w:tcPr>
            <w:tcW w:w="1579" w:type="dxa"/>
            <w:tcBorders>
              <w:top w:val="single" w:sz="4" w:space="0" w:color="auto"/>
              <w:left w:val="single" w:sz="4" w:space="0" w:color="auto"/>
              <w:bottom w:val="single" w:sz="4" w:space="0" w:color="auto"/>
              <w:right w:val="single" w:sz="4" w:space="0" w:color="auto"/>
            </w:tcBorders>
          </w:tcPr>
          <w:p w14:paraId="32DEAA80" w14:textId="6BD9A52B" w:rsidR="00590BEF" w:rsidRPr="007202FA" w:rsidRDefault="000B4F21" w:rsidP="007202FA">
            <w:pPr>
              <w:jc w:val="right"/>
              <w:rPr>
                <w:sz w:val="20"/>
                <w:szCs w:val="20"/>
              </w:rPr>
            </w:pPr>
            <w:r>
              <w:rPr>
                <w:sz w:val="20"/>
                <w:szCs w:val="20"/>
                <w:lang w:val="ga"/>
              </w:rPr>
              <w:t>9.3%</w:t>
            </w:r>
          </w:p>
        </w:tc>
      </w:tr>
      <w:tr w:rsidR="00F31303" w14:paraId="26B71E96"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62677016" w14:textId="77777777" w:rsidR="00590BEF" w:rsidRPr="007202FA" w:rsidRDefault="000B4F21" w:rsidP="007202FA">
            <w:pPr>
              <w:rPr>
                <w:sz w:val="20"/>
                <w:szCs w:val="20"/>
              </w:rPr>
            </w:pPr>
            <w:r>
              <w:rPr>
                <w:rFonts w:cs="Calibri"/>
                <w:color w:val="000000"/>
                <w:sz w:val="20"/>
                <w:szCs w:val="20"/>
                <w:lang w:val="ga"/>
              </w:rPr>
              <w:t>Ollscoil Teicneolaíochta na Mumhan (MTU)</w:t>
            </w:r>
          </w:p>
        </w:tc>
        <w:tc>
          <w:tcPr>
            <w:tcW w:w="1559" w:type="dxa"/>
            <w:tcBorders>
              <w:top w:val="single" w:sz="4" w:space="0" w:color="auto"/>
              <w:left w:val="single" w:sz="4" w:space="0" w:color="auto"/>
              <w:bottom w:val="single" w:sz="4" w:space="0" w:color="auto"/>
              <w:right w:val="single" w:sz="4" w:space="0" w:color="auto"/>
            </w:tcBorders>
            <w:hideMark/>
          </w:tcPr>
          <w:p w14:paraId="3543D708" w14:textId="77777777" w:rsidR="00590BEF" w:rsidRPr="007202FA" w:rsidRDefault="000B4F21" w:rsidP="007202FA">
            <w:pPr>
              <w:jc w:val="right"/>
              <w:rPr>
                <w:sz w:val="20"/>
                <w:szCs w:val="20"/>
              </w:rPr>
            </w:pPr>
            <w:r>
              <w:rPr>
                <w:sz w:val="20"/>
                <w:szCs w:val="20"/>
                <w:lang w:val="ga"/>
              </w:rPr>
              <w:t>2,027</w:t>
            </w:r>
          </w:p>
        </w:tc>
        <w:tc>
          <w:tcPr>
            <w:tcW w:w="1701" w:type="dxa"/>
            <w:tcBorders>
              <w:top w:val="single" w:sz="4" w:space="0" w:color="auto"/>
              <w:left w:val="single" w:sz="4" w:space="0" w:color="auto"/>
              <w:bottom w:val="single" w:sz="4" w:space="0" w:color="auto"/>
              <w:right w:val="single" w:sz="4" w:space="0" w:color="auto"/>
            </w:tcBorders>
            <w:hideMark/>
          </w:tcPr>
          <w:p w14:paraId="069D1BFC" w14:textId="77777777" w:rsidR="00590BEF" w:rsidRPr="007202FA" w:rsidRDefault="000B4F21" w:rsidP="007202FA">
            <w:pPr>
              <w:jc w:val="right"/>
              <w:rPr>
                <w:sz w:val="20"/>
                <w:szCs w:val="20"/>
              </w:rPr>
            </w:pPr>
            <w:r>
              <w:rPr>
                <w:sz w:val="20"/>
                <w:szCs w:val="20"/>
                <w:lang w:val="ga"/>
              </w:rPr>
              <w:t>74</w:t>
            </w:r>
          </w:p>
        </w:tc>
        <w:tc>
          <w:tcPr>
            <w:tcW w:w="1560" w:type="dxa"/>
            <w:tcBorders>
              <w:top w:val="single" w:sz="4" w:space="0" w:color="auto"/>
              <w:left w:val="single" w:sz="4" w:space="0" w:color="auto"/>
              <w:bottom w:val="single" w:sz="4" w:space="0" w:color="auto"/>
              <w:right w:val="single" w:sz="4" w:space="0" w:color="auto"/>
            </w:tcBorders>
            <w:hideMark/>
          </w:tcPr>
          <w:p w14:paraId="5447505D" w14:textId="77777777" w:rsidR="00590BEF" w:rsidRPr="007202FA" w:rsidRDefault="000B4F21" w:rsidP="007202FA">
            <w:pPr>
              <w:jc w:val="right"/>
              <w:rPr>
                <w:sz w:val="20"/>
                <w:szCs w:val="20"/>
              </w:rPr>
            </w:pPr>
            <w:r>
              <w:rPr>
                <w:sz w:val="20"/>
                <w:szCs w:val="20"/>
                <w:lang w:val="ga"/>
              </w:rPr>
              <w:t>3.7%</w:t>
            </w:r>
          </w:p>
        </w:tc>
        <w:tc>
          <w:tcPr>
            <w:tcW w:w="1559" w:type="dxa"/>
            <w:tcBorders>
              <w:top w:val="single" w:sz="4" w:space="0" w:color="auto"/>
              <w:left w:val="single" w:sz="4" w:space="0" w:color="auto"/>
              <w:bottom w:val="single" w:sz="4" w:space="0" w:color="auto"/>
              <w:right w:val="single" w:sz="4" w:space="0" w:color="auto"/>
            </w:tcBorders>
          </w:tcPr>
          <w:p w14:paraId="4EE2D401" w14:textId="77777777" w:rsidR="00590BEF" w:rsidRPr="007202FA" w:rsidRDefault="000B4F21" w:rsidP="007202FA">
            <w:pPr>
              <w:jc w:val="right"/>
              <w:rPr>
                <w:sz w:val="20"/>
                <w:szCs w:val="20"/>
              </w:rPr>
            </w:pPr>
            <w:r>
              <w:rPr>
                <w:sz w:val="20"/>
                <w:szCs w:val="20"/>
                <w:lang w:val="ga"/>
              </w:rPr>
              <w:t>2,083</w:t>
            </w:r>
          </w:p>
          <w:p w14:paraId="6EEC0A7E"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05B85B2" w14:textId="77777777" w:rsidR="00590BEF" w:rsidRPr="007202FA" w:rsidRDefault="000B4F21" w:rsidP="007202FA">
            <w:pPr>
              <w:jc w:val="right"/>
              <w:rPr>
                <w:sz w:val="20"/>
                <w:szCs w:val="20"/>
              </w:rPr>
            </w:pPr>
            <w:r>
              <w:rPr>
                <w:sz w:val="20"/>
                <w:szCs w:val="20"/>
                <w:lang w:val="ga"/>
              </w:rPr>
              <w:t>64</w:t>
            </w:r>
          </w:p>
          <w:p w14:paraId="0224FCAC"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5FFE0176" w14:textId="77777777" w:rsidR="00590BEF" w:rsidRPr="007202FA" w:rsidRDefault="000B4F21" w:rsidP="007202FA">
            <w:pPr>
              <w:jc w:val="right"/>
              <w:rPr>
                <w:sz w:val="20"/>
                <w:szCs w:val="20"/>
              </w:rPr>
            </w:pPr>
            <w:r>
              <w:rPr>
                <w:sz w:val="20"/>
                <w:szCs w:val="20"/>
                <w:lang w:val="ga"/>
              </w:rPr>
              <w:t>3.1%</w:t>
            </w:r>
          </w:p>
          <w:p w14:paraId="2E8B07CD" w14:textId="77777777" w:rsidR="00590BEF" w:rsidRPr="007202FA" w:rsidRDefault="00590BEF" w:rsidP="007202FA">
            <w:pPr>
              <w:jc w:val="right"/>
              <w:rPr>
                <w:sz w:val="20"/>
                <w:szCs w:val="20"/>
              </w:rPr>
            </w:pPr>
          </w:p>
        </w:tc>
      </w:tr>
      <w:tr w:rsidR="00F31303" w14:paraId="29A0A64F"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5A1D3589" w14:textId="77777777" w:rsidR="00590BEF" w:rsidRPr="007202FA" w:rsidRDefault="000B4F21" w:rsidP="007202FA">
            <w:pPr>
              <w:rPr>
                <w:sz w:val="20"/>
                <w:szCs w:val="20"/>
              </w:rPr>
            </w:pPr>
            <w:r>
              <w:rPr>
                <w:rFonts w:cs="Calibri"/>
                <w:color w:val="000000"/>
                <w:sz w:val="20"/>
                <w:szCs w:val="20"/>
                <w:lang w:val="ga"/>
              </w:rPr>
              <w:t>An Coláiste Náisiúnta Ealaíne is Deartha (NCAD)</w:t>
            </w:r>
          </w:p>
        </w:tc>
        <w:tc>
          <w:tcPr>
            <w:tcW w:w="1559" w:type="dxa"/>
            <w:tcBorders>
              <w:top w:val="single" w:sz="4" w:space="0" w:color="auto"/>
              <w:left w:val="single" w:sz="4" w:space="0" w:color="auto"/>
              <w:bottom w:val="single" w:sz="4" w:space="0" w:color="auto"/>
              <w:right w:val="single" w:sz="4" w:space="0" w:color="auto"/>
            </w:tcBorders>
            <w:hideMark/>
          </w:tcPr>
          <w:p w14:paraId="2D9BA8D4" w14:textId="77777777" w:rsidR="00590BEF" w:rsidRPr="007202FA" w:rsidRDefault="000B4F21" w:rsidP="007202FA">
            <w:pPr>
              <w:jc w:val="right"/>
              <w:rPr>
                <w:sz w:val="20"/>
                <w:szCs w:val="20"/>
              </w:rPr>
            </w:pPr>
            <w:r>
              <w:rPr>
                <w:sz w:val="20"/>
                <w:szCs w:val="20"/>
                <w:lang w:val="ga"/>
              </w:rPr>
              <w:t>250</w:t>
            </w:r>
          </w:p>
        </w:tc>
        <w:tc>
          <w:tcPr>
            <w:tcW w:w="1701" w:type="dxa"/>
            <w:tcBorders>
              <w:top w:val="single" w:sz="4" w:space="0" w:color="auto"/>
              <w:left w:val="single" w:sz="4" w:space="0" w:color="auto"/>
              <w:bottom w:val="single" w:sz="4" w:space="0" w:color="auto"/>
              <w:right w:val="single" w:sz="4" w:space="0" w:color="auto"/>
            </w:tcBorders>
            <w:hideMark/>
          </w:tcPr>
          <w:p w14:paraId="47A8A19C" w14:textId="77777777" w:rsidR="00590BEF" w:rsidRPr="007202FA" w:rsidRDefault="000B4F21" w:rsidP="007202FA">
            <w:pPr>
              <w:jc w:val="right"/>
              <w:rPr>
                <w:sz w:val="20"/>
                <w:szCs w:val="20"/>
              </w:rPr>
            </w:pPr>
            <w:r>
              <w:rPr>
                <w:sz w:val="20"/>
                <w:szCs w:val="20"/>
                <w:lang w:val="ga"/>
              </w:rPr>
              <w:t>17</w:t>
            </w:r>
          </w:p>
        </w:tc>
        <w:tc>
          <w:tcPr>
            <w:tcW w:w="1560" w:type="dxa"/>
            <w:tcBorders>
              <w:top w:val="single" w:sz="4" w:space="0" w:color="auto"/>
              <w:left w:val="single" w:sz="4" w:space="0" w:color="auto"/>
              <w:bottom w:val="single" w:sz="4" w:space="0" w:color="auto"/>
              <w:right w:val="single" w:sz="4" w:space="0" w:color="auto"/>
            </w:tcBorders>
            <w:hideMark/>
          </w:tcPr>
          <w:p w14:paraId="2B4CBA49" w14:textId="77777777" w:rsidR="00590BEF" w:rsidRPr="007202FA" w:rsidRDefault="000B4F21" w:rsidP="007202FA">
            <w:pPr>
              <w:jc w:val="right"/>
              <w:rPr>
                <w:sz w:val="20"/>
                <w:szCs w:val="20"/>
              </w:rPr>
            </w:pPr>
            <w:r>
              <w:rPr>
                <w:sz w:val="20"/>
                <w:szCs w:val="20"/>
                <w:lang w:val="ga"/>
              </w:rPr>
              <w:t>6.8%</w:t>
            </w:r>
          </w:p>
        </w:tc>
        <w:tc>
          <w:tcPr>
            <w:tcW w:w="1559" w:type="dxa"/>
            <w:tcBorders>
              <w:top w:val="single" w:sz="4" w:space="0" w:color="auto"/>
              <w:left w:val="single" w:sz="4" w:space="0" w:color="auto"/>
              <w:bottom w:val="single" w:sz="4" w:space="0" w:color="auto"/>
              <w:right w:val="single" w:sz="4" w:space="0" w:color="auto"/>
            </w:tcBorders>
          </w:tcPr>
          <w:p w14:paraId="3993497A" w14:textId="77777777" w:rsidR="00590BEF" w:rsidRPr="007202FA" w:rsidRDefault="000B4F21" w:rsidP="007202FA">
            <w:pPr>
              <w:jc w:val="right"/>
              <w:rPr>
                <w:sz w:val="20"/>
                <w:szCs w:val="20"/>
              </w:rPr>
            </w:pPr>
            <w:r>
              <w:rPr>
                <w:sz w:val="20"/>
                <w:szCs w:val="20"/>
                <w:lang w:val="ga"/>
              </w:rPr>
              <w:t>267</w:t>
            </w:r>
          </w:p>
          <w:p w14:paraId="6276A7AF"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0BC0A8" w14:textId="77777777" w:rsidR="00590BEF" w:rsidRPr="007202FA" w:rsidRDefault="000B4F21" w:rsidP="007202FA">
            <w:pPr>
              <w:jc w:val="right"/>
              <w:rPr>
                <w:sz w:val="20"/>
                <w:szCs w:val="20"/>
              </w:rPr>
            </w:pPr>
            <w:r>
              <w:rPr>
                <w:sz w:val="20"/>
                <w:szCs w:val="20"/>
                <w:lang w:val="ga"/>
              </w:rPr>
              <w:t>14</w:t>
            </w:r>
          </w:p>
          <w:p w14:paraId="46EAF64D"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3EF7B8D2" w14:textId="77777777" w:rsidR="00590BEF" w:rsidRPr="007202FA" w:rsidRDefault="000B4F21" w:rsidP="007202FA">
            <w:pPr>
              <w:jc w:val="right"/>
              <w:rPr>
                <w:sz w:val="20"/>
                <w:szCs w:val="20"/>
              </w:rPr>
            </w:pPr>
            <w:r>
              <w:rPr>
                <w:sz w:val="20"/>
                <w:szCs w:val="20"/>
                <w:lang w:val="ga"/>
              </w:rPr>
              <w:t>5.2%</w:t>
            </w:r>
          </w:p>
          <w:p w14:paraId="407A29C1" w14:textId="77777777" w:rsidR="00590BEF" w:rsidRPr="007202FA" w:rsidRDefault="00590BEF" w:rsidP="007202FA">
            <w:pPr>
              <w:jc w:val="right"/>
              <w:rPr>
                <w:sz w:val="20"/>
                <w:szCs w:val="20"/>
              </w:rPr>
            </w:pPr>
          </w:p>
        </w:tc>
      </w:tr>
      <w:tr w:rsidR="00F31303" w14:paraId="72376131"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1318EC55" w14:textId="77777777" w:rsidR="00590BEF" w:rsidRPr="007202FA" w:rsidRDefault="000B4F21" w:rsidP="007202FA">
            <w:pPr>
              <w:rPr>
                <w:sz w:val="20"/>
                <w:szCs w:val="20"/>
              </w:rPr>
            </w:pPr>
            <w:r>
              <w:rPr>
                <w:rFonts w:cs="Calibri"/>
                <w:color w:val="000000"/>
                <w:sz w:val="20"/>
                <w:szCs w:val="20"/>
                <w:lang w:val="ga"/>
              </w:rPr>
              <w:t>Dearbhú Cáilíochta agus Cáilíochtaí Éireann</w:t>
            </w:r>
          </w:p>
        </w:tc>
        <w:tc>
          <w:tcPr>
            <w:tcW w:w="1559" w:type="dxa"/>
            <w:tcBorders>
              <w:top w:val="single" w:sz="4" w:space="0" w:color="auto"/>
              <w:left w:val="single" w:sz="4" w:space="0" w:color="auto"/>
              <w:bottom w:val="single" w:sz="4" w:space="0" w:color="auto"/>
              <w:right w:val="single" w:sz="4" w:space="0" w:color="auto"/>
            </w:tcBorders>
            <w:hideMark/>
          </w:tcPr>
          <w:p w14:paraId="3E2F453B" w14:textId="77777777" w:rsidR="00590BEF" w:rsidRPr="007202FA" w:rsidRDefault="000B4F21" w:rsidP="007202FA">
            <w:pPr>
              <w:jc w:val="right"/>
              <w:rPr>
                <w:sz w:val="20"/>
                <w:szCs w:val="20"/>
              </w:rPr>
            </w:pPr>
            <w:r>
              <w:rPr>
                <w:sz w:val="20"/>
                <w:szCs w:val="20"/>
                <w:lang w:val="ga"/>
              </w:rPr>
              <w:t>82</w:t>
            </w:r>
          </w:p>
        </w:tc>
        <w:tc>
          <w:tcPr>
            <w:tcW w:w="1701" w:type="dxa"/>
            <w:tcBorders>
              <w:top w:val="single" w:sz="4" w:space="0" w:color="auto"/>
              <w:left w:val="single" w:sz="4" w:space="0" w:color="auto"/>
              <w:bottom w:val="single" w:sz="4" w:space="0" w:color="auto"/>
              <w:right w:val="single" w:sz="4" w:space="0" w:color="auto"/>
            </w:tcBorders>
            <w:hideMark/>
          </w:tcPr>
          <w:p w14:paraId="367FC5CC" w14:textId="77777777" w:rsidR="00590BEF" w:rsidRPr="007202FA" w:rsidRDefault="000B4F21" w:rsidP="007202FA">
            <w:pPr>
              <w:jc w:val="right"/>
              <w:rPr>
                <w:sz w:val="20"/>
                <w:szCs w:val="20"/>
              </w:rPr>
            </w:pPr>
            <w:r>
              <w:rPr>
                <w:sz w:val="20"/>
                <w:szCs w:val="20"/>
                <w:lang w:val="ga"/>
              </w:rPr>
              <w:t>10</w:t>
            </w:r>
          </w:p>
        </w:tc>
        <w:tc>
          <w:tcPr>
            <w:tcW w:w="1560" w:type="dxa"/>
            <w:tcBorders>
              <w:top w:val="single" w:sz="4" w:space="0" w:color="auto"/>
              <w:left w:val="single" w:sz="4" w:space="0" w:color="auto"/>
              <w:bottom w:val="single" w:sz="4" w:space="0" w:color="auto"/>
              <w:right w:val="single" w:sz="4" w:space="0" w:color="auto"/>
            </w:tcBorders>
            <w:hideMark/>
          </w:tcPr>
          <w:p w14:paraId="5ED3E306" w14:textId="77777777" w:rsidR="00590BEF" w:rsidRPr="007202FA" w:rsidRDefault="000B4F21" w:rsidP="007202FA">
            <w:pPr>
              <w:jc w:val="right"/>
              <w:rPr>
                <w:sz w:val="20"/>
                <w:szCs w:val="20"/>
              </w:rPr>
            </w:pPr>
            <w:r>
              <w:rPr>
                <w:sz w:val="20"/>
                <w:szCs w:val="20"/>
                <w:lang w:val="ga"/>
              </w:rPr>
              <w:t>12.2%</w:t>
            </w:r>
          </w:p>
        </w:tc>
        <w:tc>
          <w:tcPr>
            <w:tcW w:w="1559" w:type="dxa"/>
            <w:tcBorders>
              <w:top w:val="single" w:sz="4" w:space="0" w:color="auto"/>
              <w:left w:val="single" w:sz="4" w:space="0" w:color="auto"/>
              <w:bottom w:val="single" w:sz="4" w:space="0" w:color="auto"/>
              <w:right w:val="single" w:sz="4" w:space="0" w:color="auto"/>
            </w:tcBorders>
          </w:tcPr>
          <w:p w14:paraId="01B934B3" w14:textId="77777777" w:rsidR="00590BEF" w:rsidRPr="007202FA" w:rsidRDefault="000B4F21" w:rsidP="007202FA">
            <w:pPr>
              <w:jc w:val="right"/>
              <w:rPr>
                <w:sz w:val="20"/>
                <w:szCs w:val="20"/>
              </w:rPr>
            </w:pPr>
            <w:r>
              <w:rPr>
                <w:sz w:val="20"/>
                <w:szCs w:val="20"/>
                <w:lang w:val="ga"/>
              </w:rPr>
              <w:t>88</w:t>
            </w:r>
          </w:p>
          <w:p w14:paraId="39277080"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139E31" w14:textId="77777777" w:rsidR="00590BEF" w:rsidRPr="007202FA" w:rsidRDefault="000B4F21" w:rsidP="007202FA">
            <w:pPr>
              <w:jc w:val="right"/>
              <w:rPr>
                <w:sz w:val="20"/>
                <w:szCs w:val="20"/>
              </w:rPr>
            </w:pPr>
            <w:r>
              <w:rPr>
                <w:sz w:val="20"/>
                <w:szCs w:val="20"/>
                <w:lang w:val="ga"/>
              </w:rPr>
              <w:t>8</w:t>
            </w:r>
          </w:p>
          <w:p w14:paraId="40A8976A"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1EC5A0A4" w14:textId="77777777" w:rsidR="00590BEF" w:rsidRPr="007202FA" w:rsidRDefault="000B4F21" w:rsidP="007202FA">
            <w:pPr>
              <w:jc w:val="right"/>
              <w:rPr>
                <w:sz w:val="20"/>
                <w:szCs w:val="20"/>
              </w:rPr>
            </w:pPr>
            <w:r>
              <w:rPr>
                <w:sz w:val="20"/>
                <w:szCs w:val="20"/>
                <w:lang w:val="ga"/>
              </w:rPr>
              <w:t>9.1%</w:t>
            </w:r>
          </w:p>
          <w:p w14:paraId="1EB072F8" w14:textId="77777777" w:rsidR="00590BEF" w:rsidRPr="007202FA" w:rsidRDefault="00590BEF" w:rsidP="007202FA">
            <w:pPr>
              <w:jc w:val="right"/>
              <w:rPr>
                <w:sz w:val="20"/>
                <w:szCs w:val="20"/>
              </w:rPr>
            </w:pPr>
          </w:p>
        </w:tc>
      </w:tr>
      <w:tr w:rsidR="00F31303" w14:paraId="21E7C41D"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38714C8A" w14:textId="77777777" w:rsidR="00590BEF" w:rsidRPr="007202FA" w:rsidRDefault="000B4F21" w:rsidP="007202FA">
            <w:pPr>
              <w:rPr>
                <w:b/>
                <w:bCs/>
                <w:sz w:val="20"/>
                <w:szCs w:val="20"/>
              </w:rPr>
            </w:pPr>
            <w:r>
              <w:rPr>
                <w:sz w:val="20"/>
                <w:szCs w:val="20"/>
                <w:lang w:val="ga"/>
              </w:rPr>
              <w:t>Taighde Éireann</w:t>
            </w:r>
            <w:r>
              <w:rPr>
                <w:rStyle w:val="FootnoteReference"/>
                <w:sz w:val="20"/>
                <w:szCs w:val="20"/>
                <w:lang w:val="ga"/>
              </w:rPr>
              <w:footnoteReference w:id="12"/>
            </w:r>
            <w:r>
              <w:rPr>
                <w:b/>
                <w:bCs/>
                <w:sz w:val="20"/>
                <w:szCs w:val="20"/>
                <w:lang w:val="ga"/>
              </w:rPr>
              <w:t xml:space="preserve"> </w:t>
            </w:r>
          </w:p>
          <w:p w14:paraId="5198917B" w14:textId="77777777" w:rsidR="005F5C07" w:rsidRPr="007202FA" w:rsidRDefault="005F5C07" w:rsidP="007202FA">
            <w:pPr>
              <w:rPr>
                <w:b/>
                <w:bCs/>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6511FF1D" w14:textId="77777777" w:rsidR="00590BEF" w:rsidRPr="007202FA" w:rsidRDefault="000B4F21" w:rsidP="007202FA">
            <w:pPr>
              <w:jc w:val="right"/>
              <w:rPr>
                <w:sz w:val="20"/>
                <w:szCs w:val="20"/>
              </w:rPr>
            </w:pPr>
            <w:r>
              <w:rPr>
                <w:sz w:val="20"/>
                <w:szCs w:val="20"/>
                <w:lang w:val="ga"/>
              </w:rPr>
              <w:t>119</w:t>
            </w:r>
          </w:p>
        </w:tc>
        <w:tc>
          <w:tcPr>
            <w:tcW w:w="1701" w:type="dxa"/>
            <w:tcBorders>
              <w:top w:val="single" w:sz="4" w:space="0" w:color="auto"/>
              <w:left w:val="single" w:sz="4" w:space="0" w:color="auto"/>
              <w:bottom w:val="single" w:sz="4" w:space="0" w:color="auto"/>
              <w:right w:val="single" w:sz="4" w:space="0" w:color="auto"/>
            </w:tcBorders>
            <w:hideMark/>
          </w:tcPr>
          <w:p w14:paraId="7E74D6CB" w14:textId="77777777" w:rsidR="00590BEF" w:rsidRPr="007202FA" w:rsidRDefault="000B4F21" w:rsidP="007202FA">
            <w:pPr>
              <w:jc w:val="right"/>
              <w:rPr>
                <w:sz w:val="20"/>
                <w:szCs w:val="20"/>
              </w:rPr>
            </w:pPr>
            <w:r>
              <w:rPr>
                <w:sz w:val="20"/>
                <w:szCs w:val="20"/>
                <w:lang w:val="ga"/>
              </w:rPr>
              <w:t>11</w:t>
            </w:r>
          </w:p>
        </w:tc>
        <w:tc>
          <w:tcPr>
            <w:tcW w:w="1560" w:type="dxa"/>
            <w:tcBorders>
              <w:top w:val="single" w:sz="4" w:space="0" w:color="auto"/>
              <w:left w:val="single" w:sz="4" w:space="0" w:color="auto"/>
              <w:bottom w:val="single" w:sz="4" w:space="0" w:color="auto"/>
              <w:right w:val="single" w:sz="4" w:space="0" w:color="auto"/>
            </w:tcBorders>
            <w:hideMark/>
          </w:tcPr>
          <w:p w14:paraId="63613316" w14:textId="77777777" w:rsidR="00590BEF" w:rsidRPr="007202FA" w:rsidRDefault="000B4F21" w:rsidP="007202FA">
            <w:pPr>
              <w:jc w:val="right"/>
              <w:rPr>
                <w:sz w:val="20"/>
                <w:szCs w:val="20"/>
              </w:rPr>
            </w:pPr>
            <w:r>
              <w:rPr>
                <w:sz w:val="20"/>
                <w:szCs w:val="20"/>
                <w:lang w:val="ga"/>
              </w:rPr>
              <w:t>9.2%</w:t>
            </w:r>
          </w:p>
        </w:tc>
        <w:tc>
          <w:tcPr>
            <w:tcW w:w="1559" w:type="dxa"/>
            <w:tcBorders>
              <w:top w:val="single" w:sz="4" w:space="0" w:color="auto"/>
              <w:left w:val="single" w:sz="4" w:space="0" w:color="auto"/>
              <w:bottom w:val="single" w:sz="4" w:space="0" w:color="auto"/>
              <w:right w:val="single" w:sz="4" w:space="0" w:color="auto"/>
            </w:tcBorders>
          </w:tcPr>
          <w:p w14:paraId="22F1D140" w14:textId="77777777" w:rsidR="00590BEF" w:rsidRPr="007202FA" w:rsidRDefault="000B4F21" w:rsidP="007202FA">
            <w:pPr>
              <w:jc w:val="right"/>
              <w:rPr>
                <w:sz w:val="20"/>
                <w:szCs w:val="20"/>
              </w:rPr>
            </w:pPr>
            <w:r>
              <w:rPr>
                <w:sz w:val="20"/>
                <w:szCs w:val="20"/>
                <w:lang w:val="ga"/>
              </w:rPr>
              <w:t>131</w:t>
            </w:r>
          </w:p>
          <w:p w14:paraId="31F53A33"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7C687FA" w14:textId="77777777" w:rsidR="00590BEF" w:rsidRPr="007202FA" w:rsidRDefault="000B4F21" w:rsidP="007202FA">
            <w:pPr>
              <w:jc w:val="right"/>
              <w:rPr>
                <w:sz w:val="20"/>
                <w:szCs w:val="20"/>
              </w:rPr>
            </w:pPr>
            <w:r>
              <w:rPr>
                <w:sz w:val="20"/>
                <w:szCs w:val="20"/>
                <w:lang w:val="ga"/>
              </w:rPr>
              <w:t>13</w:t>
            </w:r>
          </w:p>
          <w:p w14:paraId="065B464F"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76A4F8EC" w14:textId="77777777" w:rsidR="00590BEF" w:rsidRPr="007202FA" w:rsidRDefault="000B4F21" w:rsidP="007202FA">
            <w:pPr>
              <w:jc w:val="right"/>
              <w:rPr>
                <w:sz w:val="20"/>
                <w:szCs w:val="20"/>
              </w:rPr>
            </w:pPr>
            <w:r>
              <w:rPr>
                <w:sz w:val="20"/>
                <w:szCs w:val="20"/>
                <w:lang w:val="ga"/>
              </w:rPr>
              <w:t>9.9%</w:t>
            </w:r>
          </w:p>
          <w:p w14:paraId="31EE66BA" w14:textId="77777777" w:rsidR="00590BEF" w:rsidRPr="007202FA" w:rsidRDefault="00590BEF" w:rsidP="007202FA">
            <w:pPr>
              <w:jc w:val="right"/>
              <w:rPr>
                <w:sz w:val="20"/>
                <w:szCs w:val="20"/>
              </w:rPr>
            </w:pPr>
          </w:p>
        </w:tc>
      </w:tr>
      <w:tr w:rsidR="00F31303" w14:paraId="243DE692" w14:textId="77777777" w:rsidTr="0050231C">
        <w:trPr>
          <w:trHeight w:val="58"/>
          <w:jc w:val="center"/>
        </w:trPr>
        <w:tc>
          <w:tcPr>
            <w:tcW w:w="1838" w:type="dxa"/>
            <w:tcBorders>
              <w:top w:val="single" w:sz="4" w:space="0" w:color="auto"/>
              <w:left w:val="single" w:sz="4" w:space="0" w:color="auto"/>
              <w:bottom w:val="single" w:sz="4" w:space="0" w:color="auto"/>
              <w:right w:val="single" w:sz="4" w:space="0" w:color="auto"/>
            </w:tcBorders>
            <w:hideMark/>
          </w:tcPr>
          <w:p w14:paraId="535B5E81" w14:textId="77777777" w:rsidR="00590BEF" w:rsidRPr="007202FA" w:rsidRDefault="000B4F21" w:rsidP="007202FA">
            <w:pPr>
              <w:rPr>
                <w:sz w:val="20"/>
                <w:szCs w:val="20"/>
              </w:rPr>
            </w:pPr>
            <w:r>
              <w:rPr>
                <w:rFonts w:cs="Calibri"/>
                <w:color w:val="000000"/>
                <w:sz w:val="20"/>
                <w:szCs w:val="20"/>
                <w:lang w:val="ga"/>
              </w:rPr>
              <w:t>SOLAS - An tÚdarás Breisoideachais agus Oiliúna</w:t>
            </w:r>
          </w:p>
        </w:tc>
        <w:tc>
          <w:tcPr>
            <w:tcW w:w="1559" w:type="dxa"/>
            <w:tcBorders>
              <w:top w:val="single" w:sz="4" w:space="0" w:color="auto"/>
              <w:left w:val="single" w:sz="4" w:space="0" w:color="auto"/>
              <w:bottom w:val="single" w:sz="4" w:space="0" w:color="auto"/>
              <w:right w:val="single" w:sz="4" w:space="0" w:color="auto"/>
            </w:tcBorders>
            <w:hideMark/>
          </w:tcPr>
          <w:p w14:paraId="73457020" w14:textId="77777777" w:rsidR="00590BEF" w:rsidRPr="007202FA" w:rsidRDefault="000B4F21" w:rsidP="007202FA">
            <w:pPr>
              <w:jc w:val="right"/>
              <w:rPr>
                <w:sz w:val="20"/>
                <w:szCs w:val="20"/>
              </w:rPr>
            </w:pPr>
            <w:r>
              <w:rPr>
                <w:sz w:val="20"/>
                <w:szCs w:val="20"/>
                <w:lang w:val="ga"/>
              </w:rPr>
              <w:t>247</w:t>
            </w:r>
          </w:p>
        </w:tc>
        <w:tc>
          <w:tcPr>
            <w:tcW w:w="1701" w:type="dxa"/>
            <w:tcBorders>
              <w:top w:val="single" w:sz="4" w:space="0" w:color="auto"/>
              <w:left w:val="single" w:sz="4" w:space="0" w:color="auto"/>
              <w:bottom w:val="single" w:sz="4" w:space="0" w:color="auto"/>
              <w:right w:val="single" w:sz="4" w:space="0" w:color="auto"/>
            </w:tcBorders>
            <w:hideMark/>
          </w:tcPr>
          <w:p w14:paraId="49EB5FBB" w14:textId="77777777" w:rsidR="00590BEF" w:rsidRPr="007202FA" w:rsidRDefault="000B4F21" w:rsidP="007202FA">
            <w:pPr>
              <w:jc w:val="right"/>
              <w:rPr>
                <w:sz w:val="20"/>
                <w:szCs w:val="20"/>
              </w:rPr>
            </w:pPr>
            <w:r>
              <w:rPr>
                <w:sz w:val="20"/>
                <w:szCs w:val="20"/>
                <w:lang w:val="ga"/>
              </w:rPr>
              <w:t>15</w:t>
            </w:r>
          </w:p>
        </w:tc>
        <w:tc>
          <w:tcPr>
            <w:tcW w:w="1560" w:type="dxa"/>
            <w:tcBorders>
              <w:top w:val="single" w:sz="4" w:space="0" w:color="auto"/>
              <w:left w:val="single" w:sz="4" w:space="0" w:color="auto"/>
              <w:bottom w:val="single" w:sz="4" w:space="0" w:color="auto"/>
              <w:right w:val="single" w:sz="4" w:space="0" w:color="auto"/>
            </w:tcBorders>
            <w:hideMark/>
          </w:tcPr>
          <w:p w14:paraId="65C4562F" w14:textId="77777777" w:rsidR="00590BEF" w:rsidRPr="007202FA" w:rsidRDefault="000B4F21" w:rsidP="007202FA">
            <w:pPr>
              <w:jc w:val="right"/>
              <w:rPr>
                <w:sz w:val="20"/>
                <w:szCs w:val="20"/>
              </w:rPr>
            </w:pPr>
            <w:r>
              <w:rPr>
                <w:sz w:val="20"/>
                <w:szCs w:val="20"/>
                <w:lang w:val="ga"/>
              </w:rPr>
              <w:t>6.1%</w:t>
            </w:r>
          </w:p>
        </w:tc>
        <w:tc>
          <w:tcPr>
            <w:tcW w:w="1559" w:type="dxa"/>
            <w:tcBorders>
              <w:top w:val="single" w:sz="4" w:space="0" w:color="auto"/>
              <w:left w:val="single" w:sz="4" w:space="0" w:color="auto"/>
              <w:bottom w:val="single" w:sz="4" w:space="0" w:color="auto"/>
              <w:right w:val="single" w:sz="4" w:space="0" w:color="auto"/>
            </w:tcBorders>
          </w:tcPr>
          <w:p w14:paraId="382B2D54" w14:textId="77777777" w:rsidR="00590BEF" w:rsidRPr="007202FA" w:rsidRDefault="000B4F21" w:rsidP="007202FA">
            <w:pPr>
              <w:jc w:val="right"/>
              <w:rPr>
                <w:sz w:val="20"/>
                <w:szCs w:val="20"/>
              </w:rPr>
            </w:pPr>
            <w:r>
              <w:rPr>
                <w:sz w:val="20"/>
                <w:szCs w:val="20"/>
                <w:lang w:val="ga"/>
              </w:rPr>
              <w:t>263</w:t>
            </w:r>
          </w:p>
          <w:p w14:paraId="6B76CAB3"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74B3767" w14:textId="77777777" w:rsidR="00590BEF" w:rsidRPr="007202FA" w:rsidRDefault="000B4F21" w:rsidP="007202FA">
            <w:pPr>
              <w:jc w:val="right"/>
              <w:rPr>
                <w:sz w:val="20"/>
                <w:szCs w:val="20"/>
              </w:rPr>
            </w:pPr>
            <w:r>
              <w:rPr>
                <w:sz w:val="20"/>
                <w:szCs w:val="20"/>
                <w:lang w:val="ga"/>
              </w:rPr>
              <w:t>17</w:t>
            </w:r>
          </w:p>
          <w:p w14:paraId="2B99465B"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322CE607" w14:textId="77777777" w:rsidR="00590BEF" w:rsidRPr="007202FA" w:rsidRDefault="000B4F21" w:rsidP="007202FA">
            <w:pPr>
              <w:jc w:val="right"/>
              <w:rPr>
                <w:sz w:val="20"/>
                <w:szCs w:val="20"/>
              </w:rPr>
            </w:pPr>
            <w:r>
              <w:rPr>
                <w:sz w:val="20"/>
                <w:szCs w:val="20"/>
                <w:lang w:val="ga"/>
              </w:rPr>
              <w:t>6.5%</w:t>
            </w:r>
          </w:p>
          <w:p w14:paraId="7F8173A1" w14:textId="77777777" w:rsidR="00590BEF" w:rsidRPr="007202FA" w:rsidRDefault="00590BEF" w:rsidP="007202FA">
            <w:pPr>
              <w:jc w:val="right"/>
              <w:rPr>
                <w:sz w:val="20"/>
                <w:szCs w:val="20"/>
              </w:rPr>
            </w:pPr>
          </w:p>
        </w:tc>
      </w:tr>
      <w:tr w:rsidR="00F31303" w14:paraId="4B1E2B14" w14:textId="77777777" w:rsidTr="0050231C">
        <w:trPr>
          <w:trHeight w:val="511"/>
          <w:jc w:val="center"/>
        </w:trPr>
        <w:tc>
          <w:tcPr>
            <w:tcW w:w="1838" w:type="dxa"/>
            <w:tcBorders>
              <w:top w:val="single" w:sz="4" w:space="0" w:color="auto"/>
              <w:left w:val="single" w:sz="4" w:space="0" w:color="auto"/>
              <w:bottom w:val="single" w:sz="4" w:space="0" w:color="auto"/>
              <w:right w:val="single" w:sz="4" w:space="0" w:color="auto"/>
            </w:tcBorders>
            <w:hideMark/>
          </w:tcPr>
          <w:p w14:paraId="75C324E9" w14:textId="77777777" w:rsidR="00590BEF" w:rsidRPr="007202FA" w:rsidRDefault="000B4F21" w:rsidP="007202FA">
            <w:pPr>
              <w:rPr>
                <w:rFonts w:cs="Calibri"/>
                <w:color w:val="000000"/>
                <w:sz w:val="20"/>
                <w:szCs w:val="20"/>
              </w:rPr>
            </w:pPr>
            <w:r>
              <w:rPr>
                <w:sz w:val="20"/>
                <w:szCs w:val="20"/>
                <w:lang w:val="ga"/>
              </w:rPr>
              <w:t>Ollscoil Teicneolaíochta an Oirdheiscirt (SETU)</w:t>
            </w:r>
            <w:r>
              <w:rPr>
                <w:rStyle w:val="FootnoteReference"/>
                <w:sz w:val="20"/>
                <w:szCs w:val="20"/>
                <w:lang w:val="ga"/>
              </w:rPr>
              <w:footnoteReference w:id="13"/>
            </w:r>
            <w:r>
              <w:rPr>
                <w:sz w:val="20"/>
                <w:szCs w:val="20"/>
                <w:lang w:val="ga"/>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5A6BEF7C" w14:textId="77777777" w:rsidR="00590BEF" w:rsidRPr="007202FA" w:rsidRDefault="000B4F21" w:rsidP="007202FA">
            <w:pPr>
              <w:jc w:val="right"/>
              <w:rPr>
                <w:rFonts w:cs="Calibri"/>
                <w:color w:val="000000"/>
                <w:sz w:val="20"/>
                <w:szCs w:val="20"/>
              </w:rPr>
            </w:pPr>
            <w:r>
              <w:rPr>
                <w:sz w:val="20"/>
                <w:szCs w:val="20"/>
                <w:lang w:val="ga"/>
              </w:rPr>
              <w:t>1,318</w:t>
            </w:r>
          </w:p>
        </w:tc>
        <w:tc>
          <w:tcPr>
            <w:tcW w:w="1701" w:type="dxa"/>
            <w:tcBorders>
              <w:top w:val="single" w:sz="4" w:space="0" w:color="auto"/>
              <w:left w:val="single" w:sz="4" w:space="0" w:color="auto"/>
              <w:bottom w:val="single" w:sz="4" w:space="0" w:color="auto"/>
              <w:right w:val="single" w:sz="4" w:space="0" w:color="auto"/>
            </w:tcBorders>
            <w:hideMark/>
          </w:tcPr>
          <w:p w14:paraId="79CF572A" w14:textId="77777777" w:rsidR="00590BEF" w:rsidRPr="007202FA" w:rsidRDefault="000B4F21" w:rsidP="007202FA">
            <w:pPr>
              <w:jc w:val="right"/>
              <w:rPr>
                <w:rFonts w:cs="Calibri"/>
                <w:color w:val="000000"/>
                <w:sz w:val="20"/>
                <w:szCs w:val="20"/>
              </w:rPr>
            </w:pPr>
            <w:r>
              <w:rPr>
                <w:sz w:val="20"/>
                <w:szCs w:val="20"/>
                <w:lang w:val="ga"/>
              </w:rPr>
              <w:t>90</w:t>
            </w:r>
          </w:p>
        </w:tc>
        <w:tc>
          <w:tcPr>
            <w:tcW w:w="1560" w:type="dxa"/>
            <w:tcBorders>
              <w:top w:val="single" w:sz="4" w:space="0" w:color="auto"/>
              <w:left w:val="single" w:sz="4" w:space="0" w:color="auto"/>
              <w:bottom w:val="single" w:sz="4" w:space="0" w:color="auto"/>
              <w:right w:val="single" w:sz="4" w:space="0" w:color="auto"/>
            </w:tcBorders>
            <w:hideMark/>
          </w:tcPr>
          <w:p w14:paraId="224FCE69" w14:textId="77777777" w:rsidR="00590BEF" w:rsidRPr="007202FA" w:rsidRDefault="000B4F21" w:rsidP="007202FA">
            <w:pPr>
              <w:jc w:val="right"/>
              <w:rPr>
                <w:rFonts w:cs="Calibri"/>
                <w:color w:val="000000"/>
                <w:sz w:val="20"/>
                <w:szCs w:val="20"/>
              </w:rPr>
            </w:pPr>
            <w:r>
              <w:rPr>
                <w:sz w:val="20"/>
                <w:szCs w:val="20"/>
                <w:lang w:val="ga"/>
              </w:rPr>
              <w:t>6.8%</w:t>
            </w:r>
          </w:p>
        </w:tc>
        <w:tc>
          <w:tcPr>
            <w:tcW w:w="1559" w:type="dxa"/>
            <w:tcBorders>
              <w:top w:val="single" w:sz="4" w:space="0" w:color="auto"/>
              <w:left w:val="single" w:sz="4" w:space="0" w:color="auto"/>
              <w:bottom w:val="single" w:sz="4" w:space="0" w:color="auto"/>
              <w:right w:val="single" w:sz="4" w:space="0" w:color="auto"/>
            </w:tcBorders>
          </w:tcPr>
          <w:p w14:paraId="6AAE5833" w14:textId="77777777" w:rsidR="00590BEF" w:rsidRPr="007202FA" w:rsidRDefault="000B4F21" w:rsidP="007202FA">
            <w:pPr>
              <w:jc w:val="right"/>
              <w:rPr>
                <w:sz w:val="20"/>
                <w:szCs w:val="20"/>
              </w:rPr>
            </w:pPr>
            <w:r>
              <w:rPr>
                <w:sz w:val="20"/>
                <w:szCs w:val="20"/>
                <w:lang w:val="ga"/>
              </w:rPr>
              <w:t>1,842</w:t>
            </w:r>
          </w:p>
          <w:p w14:paraId="3D7A965C"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E72E9A" w14:textId="77777777" w:rsidR="00590BEF" w:rsidRPr="007202FA" w:rsidRDefault="000B4F21" w:rsidP="007202FA">
            <w:pPr>
              <w:jc w:val="right"/>
              <w:rPr>
                <w:sz w:val="20"/>
                <w:szCs w:val="20"/>
              </w:rPr>
            </w:pPr>
            <w:r>
              <w:rPr>
                <w:sz w:val="20"/>
                <w:szCs w:val="20"/>
                <w:lang w:val="ga"/>
              </w:rPr>
              <w:t>421</w:t>
            </w:r>
          </w:p>
          <w:p w14:paraId="19F381FF" w14:textId="77777777" w:rsidR="00590BEF" w:rsidRPr="007202FA" w:rsidRDefault="00590BEF" w:rsidP="007202FA">
            <w:pPr>
              <w:jc w:val="right"/>
              <w:rPr>
                <w:sz w:val="20"/>
                <w:szCs w:val="20"/>
              </w:rPr>
            </w:pPr>
          </w:p>
        </w:tc>
        <w:tc>
          <w:tcPr>
            <w:tcW w:w="1579" w:type="dxa"/>
            <w:tcBorders>
              <w:top w:val="single" w:sz="4" w:space="0" w:color="auto"/>
              <w:left w:val="single" w:sz="4" w:space="0" w:color="auto"/>
              <w:bottom w:val="single" w:sz="4" w:space="0" w:color="auto"/>
              <w:right w:val="single" w:sz="4" w:space="0" w:color="auto"/>
            </w:tcBorders>
          </w:tcPr>
          <w:p w14:paraId="2DCEC205" w14:textId="77777777" w:rsidR="00590BEF" w:rsidRPr="007202FA" w:rsidRDefault="000B4F21" w:rsidP="007202FA">
            <w:pPr>
              <w:jc w:val="right"/>
              <w:rPr>
                <w:sz w:val="20"/>
                <w:szCs w:val="20"/>
              </w:rPr>
            </w:pPr>
            <w:r>
              <w:rPr>
                <w:sz w:val="20"/>
                <w:szCs w:val="20"/>
                <w:lang w:val="ga"/>
              </w:rPr>
              <w:t>22.9%</w:t>
            </w:r>
          </w:p>
          <w:p w14:paraId="6FF5FE00" w14:textId="77777777" w:rsidR="00590BEF" w:rsidRPr="007202FA" w:rsidRDefault="00590BEF" w:rsidP="007202FA">
            <w:pPr>
              <w:jc w:val="right"/>
              <w:rPr>
                <w:sz w:val="20"/>
                <w:szCs w:val="20"/>
              </w:rPr>
            </w:pPr>
          </w:p>
        </w:tc>
      </w:tr>
      <w:tr w:rsidR="00F31303" w14:paraId="13B97106"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5F677974" w14:textId="77777777" w:rsidR="00590BEF" w:rsidRPr="007202FA" w:rsidRDefault="000B4F21" w:rsidP="007202FA">
            <w:pPr>
              <w:pStyle w:val="TableHead"/>
              <w:rPr>
                <w:rFonts w:ascii="Verdana" w:hAnsi="Verdana"/>
                <w:b w:val="0"/>
                <w:kern w:val="2"/>
                <w:sz w:val="20"/>
                <w:szCs w:val="20"/>
                <w14:ligatures w14:val="standardContextual"/>
              </w:rPr>
            </w:pPr>
            <w:r>
              <w:rPr>
                <w:rFonts w:ascii="Verdana" w:hAnsi="Verdana" w:cs="Calibri"/>
                <w:b w:val="0"/>
                <w:color w:val="000000"/>
                <w:kern w:val="2"/>
                <w:sz w:val="20"/>
                <w:szCs w:val="20"/>
                <w:lang w:val="ga"/>
                <w14:ligatures w14:val="standardContextual"/>
              </w:rPr>
              <w:t>Ollscoil Teicneolaíochta Bhaile Átha Cliath</w:t>
            </w:r>
          </w:p>
        </w:tc>
        <w:tc>
          <w:tcPr>
            <w:tcW w:w="1559" w:type="dxa"/>
            <w:tcBorders>
              <w:top w:val="single" w:sz="4" w:space="0" w:color="auto"/>
              <w:left w:val="single" w:sz="4" w:space="0" w:color="auto"/>
              <w:bottom w:val="single" w:sz="4" w:space="0" w:color="auto"/>
              <w:right w:val="single" w:sz="4" w:space="0" w:color="auto"/>
            </w:tcBorders>
            <w:hideMark/>
          </w:tcPr>
          <w:p w14:paraId="1FAB3328" w14:textId="77777777" w:rsidR="00590BEF" w:rsidRPr="007202FA" w:rsidRDefault="000B4F21" w:rsidP="007202FA">
            <w:pPr>
              <w:jc w:val="right"/>
              <w:rPr>
                <w:sz w:val="20"/>
                <w:szCs w:val="20"/>
              </w:rPr>
            </w:pPr>
            <w:r>
              <w:rPr>
                <w:sz w:val="20"/>
                <w:szCs w:val="20"/>
                <w:lang w:val="ga"/>
              </w:rPr>
              <w:t>3,283</w:t>
            </w:r>
          </w:p>
        </w:tc>
        <w:tc>
          <w:tcPr>
            <w:tcW w:w="1701" w:type="dxa"/>
            <w:tcBorders>
              <w:top w:val="single" w:sz="4" w:space="0" w:color="auto"/>
              <w:left w:val="single" w:sz="4" w:space="0" w:color="auto"/>
              <w:bottom w:val="single" w:sz="4" w:space="0" w:color="auto"/>
              <w:right w:val="single" w:sz="4" w:space="0" w:color="auto"/>
            </w:tcBorders>
            <w:hideMark/>
          </w:tcPr>
          <w:p w14:paraId="05D63B1C" w14:textId="77777777" w:rsidR="00590BEF"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154</w:t>
            </w:r>
          </w:p>
        </w:tc>
        <w:tc>
          <w:tcPr>
            <w:tcW w:w="1560" w:type="dxa"/>
            <w:tcBorders>
              <w:top w:val="single" w:sz="4" w:space="0" w:color="auto"/>
              <w:left w:val="single" w:sz="4" w:space="0" w:color="auto"/>
              <w:bottom w:val="single" w:sz="4" w:space="0" w:color="auto"/>
              <w:right w:val="single" w:sz="4" w:space="0" w:color="auto"/>
            </w:tcBorders>
            <w:hideMark/>
          </w:tcPr>
          <w:p w14:paraId="06A64FC8" w14:textId="77777777" w:rsidR="00590BEF"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4.7%</w:t>
            </w:r>
          </w:p>
        </w:tc>
        <w:tc>
          <w:tcPr>
            <w:tcW w:w="1559" w:type="dxa"/>
            <w:tcBorders>
              <w:top w:val="single" w:sz="4" w:space="0" w:color="auto"/>
              <w:left w:val="single" w:sz="4" w:space="0" w:color="auto"/>
              <w:bottom w:val="single" w:sz="4" w:space="0" w:color="auto"/>
              <w:right w:val="single" w:sz="4" w:space="0" w:color="auto"/>
            </w:tcBorders>
          </w:tcPr>
          <w:p w14:paraId="354F5E62"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 xml:space="preserve">           3,438</w:t>
            </w:r>
          </w:p>
          <w:p w14:paraId="40E4AE51" w14:textId="77777777" w:rsidR="00590BEF" w:rsidRPr="007202FA" w:rsidRDefault="00590BEF" w:rsidP="007202FA">
            <w:pPr>
              <w:pStyle w:val="TableHead"/>
              <w:jc w:val="right"/>
              <w:rPr>
                <w:rFonts w:ascii="Verdana" w:hAnsi="Verdana"/>
                <w:b w:val="0"/>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200035AA"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Cs/>
                <w:kern w:val="2"/>
                <w:sz w:val="20"/>
                <w:szCs w:val="20"/>
                <w:lang w:val="ga"/>
                <w14:ligatures w14:val="standardContextual"/>
              </w:rPr>
              <w:t xml:space="preserve">                  </w:t>
            </w:r>
            <w:r>
              <w:rPr>
                <w:rFonts w:ascii="Verdana" w:hAnsi="Verdana"/>
                <w:b w:val="0"/>
                <w:kern w:val="2"/>
                <w:sz w:val="20"/>
                <w:szCs w:val="20"/>
                <w:lang w:val="ga"/>
                <w14:ligatures w14:val="standardContextual"/>
              </w:rPr>
              <w:t>86</w:t>
            </w:r>
          </w:p>
          <w:p w14:paraId="4317853D" w14:textId="77777777" w:rsidR="00590BEF" w:rsidRPr="007202FA" w:rsidRDefault="00590BEF" w:rsidP="007202FA">
            <w:pPr>
              <w:pStyle w:val="TableHead"/>
              <w:jc w:val="right"/>
              <w:rPr>
                <w:rFonts w:ascii="Verdana" w:hAnsi="Verdana"/>
                <w:b w:val="0"/>
                <w:kern w:val="2"/>
                <w:sz w:val="20"/>
                <w:szCs w:val="20"/>
                <w14:ligatures w14:val="standardContextual"/>
              </w:rPr>
            </w:pPr>
          </w:p>
        </w:tc>
        <w:tc>
          <w:tcPr>
            <w:tcW w:w="1579" w:type="dxa"/>
            <w:tcBorders>
              <w:top w:val="single" w:sz="4" w:space="0" w:color="auto"/>
              <w:left w:val="single" w:sz="4" w:space="0" w:color="auto"/>
              <w:bottom w:val="single" w:sz="4" w:space="0" w:color="auto"/>
              <w:right w:val="single" w:sz="4" w:space="0" w:color="auto"/>
            </w:tcBorders>
          </w:tcPr>
          <w:p w14:paraId="785F3DC3" w14:textId="77777777" w:rsidR="00590BEF" w:rsidRPr="007202FA" w:rsidRDefault="000B4F21" w:rsidP="007202FA">
            <w:pPr>
              <w:jc w:val="right"/>
              <w:rPr>
                <w:sz w:val="20"/>
                <w:szCs w:val="20"/>
              </w:rPr>
            </w:pPr>
            <w:r>
              <w:rPr>
                <w:sz w:val="20"/>
                <w:szCs w:val="20"/>
                <w:lang w:val="ga"/>
              </w:rPr>
              <w:t>2.5%</w:t>
            </w:r>
          </w:p>
          <w:p w14:paraId="78D1626A" w14:textId="77777777" w:rsidR="00590BEF" w:rsidRPr="007202FA" w:rsidRDefault="00590BEF" w:rsidP="007202FA">
            <w:pPr>
              <w:jc w:val="right"/>
              <w:rPr>
                <w:sz w:val="20"/>
                <w:szCs w:val="20"/>
              </w:rPr>
            </w:pPr>
          </w:p>
        </w:tc>
      </w:tr>
      <w:tr w:rsidR="00F31303" w14:paraId="507AC72B" w14:textId="77777777" w:rsidTr="0050231C">
        <w:trPr>
          <w:trHeight w:val="966"/>
          <w:jc w:val="center"/>
        </w:trPr>
        <w:tc>
          <w:tcPr>
            <w:tcW w:w="1838" w:type="dxa"/>
            <w:tcBorders>
              <w:top w:val="single" w:sz="4" w:space="0" w:color="auto"/>
              <w:left w:val="single" w:sz="4" w:space="0" w:color="auto"/>
              <w:bottom w:val="single" w:sz="4" w:space="0" w:color="auto"/>
              <w:right w:val="single" w:sz="4" w:space="0" w:color="auto"/>
            </w:tcBorders>
            <w:hideMark/>
          </w:tcPr>
          <w:p w14:paraId="4C31B80A" w14:textId="77777777" w:rsidR="00590BEF" w:rsidRPr="007202FA" w:rsidRDefault="000B4F21" w:rsidP="007202FA">
            <w:pPr>
              <w:pStyle w:val="TableHead"/>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lastRenderedPageBreak/>
              <w:t>Ollscoil Teicneolaíochta na Sionainne (TUS): Lár Tíre, An tIarthar Láir (Campas Bhaile Átha Luain)</w:t>
            </w:r>
            <w:r>
              <w:rPr>
                <w:rFonts w:ascii="Verdana" w:hAnsi="Verdana"/>
                <w:bCs/>
                <w:color w:val="000000"/>
                <w:kern w:val="2"/>
                <w:sz w:val="20"/>
                <w:szCs w:val="20"/>
                <w:lang w:val="ga"/>
                <w14:ligatures w14:val="standardContextual"/>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A6E2EB3" w14:textId="77777777" w:rsidR="00590BEF" w:rsidRPr="007202FA" w:rsidRDefault="000B4F21" w:rsidP="007202FA">
            <w:pPr>
              <w:jc w:val="right"/>
              <w:rPr>
                <w:rFonts w:cs="Calibri"/>
                <w:color w:val="000000"/>
                <w:sz w:val="20"/>
                <w:szCs w:val="20"/>
              </w:rPr>
            </w:pPr>
            <w:r>
              <w:rPr>
                <w:rFonts w:cs="Calibri"/>
                <w:color w:val="000000"/>
                <w:sz w:val="20"/>
                <w:szCs w:val="20"/>
                <w:lang w:val="ga"/>
              </w:rPr>
              <w:t>1,756</w:t>
            </w:r>
          </w:p>
        </w:tc>
        <w:tc>
          <w:tcPr>
            <w:tcW w:w="1701" w:type="dxa"/>
            <w:tcBorders>
              <w:top w:val="single" w:sz="4" w:space="0" w:color="auto"/>
              <w:left w:val="single" w:sz="4" w:space="0" w:color="auto"/>
              <w:bottom w:val="single" w:sz="4" w:space="0" w:color="auto"/>
              <w:right w:val="single" w:sz="4" w:space="0" w:color="auto"/>
            </w:tcBorders>
            <w:hideMark/>
          </w:tcPr>
          <w:p w14:paraId="6002656A" w14:textId="77777777" w:rsidR="00590BEF" w:rsidRPr="007202FA" w:rsidRDefault="000B4F21" w:rsidP="007202FA">
            <w:pPr>
              <w:pStyle w:val="TableHead"/>
              <w:jc w:val="right"/>
              <w:rPr>
                <w:rFonts w:ascii="Verdana" w:hAnsi="Verdana" w:cs="Calibri"/>
                <w:b w:val="0"/>
                <w:color w:val="000000"/>
                <w:kern w:val="2"/>
                <w:sz w:val="20"/>
                <w:szCs w:val="20"/>
                <w14:ligatures w14:val="standardContextual"/>
              </w:rPr>
            </w:pPr>
            <w:r>
              <w:rPr>
                <w:rFonts w:ascii="Verdana" w:hAnsi="Verdana" w:cs="Calibri"/>
                <w:b w:val="0"/>
                <w:color w:val="000000"/>
                <w:kern w:val="2"/>
                <w:sz w:val="20"/>
                <w:szCs w:val="20"/>
                <w:lang w:val="ga"/>
                <w14:ligatures w14:val="standardContextual"/>
              </w:rPr>
              <w:t>93</w:t>
            </w:r>
          </w:p>
        </w:tc>
        <w:tc>
          <w:tcPr>
            <w:tcW w:w="1560" w:type="dxa"/>
            <w:tcBorders>
              <w:top w:val="single" w:sz="4" w:space="0" w:color="auto"/>
              <w:left w:val="single" w:sz="4" w:space="0" w:color="auto"/>
              <w:bottom w:val="single" w:sz="4" w:space="0" w:color="auto"/>
              <w:right w:val="single" w:sz="4" w:space="0" w:color="auto"/>
            </w:tcBorders>
            <w:hideMark/>
          </w:tcPr>
          <w:p w14:paraId="56F96BEC" w14:textId="77777777" w:rsidR="00590BEF" w:rsidRPr="007202FA" w:rsidRDefault="000B4F21" w:rsidP="007202FA">
            <w:pPr>
              <w:pStyle w:val="TableHead"/>
              <w:jc w:val="right"/>
              <w:rPr>
                <w:rFonts w:ascii="Verdana" w:hAnsi="Verdana" w:cs="Calibri"/>
                <w:b w:val="0"/>
                <w:color w:val="000000"/>
                <w:kern w:val="2"/>
                <w:sz w:val="20"/>
                <w:szCs w:val="20"/>
                <w14:ligatures w14:val="standardContextual"/>
              </w:rPr>
            </w:pPr>
            <w:r>
              <w:rPr>
                <w:rFonts w:ascii="Verdana" w:hAnsi="Verdana" w:cs="Calibri"/>
                <w:b w:val="0"/>
                <w:color w:val="000000"/>
                <w:kern w:val="2"/>
                <w:sz w:val="20"/>
                <w:szCs w:val="20"/>
                <w:lang w:val="ga"/>
                <w14:ligatures w14:val="standardContextual"/>
              </w:rPr>
              <w:t>5.3%</w:t>
            </w:r>
          </w:p>
        </w:tc>
        <w:tc>
          <w:tcPr>
            <w:tcW w:w="1559" w:type="dxa"/>
            <w:tcBorders>
              <w:top w:val="single" w:sz="4" w:space="0" w:color="auto"/>
              <w:left w:val="single" w:sz="4" w:space="0" w:color="auto"/>
              <w:bottom w:val="single" w:sz="4" w:space="0" w:color="auto"/>
              <w:right w:val="single" w:sz="4" w:space="0" w:color="auto"/>
            </w:tcBorders>
          </w:tcPr>
          <w:p w14:paraId="39AE2376" w14:textId="77777777" w:rsidR="00590BEF" w:rsidRPr="007202FA" w:rsidRDefault="000B4F21" w:rsidP="007202FA">
            <w:pPr>
              <w:jc w:val="right"/>
              <w:rPr>
                <w:rFonts w:cs="Calibri"/>
                <w:color w:val="000000"/>
                <w:sz w:val="20"/>
                <w:szCs w:val="20"/>
              </w:rPr>
            </w:pPr>
            <w:r>
              <w:rPr>
                <w:rFonts w:cs="Calibri"/>
                <w:color w:val="000000"/>
                <w:sz w:val="20"/>
                <w:szCs w:val="20"/>
                <w:lang w:val="ga"/>
              </w:rPr>
              <w:t>1,835</w:t>
            </w:r>
          </w:p>
          <w:p w14:paraId="689340D4" w14:textId="77777777" w:rsidR="00590BEF" w:rsidRPr="007202FA" w:rsidRDefault="00590BEF" w:rsidP="007202FA">
            <w:pPr>
              <w:jc w:val="right"/>
              <w:rPr>
                <w:rFonts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42AF27C" w14:textId="77777777" w:rsidR="00590BEF" w:rsidRPr="007202FA" w:rsidRDefault="000B4F21" w:rsidP="007202FA">
            <w:pPr>
              <w:jc w:val="right"/>
              <w:rPr>
                <w:rFonts w:cs="Calibri"/>
                <w:color w:val="000000"/>
                <w:sz w:val="20"/>
                <w:szCs w:val="20"/>
              </w:rPr>
            </w:pPr>
            <w:r>
              <w:rPr>
                <w:rFonts w:cs="Calibri"/>
                <w:color w:val="000000"/>
                <w:sz w:val="20"/>
                <w:szCs w:val="20"/>
                <w:lang w:val="ga"/>
              </w:rPr>
              <w:t>92</w:t>
            </w:r>
          </w:p>
          <w:p w14:paraId="2EA56759" w14:textId="77777777" w:rsidR="00590BEF" w:rsidRPr="007202FA" w:rsidRDefault="00590BEF" w:rsidP="007202FA">
            <w:pPr>
              <w:jc w:val="right"/>
              <w:rPr>
                <w:rFonts w:cs="Calibri"/>
                <w:color w:val="000000"/>
                <w:sz w:val="20"/>
                <w:szCs w:val="20"/>
              </w:rPr>
            </w:pPr>
          </w:p>
        </w:tc>
        <w:tc>
          <w:tcPr>
            <w:tcW w:w="1579" w:type="dxa"/>
            <w:tcBorders>
              <w:top w:val="single" w:sz="4" w:space="0" w:color="auto"/>
              <w:left w:val="single" w:sz="4" w:space="0" w:color="auto"/>
              <w:bottom w:val="single" w:sz="4" w:space="0" w:color="auto"/>
              <w:right w:val="single" w:sz="4" w:space="0" w:color="auto"/>
            </w:tcBorders>
          </w:tcPr>
          <w:p w14:paraId="1A7A952E" w14:textId="77777777" w:rsidR="00590BEF" w:rsidRPr="007202FA" w:rsidRDefault="000B4F21" w:rsidP="007202FA">
            <w:pPr>
              <w:jc w:val="right"/>
              <w:rPr>
                <w:rFonts w:cs="Calibri"/>
                <w:color w:val="000000"/>
                <w:sz w:val="20"/>
                <w:szCs w:val="20"/>
              </w:rPr>
            </w:pPr>
            <w:r>
              <w:rPr>
                <w:rFonts w:cs="Calibri"/>
                <w:color w:val="000000"/>
                <w:sz w:val="20"/>
                <w:szCs w:val="20"/>
                <w:lang w:val="ga"/>
              </w:rPr>
              <w:t>5.0%</w:t>
            </w:r>
          </w:p>
          <w:p w14:paraId="6BB9C300" w14:textId="77777777" w:rsidR="00590BEF" w:rsidRPr="007202FA" w:rsidRDefault="00590BEF" w:rsidP="007202FA">
            <w:pPr>
              <w:jc w:val="right"/>
              <w:rPr>
                <w:rFonts w:cs="Calibri"/>
                <w:color w:val="000000"/>
                <w:sz w:val="20"/>
                <w:szCs w:val="20"/>
              </w:rPr>
            </w:pPr>
          </w:p>
        </w:tc>
      </w:tr>
      <w:tr w:rsidR="00F31303" w14:paraId="7531B92D" w14:textId="77777777" w:rsidTr="0050231C">
        <w:trPr>
          <w:trHeight w:val="405"/>
          <w:jc w:val="center"/>
        </w:trPr>
        <w:tc>
          <w:tcPr>
            <w:tcW w:w="1838" w:type="dxa"/>
            <w:tcBorders>
              <w:top w:val="single" w:sz="4" w:space="0" w:color="auto"/>
              <w:left w:val="single" w:sz="4" w:space="0" w:color="auto"/>
              <w:bottom w:val="single" w:sz="4" w:space="0" w:color="auto"/>
              <w:right w:val="single" w:sz="4" w:space="0" w:color="auto"/>
            </w:tcBorders>
            <w:hideMark/>
          </w:tcPr>
          <w:p w14:paraId="11379351" w14:textId="77777777" w:rsidR="00590BEF" w:rsidRPr="007202FA" w:rsidRDefault="000B4F21" w:rsidP="007202FA">
            <w:pPr>
              <w:pStyle w:val="TableHead"/>
              <w:rPr>
                <w:rFonts w:ascii="Verdana" w:hAnsi="Verdana"/>
                <w:b w:val="0"/>
                <w:kern w:val="2"/>
                <w:sz w:val="20"/>
                <w:szCs w:val="20"/>
                <w14:ligatures w14:val="standardContextual"/>
              </w:rPr>
            </w:pPr>
            <w:r>
              <w:rPr>
                <w:rFonts w:ascii="Verdana" w:hAnsi="Verdana"/>
                <w:bCs/>
                <w:kern w:val="2"/>
                <w:sz w:val="20"/>
                <w:szCs w:val="20"/>
                <w:lang w:val="ga"/>
                <w14:ligatures w14:val="standardContextual"/>
              </w:rPr>
              <w:t>Mór-Iomlán</w:t>
            </w:r>
          </w:p>
        </w:tc>
        <w:tc>
          <w:tcPr>
            <w:tcW w:w="1559" w:type="dxa"/>
            <w:tcBorders>
              <w:top w:val="single" w:sz="4" w:space="0" w:color="auto"/>
              <w:left w:val="single" w:sz="4" w:space="0" w:color="auto"/>
              <w:bottom w:val="single" w:sz="4" w:space="0" w:color="auto"/>
              <w:right w:val="single" w:sz="4" w:space="0" w:color="auto"/>
            </w:tcBorders>
            <w:hideMark/>
          </w:tcPr>
          <w:p w14:paraId="1C1B43F9" w14:textId="77777777" w:rsidR="00590BEF" w:rsidRPr="007202FA" w:rsidRDefault="000B4F21" w:rsidP="007202FA">
            <w:pPr>
              <w:jc w:val="right"/>
              <w:rPr>
                <w:b/>
                <w:sz w:val="20"/>
                <w:szCs w:val="20"/>
              </w:rPr>
            </w:pPr>
            <w:r>
              <w:rPr>
                <w:b/>
                <w:bCs/>
                <w:sz w:val="20"/>
                <w:szCs w:val="20"/>
                <w:lang w:val="ga"/>
              </w:rPr>
              <w:t>13,081</w:t>
            </w:r>
          </w:p>
        </w:tc>
        <w:tc>
          <w:tcPr>
            <w:tcW w:w="1701" w:type="dxa"/>
            <w:tcBorders>
              <w:top w:val="single" w:sz="4" w:space="0" w:color="auto"/>
              <w:left w:val="single" w:sz="4" w:space="0" w:color="auto"/>
              <w:bottom w:val="single" w:sz="4" w:space="0" w:color="auto"/>
              <w:right w:val="single" w:sz="4" w:space="0" w:color="auto"/>
            </w:tcBorders>
            <w:hideMark/>
          </w:tcPr>
          <w:p w14:paraId="5D0B6E1D" w14:textId="77777777" w:rsidR="00590BEF" w:rsidRPr="007202FA" w:rsidRDefault="000B4F21" w:rsidP="007202FA">
            <w:pPr>
              <w:pStyle w:val="TableHead"/>
              <w:jc w:val="right"/>
              <w:rPr>
                <w:rFonts w:ascii="Verdana" w:hAnsi="Verdana"/>
                <w:b w:val="0"/>
                <w:kern w:val="2"/>
                <w:sz w:val="20"/>
                <w:szCs w:val="20"/>
                <w14:ligatures w14:val="standardContextual"/>
              </w:rPr>
            </w:pPr>
            <w:r>
              <w:rPr>
                <w:rFonts w:ascii="Verdana" w:hAnsi="Verdana"/>
                <w:bCs/>
                <w:kern w:val="2"/>
                <w:sz w:val="20"/>
                <w:szCs w:val="20"/>
                <w:lang w:val="ga"/>
                <w14:ligatures w14:val="standardContextual"/>
              </w:rPr>
              <w:t>634</w:t>
            </w:r>
          </w:p>
        </w:tc>
        <w:tc>
          <w:tcPr>
            <w:tcW w:w="1560" w:type="dxa"/>
            <w:tcBorders>
              <w:top w:val="single" w:sz="4" w:space="0" w:color="auto"/>
              <w:left w:val="single" w:sz="4" w:space="0" w:color="auto"/>
              <w:bottom w:val="single" w:sz="4" w:space="0" w:color="auto"/>
              <w:right w:val="single" w:sz="4" w:space="0" w:color="auto"/>
            </w:tcBorders>
            <w:hideMark/>
          </w:tcPr>
          <w:p w14:paraId="1A8C3364"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Cs/>
                <w:kern w:val="2"/>
                <w:sz w:val="20"/>
                <w:szCs w:val="20"/>
                <w:lang w:val="ga"/>
                <w14:ligatures w14:val="standardContextual"/>
              </w:rPr>
              <w:t>4.8%</w:t>
            </w:r>
          </w:p>
        </w:tc>
        <w:tc>
          <w:tcPr>
            <w:tcW w:w="1559" w:type="dxa"/>
            <w:tcBorders>
              <w:top w:val="single" w:sz="4" w:space="0" w:color="auto"/>
              <w:left w:val="single" w:sz="4" w:space="0" w:color="auto"/>
              <w:bottom w:val="single" w:sz="4" w:space="0" w:color="auto"/>
              <w:right w:val="single" w:sz="4" w:space="0" w:color="auto"/>
            </w:tcBorders>
          </w:tcPr>
          <w:p w14:paraId="0F9C498A" w14:textId="77777777" w:rsidR="00590BEF" w:rsidRPr="007202FA" w:rsidRDefault="000B4F21" w:rsidP="007202FA">
            <w:pPr>
              <w:pStyle w:val="TableHead"/>
              <w:rPr>
                <w:rFonts w:ascii="Verdana" w:hAnsi="Verdana"/>
                <w:bCs/>
                <w:kern w:val="2"/>
                <w:sz w:val="20"/>
                <w:szCs w:val="20"/>
                <w14:ligatures w14:val="standardContextual"/>
              </w:rPr>
            </w:pPr>
            <w:r>
              <w:rPr>
                <w:rFonts w:ascii="Verdana" w:hAnsi="Verdana"/>
                <w:bCs/>
                <w:kern w:val="2"/>
                <w:sz w:val="20"/>
                <w:szCs w:val="20"/>
                <w:lang w:val="ga"/>
                <w14:ligatures w14:val="standardContextual"/>
              </w:rPr>
              <w:t>13,855</w:t>
            </w:r>
          </w:p>
          <w:p w14:paraId="79BDEE2C" w14:textId="77777777" w:rsidR="00590BEF" w:rsidRPr="007202FA" w:rsidRDefault="00590BEF" w:rsidP="007202FA">
            <w:pPr>
              <w:pStyle w:val="TableHead"/>
              <w:jc w:val="right"/>
              <w:rPr>
                <w:rFonts w:ascii="Verdana" w:hAnsi="Verdana"/>
                <w:bCs/>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06671349" w14:textId="77777777" w:rsidR="00590BEF"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 xml:space="preserve">             877</w:t>
            </w:r>
          </w:p>
          <w:p w14:paraId="3B5B9064" w14:textId="77777777" w:rsidR="00590BEF" w:rsidRPr="007202FA" w:rsidRDefault="00590BEF" w:rsidP="007202FA">
            <w:pPr>
              <w:pStyle w:val="TableHead"/>
              <w:jc w:val="right"/>
              <w:rPr>
                <w:rFonts w:ascii="Verdana" w:hAnsi="Verdana"/>
                <w:bCs/>
                <w:kern w:val="2"/>
                <w:sz w:val="20"/>
                <w:szCs w:val="20"/>
                <w14:ligatures w14:val="standardContextual"/>
              </w:rPr>
            </w:pPr>
          </w:p>
        </w:tc>
        <w:tc>
          <w:tcPr>
            <w:tcW w:w="1579" w:type="dxa"/>
            <w:tcBorders>
              <w:top w:val="single" w:sz="4" w:space="0" w:color="auto"/>
              <w:left w:val="single" w:sz="4" w:space="0" w:color="auto"/>
              <w:bottom w:val="single" w:sz="4" w:space="0" w:color="auto"/>
              <w:right w:val="single" w:sz="4" w:space="0" w:color="auto"/>
            </w:tcBorders>
          </w:tcPr>
          <w:p w14:paraId="42BF20FF" w14:textId="77777777" w:rsidR="00590BEF" w:rsidRPr="007202FA" w:rsidRDefault="000B4F21" w:rsidP="007202FA">
            <w:pPr>
              <w:jc w:val="right"/>
              <w:rPr>
                <w:b/>
                <w:bCs/>
                <w:sz w:val="20"/>
                <w:szCs w:val="20"/>
              </w:rPr>
            </w:pPr>
            <w:r>
              <w:rPr>
                <w:b/>
                <w:bCs/>
                <w:sz w:val="20"/>
                <w:szCs w:val="20"/>
                <w:lang w:val="ga"/>
              </w:rPr>
              <w:t>6.3%</w:t>
            </w:r>
          </w:p>
          <w:p w14:paraId="3961BA38" w14:textId="77777777" w:rsidR="00590BEF" w:rsidRPr="007202FA" w:rsidRDefault="00590BEF" w:rsidP="007202FA">
            <w:pPr>
              <w:jc w:val="right"/>
              <w:rPr>
                <w:b/>
                <w:bCs/>
                <w:sz w:val="20"/>
                <w:szCs w:val="20"/>
              </w:rPr>
            </w:pPr>
          </w:p>
        </w:tc>
      </w:tr>
    </w:tbl>
    <w:p w14:paraId="67A01116" w14:textId="4B572EBE" w:rsidR="0050231C" w:rsidRPr="007202FA" w:rsidRDefault="000B4F21" w:rsidP="007202FA">
      <w:pPr>
        <w:pStyle w:val="Heading2"/>
        <w:spacing w:after="240"/>
        <w:jc w:val="center"/>
      </w:pPr>
      <w:bookmarkStart w:id="218" w:name="_Toc176801630"/>
      <w:r>
        <w:rPr>
          <w:b w:val="0"/>
          <w:lang w:val="ga"/>
        </w:rPr>
        <w:br w:type="page"/>
      </w:r>
      <w:bookmarkStart w:id="219" w:name="_Toc214033668"/>
      <w:r>
        <w:rPr>
          <w:bCs/>
          <w:lang w:val="ga"/>
        </w:rPr>
        <w:lastRenderedPageBreak/>
        <w:t>An Roinn Sláinte</w:t>
      </w:r>
      <w:bookmarkEnd w:id="218"/>
      <w:bookmarkEnd w:id="219"/>
    </w:p>
    <w:tbl>
      <w:tblPr>
        <w:tblStyle w:val="TableGrid"/>
        <w:tblW w:w="11217" w:type="dxa"/>
        <w:jc w:val="center"/>
        <w:tblLayout w:type="fixed"/>
        <w:tblLook w:val="04A0" w:firstRow="1" w:lastRow="0" w:firstColumn="1" w:lastColumn="0" w:noHBand="0" w:noVBand="1"/>
      </w:tblPr>
      <w:tblGrid>
        <w:gridCol w:w="1843"/>
        <w:gridCol w:w="1560"/>
        <w:gridCol w:w="1559"/>
        <w:gridCol w:w="1559"/>
        <w:gridCol w:w="1559"/>
        <w:gridCol w:w="1560"/>
        <w:gridCol w:w="1577"/>
      </w:tblGrid>
      <w:tr w:rsidR="00F31303" w14:paraId="48F58C42" w14:textId="77777777" w:rsidTr="001B4A66">
        <w:trPr>
          <w:tblHeader/>
          <w:jc w:val="center"/>
        </w:trPr>
        <w:tc>
          <w:tcPr>
            <w:tcW w:w="1843" w:type="dxa"/>
            <w:tcBorders>
              <w:top w:val="single" w:sz="4" w:space="0" w:color="auto"/>
              <w:left w:val="single" w:sz="4" w:space="0" w:color="auto"/>
              <w:bottom w:val="single" w:sz="4" w:space="0" w:color="auto"/>
              <w:right w:val="single" w:sz="4" w:space="0" w:color="auto"/>
            </w:tcBorders>
            <w:hideMark/>
          </w:tcPr>
          <w:p w14:paraId="2043B86B"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60" w:type="dxa"/>
            <w:tcBorders>
              <w:top w:val="single" w:sz="4" w:space="0" w:color="auto"/>
              <w:left w:val="single" w:sz="4" w:space="0" w:color="auto"/>
              <w:bottom w:val="single" w:sz="4" w:space="0" w:color="auto"/>
              <w:right w:val="single" w:sz="4" w:space="0" w:color="auto"/>
            </w:tcBorders>
            <w:hideMark/>
          </w:tcPr>
          <w:p w14:paraId="6106B623"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w:t>
            </w:r>
          </w:p>
          <w:p w14:paraId="598651AD"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iomlán </w:t>
            </w:r>
          </w:p>
          <w:p w14:paraId="10F8487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fostaithe </w:t>
            </w:r>
          </w:p>
          <w:p w14:paraId="1FFFF4CA" w14:textId="26F487DC"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59" w:type="dxa"/>
            <w:tcBorders>
              <w:top w:val="single" w:sz="4" w:space="0" w:color="auto"/>
              <w:left w:val="single" w:sz="4" w:space="0" w:color="auto"/>
              <w:bottom w:val="single" w:sz="4" w:space="0" w:color="auto"/>
              <w:right w:val="single" w:sz="4" w:space="0" w:color="auto"/>
            </w:tcBorders>
            <w:hideMark/>
          </w:tcPr>
          <w:p w14:paraId="395EA5C7"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7F0A8633"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59" w:type="dxa"/>
            <w:tcBorders>
              <w:top w:val="single" w:sz="4" w:space="0" w:color="auto"/>
              <w:left w:val="single" w:sz="4" w:space="0" w:color="auto"/>
              <w:bottom w:val="single" w:sz="4" w:space="0" w:color="auto"/>
              <w:right w:val="single" w:sz="4" w:space="0" w:color="auto"/>
            </w:tcBorders>
            <w:hideMark/>
          </w:tcPr>
          <w:p w14:paraId="51CB5A99" w14:textId="77777777" w:rsidR="00590BEF" w:rsidRPr="002063B6" w:rsidRDefault="000B4F21" w:rsidP="007202FA">
            <w:pPr>
              <w:pStyle w:val="TableHead"/>
              <w:rPr>
                <w:rFonts w:ascii="Verdana" w:hAnsi="Verdana"/>
                <w:kern w:val="2"/>
                <w:sz w:val="19"/>
                <w:szCs w:val="19"/>
                <w14:ligatures w14:val="standardContextual"/>
              </w:rPr>
            </w:pPr>
            <w:r w:rsidRPr="002063B6">
              <w:rPr>
                <w:rFonts w:ascii="Verdana" w:hAnsi="Verdana"/>
                <w:bCs/>
                <w:kern w:val="2"/>
                <w:sz w:val="19"/>
                <w:szCs w:val="19"/>
                <w:lang w:val="ga"/>
                <w14:ligatures w14:val="standardContextual"/>
              </w:rPr>
              <w:t>An % d’fhostaithe a thuairiscigh</w:t>
            </w:r>
          </w:p>
          <w:p w14:paraId="015F7408" w14:textId="77777777" w:rsidR="00590BEF" w:rsidRPr="007202FA" w:rsidRDefault="000B4F21" w:rsidP="007202FA">
            <w:pPr>
              <w:pStyle w:val="TableHead"/>
              <w:rPr>
                <w:rFonts w:ascii="Verdana" w:hAnsi="Verdana"/>
                <w:kern w:val="2"/>
                <w:sz w:val="20"/>
                <w:szCs w:val="20"/>
                <w14:ligatures w14:val="standardContextual"/>
              </w:rPr>
            </w:pPr>
            <w:r w:rsidRPr="002063B6">
              <w:rPr>
                <w:rFonts w:ascii="Verdana" w:hAnsi="Verdana"/>
                <w:bCs/>
                <w:kern w:val="2"/>
                <w:sz w:val="19"/>
                <w:szCs w:val="19"/>
                <w:lang w:val="ga"/>
                <w14:ligatures w14:val="standardContextual"/>
              </w:rPr>
              <w:t>míchumas 2023</w:t>
            </w:r>
          </w:p>
        </w:tc>
        <w:tc>
          <w:tcPr>
            <w:tcW w:w="1559" w:type="dxa"/>
            <w:tcBorders>
              <w:top w:val="single" w:sz="4" w:space="0" w:color="auto"/>
              <w:left w:val="single" w:sz="4" w:space="0" w:color="auto"/>
              <w:bottom w:val="single" w:sz="4" w:space="0" w:color="auto"/>
              <w:right w:val="single" w:sz="4" w:space="0" w:color="auto"/>
            </w:tcBorders>
            <w:hideMark/>
          </w:tcPr>
          <w:p w14:paraId="45F2FF38"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1635D68C" w14:textId="1D0B2732"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2024</w:t>
            </w:r>
          </w:p>
        </w:tc>
        <w:tc>
          <w:tcPr>
            <w:tcW w:w="1560" w:type="dxa"/>
            <w:tcBorders>
              <w:top w:val="single" w:sz="4" w:space="0" w:color="auto"/>
              <w:left w:val="single" w:sz="4" w:space="0" w:color="auto"/>
              <w:bottom w:val="single" w:sz="4" w:space="0" w:color="auto"/>
              <w:right w:val="single" w:sz="4" w:space="0" w:color="auto"/>
            </w:tcBorders>
            <w:hideMark/>
          </w:tcPr>
          <w:p w14:paraId="2A747793"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líon fostaithe a thuairiscigh míchumas</w:t>
            </w:r>
          </w:p>
          <w:p w14:paraId="511C1D84"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577" w:type="dxa"/>
            <w:tcBorders>
              <w:top w:val="single" w:sz="4" w:space="0" w:color="auto"/>
              <w:left w:val="single" w:sz="4" w:space="0" w:color="auto"/>
              <w:bottom w:val="single" w:sz="4" w:space="0" w:color="auto"/>
              <w:right w:val="single" w:sz="4" w:space="0" w:color="auto"/>
            </w:tcBorders>
            <w:hideMark/>
          </w:tcPr>
          <w:p w14:paraId="3EA525FF"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60AF87B1"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 2024</w:t>
            </w:r>
          </w:p>
        </w:tc>
      </w:tr>
      <w:tr w:rsidR="00F31303" w14:paraId="0EB248B5"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F129C97" w14:textId="77777777" w:rsidR="00590BEF" w:rsidRPr="007202FA" w:rsidRDefault="000B4F21" w:rsidP="007202FA">
            <w:pPr>
              <w:rPr>
                <w:sz w:val="20"/>
                <w:szCs w:val="20"/>
              </w:rPr>
            </w:pPr>
            <w:r>
              <w:rPr>
                <w:rFonts w:cs="Calibri"/>
                <w:color w:val="000000"/>
                <w:sz w:val="20"/>
                <w:szCs w:val="20"/>
                <w:lang w:val="ga"/>
              </w:rPr>
              <w:t>Ospidéal Beaumont</w:t>
            </w:r>
          </w:p>
        </w:tc>
        <w:tc>
          <w:tcPr>
            <w:tcW w:w="1560" w:type="dxa"/>
            <w:tcBorders>
              <w:top w:val="single" w:sz="4" w:space="0" w:color="auto"/>
              <w:left w:val="single" w:sz="4" w:space="0" w:color="auto"/>
              <w:bottom w:val="single" w:sz="4" w:space="0" w:color="auto"/>
              <w:right w:val="single" w:sz="4" w:space="0" w:color="auto"/>
            </w:tcBorders>
            <w:hideMark/>
          </w:tcPr>
          <w:p w14:paraId="580E13D0" w14:textId="77777777" w:rsidR="00590BEF" w:rsidRPr="007202FA" w:rsidRDefault="000B4F21" w:rsidP="007202FA">
            <w:pPr>
              <w:jc w:val="right"/>
              <w:rPr>
                <w:sz w:val="20"/>
                <w:szCs w:val="20"/>
              </w:rPr>
            </w:pPr>
            <w:r>
              <w:rPr>
                <w:sz w:val="20"/>
                <w:szCs w:val="20"/>
                <w:lang w:val="ga"/>
              </w:rPr>
              <w:t>4,952</w:t>
            </w:r>
          </w:p>
        </w:tc>
        <w:tc>
          <w:tcPr>
            <w:tcW w:w="1559" w:type="dxa"/>
            <w:tcBorders>
              <w:top w:val="single" w:sz="4" w:space="0" w:color="auto"/>
              <w:left w:val="single" w:sz="4" w:space="0" w:color="auto"/>
              <w:bottom w:val="single" w:sz="4" w:space="0" w:color="auto"/>
              <w:right w:val="single" w:sz="4" w:space="0" w:color="auto"/>
            </w:tcBorders>
            <w:hideMark/>
          </w:tcPr>
          <w:p w14:paraId="2F1AECED" w14:textId="77777777" w:rsidR="00590BEF" w:rsidRPr="007202FA" w:rsidRDefault="000B4F21" w:rsidP="007202FA">
            <w:pPr>
              <w:jc w:val="right"/>
              <w:rPr>
                <w:sz w:val="20"/>
                <w:szCs w:val="20"/>
              </w:rPr>
            </w:pPr>
            <w:r>
              <w:rPr>
                <w:sz w:val="20"/>
                <w:szCs w:val="20"/>
                <w:lang w:val="ga"/>
              </w:rPr>
              <w:t>207</w:t>
            </w:r>
          </w:p>
        </w:tc>
        <w:tc>
          <w:tcPr>
            <w:tcW w:w="1559" w:type="dxa"/>
            <w:tcBorders>
              <w:top w:val="single" w:sz="4" w:space="0" w:color="auto"/>
              <w:left w:val="single" w:sz="4" w:space="0" w:color="auto"/>
              <w:bottom w:val="single" w:sz="4" w:space="0" w:color="auto"/>
              <w:right w:val="single" w:sz="4" w:space="0" w:color="auto"/>
            </w:tcBorders>
            <w:hideMark/>
          </w:tcPr>
          <w:p w14:paraId="37001C2F" w14:textId="77777777" w:rsidR="00590BEF" w:rsidRPr="007202FA" w:rsidRDefault="000B4F21" w:rsidP="007202FA">
            <w:pPr>
              <w:jc w:val="right"/>
              <w:rPr>
                <w:sz w:val="20"/>
                <w:szCs w:val="20"/>
              </w:rPr>
            </w:pPr>
            <w:r>
              <w:rPr>
                <w:sz w:val="20"/>
                <w:szCs w:val="20"/>
                <w:lang w:val="ga"/>
              </w:rPr>
              <w:t>4.2%</w:t>
            </w:r>
          </w:p>
        </w:tc>
        <w:tc>
          <w:tcPr>
            <w:tcW w:w="1559" w:type="dxa"/>
            <w:tcBorders>
              <w:top w:val="single" w:sz="4" w:space="0" w:color="auto"/>
              <w:left w:val="single" w:sz="4" w:space="0" w:color="auto"/>
              <w:bottom w:val="single" w:sz="4" w:space="0" w:color="auto"/>
              <w:right w:val="single" w:sz="4" w:space="0" w:color="auto"/>
            </w:tcBorders>
            <w:hideMark/>
          </w:tcPr>
          <w:p w14:paraId="1A4619FB" w14:textId="77777777" w:rsidR="00590BEF" w:rsidRPr="007202FA" w:rsidRDefault="000B4F21" w:rsidP="007202FA">
            <w:pPr>
              <w:jc w:val="right"/>
              <w:rPr>
                <w:sz w:val="20"/>
                <w:szCs w:val="20"/>
              </w:rPr>
            </w:pPr>
            <w:r>
              <w:rPr>
                <w:rFonts w:cs="Calibri"/>
                <w:color w:val="000000"/>
                <w:sz w:val="20"/>
                <w:szCs w:val="20"/>
                <w:lang w:val="ga"/>
              </w:rPr>
              <w:t>4,923</w:t>
            </w:r>
          </w:p>
        </w:tc>
        <w:tc>
          <w:tcPr>
            <w:tcW w:w="1560" w:type="dxa"/>
            <w:tcBorders>
              <w:top w:val="single" w:sz="4" w:space="0" w:color="auto"/>
              <w:left w:val="single" w:sz="4" w:space="0" w:color="auto"/>
              <w:bottom w:val="single" w:sz="4" w:space="0" w:color="auto"/>
              <w:right w:val="single" w:sz="4" w:space="0" w:color="auto"/>
            </w:tcBorders>
            <w:hideMark/>
          </w:tcPr>
          <w:p w14:paraId="0E5F8309" w14:textId="77777777" w:rsidR="00590BEF" w:rsidRPr="007202FA" w:rsidRDefault="000B4F21" w:rsidP="007202FA">
            <w:pPr>
              <w:jc w:val="right"/>
              <w:rPr>
                <w:sz w:val="20"/>
                <w:szCs w:val="20"/>
              </w:rPr>
            </w:pPr>
            <w:r>
              <w:rPr>
                <w:rFonts w:cs="Calibri"/>
                <w:color w:val="000000"/>
                <w:sz w:val="20"/>
                <w:szCs w:val="20"/>
                <w:lang w:val="ga"/>
              </w:rPr>
              <w:t>222</w:t>
            </w:r>
          </w:p>
        </w:tc>
        <w:tc>
          <w:tcPr>
            <w:tcW w:w="1577" w:type="dxa"/>
            <w:tcBorders>
              <w:top w:val="single" w:sz="4" w:space="0" w:color="auto"/>
              <w:left w:val="single" w:sz="4" w:space="0" w:color="auto"/>
              <w:bottom w:val="single" w:sz="4" w:space="0" w:color="auto"/>
              <w:right w:val="single" w:sz="4" w:space="0" w:color="auto"/>
            </w:tcBorders>
            <w:hideMark/>
          </w:tcPr>
          <w:p w14:paraId="0132A360" w14:textId="77777777" w:rsidR="00590BEF" w:rsidRPr="007202FA" w:rsidRDefault="000B4F21" w:rsidP="007202FA">
            <w:pPr>
              <w:jc w:val="right"/>
              <w:rPr>
                <w:sz w:val="20"/>
                <w:szCs w:val="20"/>
              </w:rPr>
            </w:pPr>
            <w:r>
              <w:rPr>
                <w:rFonts w:cs="Calibri"/>
                <w:color w:val="000000"/>
                <w:sz w:val="20"/>
                <w:szCs w:val="20"/>
                <w:lang w:val="ga"/>
              </w:rPr>
              <w:t>4.5%</w:t>
            </w:r>
          </w:p>
        </w:tc>
      </w:tr>
      <w:tr w:rsidR="00F31303" w14:paraId="72600BB8" w14:textId="77777777" w:rsidTr="0062193D">
        <w:trPr>
          <w:jc w:val="center"/>
        </w:trPr>
        <w:tc>
          <w:tcPr>
            <w:tcW w:w="1843" w:type="dxa"/>
            <w:tcBorders>
              <w:top w:val="single" w:sz="4" w:space="0" w:color="auto"/>
              <w:left w:val="single" w:sz="4" w:space="0" w:color="auto"/>
              <w:bottom w:val="single" w:sz="4" w:space="0" w:color="auto"/>
              <w:right w:val="single" w:sz="4" w:space="0" w:color="auto"/>
            </w:tcBorders>
          </w:tcPr>
          <w:p w14:paraId="689C0F62" w14:textId="1D4DCC10" w:rsidR="005F5C07" w:rsidRPr="007202FA" w:rsidRDefault="000B4F21" w:rsidP="007202FA">
            <w:pPr>
              <w:rPr>
                <w:sz w:val="20"/>
                <w:szCs w:val="20"/>
              </w:rPr>
            </w:pPr>
            <w:r>
              <w:rPr>
                <w:sz w:val="20"/>
                <w:szCs w:val="20"/>
                <w:lang w:val="ga"/>
              </w:rPr>
              <w:t>An Chomhairle Fiaclóireachta</w:t>
            </w:r>
          </w:p>
        </w:tc>
        <w:tc>
          <w:tcPr>
            <w:tcW w:w="1560" w:type="dxa"/>
            <w:tcBorders>
              <w:top w:val="single" w:sz="4" w:space="0" w:color="auto"/>
              <w:left w:val="single" w:sz="4" w:space="0" w:color="auto"/>
              <w:bottom w:val="single" w:sz="4" w:space="0" w:color="auto"/>
              <w:right w:val="single" w:sz="4" w:space="0" w:color="auto"/>
            </w:tcBorders>
          </w:tcPr>
          <w:p w14:paraId="460720D1" w14:textId="54B015E5" w:rsidR="00590BEF" w:rsidRPr="007202FA" w:rsidRDefault="000B4F21" w:rsidP="007202FA">
            <w:pPr>
              <w:jc w:val="right"/>
              <w:rPr>
                <w:sz w:val="20"/>
                <w:szCs w:val="20"/>
              </w:rPr>
            </w:pPr>
            <w:r>
              <w:rPr>
                <w:sz w:val="20"/>
                <w:szCs w:val="20"/>
                <w:lang w:val="ga"/>
              </w:rPr>
              <w:t>10</w:t>
            </w:r>
          </w:p>
        </w:tc>
        <w:tc>
          <w:tcPr>
            <w:tcW w:w="1559" w:type="dxa"/>
            <w:tcBorders>
              <w:top w:val="single" w:sz="4" w:space="0" w:color="auto"/>
              <w:left w:val="single" w:sz="4" w:space="0" w:color="auto"/>
              <w:bottom w:val="single" w:sz="4" w:space="0" w:color="auto"/>
              <w:right w:val="single" w:sz="4" w:space="0" w:color="auto"/>
            </w:tcBorders>
          </w:tcPr>
          <w:p w14:paraId="1A82DDFA" w14:textId="0244E55C" w:rsidR="00590BEF" w:rsidRPr="007202FA" w:rsidRDefault="000B4F21" w:rsidP="007202FA">
            <w:pPr>
              <w:jc w:val="right"/>
              <w:rPr>
                <w:sz w:val="20"/>
                <w:szCs w:val="20"/>
              </w:rPr>
            </w:pPr>
            <w:r>
              <w:rPr>
                <w:sz w:val="20"/>
                <w:szCs w:val="20"/>
                <w:lang w:val="ga"/>
              </w:rPr>
              <w:t>0</w:t>
            </w:r>
          </w:p>
        </w:tc>
        <w:tc>
          <w:tcPr>
            <w:tcW w:w="1559" w:type="dxa"/>
            <w:tcBorders>
              <w:top w:val="single" w:sz="4" w:space="0" w:color="auto"/>
              <w:left w:val="single" w:sz="4" w:space="0" w:color="auto"/>
              <w:bottom w:val="single" w:sz="4" w:space="0" w:color="auto"/>
              <w:right w:val="single" w:sz="4" w:space="0" w:color="auto"/>
            </w:tcBorders>
          </w:tcPr>
          <w:p w14:paraId="298A7073" w14:textId="636A7633" w:rsidR="00590BEF" w:rsidRPr="007202FA" w:rsidRDefault="000B4F21" w:rsidP="007202FA">
            <w:pPr>
              <w:jc w:val="right"/>
              <w:rPr>
                <w:sz w:val="20"/>
                <w:szCs w:val="20"/>
              </w:rPr>
            </w:pPr>
            <w:r>
              <w:rPr>
                <w:sz w:val="20"/>
                <w:szCs w:val="20"/>
                <w:lang w:val="ga"/>
              </w:rPr>
              <w:t>0%</w:t>
            </w:r>
          </w:p>
        </w:tc>
        <w:tc>
          <w:tcPr>
            <w:tcW w:w="1559" w:type="dxa"/>
            <w:tcBorders>
              <w:top w:val="single" w:sz="4" w:space="0" w:color="auto"/>
              <w:left w:val="single" w:sz="4" w:space="0" w:color="auto"/>
              <w:bottom w:val="single" w:sz="4" w:space="0" w:color="auto"/>
              <w:right w:val="single" w:sz="4" w:space="0" w:color="auto"/>
            </w:tcBorders>
          </w:tcPr>
          <w:p w14:paraId="3F08C132" w14:textId="3164EC3F" w:rsidR="00590BEF" w:rsidRPr="007202FA" w:rsidRDefault="000B4F21" w:rsidP="007202FA">
            <w:pPr>
              <w:jc w:val="right"/>
              <w:rPr>
                <w:sz w:val="20"/>
                <w:szCs w:val="20"/>
              </w:rPr>
            </w:pPr>
            <w:r>
              <w:rPr>
                <w:sz w:val="20"/>
                <w:szCs w:val="20"/>
                <w:lang w:val="ga"/>
              </w:rPr>
              <w:t>15</w:t>
            </w:r>
          </w:p>
        </w:tc>
        <w:tc>
          <w:tcPr>
            <w:tcW w:w="1560" w:type="dxa"/>
            <w:tcBorders>
              <w:top w:val="single" w:sz="4" w:space="0" w:color="auto"/>
              <w:left w:val="single" w:sz="4" w:space="0" w:color="auto"/>
              <w:bottom w:val="single" w:sz="4" w:space="0" w:color="auto"/>
              <w:right w:val="single" w:sz="4" w:space="0" w:color="auto"/>
            </w:tcBorders>
          </w:tcPr>
          <w:p w14:paraId="4DE877B3" w14:textId="07C80B3A" w:rsidR="00590BEF" w:rsidRPr="007202FA" w:rsidRDefault="000B4F21" w:rsidP="007202FA">
            <w:pPr>
              <w:jc w:val="right"/>
              <w:rPr>
                <w:sz w:val="20"/>
                <w:szCs w:val="20"/>
              </w:rPr>
            </w:pPr>
            <w:r>
              <w:rPr>
                <w:sz w:val="20"/>
                <w:szCs w:val="20"/>
                <w:lang w:val="ga"/>
              </w:rPr>
              <w:t>0</w:t>
            </w:r>
          </w:p>
        </w:tc>
        <w:tc>
          <w:tcPr>
            <w:tcW w:w="1577" w:type="dxa"/>
            <w:tcBorders>
              <w:top w:val="single" w:sz="4" w:space="0" w:color="auto"/>
              <w:left w:val="single" w:sz="4" w:space="0" w:color="auto"/>
              <w:bottom w:val="single" w:sz="4" w:space="0" w:color="auto"/>
              <w:right w:val="single" w:sz="4" w:space="0" w:color="auto"/>
            </w:tcBorders>
          </w:tcPr>
          <w:p w14:paraId="6A44F461" w14:textId="1E1FF85B" w:rsidR="00590BEF" w:rsidRPr="007202FA" w:rsidRDefault="000B4F21" w:rsidP="007202FA">
            <w:pPr>
              <w:jc w:val="right"/>
              <w:rPr>
                <w:sz w:val="20"/>
                <w:szCs w:val="20"/>
              </w:rPr>
            </w:pPr>
            <w:r>
              <w:rPr>
                <w:sz w:val="20"/>
                <w:szCs w:val="20"/>
                <w:lang w:val="ga"/>
              </w:rPr>
              <w:t>0%</w:t>
            </w:r>
          </w:p>
        </w:tc>
      </w:tr>
      <w:tr w:rsidR="00F31303" w14:paraId="2ADBBF78"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69AE93EB" w14:textId="77777777" w:rsidR="00590BEF" w:rsidRPr="007202FA" w:rsidRDefault="000B4F21" w:rsidP="007202FA">
            <w:pPr>
              <w:rPr>
                <w:sz w:val="20"/>
                <w:szCs w:val="20"/>
              </w:rPr>
            </w:pPr>
            <w:r>
              <w:rPr>
                <w:rFonts w:cs="Calibri"/>
                <w:color w:val="000000"/>
                <w:sz w:val="20"/>
                <w:szCs w:val="20"/>
                <w:lang w:val="ga"/>
              </w:rPr>
              <w:t>Ospidéal Ollscoile Déidliachta Bhaile Átha Cliath</w:t>
            </w:r>
          </w:p>
        </w:tc>
        <w:tc>
          <w:tcPr>
            <w:tcW w:w="1560" w:type="dxa"/>
            <w:tcBorders>
              <w:top w:val="single" w:sz="4" w:space="0" w:color="auto"/>
              <w:left w:val="single" w:sz="4" w:space="0" w:color="auto"/>
              <w:bottom w:val="single" w:sz="4" w:space="0" w:color="auto"/>
              <w:right w:val="single" w:sz="4" w:space="0" w:color="auto"/>
            </w:tcBorders>
            <w:hideMark/>
          </w:tcPr>
          <w:p w14:paraId="696D84CC" w14:textId="77777777" w:rsidR="00590BEF" w:rsidRPr="007202FA" w:rsidRDefault="000B4F21" w:rsidP="007202FA">
            <w:pPr>
              <w:jc w:val="right"/>
              <w:rPr>
                <w:sz w:val="20"/>
                <w:szCs w:val="20"/>
              </w:rPr>
            </w:pPr>
            <w:r>
              <w:rPr>
                <w:sz w:val="20"/>
                <w:szCs w:val="20"/>
                <w:lang w:val="ga"/>
              </w:rPr>
              <w:t>356</w:t>
            </w:r>
          </w:p>
        </w:tc>
        <w:tc>
          <w:tcPr>
            <w:tcW w:w="1559" w:type="dxa"/>
            <w:tcBorders>
              <w:top w:val="single" w:sz="4" w:space="0" w:color="auto"/>
              <w:left w:val="single" w:sz="4" w:space="0" w:color="auto"/>
              <w:bottom w:val="single" w:sz="4" w:space="0" w:color="auto"/>
              <w:right w:val="single" w:sz="4" w:space="0" w:color="auto"/>
            </w:tcBorders>
            <w:hideMark/>
          </w:tcPr>
          <w:p w14:paraId="298C6B90" w14:textId="77777777" w:rsidR="00590BEF" w:rsidRPr="007202FA" w:rsidRDefault="000B4F21" w:rsidP="007202FA">
            <w:pPr>
              <w:jc w:val="right"/>
              <w:rPr>
                <w:sz w:val="20"/>
                <w:szCs w:val="20"/>
              </w:rPr>
            </w:pPr>
            <w:r>
              <w:rPr>
                <w:sz w:val="20"/>
                <w:szCs w:val="20"/>
                <w:lang w:val="ga"/>
              </w:rPr>
              <w:t>12</w:t>
            </w:r>
          </w:p>
        </w:tc>
        <w:tc>
          <w:tcPr>
            <w:tcW w:w="1559" w:type="dxa"/>
            <w:tcBorders>
              <w:top w:val="single" w:sz="4" w:space="0" w:color="auto"/>
              <w:left w:val="single" w:sz="4" w:space="0" w:color="auto"/>
              <w:bottom w:val="single" w:sz="4" w:space="0" w:color="auto"/>
              <w:right w:val="single" w:sz="4" w:space="0" w:color="auto"/>
            </w:tcBorders>
            <w:hideMark/>
          </w:tcPr>
          <w:p w14:paraId="0B074AE8" w14:textId="77777777" w:rsidR="00590BEF" w:rsidRPr="007202FA" w:rsidRDefault="000B4F21" w:rsidP="007202FA">
            <w:pPr>
              <w:jc w:val="right"/>
              <w:rPr>
                <w:sz w:val="20"/>
                <w:szCs w:val="20"/>
              </w:rPr>
            </w:pPr>
            <w:r>
              <w:rPr>
                <w:sz w:val="20"/>
                <w:szCs w:val="20"/>
                <w:lang w:val="ga"/>
              </w:rPr>
              <w:t>3.4%</w:t>
            </w:r>
          </w:p>
        </w:tc>
        <w:tc>
          <w:tcPr>
            <w:tcW w:w="1559" w:type="dxa"/>
            <w:tcBorders>
              <w:top w:val="single" w:sz="4" w:space="0" w:color="auto"/>
              <w:left w:val="single" w:sz="4" w:space="0" w:color="auto"/>
              <w:bottom w:val="single" w:sz="4" w:space="0" w:color="auto"/>
              <w:right w:val="single" w:sz="4" w:space="0" w:color="auto"/>
            </w:tcBorders>
            <w:hideMark/>
          </w:tcPr>
          <w:p w14:paraId="31D166B9" w14:textId="77777777" w:rsidR="00590BEF" w:rsidRPr="007202FA" w:rsidRDefault="000B4F21" w:rsidP="007202FA">
            <w:pPr>
              <w:jc w:val="right"/>
              <w:rPr>
                <w:sz w:val="20"/>
                <w:szCs w:val="20"/>
              </w:rPr>
            </w:pPr>
            <w:r>
              <w:rPr>
                <w:rFonts w:cs="Calibri"/>
                <w:color w:val="000000"/>
                <w:sz w:val="20"/>
                <w:szCs w:val="20"/>
                <w:lang w:val="ga"/>
              </w:rPr>
              <w:t>352</w:t>
            </w:r>
          </w:p>
        </w:tc>
        <w:tc>
          <w:tcPr>
            <w:tcW w:w="1560" w:type="dxa"/>
            <w:tcBorders>
              <w:top w:val="single" w:sz="4" w:space="0" w:color="auto"/>
              <w:left w:val="single" w:sz="4" w:space="0" w:color="auto"/>
              <w:bottom w:val="single" w:sz="4" w:space="0" w:color="auto"/>
              <w:right w:val="single" w:sz="4" w:space="0" w:color="auto"/>
            </w:tcBorders>
            <w:hideMark/>
          </w:tcPr>
          <w:p w14:paraId="495E82C6" w14:textId="77777777" w:rsidR="00590BEF" w:rsidRPr="007202FA" w:rsidRDefault="000B4F21" w:rsidP="007202FA">
            <w:pPr>
              <w:jc w:val="right"/>
              <w:rPr>
                <w:sz w:val="20"/>
                <w:szCs w:val="20"/>
              </w:rPr>
            </w:pPr>
            <w:r>
              <w:rPr>
                <w:rFonts w:cs="Calibri"/>
                <w:color w:val="000000"/>
                <w:sz w:val="20"/>
                <w:szCs w:val="20"/>
                <w:lang w:val="ga"/>
              </w:rPr>
              <w:t>51</w:t>
            </w:r>
          </w:p>
        </w:tc>
        <w:tc>
          <w:tcPr>
            <w:tcW w:w="1577" w:type="dxa"/>
            <w:tcBorders>
              <w:top w:val="single" w:sz="4" w:space="0" w:color="auto"/>
              <w:left w:val="single" w:sz="4" w:space="0" w:color="auto"/>
              <w:bottom w:val="single" w:sz="4" w:space="0" w:color="auto"/>
              <w:right w:val="single" w:sz="4" w:space="0" w:color="auto"/>
            </w:tcBorders>
            <w:hideMark/>
          </w:tcPr>
          <w:p w14:paraId="49CBCF47" w14:textId="77777777" w:rsidR="00590BEF" w:rsidRPr="007202FA" w:rsidRDefault="000B4F21" w:rsidP="007202FA">
            <w:pPr>
              <w:jc w:val="right"/>
              <w:rPr>
                <w:sz w:val="20"/>
                <w:szCs w:val="20"/>
              </w:rPr>
            </w:pPr>
            <w:r>
              <w:rPr>
                <w:rFonts w:cs="Calibri"/>
                <w:color w:val="000000"/>
                <w:sz w:val="20"/>
                <w:szCs w:val="20"/>
                <w:lang w:val="ga"/>
              </w:rPr>
              <w:t>14.5%</w:t>
            </w:r>
          </w:p>
        </w:tc>
      </w:tr>
      <w:tr w:rsidR="00F31303" w14:paraId="2AAAF504"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4B4D2EEB" w14:textId="77777777" w:rsidR="00590BEF" w:rsidRPr="007202FA" w:rsidRDefault="000B4F21" w:rsidP="007202FA">
            <w:pPr>
              <w:rPr>
                <w:sz w:val="20"/>
                <w:szCs w:val="20"/>
              </w:rPr>
            </w:pPr>
            <w:r>
              <w:rPr>
                <w:rFonts w:cs="Calibri"/>
                <w:color w:val="000000"/>
                <w:sz w:val="20"/>
                <w:szCs w:val="20"/>
                <w:lang w:val="ga"/>
              </w:rPr>
              <w:t>Údarás Sábháilteachta Bia na hÉireann</w:t>
            </w:r>
          </w:p>
        </w:tc>
        <w:tc>
          <w:tcPr>
            <w:tcW w:w="1560" w:type="dxa"/>
            <w:tcBorders>
              <w:top w:val="single" w:sz="4" w:space="0" w:color="auto"/>
              <w:left w:val="single" w:sz="4" w:space="0" w:color="auto"/>
              <w:bottom w:val="single" w:sz="4" w:space="0" w:color="auto"/>
              <w:right w:val="single" w:sz="4" w:space="0" w:color="auto"/>
            </w:tcBorders>
            <w:hideMark/>
          </w:tcPr>
          <w:p w14:paraId="6B0DBC6B" w14:textId="77777777" w:rsidR="00590BEF" w:rsidRPr="007202FA" w:rsidRDefault="000B4F21" w:rsidP="007202FA">
            <w:pPr>
              <w:jc w:val="right"/>
              <w:rPr>
                <w:sz w:val="20"/>
                <w:szCs w:val="20"/>
              </w:rPr>
            </w:pPr>
            <w:r>
              <w:rPr>
                <w:sz w:val="20"/>
                <w:szCs w:val="20"/>
                <w:lang w:val="ga"/>
              </w:rPr>
              <w:t>106</w:t>
            </w:r>
          </w:p>
        </w:tc>
        <w:tc>
          <w:tcPr>
            <w:tcW w:w="1559" w:type="dxa"/>
            <w:tcBorders>
              <w:top w:val="single" w:sz="4" w:space="0" w:color="auto"/>
              <w:left w:val="single" w:sz="4" w:space="0" w:color="auto"/>
              <w:bottom w:val="single" w:sz="4" w:space="0" w:color="auto"/>
              <w:right w:val="single" w:sz="4" w:space="0" w:color="auto"/>
            </w:tcBorders>
            <w:hideMark/>
          </w:tcPr>
          <w:p w14:paraId="090246EA" w14:textId="77777777" w:rsidR="00590BEF" w:rsidRPr="007202FA" w:rsidRDefault="000B4F21" w:rsidP="007202FA">
            <w:pPr>
              <w:jc w:val="right"/>
              <w:rPr>
                <w:sz w:val="20"/>
                <w:szCs w:val="20"/>
              </w:rPr>
            </w:pPr>
            <w:r>
              <w:rPr>
                <w:sz w:val="20"/>
                <w:szCs w:val="20"/>
                <w:lang w:val="ga"/>
              </w:rPr>
              <w:t>6</w:t>
            </w:r>
          </w:p>
        </w:tc>
        <w:tc>
          <w:tcPr>
            <w:tcW w:w="1559" w:type="dxa"/>
            <w:tcBorders>
              <w:top w:val="single" w:sz="4" w:space="0" w:color="auto"/>
              <w:left w:val="single" w:sz="4" w:space="0" w:color="auto"/>
              <w:bottom w:val="single" w:sz="4" w:space="0" w:color="auto"/>
              <w:right w:val="single" w:sz="4" w:space="0" w:color="auto"/>
            </w:tcBorders>
            <w:hideMark/>
          </w:tcPr>
          <w:p w14:paraId="3767442B" w14:textId="77777777" w:rsidR="00590BEF" w:rsidRPr="007202FA" w:rsidRDefault="000B4F21" w:rsidP="007202FA">
            <w:pPr>
              <w:jc w:val="right"/>
              <w:rPr>
                <w:sz w:val="20"/>
                <w:szCs w:val="20"/>
              </w:rPr>
            </w:pPr>
            <w:r>
              <w:rPr>
                <w:sz w:val="20"/>
                <w:szCs w:val="20"/>
                <w:lang w:val="ga"/>
              </w:rPr>
              <w:t>5.7%</w:t>
            </w:r>
          </w:p>
        </w:tc>
        <w:tc>
          <w:tcPr>
            <w:tcW w:w="1559" w:type="dxa"/>
            <w:tcBorders>
              <w:top w:val="single" w:sz="4" w:space="0" w:color="auto"/>
              <w:left w:val="single" w:sz="4" w:space="0" w:color="auto"/>
              <w:bottom w:val="single" w:sz="4" w:space="0" w:color="auto"/>
              <w:right w:val="single" w:sz="4" w:space="0" w:color="auto"/>
            </w:tcBorders>
            <w:hideMark/>
          </w:tcPr>
          <w:p w14:paraId="0FAEF233" w14:textId="77777777" w:rsidR="00590BEF" w:rsidRPr="007202FA" w:rsidRDefault="000B4F21" w:rsidP="007202FA">
            <w:pPr>
              <w:jc w:val="right"/>
              <w:rPr>
                <w:sz w:val="20"/>
                <w:szCs w:val="20"/>
              </w:rPr>
            </w:pPr>
            <w:r>
              <w:rPr>
                <w:rFonts w:cs="Calibri"/>
                <w:color w:val="000000"/>
                <w:sz w:val="20"/>
                <w:szCs w:val="20"/>
                <w:lang w:val="ga"/>
              </w:rPr>
              <w:t>114</w:t>
            </w:r>
          </w:p>
        </w:tc>
        <w:tc>
          <w:tcPr>
            <w:tcW w:w="1560" w:type="dxa"/>
            <w:tcBorders>
              <w:top w:val="single" w:sz="4" w:space="0" w:color="auto"/>
              <w:left w:val="single" w:sz="4" w:space="0" w:color="auto"/>
              <w:bottom w:val="single" w:sz="4" w:space="0" w:color="auto"/>
              <w:right w:val="single" w:sz="4" w:space="0" w:color="auto"/>
            </w:tcBorders>
            <w:hideMark/>
          </w:tcPr>
          <w:p w14:paraId="458E5A6E" w14:textId="77777777" w:rsidR="00590BEF" w:rsidRPr="007202FA" w:rsidRDefault="000B4F21" w:rsidP="007202FA">
            <w:pPr>
              <w:jc w:val="right"/>
              <w:rPr>
                <w:sz w:val="20"/>
                <w:szCs w:val="20"/>
              </w:rPr>
            </w:pPr>
            <w:r>
              <w:rPr>
                <w:rFonts w:cs="Calibri"/>
                <w:color w:val="000000"/>
                <w:sz w:val="20"/>
                <w:szCs w:val="20"/>
                <w:lang w:val="ga"/>
              </w:rPr>
              <w:t>7</w:t>
            </w:r>
          </w:p>
        </w:tc>
        <w:tc>
          <w:tcPr>
            <w:tcW w:w="1577" w:type="dxa"/>
            <w:tcBorders>
              <w:top w:val="single" w:sz="4" w:space="0" w:color="auto"/>
              <w:left w:val="single" w:sz="4" w:space="0" w:color="auto"/>
              <w:bottom w:val="single" w:sz="4" w:space="0" w:color="auto"/>
              <w:right w:val="single" w:sz="4" w:space="0" w:color="auto"/>
            </w:tcBorders>
            <w:hideMark/>
          </w:tcPr>
          <w:p w14:paraId="013007E1" w14:textId="77777777" w:rsidR="00590BEF" w:rsidRPr="007202FA" w:rsidRDefault="000B4F21" w:rsidP="007202FA">
            <w:pPr>
              <w:jc w:val="right"/>
              <w:rPr>
                <w:sz w:val="20"/>
                <w:szCs w:val="20"/>
              </w:rPr>
            </w:pPr>
            <w:r>
              <w:rPr>
                <w:rFonts w:cs="Calibri"/>
                <w:color w:val="000000"/>
                <w:sz w:val="20"/>
                <w:szCs w:val="20"/>
                <w:lang w:val="ga"/>
              </w:rPr>
              <w:t>6.1%</w:t>
            </w:r>
          </w:p>
        </w:tc>
      </w:tr>
      <w:tr w:rsidR="00F31303" w14:paraId="7FCA1BD5"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7B866FB8" w14:textId="77777777" w:rsidR="00590BEF" w:rsidRPr="007202FA" w:rsidRDefault="000B4F21" w:rsidP="007202FA">
            <w:pPr>
              <w:rPr>
                <w:sz w:val="20"/>
                <w:szCs w:val="20"/>
              </w:rPr>
            </w:pPr>
            <w:r>
              <w:rPr>
                <w:rFonts w:cs="Calibri"/>
                <w:color w:val="000000"/>
                <w:sz w:val="20"/>
                <w:szCs w:val="20"/>
                <w:lang w:val="ga"/>
              </w:rPr>
              <w:t>An tÚdarás um Fhaisnéis agus Cáilíocht Sláinte</w:t>
            </w:r>
          </w:p>
        </w:tc>
        <w:tc>
          <w:tcPr>
            <w:tcW w:w="1560" w:type="dxa"/>
            <w:tcBorders>
              <w:top w:val="single" w:sz="4" w:space="0" w:color="auto"/>
              <w:left w:val="single" w:sz="4" w:space="0" w:color="auto"/>
              <w:bottom w:val="single" w:sz="4" w:space="0" w:color="auto"/>
              <w:right w:val="single" w:sz="4" w:space="0" w:color="auto"/>
            </w:tcBorders>
            <w:hideMark/>
          </w:tcPr>
          <w:p w14:paraId="6F78E64E" w14:textId="77777777" w:rsidR="00590BEF" w:rsidRPr="007202FA" w:rsidRDefault="000B4F21" w:rsidP="007202FA">
            <w:pPr>
              <w:jc w:val="right"/>
              <w:rPr>
                <w:sz w:val="20"/>
                <w:szCs w:val="20"/>
              </w:rPr>
            </w:pPr>
            <w:r>
              <w:rPr>
                <w:sz w:val="20"/>
                <w:szCs w:val="20"/>
                <w:lang w:val="ga"/>
              </w:rPr>
              <w:t>370</w:t>
            </w:r>
          </w:p>
        </w:tc>
        <w:tc>
          <w:tcPr>
            <w:tcW w:w="1559" w:type="dxa"/>
            <w:tcBorders>
              <w:top w:val="single" w:sz="4" w:space="0" w:color="auto"/>
              <w:left w:val="single" w:sz="4" w:space="0" w:color="auto"/>
              <w:bottom w:val="single" w:sz="4" w:space="0" w:color="auto"/>
              <w:right w:val="single" w:sz="4" w:space="0" w:color="auto"/>
            </w:tcBorders>
            <w:hideMark/>
          </w:tcPr>
          <w:p w14:paraId="0C283BB2" w14:textId="77777777" w:rsidR="00590BEF" w:rsidRPr="007202FA" w:rsidRDefault="000B4F21" w:rsidP="007202FA">
            <w:pPr>
              <w:jc w:val="right"/>
              <w:rPr>
                <w:sz w:val="20"/>
                <w:szCs w:val="20"/>
              </w:rPr>
            </w:pPr>
            <w:r>
              <w:rPr>
                <w:sz w:val="20"/>
                <w:szCs w:val="20"/>
                <w:lang w:val="ga"/>
              </w:rPr>
              <w:t>19</w:t>
            </w:r>
          </w:p>
        </w:tc>
        <w:tc>
          <w:tcPr>
            <w:tcW w:w="1559" w:type="dxa"/>
            <w:tcBorders>
              <w:top w:val="single" w:sz="4" w:space="0" w:color="auto"/>
              <w:left w:val="single" w:sz="4" w:space="0" w:color="auto"/>
              <w:bottom w:val="single" w:sz="4" w:space="0" w:color="auto"/>
              <w:right w:val="single" w:sz="4" w:space="0" w:color="auto"/>
            </w:tcBorders>
            <w:hideMark/>
          </w:tcPr>
          <w:p w14:paraId="7E86CACA" w14:textId="77777777" w:rsidR="00590BEF" w:rsidRPr="007202FA" w:rsidRDefault="000B4F21" w:rsidP="007202FA">
            <w:pPr>
              <w:jc w:val="right"/>
              <w:rPr>
                <w:sz w:val="20"/>
                <w:szCs w:val="20"/>
              </w:rPr>
            </w:pPr>
            <w:r>
              <w:rPr>
                <w:sz w:val="20"/>
                <w:szCs w:val="20"/>
                <w:lang w:val="ga"/>
              </w:rPr>
              <w:t>5.1%</w:t>
            </w:r>
          </w:p>
        </w:tc>
        <w:tc>
          <w:tcPr>
            <w:tcW w:w="1559" w:type="dxa"/>
            <w:tcBorders>
              <w:top w:val="single" w:sz="4" w:space="0" w:color="auto"/>
              <w:left w:val="single" w:sz="4" w:space="0" w:color="auto"/>
              <w:bottom w:val="single" w:sz="4" w:space="0" w:color="auto"/>
              <w:right w:val="single" w:sz="4" w:space="0" w:color="auto"/>
            </w:tcBorders>
            <w:hideMark/>
          </w:tcPr>
          <w:p w14:paraId="141EB141" w14:textId="77777777" w:rsidR="00590BEF" w:rsidRPr="007202FA" w:rsidRDefault="000B4F21" w:rsidP="007202FA">
            <w:pPr>
              <w:jc w:val="right"/>
              <w:rPr>
                <w:sz w:val="20"/>
                <w:szCs w:val="20"/>
              </w:rPr>
            </w:pPr>
            <w:r>
              <w:rPr>
                <w:rFonts w:cs="Calibri"/>
                <w:color w:val="000000"/>
                <w:sz w:val="20"/>
                <w:szCs w:val="20"/>
                <w:lang w:val="ga"/>
              </w:rPr>
              <w:t>420</w:t>
            </w:r>
          </w:p>
        </w:tc>
        <w:tc>
          <w:tcPr>
            <w:tcW w:w="1560" w:type="dxa"/>
            <w:tcBorders>
              <w:top w:val="single" w:sz="4" w:space="0" w:color="auto"/>
              <w:left w:val="single" w:sz="4" w:space="0" w:color="auto"/>
              <w:bottom w:val="single" w:sz="4" w:space="0" w:color="auto"/>
              <w:right w:val="single" w:sz="4" w:space="0" w:color="auto"/>
            </w:tcBorders>
            <w:hideMark/>
          </w:tcPr>
          <w:p w14:paraId="7882C67A" w14:textId="77777777" w:rsidR="00590BEF" w:rsidRPr="007202FA" w:rsidRDefault="000B4F21" w:rsidP="007202FA">
            <w:pPr>
              <w:jc w:val="right"/>
              <w:rPr>
                <w:sz w:val="20"/>
                <w:szCs w:val="20"/>
              </w:rPr>
            </w:pPr>
            <w:r>
              <w:rPr>
                <w:rFonts w:cs="Calibri"/>
                <w:color w:val="000000"/>
                <w:sz w:val="20"/>
                <w:szCs w:val="20"/>
                <w:lang w:val="ga"/>
              </w:rPr>
              <w:t>23</w:t>
            </w:r>
          </w:p>
        </w:tc>
        <w:tc>
          <w:tcPr>
            <w:tcW w:w="1577" w:type="dxa"/>
            <w:tcBorders>
              <w:top w:val="single" w:sz="4" w:space="0" w:color="auto"/>
              <w:left w:val="single" w:sz="4" w:space="0" w:color="auto"/>
              <w:bottom w:val="single" w:sz="4" w:space="0" w:color="auto"/>
              <w:right w:val="single" w:sz="4" w:space="0" w:color="auto"/>
            </w:tcBorders>
            <w:hideMark/>
          </w:tcPr>
          <w:p w14:paraId="4C053B8B" w14:textId="77777777" w:rsidR="00590BEF" w:rsidRPr="007202FA" w:rsidRDefault="000B4F21" w:rsidP="007202FA">
            <w:pPr>
              <w:jc w:val="right"/>
              <w:rPr>
                <w:sz w:val="20"/>
                <w:szCs w:val="20"/>
              </w:rPr>
            </w:pPr>
            <w:r>
              <w:rPr>
                <w:rFonts w:cs="Calibri"/>
                <w:color w:val="000000"/>
                <w:sz w:val="20"/>
                <w:szCs w:val="20"/>
                <w:lang w:val="ga"/>
              </w:rPr>
              <w:t>5.5%</w:t>
            </w:r>
          </w:p>
        </w:tc>
      </w:tr>
      <w:tr w:rsidR="00F31303" w14:paraId="00B553DE"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79AC081" w14:textId="77777777" w:rsidR="00590BEF" w:rsidRPr="007202FA" w:rsidRDefault="000B4F21" w:rsidP="007202FA">
            <w:pPr>
              <w:rPr>
                <w:sz w:val="20"/>
                <w:szCs w:val="20"/>
              </w:rPr>
            </w:pPr>
            <w:r>
              <w:rPr>
                <w:rFonts w:cs="Calibri"/>
                <w:color w:val="000000"/>
                <w:sz w:val="20"/>
                <w:szCs w:val="20"/>
                <w:lang w:val="ga"/>
              </w:rPr>
              <w:t>An tÚdarás Árachas Sláinte</w:t>
            </w:r>
          </w:p>
        </w:tc>
        <w:tc>
          <w:tcPr>
            <w:tcW w:w="1560" w:type="dxa"/>
            <w:tcBorders>
              <w:top w:val="single" w:sz="4" w:space="0" w:color="auto"/>
              <w:left w:val="single" w:sz="4" w:space="0" w:color="auto"/>
              <w:bottom w:val="single" w:sz="4" w:space="0" w:color="auto"/>
              <w:right w:val="single" w:sz="4" w:space="0" w:color="auto"/>
            </w:tcBorders>
            <w:hideMark/>
          </w:tcPr>
          <w:p w14:paraId="56D7CDBC" w14:textId="77777777" w:rsidR="00590BEF" w:rsidRPr="007202FA" w:rsidRDefault="000B4F21" w:rsidP="007202FA">
            <w:pPr>
              <w:jc w:val="right"/>
              <w:rPr>
                <w:sz w:val="20"/>
                <w:szCs w:val="20"/>
              </w:rPr>
            </w:pPr>
            <w:r>
              <w:rPr>
                <w:sz w:val="20"/>
                <w:szCs w:val="20"/>
                <w:lang w:val="ga"/>
              </w:rPr>
              <w:t>17</w:t>
            </w:r>
          </w:p>
        </w:tc>
        <w:tc>
          <w:tcPr>
            <w:tcW w:w="1559" w:type="dxa"/>
            <w:tcBorders>
              <w:top w:val="single" w:sz="4" w:space="0" w:color="auto"/>
              <w:left w:val="single" w:sz="4" w:space="0" w:color="auto"/>
              <w:bottom w:val="single" w:sz="4" w:space="0" w:color="auto"/>
              <w:right w:val="single" w:sz="4" w:space="0" w:color="auto"/>
            </w:tcBorders>
            <w:hideMark/>
          </w:tcPr>
          <w:p w14:paraId="2FFC79F8" w14:textId="77777777" w:rsidR="00590BEF" w:rsidRPr="007202FA" w:rsidRDefault="000B4F21" w:rsidP="007202FA">
            <w:pPr>
              <w:jc w:val="right"/>
              <w:rPr>
                <w:sz w:val="20"/>
                <w:szCs w:val="20"/>
              </w:rPr>
            </w:pPr>
            <w:r>
              <w:rPr>
                <w:sz w:val="20"/>
                <w:szCs w:val="20"/>
                <w:lang w:val="ga"/>
              </w:rPr>
              <w:t>0</w:t>
            </w:r>
          </w:p>
        </w:tc>
        <w:tc>
          <w:tcPr>
            <w:tcW w:w="1559" w:type="dxa"/>
            <w:tcBorders>
              <w:top w:val="single" w:sz="4" w:space="0" w:color="auto"/>
              <w:left w:val="single" w:sz="4" w:space="0" w:color="auto"/>
              <w:bottom w:val="single" w:sz="4" w:space="0" w:color="auto"/>
              <w:right w:val="single" w:sz="4" w:space="0" w:color="auto"/>
            </w:tcBorders>
            <w:hideMark/>
          </w:tcPr>
          <w:p w14:paraId="03DFDC50" w14:textId="77777777" w:rsidR="00590BEF" w:rsidRPr="007202FA" w:rsidRDefault="000B4F21" w:rsidP="007202FA">
            <w:pPr>
              <w:jc w:val="right"/>
              <w:rPr>
                <w:sz w:val="20"/>
                <w:szCs w:val="20"/>
              </w:rPr>
            </w:pPr>
            <w:r>
              <w:rPr>
                <w:sz w:val="20"/>
                <w:szCs w:val="20"/>
                <w:lang w:val="ga"/>
              </w:rPr>
              <w:t>0.0%</w:t>
            </w:r>
          </w:p>
        </w:tc>
        <w:tc>
          <w:tcPr>
            <w:tcW w:w="1559" w:type="dxa"/>
            <w:tcBorders>
              <w:top w:val="single" w:sz="4" w:space="0" w:color="auto"/>
              <w:left w:val="single" w:sz="4" w:space="0" w:color="auto"/>
              <w:bottom w:val="single" w:sz="4" w:space="0" w:color="auto"/>
              <w:right w:val="single" w:sz="4" w:space="0" w:color="auto"/>
            </w:tcBorders>
            <w:hideMark/>
          </w:tcPr>
          <w:p w14:paraId="3E13ABE6" w14:textId="77777777" w:rsidR="00590BEF" w:rsidRPr="007202FA" w:rsidRDefault="000B4F21" w:rsidP="007202FA">
            <w:pPr>
              <w:jc w:val="right"/>
              <w:rPr>
                <w:sz w:val="20"/>
                <w:szCs w:val="20"/>
              </w:rPr>
            </w:pPr>
            <w:r>
              <w:rPr>
                <w:rFonts w:cs="Calibri"/>
                <w:color w:val="000000"/>
                <w:sz w:val="20"/>
                <w:szCs w:val="20"/>
                <w:lang w:val="ga"/>
              </w:rPr>
              <w:t>18</w:t>
            </w:r>
          </w:p>
        </w:tc>
        <w:tc>
          <w:tcPr>
            <w:tcW w:w="1560" w:type="dxa"/>
            <w:tcBorders>
              <w:top w:val="single" w:sz="4" w:space="0" w:color="auto"/>
              <w:left w:val="single" w:sz="4" w:space="0" w:color="auto"/>
              <w:bottom w:val="single" w:sz="4" w:space="0" w:color="auto"/>
              <w:right w:val="single" w:sz="4" w:space="0" w:color="auto"/>
            </w:tcBorders>
            <w:hideMark/>
          </w:tcPr>
          <w:p w14:paraId="13B6714C" w14:textId="77777777" w:rsidR="00590BEF" w:rsidRPr="007202FA" w:rsidRDefault="000B4F21" w:rsidP="007202FA">
            <w:pPr>
              <w:jc w:val="right"/>
              <w:rPr>
                <w:sz w:val="20"/>
                <w:szCs w:val="20"/>
              </w:rPr>
            </w:pPr>
            <w:r>
              <w:rPr>
                <w:rFonts w:cs="Calibri"/>
                <w:color w:val="000000"/>
                <w:sz w:val="20"/>
                <w:szCs w:val="20"/>
                <w:lang w:val="ga"/>
              </w:rPr>
              <w:t>0</w:t>
            </w:r>
          </w:p>
        </w:tc>
        <w:tc>
          <w:tcPr>
            <w:tcW w:w="1577" w:type="dxa"/>
            <w:tcBorders>
              <w:top w:val="single" w:sz="4" w:space="0" w:color="auto"/>
              <w:left w:val="single" w:sz="4" w:space="0" w:color="auto"/>
              <w:bottom w:val="single" w:sz="4" w:space="0" w:color="auto"/>
              <w:right w:val="single" w:sz="4" w:space="0" w:color="auto"/>
            </w:tcBorders>
            <w:hideMark/>
          </w:tcPr>
          <w:p w14:paraId="592522CF" w14:textId="77777777" w:rsidR="00590BEF" w:rsidRPr="007202FA" w:rsidRDefault="000B4F21" w:rsidP="007202FA">
            <w:pPr>
              <w:jc w:val="right"/>
              <w:rPr>
                <w:sz w:val="20"/>
                <w:szCs w:val="20"/>
              </w:rPr>
            </w:pPr>
            <w:r>
              <w:rPr>
                <w:rFonts w:cs="Calibri"/>
                <w:color w:val="000000"/>
                <w:sz w:val="20"/>
                <w:szCs w:val="20"/>
                <w:lang w:val="ga"/>
              </w:rPr>
              <w:t>0.0%</w:t>
            </w:r>
          </w:p>
        </w:tc>
      </w:tr>
      <w:tr w:rsidR="00F31303" w14:paraId="17EBD5EA"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475F1802" w14:textId="77777777" w:rsidR="00590BEF" w:rsidRPr="007202FA" w:rsidRDefault="000B4F21" w:rsidP="007202FA">
            <w:pPr>
              <w:rPr>
                <w:sz w:val="20"/>
                <w:szCs w:val="20"/>
              </w:rPr>
            </w:pPr>
            <w:r>
              <w:rPr>
                <w:rFonts w:cs="Calibri"/>
                <w:color w:val="000000"/>
                <w:sz w:val="20"/>
                <w:szCs w:val="20"/>
                <w:lang w:val="ga"/>
              </w:rPr>
              <w:t>An tÚdarás Rialála Táirgí Sláinte</w:t>
            </w:r>
          </w:p>
        </w:tc>
        <w:tc>
          <w:tcPr>
            <w:tcW w:w="1560" w:type="dxa"/>
            <w:tcBorders>
              <w:top w:val="single" w:sz="4" w:space="0" w:color="auto"/>
              <w:left w:val="single" w:sz="4" w:space="0" w:color="auto"/>
              <w:bottom w:val="single" w:sz="4" w:space="0" w:color="auto"/>
              <w:right w:val="single" w:sz="4" w:space="0" w:color="auto"/>
            </w:tcBorders>
            <w:hideMark/>
          </w:tcPr>
          <w:p w14:paraId="2628CC96" w14:textId="77777777" w:rsidR="00590BEF" w:rsidRPr="007202FA" w:rsidRDefault="000B4F21" w:rsidP="007202FA">
            <w:pPr>
              <w:jc w:val="right"/>
              <w:rPr>
                <w:sz w:val="20"/>
                <w:szCs w:val="20"/>
              </w:rPr>
            </w:pPr>
            <w:r>
              <w:rPr>
                <w:sz w:val="20"/>
                <w:szCs w:val="20"/>
                <w:lang w:val="ga"/>
              </w:rPr>
              <w:t>400</w:t>
            </w:r>
          </w:p>
        </w:tc>
        <w:tc>
          <w:tcPr>
            <w:tcW w:w="1559" w:type="dxa"/>
            <w:tcBorders>
              <w:top w:val="single" w:sz="4" w:space="0" w:color="auto"/>
              <w:left w:val="single" w:sz="4" w:space="0" w:color="auto"/>
              <w:bottom w:val="single" w:sz="4" w:space="0" w:color="auto"/>
              <w:right w:val="single" w:sz="4" w:space="0" w:color="auto"/>
            </w:tcBorders>
            <w:hideMark/>
          </w:tcPr>
          <w:p w14:paraId="063D5CDB" w14:textId="77777777" w:rsidR="00590BEF" w:rsidRPr="007202FA" w:rsidRDefault="000B4F21" w:rsidP="007202FA">
            <w:pPr>
              <w:jc w:val="right"/>
              <w:rPr>
                <w:sz w:val="20"/>
                <w:szCs w:val="20"/>
              </w:rPr>
            </w:pPr>
            <w:r>
              <w:rPr>
                <w:sz w:val="20"/>
                <w:szCs w:val="20"/>
                <w:lang w:val="ga"/>
              </w:rPr>
              <w:t>26</w:t>
            </w:r>
          </w:p>
        </w:tc>
        <w:tc>
          <w:tcPr>
            <w:tcW w:w="1559" w:type="dxa"/>
            <w:tcBorders>
              <w:top w:val="single" w:sz="4" w:space="0" w:color="auto"/>
              <w:left w:val="single" w:sz="4" w:space="0" w:color="auto"/>
              <w:bottom w:val="single" w:sz="4" w:space="0" w:color="auto"/>
              <w:right w:val="single" w:sz="4" w:space="0" w:color="auto"/>
            </w:tcBorders>
            <w:hideMark/>
          </w:tcPr>
          <w:p w14:paraId="7B1FE02C" w14:textId="77777777" w:rsidR="00590BEF" w:rsidRPr="007202FA" w:rsidRDefault="000B4F21" w:rsidP="007202FA">
            <w:pPr>
              <w:jc w:val="right"/>
              <w:rPr>
                <w:sz w:val="20"/>
                <w:szCs w:val="20"/>
              </w:rPr>
            </w:pPr>
            <w:r>
              <w:rPr>
                <w:sz w:val="20"/>
                <w:szCs w:val="20"/>
                <w:lang w:val="ga"/>
              </w:rPr>
              <w:t>6.5%</w:t>
            </w:r>
          </w:p>
        </w:tc>
        <w:tc>
          <w:tcPr>
            <w:tcW w:w="1559" w:type="dxa"/>
            <w:tcBorders>
              <w:top w:val="single" w:sz="4" w:space="0" w:color="auto"/>
              <w:left w:val="single" w:sz="4" w:space="0" w:color="auto"/>
              <w:bottom w:val="single" w:sz="4" w:space="0" w:color="auto"/>
              <w:right w:val="single" w:sz="4" w:space="0" w:color="auto"/>
            </w:tcBorders>
            <w:hideMark/>
          </w:tcPr>
          <w:p w14:paraId="10E7F50B" w14:textId="77777777" w:rsidR="00590BEF" w:rsidRPr="007202FA" w:rsidRDefault="000B4F21" w:rsidP="007202FA">
            <w:pPr>
              <w:jc w:val="right"/>
              <w:rPr>
                <w:sz w:val="20"/>
                <w:szCs w:val="20"/>
              </w:rPr>
            </w:pPr>
            <w:r>
              <w:rPr>
                <w:rFonts w:cs="Calibri"/>
                <w:color w:val="000000"/>
                <w:sz w:val="20"/>
                <w:szCs w:val="20"/>
                <w:lang w:val="ga"/>
              </w:rPr>
              <w:t>411</w:t>
            </w:r>
          </w:p>
        </w:tc>
        <w:tc>
          <w:tcPr>
            <w:tcW w:w="1560" w:type="dxa"/>
            <w:tcBorders>
              <w:top w:val="single" w:sz="4" w:space="0" w:color="auto"/>
              <w:left w:val="single" w:sz="4" w:space="0" w:color="auto"/>
              <w:bottom w:val="single" w:sz="4" w:space="0" w:color="auto"/>
              <w:right w:val="single" w:sz="4" w:space="0" w:color="auto"/>
            </w:tcBorders>
            <w:hideMark/>
          </w:tcPr>
          <w:p w14:paraId="2DB0609E" w14:textId="77777777" w:rsidR="00590BEF" w:rsidRPr="007202FA" w:rsidRDefault="000B4F21" w:rsidP="007202FA">
            <w:pPr>
              <w:jc w:val="right"/>
              <w:rPr>
                <w:sz w:val="20"/>
                <w:szCs w:val="20"/>
              </w:rPr>
            </w:pPr>
            <w:r>
              <w:rPr>
                <w:rFonts w:cs="Calibri"/>
                <w:color w:val="000000"/>
                <w:sz w:val="20"/>
                <w:szCs w:val="20"/>
                <w:lang w:val="ga"/>
              </w:rPr>
              <w:t>21</w:t>
            </w:r>
          </w:p>
        </w:tc>
        <w:tc>
          <w:tcPr>
            <w:tcW w:w="1577" w:type="dxa"/>
            <w:tcBorders>
              <w:top w:val="single" w:sz="4" w:space="0" w:color="auto"/>
              <w:left w:val="single" w:sz="4" w:space="0" w:color="auto"/>
              <w:bottom w:val="single" w:sz="4" w:space="0" w:color="auto"/>
              <w:right w:val="single" w:sz="4" w:space="0" w:color="auto"/>
            </w:tcBorders>
            <w:hideMark/>
          </w:tcPr>
          <w:p w14:paraId="62775B06" w14:textId="77777777" w:rsidR="00590BEF" w:rsidRPr="007202FA" w:rsidRDefault="000B4F21" w:rsidP="007202FA">
            <w:pPr>
              <w:jc w:val="right"/>
              <w:rPr>
                <w:sz w:val="20"/>
                <w:szCs w:val="20"/>
              </w:rPr>
            </w:pPr>
            <w:r>
              <w:rPr>
                <w:rFonts w:cs="Calibri"/>
                <w:color w:val="000000"/>
                <w:sz w:val="20"/>
                <w:szCs w:val="20"/>
                <w:lang w:val="ga"/>
              </w:rPr>
              <w:t>5.1%</w:t>
            </w:r>
          </w:p>
        </w:tc>
      </w:tr>
      <w:tr w:rsidR="00F31303" w14:paraId="4523C3F8"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4D7A3897" w14:textId="77777777" w:rsidR="00590BEF" w:rsidRPr="007202FA" w:rsidRDefault="000B4F21" w:rsidP="007202FA">
            <w:pPr>
              <w:rPr>
                <w:sz w:val="20"/>
                <w:szCs w:val="20"/>
              </w:rPr>
            </w:pPr>
            <w:r>
              <w:rPr>
                <w:rFonts w:cs="Calibri"/>
                <w:color w:val="000000"/>
                <w:sz w:val="20"/>
                <w:szCs w:val="20"/>
                <w:lang w:val="ga"/>
              </w:rPr>
              <w:t>An Bord Taighde Sláinte</w:t>
            </w:r>
          </w:p>
        </w:tc>
        <w:tc>
          <w:tcPr>
            <w:tcW w:w="1560" w:type="dxa"/>
            <w:tcBorders>
              <w:top w:val="single" w:sz="4" w:space="0" w:color="auto"/>
              <w:left w:val="single" w:sz="4" w:space="0" w:color="auto"/>
              <w:bottom w:val="single" w:sz="4" w:space="0" w:color="auto"/>
              <w:right w:val="single" w:sz="4" w:space="0" w:color="auto"/>
            </w:tcBorders>
            <w:hideMark/>
          </w:tcPr>
          <w:p w14:paraId="64D9D6BD" w14:textId="77777777" w:rsidR="00590BEF" w:rsidRPr="007202FA" w:rsidRDefault="000B4F21" w:rsidP="007202FA">
            <w:pPr>
              <w:jc w:val="right"/>
              <w:rPr>
                <w:sz w:val="20"/>
                <w:szCs w:val="20"/>
              </w:rPr>
            </w:pPr>
            <w:r>
              <w:rPr>
                <w:sz w:val="20"/>
                <w:szCs w:val="20"/>
                <w:lang w:val="ga"/>
              </w:rPr>
              <w:t>108</w:t>
            </w:r>
          </w:p>
        </w:tc>
        <w:tc>
          <w:tcPr>
            <w:tcW w:w="1559" w:type="dxa"/>
            <w:tcBorders>
              <w:top w:val="single" w:sz="4" w:space="0" w:color="auto"/>
              <w:left w:val="single" w:sz="4" w:space="0" w:color="auto"/>
              <w:bottom w:val="single" w:sz="4" w:space="0" w:color="auto"/>
              <w:right w:val="single" w:sz="4" w:space="0" w:color="auto"/>
            </w:tcBorders>
            <w:hideMark/>
          </w:tcPr>
          <w:p w14:paraId="1410015B" w14:textId="77777777" w:rsidR="00590BEF" w:rsidRPr="007202FA" w:rsidRDefault="000B4F21" w:rsidP="007202FA">
            <w:pPr>
              <w:jc w:val="right"/>
              <w:rPr>
                <w:sz w:val="20"/>
                <w:szCs w:val="20"/>
              </w:rPr>
            </w:pPr>
            <w:r>
              <w:rPr>
                <w:sz w:val="20"/>
                <w:szCs w:val="20"/>
                <w:lang w:val="ga"/>
              </w:rPr>
              <w:t>8</w:t>
            </w:r>
          </w:p>
        </w:tc>
        <w:tc>
          <w:tcPr>
            <w:tcW w:w="1559" w:type="dxa"/>
            <w:tcBorders>
              <w:top w:val="single" w:sz="4" w:space="0" w:color="auto"/>
              <w:left w:val="single" w:sz="4" w:space="0" w:color="auto"/>
              <w:bottom w:val="single" w:sz="4" w:space="0" w:color="auto"/>
              <w:right w:val="single" w:sz="4" w:space="0" w:color="auto"/>
            </w:tcBorders>
            <w:hideMark/>
          </w:tcPr>
          <w:p w14:paraId="4510BABA" w14:textId="77777777" w:rsidR="00590BEF" w:rsidRPr="007202FA" w:rsidRDefault="000B4F21" w:rsidP="007202FA">
            <w:pPr>
              <w:jc w:val="right"/>
              <w:rPr>
                <w:sz w:val="20"/>
                <w:szCs w:val="20"/>
              </w:rPr>
            </w:pPr>
            <w:r>
              <w:rPr>
                <w:sz w:val="20"/>
                <w:szCs w:val="20"/>
                <w:lang w:val="ga"/>
              </w:rPr>
              <w:t>7.4%</w:t>
            </w:r>
          </w:p>
        </w:tc>
        <w:tc>
          <w:tcPr>
            <w:tcW w:w="1559" w:type="dxa"/>
            <w:tcBorders>
              <w:top w:val="single" w:sz="4" w:space="0" w:color="auto"/>
              <w:left w:val="single" w:sz="4" w:space="0" w:color="auto"/>
              <w:bottom w:val="single" w:sz="4" w:space="0" w:color="auto"/>
              <w:right w:val="single" w:sz="4" w:space="0" w:color="auto"/>
            </w:tcBorders>
            <w:hideMark/>
          </w:tcPr>
          <w:p w14:paraId="2DD85407" w14:textId="77777777" w:rsidR="00590BEF" w:rsidRPr="007202FA" w:rsidRDefault="000B4F21" w:rsidP="007202FA">
            <w:pPr>
              <w:jc w:val="right"/>
              <w:rPr>
                <w:sz w:val="20"/>
                <w:szCs w:val="20"/>
              </w:rPr>
            </w:pPr>
            <w:r>
              <w:rPr>
                <w:rFonts w:cs="Calibri"/>
                <w:color w:val="000000"/>
                <w:sz w:val="20"/>
                <w:szCs w:val="20"/>
                <w:lang w:val="ga"/>
              </w:rPr>
              <w:t>119</w:t>
            </w:r>
          </w:p>
        </w:tc>
        <w:tc>
          <w:tcPr>
            <w:tcW w:w="1560" w:type="dxa"/>
            <w:tcBorders>
              <w:top w:val="single" w:sz="4" w:space="0" w:color="auto"/>
              <w:left w:val="single" w:sz="4" w:space="0" w:color="auto"/>
              <w:bottom w:val="single" w:sz="4" w:space="0" w:color="auto"/>
              <w:right w:val="single" w:sz="4" w:space="0" w:color="auto"/>
            </w:tcBorders>
            <w:hideMark/>
          </w:tcPr>
          <w:p w14:paraId="5F1C5DF1" w14:textId="77777777" w:rsidR="00590BEF" w:rsidRPr="007202FA" w:rsidRDefault="000B4F21" w:rsidP="007202FA">
            <w:pPr>
              <w:jc w:val="right"/>
              <w:rPr>
                <w:sz w:val="20"/>
                <w:szCs w:val="20"/>
              </w:rPr>
            </w:pPr>
            <w:r>
              <w:rPr>
                <w:rFonts w:cs="Calibri"/>
                <w:color w:val="000000"/>
                <w:sz w:val="20"/>
                <w:szCs w:val="20"/>
                <w:lang w:val="ga"/>
              </w:rPr>
              <w:t>8</w:t>
            </w:r>
          </w:p>
        </w:tc>
        <w:tc>
          <w:tcPr>
            <w:tcW w:w="1577" w:type="dxa"/>
            <w:tcBorders>
              <w:top w:val="single" w:sz="4" w:space="0" w:color="auto"/>
              <w:left w:val="single" w:sz="4" w:space="0" w:color="auto"/>
              <w:bottom w:val="single" w:sz="4" w:space="0" w:color="auto"/>
              <w:right w:val="single" w:sz="4" w:space="0" w:color="auto"/>
            </w:tcBorders>
            <w:hideMark/>
          </w:tcPr>
          <w:p w14:paraId="5E4CD8BD" w14:textId="77777777" w:rsidR="00590BEF" w:rsidRPr="007202FA" w:rsidRDefault="000B4F21" w:rsidP="007202FA">
            <w:pPr>
              <w:jc w:val="right"/>
              <w:rPr>
                <w:sz w:val="20"/>
                <w:szCs w:val="20"/>
              </w:rPr>
            </w:pPr>
            <w:r>
              <w:rPr>
                <w:rFonts w:cs="Calibri"/>
                <w:color w:val="000000"/>
                <w:sz w:val="20"/>
                <w:szCs w:val="20"/>
                <w:lang w:val="ga"/>
              </w:rPr>
              <w:t>6.7%</w:t>
            </w:r>
          </w:p>
        </w:tc>
      </w:tr>
      <w:tr w:rsidR="00F31303" w14:paraId="252A3C04"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821DDDC" w14:textId="77777777" w:rsidR="00590BEF" w:rsidRPr="007202FA" w:rsidRDefault="000B4F21" w:rsidP="007202FA">
            <w:pPr>
              <w:rPr>
                <w:sz w:val="20"/>
                <w:szCs w:val="20"/>
              </w:rPr>
            </w:pPr>
            <w:r>
              <w:rPr>
                <w:rFonts w:cs="Calibri"/>
                <w:color w:val="000000"/>
                <w:sz w:val="20"/>
                <w:szCs w:val="20"/>
                <w:lang w:val="ga"/>
              </w:rPr>
              <w:t>Feidhmeannacht na Seirbhíse Sláinte</w:t>
            </w:r>
          </w:p>
        </w:tc>
        <w:tc>
          <w:tcPr>
            <w:tcW w:w="1560" w:type="dxa"/>
            <w:tcBorders>
              <w:top w:val="single" w:sz="4" w:space="0" w:color="auto"/>
              <w:left w:val="single" w:sz="4" w:space="0" w:color="auto"/>
              <w:bottom w:val="single" w:sz="4" w:space="0" w:color="auto"/>
              <w:right w:val="single" w:sz="4" w:space="0" w:color="auto"/>
            </w:tcBorders>
            <w:hideMark/>
          </w:tcPr>
          <w:p w14:paraId="1648EF75" w14:textId="77777777" w:rsidR="00590BEF" w:rsidRPr="007202FA" w:rsidRDefault="000B4F21" w:rsidP="007202FA">
            <w:pPr>
              <w:jc w:val="right"/>
              <w:rPr>
                <w:sz w:val="20"/>
                <w:szCs w:val="20"/>
              </w:rPr>
            </w:pPr>
            <w:r>
              <w:rPr>
                <w:sz w:val="20"/>
                <w:szCs w:val="20"/>
                <w:lang w:val="ga"/>
              </w:rPr>
              <w:t>105,769</w:t>
            </w:r>
          </w:p>
        </w:tc>
        <w:tc>
          <w:tcPr>
            <w:tcW w:w="1559" w:type="dxa"/>
            <w:tcBorders>
              <w:top w:val="single" w:sz="4" w:space="0" w:color="auto"/>
              <w:left w:val="single" w:sz="4" w:space="0" w:color="auto"/>
              <w:bottom w:val="single" w:sz="4" w:space="0" w:color="auto"/>
              <w:right w:val="single" w:sz="4" w:space="0" w:color="auto"/>
            </w:tcBorders>
            <w:hideMark/>
          </w:tcPr>
          <w:p w14:paraId="07170744" w14:textId="77777777" w:rsidR="00590BEF" w:rsidRPr="007202FA" w:rsidRDefault="000B4F21" w:rsidP="007202FA">
            <w:pPr>
              <w:jc w:val="right"/>
              <w:rPr>
                <w:sz w:val="20"/>
                <w:szCs w:val="20"/>
              </w:rPr>
            </w:pPr>
            <w:r>
              <w:rPr>
                <w:sz w:val="20"/>
                <w:szCs w:val="20"/>
                <w:lang w:val="ga"/>
              </w:rPr>
              <w:t>1735</w:t>
            </w:r>
          </w:p>
        </w:tc>
        <w:tc>
          <w:tcPr>
            <w:tcW w:w="1559" w:type="dxa"/>
            <w:tcBorders>
              <w:top w:val="single" w:sz="4" w:space="0" w:color="auto"/>
              <w:left w:val="single" w:sz="4" w:space="0" w:color="auto"/>
              <w:bottom w:val="single" w:sz="4" w:space="0" w:color="auto"/>
              <w:right w:val="single" w:sz="4" w:space="0" w:color="auto"/>
            </w:tcBorders>
            <w:hideMark/>
          </w:tcPr>
          <w:p w14:paraId="197E722E" w14:textId="77777777" w:rsidR="00590BEF" w:rsidRPr="007202FA" w:rsidRDefault="000B4F21" w:rsidP="007202FA">
            <w:pPr>
              <w:jc w:val="right"/>
              <w:rPr>
                <w:sz w:val="20"/>
                <w:szCs w:val="20"/>
              </w:rPr>
            </w:pPr>
            <w:r>
              <w:rPr>
                <w:sz w:val="20"/>
                <w:szCs w:val="20"/>
                <w:lang w:val="ga"/>
              </w:rPr>
              <w:t>1.6%</w:t>
            </w:r>
          </w:p>
        </w:tc>
        <w:tc>
          <w:tcPr>
            <w:tcW w:w="1559" w:type="dxa"/>
            <w:tcBorders>
              <w:top w:val="single" w:sz="4" w:space="0" w:color="auto"/>
              <w:left w:val="single" w:sz="4" w:space="0" w:color="auto"/>
              <w:bottom w:val="single" w:sz="4" w:space="0" w:color="auto"/>
              <w:right w:val="single" w:sz="4" w:space="0" w:color="auto"/>
            </w:tcBorders>
            <w:hideMark/>
          </w:tcPr>
          <w:p w14:paraId="22EF0436" w14:textId="77777777" w:rsidR="00590BEF" w:rsidRPr="007202FA" w:rsidRDefault="000B4F21" w:rsidP="007202FA">
            <w:pPr>
              <w:jc w:val="right"/>
              <w:rPr>
                <w:sz w:val="20"/>
                <w:szCs w:val="20"/>
              </w:rPr>
            </w:pPr>
            <w:r>
              <w:rPr>
                <w:rFonts w:cs="Calibri"/>
                <w:color w:val="000000"/>
                <w:sz w:val="20"/>
                <w:szCs w:val="20"/>
                <w:lang w:val="ga"/>
              </w:rPr>
              <w:t>104,443</w:t>
            </w:r>
          </w:p>
        </w:tc>
        <w:tc>
          <w:tcPr>
            <w:tcW w:w="1560" w:type="dxa"/>
            <w:tcBorders>
              <w:top w:val="single" w:sz="4" w:space="0" w:color="auto"/>
              <w:left w:val="single" w:sz="4" w:space="0" w:color="auto"/>
              <w:bottom w:val="single" w:sz="4" w:space="0" w:color="auto"/>
              <w:right w:val="single" w:sz="4" w:space="0" w:color="auto"/>
            </w:tcBorders>
            <w:hideMark/>
          </w:tcPr>
          <w:p w14:paraId="4681599E" w14:textId="77777777" w:rsidR="00590BEF" w:rsidRPr="007202FA" w:rsidRDefault="000B4F21" w:rsidP="007202FA">
            <w:pPr>
              <w:jc w:val="right"/>
              <w:rPr>
                <w:sz w:val="20"/>
                <w:szCs w:val="20"/>
              </w:rPr>
            </w:pPr>
            <w:r>
              <w:rPr>
                <w:rFonts w:cs="Calibri"/>
                <w:color w:val="000000"/>
                <w:sz w:val="20"/>
                <w:szCs w:val="20"/>
                <w:lang w:val="ga"/>
              </w:rPr>
              <w:t>2,812</w:t>
            </w:r>
          </w:p>
        </w:tc>
        <w:tc>
          <w:tcPr>
            <w:tcW w:w="1577" w:type="dxa"/>
            <w:tcBorders>
              <w:top w:val="single" w:sz="4" w:space="0" w:color="auto"/>
              <w:left w:val="single" w:sz="4" w:space="0" w:color="auto"/>
              <w:bottom w:val="single" w:sz="4" w:space="0" w:color="auto"/>
              <w:right w:val="single" w:sz="4" w:space="0" w:color="auto"/>
            </w:tcBorders>
            <w:hideMark/>
          </w:tcPr>
          <w:p w14:paraId="6B57DF9B" w14:textId="77777777" w:rsidR="00590BEF" w:rsidRPr="007202FA" w:rsidRDefault="000B4F21" w:rsidP="007202FA">
            <w:pPr>
              <w:jc w:val="right"/>
              <w:rPr>
                <w:sz w:val="20"/>
                <w:szCs w:val="20"/>
              </w:rPr>
            </w:pPr>
            <w:r>
              <w:rPr>
                <w:rFonts w:cs="Calibri"/>
                <w:color w:val="000000"/>
                <w:sz w:val="20"/>
                <w:szCs w:val="20"/>
                <w:lang w:val="ga"/>
              </w:rPr>
              <w:t>2.7%</w:t>
            </w:r>
          </w:p>
        </w:tc>
      </w:tr>
      <w:tr w:rsidR="00F31303" w14:paraId="14DAB4C8"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604D1EEC" w14:textId="77777777" w:rsidR="00590BEF" w:rsidRPr="005524D6" w:rsidRDefault="000B4F21" w:rsidP="007202FA">
            <w:pPr>
              <w:rPr>
                <w:sz w:val="20"/>
                <w:szCs w:val="20"/>
                <w:lang w:val="de-DE"/>
              </w:rPr>
            </w:pPr>
            <w:r>
              <w:rPr>
                <w:rFonts w:cs="Calibri"/>
                <w:color w:val="000000"/>
                <w:sz w:val="20"/>
                <w:szCs w:val="20"/>
                <w:lang w:val="ga"/>
              </w:rPr>
              <w:t>An Institiúid um Shláinte Phoiblí</w:t>
            </w:r>
          </w:p>
        </w:tc>
        <w:tc>
          <w:tcPr>
            <w:tcW w:w="1560" w:type="dxa"/>
            <w:tcBorders>
              <w:top w:val="single" w:sz="4" w:space="0" w:color="auto"/>
              <w:left w:val="single" w:sz="4" w:space="0" w:color="auto"/>
              <w:bottom w:val="single" w:sz="4" w:space="0" w:color="auto"/>
              <w:right w:val="single" w:sz="4" w:space="0" w:color="auto"/>
            </w:tcBorders>
            <w:hideMark/>
          </w:tcPr>
          <w:p w14:paraId="09A829CA" w14:textId="77777777" w:rsidR="00590BEF" w:rsidRPr="007202FA" w:rsidRDefault="000B4F21" w:rsidP="007202FA">
            <w:pPr>
              <w:jc w:val="right"/>
              <w:rPr>
                <w:sz w:val="20"/>
                <w:szCs w:val="20"/>
              </w:rPr>
            </w:pPr>
            <w:r>
              <w:rPr>
                <w:sz w:val="20"/>
                <w:szCs w:val="20"/>
                <w:lang w:val="ga"/>
              </w:rPr>
              <w:t>20</w:t>
            </w:r>
          </w:p>
        </w:tc>
        <w:tc>
          <w:tcPr>
            <w:tcW w:w="1559" w:type="dxa"/>
            <w:tcBorders>
              <w:top w:val="single" w:sz="4" w:space="0" w:color="auto"/>
              <w:left w:val="single" w:sz="4" w:space="0" w:color="auto"/>
              <w:bottom w:val="single" w:sz="4" w:space="0" w:color="auto"/>
              <w:right w:val="single" w:sz="4" w:space="0" w:color="auto"/>
            </w:tcBorders>
            <w:hideMark/>
          </w:tcPr>
          <w:p w14:paraId="1357ECFF" w14:textId="77777777" w:rsidR="00590BEF" w:rsidRPr="007202FA" w:rsidRDefault="000B4F21" w:rsidP="007202FA">
            <w:pPr>
              <w:jc w:val="right"/>
              <w:rPr>
                <w:sz w:val="20"/>
                <w:szCs w:val="20"/>
              </w:rPr>
            </w:pPr>
            <w:r>
              <w:rPr>
                <w:sz w:val="20"/>
                <w:szCs w:val="20"/>
                <w:lang w:val="ga"/>
              </w:rPr>
              <w:t>3</w:t>
            </w:r>
          </w:p>
        </w:tc>
        <w:tc>
          <w:tcPr>
            <w:tcW w:w="1559" w:type="dxa"/>
            <w:tcBorders>
              <w:top w:val="single" w:sz="4" w:space="0" w:color="auto"/>
              <w:left w:val="single" w:sz="4" w:space="0" w:color="auto"/>
              <w:bottom w:val="single" w:sz="4" w:space="0" w:color="auto"/>
              <w:right w:val="single" w:sz="4" w:space="0" w:color="auto"/>
            </w:tcBorders>
            <w:hideMark/>
          </w:tcPr>
          <w:p w14:paraId="2F2BB879" w14:textId="77777777" w:rsidR="00590BEF" w:rsidRPr="007202FA" w:rsidRDefault="000B4F21" w:rsidP="007202FA">
            <w:pPr>
              <w:jc w:val="right"/>
              <w:rPr>
                <w:sz w:val="20"/>
                <w:szCs w:val="20"/>
              </w:rPr>
            </w:pPr>
            <w:r>
              <w:rPr>
                <w:sz w:val="20"/>
                <w:szCs w:val="20"/>
                <w:lang w:val="ga"/>
              </w:rPr>
              <w:t>15.0%</w:t>
            </w:r>
          </w:p>
        </w:tc>
        <w:tc>
          <w:tcPr>
            <w:tcW w:w="1559" w:type="dxa"/>
            <w:tcBorders>
              <w:top w:val="single" w:sz="4" w:space="0" w:color="auto"/>
              <w:left w:val="single" w:sz="4" w:space="0" w:color="auto"/>
              <w:bottom w:val="single" w:sz="4" w:space="0" w:color="auto"/>
              <w:right w:val="single" w:sz="4" w:space="0" w:color="auto"/>
            </w:tcBorders>
            <w:hideMark/>
          </w:tcPr>
          <w:p w14:paraId="3B50B886" w14:textId="77777777" w:rsidR="00590BEF" w:rsidRPr="007202FA" w:rsidRDefault="000B4F21" w:rsidP="007202FA">
            <w:pPr>
              <w:jc w:val="right"/>
              <w:rPr>
                <w:sz w:val="20"/>
                <w:szCs w:val="20"/>
              </w:rPr>
            </w:pPr>
            <w:r>
              <w:rPr>
                <w:rFonts w:cs="Calibri"/>
                <w:color w:val="000000"/>
                <w:sz w:val="20"/>
                <w:szCs w:val="20"/>
                <w:lang w:val="ga"/>
              </w:rPr>
              <w:t>21</w:t>
            </w:r>
          </w:p>
        </w:tc>
        <w:tc>
          <w:tcPr>
            <w:tcW w:w="1560" w:type="dxa"/>
            <w:tcBorders>
              <w:top w:val="single" w:sz="4" w:space="0" w:color="auto"/>
              <w:left w:val="single" w:sz="4" w:space="0" w:color="auto"/>
              <w:bottom w:val="single" w:sz="4" w:space="0" w:color="auto"/>
              <w:right w:val="single" w:sz="4" w:space="0" w:color="auto"/>
            </w:tcBorders>
            <w:hideMark/>
          </w:tcPr>
          <w:p w14:paraId="22C3B9DC" w14:textId="77777777" w:rsidR="00590BEF" w:rsidRPr="007202FA" w:rsidRDefault="000B4F21" w:rsidP="007202FA">
            <w:pPr>
              <w:jc w:val="right"/>
              <w:rPr>
                <w:sz w:val="20"/>
                <w:szCs w:val="20"/>
              </w:rPr>
            </w:pPr>
            <w:r>
              <w:rPr>
                <w:rFonts w:cs="Calibri"/>
                <w:color w:val="000000"/>
                <w:sz w:val="20"/>
                <w:szCs w:val="20"/>
                <w:lang w:val="ga"/>
              </w:rPr>
              <w:t>3</w:t>
            </w:r>
          </w:p>
        </w:tc>
        <w:tc>
          <w:tcPr>
            <w:tcW w:w="1577" w:type="dxa"/>
            <w:tcBorders>
              <w:top w:val="single" w:sz="4" w:space="0" w:color="auto"/>
              <w:left w:val="single" w:sz="4" w:space="0" w:color="auto"/>
              <w:bottom w:val="single" w:sz="4" w:space="0" w:color="auto"/>
              <w:right w:val="single" w:sz="4" w:space="0" w:color="auto"/>
            </w:tcBorders>
            <w:hideMark/>
          </w:tcPr>
          <w:p w14:paraId="49BDE3D8" w14:textId="77777777" w:rsidR="00590BEF" w:rsidRPr="007202FA" w:rsidRDefault="000B4F21" w:rsidP="007202FA">
            <w:pPr>
              <w:jc w:val="right"/>
              <w:rPr>
                <w:sz w:val="20"/>
                <w:szCs w:val="20"/>
              </w:rPr>
            </w:pPr>
            <w:r>
              <w:rPr>
                <w:rFonts w:cs="Calibri"/>
                <w:color w:val="000000"/>
                <w:sz w:val="20"/>
                <w:szCs w:val="20"/>
                <w:lang w:val="ga"/>
              </w:rPr>
              <w:t>14.3%</w:t>
            </w:r>
          </w:p>
        </w:tc>
      </w:tr>
      <w:tr w:rsidR="00F31303" w14:paraId="0DCC47E8"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255611EF" w14:textId="77777777" w:rsidR="00590BEF" w:rsidRPr="007202FA" w:rsidRDefault="000B4F21" w:rsidP="007202FA">
            <w:pPr>
              <w:rPr>
                <w:sz w:val="20"/>
                <w:szCs w:val="20"/>
              </w:rPr>
            </w:pPr>
            <w:r>
              <w:rPr>
                <w:rFonts w:cs="Calibri"/>
                <w:color w:val="000000"/>
                <w:sz w:val="20"/>
                <w:szCs w:val="20"/>
                <w:lang w:val="ga"/>
              </w:rPr>
              <w:t>Seirbhís Fuilaistriúcháin na hÉireann</w:t>
            </w:r>
          </w:p>
        </w:tc>
        <w:tc>
          <w:tcPr>
            <w:tcW w:w="1560" w:type="dxa"/>
            <w:tcBorders>
              <w:top w:val="single" w:sz="4" w:space="0" w:color="auto"/>
              <w:left w:val="single" w:sz="4" w:space="0" w:color="auto"/>
              <w:bottom w:val="single" w:sz="4" w:space="0" w:color="auto"/>
              <w:right w:val="single" w:sz="4" w:space="0" w:color="auto"/>
            </w:tcBorders>
            <w:hideMark/>
          </w:tcPr>
          <w:p w14:paraId="71FAB6EB" w14:textId="77777777" w:rsidR="00590BEF" w:rsidRPr="007202FA" w:rsidRDefault="000B4F21" w:rsidP="007202FA">
            <w:pPr>
              <w:jc w:val="right"/>
              <w:rPr>
                <w:sz w:val="20"/>
                <w:szCs w:val="20"/>
              </w:rPr>
            </w:pPr>
            <w:r>
              <w:rPr>
                <w:sz w:val="20"/>
                <w:szCs w:val="20"/>
                <w:lang w:val="ga"/>
              </w:rPr>
              <w:t>620</w:t>
            </w:r>
          </w:p>
        </w:tc>
        <w:tc>
          <w:tcPr>
            <w:tcW w:w="1559" w:type="dxa"/>
            <w:tcBorders>
              <w:top w:val="single" w:sz="4" w:space="0" w:color="auto"/>
              <w:left w:val="single" w:sz="4" w:space="0" w:color="auto"/>
              <w:bottom w:val="single" w:sz="4" w:space="0" w:color="auto"/>
              <w:right w:val="single" w:sz="4" w:space="0" w:color="auto"/>
            </w:tcBorders>
            <w:hideMark/>
          </w:tcPr>
          <w:p w14:paraId="3A483EF2" w14:textId="77777777" w:rsidR="00590BEF" w:rsidRPr="007202FA" w:rsidRDefault="000B4F21" w:rsidP="007202FA">
            <w:pPr>
              <w:jc w:val="right"/>
              <w:rPr>
                <w:sz w:val="20"/>
                <w:szCs w:val="20"/>
              </w:rPr>
            </w:pPr>
            <w:r>
              <w:rPr>
                <w:sz w:val="20"/>
                <w:szCs w:val="20"/>
                <w:lang w:val="ga"/>
              </w:rPr>
              <w:t>29</w:t>
            </w:r>
          </w:p>
        </w:tc>
        <w:tc>
          <w:tcPr>
            <w:tcW w:w="1559" w:type="dxa"/>
            <w:tcBorders>
              <w:top w:val="single" w:sz="4" w:space="0" w:color="auto"/>
              <w:left w:val="single" w:sz="4" w:space="0" w:color="auto"/>
              <w:bottom w:val="single" w:sz="4" w:space="0" w:color="auto"/>
              <w:right w:val="single" w:sz="4" w:space="0" w:color="auto"/>
            </w:tcBorders>
            <w:hideMark/>
          </w:tcPr>
          <w:p w14:paraId="00A3A136" w14:textId="77777777" w:rsidR="00590BEF" w:rsidRPr="007202FA" w:rsidRDefault="000B4F21" w:rsidP="007202FA">
            <w:pPr>
              <w:jc w:val="right"/>
              <w:rPr>
                <w:sz w:val="20"/>
                <w:szCs w:val="20"/>
              </w:rPr>
            </w:pPr>
            <w:r>
              <w:rPr>
                <w:sz w:val="20"/>
                <w:szCs w:val="20"/>
                <w:lang w:val="ga"/>
              </w:rPr>
              <w:t>4.7%</w:t>
            </w:r>
          </w:p>
        </w:tc>
        <w:tc>
          <w:tcPr>
            <w:tcW w:w="1559" w:type="dxa"/>
            <w:tcBorders>
              <w:top w:val="single" w:sz="4" w:space="0" w:color="auto"/>
              <w:left w:val="single" w:sz="4" w:space="0" w:color="auto"/>
              <w:bottom w:val="single" w:sz="4" w:space="0" w:color="auto"/>
              <w:right w:val="single" w:sz="4" w:space="0" w:color="auto"/>
            </w:tcBorders>
            <w:hideMark/>
          </w:tcPr>
          <w:p w14:paraId="206C392F" w14:textId="77777777" w:rsidR="00590BEF" w:rsidRPr="007202FA" w:rsidRDefault="000B4F21" w:rsidP="007202FA">
            <w:pPr>
              <w:jc w:val="right"/>
              <w:rPr>
                <w:sz w:val="20"/>
                <w:szCs w:val="20"/>
              </w:rPr>
            </w:pPr>
            <w:r>
              <w:rPr>
                <w:rFonts w:cs="Calibri"/>
                <w:color w:val="000000"/>
                <w:sz w:val="20"/>
                <w:szCs w:val="20"/>
                <w:lang w:val="ga"/>
              </w:rPr>
              <w:t>614</w:t>
            </w:r>
          </w:p>
        </w:tc>
        <w:tc>
          <w:tcPr>
            <w:tcW w:w="1560" w:type="dxa"/>
            <w:tcBorders>
              <w:top w:val="single" w:sz="4" w:space="0" w:color="auto"/>
              <w:left w:val="single" w:sz="4" w:space="0" w:color="auto"/>
              <w:bottom w:val="single" w:sz="4" w:space="0" w:color="auto"/>
              <w:right w:val="single" w:sz="4" w:space="0" w:color="auto"/>
            </w:tcBorders>
            <w:hideMark/>
          </w:tcPr>
          <w:p w14:paraId="72DA8C20" w14:textId="77777777" w:rsidR="00590BEF" w:rsidRPr="007202FA" w:rsidRDefault="000B4F21" w:rsidP="007202FA">
            <w:pPr>
              <w:jc w:val="right"/>
              <w:rPr>
                <w:sz w:val="20"/>
                <w:szCs w:val="20"/>
              </w:rPr>
            </w:pPr>
            <w:r>
              <w:rPr>
                <w:rFonts w:cs="Calibri"/>
                <w:color w:val="000000"/>
                <w:sz w:val="20"/>
                <w:szCs w:val="20"/>
                <w:lang w:val="ga"/>
              </w:rPr>
              <w:t>32</w:t>
            </w:r>
          </w:p>
        </w:tc>
        <w:tc>
          <w:tcPr>
            <w:tcW w:w="1577" w:type="dxa"/>
            <w:tcBorders>
              <w:top w:val="single" w:sz="4" w:space="0" w:color="auto"/>
              <w:left w:val="single" w:sz="4" w:space="0" w:color="auto"/>
              <w:bottom w:val="single" w:sz="4" w:space="0" w:color="auto"/>
              <w:right w:val="single" w:sz="4" w:space="0" w:color="auto"/>
            </w:tcBorders>
            <w:hideMark/>
          </w:tcPr>
          <w:p w14:paraId="453E9AFA" w14:textId="77777777" w:rsidR="00590BEF" w:rsidRPr="007202FA" w:rsidRDefault="000B4F21" w:rsidP="007202FA">
            <w:pPr>
              <w:jc w:val="right"/>
              <w:rPr>
                <w:sz w:val="20"/>
                <w:szCs w:val="20"/>
              </w:rPr>
            </w:pPr>
            <w:r>
              <w:rPr>
                <w:rFonts w:cs="Calibri"/>
                <w:color w:val="000000"/>
                <w:sz w:val="20"/>
                <w:szCs w:val="20"/>
                <w:lang w:val="ga"/>
              </w:rPr>
              <w:t>5.2%</w:t>
            </w:r>
          </w:p>
        </w:tc>
      </w:tr>
      <w:tr w:rsidR="00F31303" w14:paraId="0FE601F3"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70EF5603" w14:textId="77777777" w:rsidR="00590BEF" w:rsidRPr="007202FA" w:rsidRDefault="000B4F21" w:rsidP="007202FA">
            <w:pPr>
              <w:rPr>
                <w:sz w:val="20"/>
                <w:szCs w:val="20"/>
              </w:rPr>
            </w:pPr>
            <w:r>
              <w:rPr>
                <w:rFonts w:cs="Calibri"/>
                <w:color w:val="000000"/>
                <w:sz w:val="20"/>
                <w:szCs w:val="20"/>
                <w:lang w:val="ga"/>
              </w:rPr>
              <w:t>Ospidéal Pháirc Bhaile na Lobhar</w:t>
            </w:r>
          </w:p>
        </w:tc>
        <w:tc>
          <w:tcPr>
            <w:tcW w:w="1560" w:type="dxa"/>
            <w:tcBorders>
              <w:top w:val="single" w:sz="4" w:space="0" w:color="auto"/>
              <w:left w:val="single" w:sz="4" w:space="0" w:color="auto"/>
              <w:bottom w:val="single" w:sz="4" w:space="0" w:color="auto"/>
              <w:right w:val="single" w:sz="4" w:space="0" w:color="auto"/>
            </w:tcBorders>
            <w:hideMark/>
          </w:tcPr>
          <w:p w14:paraId="28C39CEA" w14:textId="77777777" w:rsidR="00590BEF" w:rsidRPr="007202FA" w:rsidRDefault="000B4F21" w:rsidP="007202FA">
            <w:pPr>
              <w:jc w:val="right"/>
              <w:rPr>
                <w:sz w:val="20"/>
                <w:szCs w:val="20"/>
              </w:rPr>
            </w:pPr>
            <w:r>
              <w:rPr>
                <w:sz w:val="20"/>
                <w:szCs w:val="20"/>
                <w:lang w:val="ga"/>
              </w:rPr>
              <w:t>214</w:t>
            </w:r>
          </w:p>
        </w:tc>
        <w:tc>
          <w:tcPr>
            <w:tcW w:w="1559" w:type="dxa"/>
            <w:tcBorders>
              <w:top w:val="single" w:sz="4" w:space="0" w:color="auto"/>
              <w:left w:val="single" w:sz="4" w:space="0" w:color="auto"/>
              <w:bottom w:val="single" w:sz="4" w:space="0" w:color="auto"/>
              <w:right w:val="single" w:sz="4" w:space="0" w:color="auto"/>
            </w:tcBorders>
            <w:hideMark/>
          </w:tcPr>
          <w:p w14:paraId="73677F2B" w14:textId="77777777" w:rsidR="00590BEF" w:rsidRPr="007202FA" w:rsidRDefault="000B4F21" w:rsidP="007202FA">
            <w:pPr>
              <w:jc w:val="right"/>
              <w:rPr>
                <w:sz w:val="20"/>
                <w:szCs w:val="20"/>
              </w:rPr>
            </w:pPr>
            <w:r>
              <w:rPr>
                <w:sz w:val="20"/>
                <w:szCs w:val="20"/>
                <w:lang w:val="ga"/>
              </w:rPr>
              <w:t>13</w:t>
            </w:r>
          </w:p>
        </w:tc>
        <w:tc>
          <w:tcPr>
            <w:tcW w:w="1559" w:type="dxa"/>
            <w:tcBorders>
              <w:top w:val="single" w:sz="4" w:space="0" w:color="auto"/>
              <w:left w:val="single" w:sz="4" w:space="0" w:color="auto"/>
              <w:bottom w:val="single" w:sz="4" w:space="0" w:color="auto"/>
              <w:right w:val="single" w:sz="4" w:space="0" w:color="auto"/>
            </w:tcBorders>
            <w:hideMark/>
          </w:tcPr>
          <w:p w14:paraId="64867D5E" w14:textId="77777777" w:rsidR="00590BEF" w:rsidRPr="007202FA" w:rsidRDefault="000B4F21" w:rsidP="007202FA">
            <w:pPr>
              <w:jc w:val="right"/>
              <w:rPr>
                <w:sz w:val="20"/>
                <w:szCs w:val="20"/>
              </w:rPr>
            </w:pPr>
            <w:r>
              <w:rPr>
                <w:sz w:val="20"/>
                <w:szCs w:val="20"/>
                <w:lang w:val="ga"/>
              </w:rPr>
              <w:t>6.1%</w:t>
            </w:r>
          </w:p>
        </w:tc>
        <w:tc>
          <w:tcPr>
            <w:tcW w:w="1559" w:type="dxa"/>
            <w:tcBorders>
              <w:top w:val="single" w:sz="4" w:space="0" w:color="auto"/>
              <w:left w:val="single" w:sz="4" w:space="0" w:color="auto"/>
              <w:bottom w:val="single" w:sz="4" w:space="0" w:color="auto"/>
              <w:right w:val="single" w:sz="4" w:space="0" w:color="auto"/>
            </w:tcBorders>
            <w:hideMark/>
          </w:tcPr>
          <w:p w14:paraId="16847CF5" w14:textId="77777777" w:rsidR="00590BEF" w:rsidRPr="007202FA" w:rsidRDefault="000B4F21" w:rsidP="007202FA">
            <w:pPr>
              <w:jc w:val="right"/>
              <w:rPr>
                <w:sz w:val="20"/>
                <w:szCs w:val="20"/>
              </w:rPr>
            </w:pPr>
            <w:r>
              <w:rPr>
                <w:rFonts w:cs="Calibri"/>
                <w:color w:val="000000"/>
                <w:sz w:val="20"/>
                <w:szCs w:val="20"/>
                <w:lang w:val="ga"/>
              </w:rPr>
              <w:t>231</w:t>
            </w:r>
          </w:p>
        </w:tc>
        <w:tc>
          <w:tcPr>
            <w:tcW w:w="1560" w:type="dxa"/>
            <w:tcBorders>
              <w:top w:val="single" w:sz="4" w:space="0" w:color="auto"/>
              <w:left w:val="single" w:sz="4" w:space="0" w:color="auto"/>
              <w:bottom w:val="single" w:sz="4" w:space="0" w:color="auto"/>
              <w:right w:val="single" w:sz="4" w:space="0" w:color="auto"/>
            </w:tcBorders>
            <w:hideMark/>
          </w:tcPr>
          <w:p w14:paraId="73BA7581" w14:textId="77777777" w:rsidR="00590BEF" w:rsidRPr="007202FA" w:rsidRDefault="000B4F21" w:rsidP="007202FA">
            <w:pPr>
              <w:jc w:val="right"/>
              <w:rPr>
                <w:sz w:val="20"/>
                <w:szCs w:val="20"/>
              </w:rPr>
            </w:pPr>
            <w:r>
              <w:rPr>
                <w:rFonts w:cs="Calibri"/>
                <w:color w:val="000000"/>
                <w:sz w:val="20"/>
                <w:szCs w:val="20"/>
                <w:lang w:val="ga"/>
              </w:rPr>
              <w:t>13</w:t>
            </w:r>
          </w:p>
        </w:tc>
        <w:tc>
          <w:tcPr>
            <w:tcW w:w="1577" w:type="dxa"/>
            <w:tcBorders>
              <w:top w:val="single" w:sz="4" w:space="0" w:color="auto"/>
              <w:left w:val="single" w:sz="4" w:space="0" w:color="auto"/>
              <w:bottom w:val="single" w:sz="4" w:space="0" w:color="auto"/>
              <w:right w:val="single" w:sz="4" w:space="0" w:color="auto"/>
            </w:tcBorders>
            <w:hideMark/>
          </w:tcPr>
          <w:p w14:paraId="533AC009" w14:textId="77777777" w:rsidR="00590BEF" w:rsidRPr="007202FA" w:rsidRDefault="000B4F21" w:rsidP="007202FA">
            <w:pPr>
              <w:jc w:val="right"/>
              <w:rPr>
                <w:sz w:val="20"/>
                <w:szCs w:val="20"/>
              </w:rPr>
            </w:pPr>
            <w:r>
              <w:rPr>
                <w:rFonts w:cs="Calibri"/>
                <w:color w:val="000000"/>
                <w:sz w:val="20"/>
                <w:szCs w:val="20"/>
                <w:lang w:val="ga"/>
              </w:rPr>
              <w:t>5.6%</w:t>
            </w:r>
          </w:p>
        </w:tc>
      </w:tr>
      <w:tr w:rsidR="00F31303" w14:paraId="335E0501"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5E5713E" w14:textId="77777777" w:rsidR="00590BEF" w:rsidRPr="007202FA" w:rsidRDefault="000B4F21" w:rsidP="007202FA">
            <w:pPr>
              <w:rPr>
                <w:sz w:val="20"/>
                <w:szCs w:val="20"/>
              </w:rPr>
            </w:pPr>
            <w:r>
              <w:rPr>
                <w:rFonts w:cs="Calibri"/>
                <w:color w:val="000000"/>
                <w:sz w:val="20"/>
                <w:szCs w:val="20"/>
                <w:lang w:val="ga"/>
              </w:rPr>
              <w:t>Comhairle na nDochtúirí Leighis</w:t>
            </w:r>
          </w:p>
        </w:tc>
        <w:tc>
          <w:tcPr>
            <w:tcW w:w="1560" w:type="dxa"/>
            <w:tcBorders>
              <w:top w:val="single" w:sz="4" w:space="0" w:color="auto"/>
              <w:left w:val="single" w:sz="4" w:space="0" w:color="auto"/>
              <w:bottom w:val="single" w:sz="4" w:space="0" w:color="auto"/>
              <w:right w:val="single" w:sz="4" w:space="0" w:color="auto"/>
            </w:tcBorders>
            <w:hideMark/>
          </w:tcPr>
          <w:p w14:paraId="4E360035" w14:textId="77777777" w:rsidR="00590BEF" w:rsidRPr="007202FA" w:rsidRDefault="000B4F21" w:rsidP="007202FA">
            <w:pPr>
              <w:jc w:val="right"/>
              <w:rPr>
                <w:sz w:val="20"/>
                <w:szCs w:val="20"/>
              </w:rPr>
            </w:pPr>
            <w:r>
              <w:rPr>
                <w:sz w:val="20"/>
                <w:szCs w:val="20"/>
                <w:lang w:val="ga"/>
              </w:rPr>
              <w:t>131</w:t>
            </w:r>
          </w:p>
        </w:tc>
        <w:tc>
          <w:tcPr>
            <w:tcW w:w="1559" w:type="dxa"/>
            <w:tcBorders>
              <w:top w:val="single" w:sz="4" w:space="0" w:color="auto"/>
              <w:left w:val="single" w:sz="4" w:space="0" w:color="auto"/>
              <w:bottom w:val="single" w:sz="4" w:space="0" w:color="auto"/>
              <w:right w:val="single" w:sz="4" w:space="0" w:color="auto"/>
            </w:tcBorders>
            <w:hideMark/>
          </w:tcPr>
          <w:p w14:paraId="08B2E34C" w14:textId="77777777" w:rsidR="00590BEF" w:rsidRPr="007202FA" w:rsidRDefault="000B4F21" w:rsidP="007202FA">
            <w:pPr>
              <w:jc w:val="right"/>
              <w:rPr>
                <w:sz w:val="20"/>
                <w:szCs w:val="20"/>
              </w:rPr>
            </w:pPr>
            <w:r>
              <w:rPr>
                <w:sz w:val="20"/>
                <w:szCs w:val="20"/>
                <w:lang w:val="ga"/>
              </w:rPr>
              <w:t>7</w:t>
            </w:r>
          </w:p>
        </w:tc>
        <w:tc>
          <w:tcPr>
            <w:tcW w:w="1559" w:type="dxa"/>
            <w:tcBorders>
              <w:top w:val="single" w:sz="4" w:space="0" w:color="auto"/>
              <w:left w:val="single" w:sz="4" w:space="0" w:color="auto"/>
              <w:bottom w:val="single" w:sz="4" w:space="0" w:color="auto"/>
              <w:right w:val="single" w:sz="4" w:space="0" w:color="auto"/>
            </w:tcBorders>
            <w:hideMark/>
          </w:tcPr>
          <w:p w14:paraId="51C69F9E" w14:textId="77777777" w:rsidR="00590BEF" w:rsidRPr="007202FA" w:rsidRDefault="000B4F21" w:rsidP="007202FA">
            <w:pPr>
              <w:jc w:val="right"/>
              <w:rPr>
                <w:sz w:val="20"/>
                <w:szCs w:val="20"/>
              </w:rPr>
            </w:pPr>
            <w:r>
              <w:rPr>
                <w:sz w:val="20"/>
                <w:szCs w:val="20"/>
                <w:lang w:val="ga"/>
              </w:rPr>
              <w:t>5.3%</w:t>
            </w:r>
          </w:p>
        </w:tc>
        <w:tc>
          <w:tcPr>
            <w:tcW w:w="1559" w:type="dxa"/>
            <w:tcBorders>
              <w:top w:val="single" w:sz="4" w:space="0" w:color="auto"/>
              <w:left w:val="single" w:sz="4" w:space="0" w:color="auto"/>
              <w:bottom w:val="single" w:sz="4" w:space="0" w:color="auto"/>
              <w:right w:val="single" w:sz="4" w:space="0" w:color="auto"/>
            </w:tcBorders>
            <w:hideMark/>
          </w:tcPr>
          <w:p w14:paraId="4BE65567" w14:textId="77777777" w:rsidR="00590BEF" w:rsidRPr="007202FA" w:rsidRDefault="000B4F21" w:rsidP="007202FA">
            <w:pPr>
              <w:jc w:val="right"/>
              <w:rPr>
                <w:sz w:val="20"/>
                <w:szCs w:val="20"/>
              </w:rPr>
            </w:pPr>
            <w:r>
              <w:rPr>
                <w:rFonts w:cs="Calibri"/>
                <w:color w:val="000000"/>
                <w:sz w:val="20"/>
                <w:szCs w:val="20"/>
                <w:lang w:val="ga"/>
              </w:rPr>
              <w:t>136</w:t>
            </w:r>
          </w:p>
        </w:tc>
        <w:tc>
          <w:tcPr>
            <w:tcW w:w="1560" w:type="dxa"/>
            <w:tcBorders>
              <w:top w:val="single" w:sz="4" w:space="0" w:color="auto"/>
              <w:left w:val="single" w:sz="4" w:space="0" w:color="auto"/>
              <w:bottom w:val="single" w:sz="4" w:space="0" w:color="auto"/>
              <w:right w:val="single" w:sz="4" w:space="0" w:color="auto"/>
            </w:tcBorders>
            <w:hideMark/>
          </w:tcPr>
          <w:p w14:paraId="5E672490" w14:textId="77777777" w:rsidR="00590BEF" w:rsidRPr="007202FA" w:rsidRDefault="000B4F21" w:rsidP="007202FA">
            <w:pPr>
              <w:jc w:val="right"/>
              <w:rPr>
                <w:sz w:val="20"/>
                <w:szCs w:val="20"/>
              </w:rPr>
            </w:pPr>
            <w:r>
              <w:rPr>
                <w:rFonts w:cs="Calibri"/>
                <w:color w:val="000000"/>
                <w:sz w:val="20"/>
                <w:szCs w:val="20"/>
                <w:lang w:val="ga"/>
              </w:rPr>
              <w:t>9</w:t>
            </w:r>
          </w:p>
        </w:tc>
        <w:tc>
          <w:tcPr>
            <w:tcW w:w="1577" w:type="dxa"/>
            <w:tcBorders>
              <w:top w:val="single" w:sz="4" w:space="0" w:color="auto"/>
              <w:left w:val="single" w:sz="4" w:space="0" w:color="auto"/>
              <w:bottom w:val="single" w:sz="4" w:space="0" w:color="auto"/>
              <w:right w:val="single" w:sz="4" w:space="0" w:color="auto"/>
            </w:tcBorders>
            <w:hideMark/>
          </w:tcPr>
          <w:p w14:paraId="35F2817A" w14:textId="77777777" w:rsidR="00590BEF" w:rsidRPr="007202FA" w:rsidRDefault="000B4F21" w:rsidP="007202FA">
            <w:pPr>
              <w:jc w:val="right"/>
              <w:rPr>
                <w:sz w:val="20"/>
                <w:szCs w:val="20"/>
              </w:rPr>
            </w:pPr>
            <w:r>
              <w:rPr>
                <w:rFonts w:cs="Calibri"/>
                <w:color w:val="000000"/>
                <w:sz w:val="20"/>
                <w:szCs w:val="20"/>
                <w:lang w:val="ga"/>
              </w:rPr>
              <w:t>6.6%</w:t>
            </w:r>
          </w:p>
        </w:tc>
      </w:tr>
      <w:tr w:rsidR="00F31303" w14:paraId="6272D5DF"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38F2CF7B" w14:textId="77777777" w:rsidR="00590BEF" w:rsidRPr="007202FA" w:rsidRDefault="000B4F21" w:rsidP="007202FA">
            <w:pPr>
              <w:rPr>
                <w:sz w:val="20"/>
                <w:szCs w:val="20"/>
              </w:rPr>
            </w:pPr>
            <w:r>
              <w:rPr>
                <w:rFonts w:cs="Calibri"/>
                <w:color w:val="000000"/>
                <w:sz w:val="20"/>
                <w:szCs w:val="20"/>
                <w:lang w:val="ga"/>
              </w:rPr>
              <w:t>An Coimisiún Meabhair-Shláinte</w:t>
            </w:r>
          </w:p>
        </w:tc>
        <w:tc>
          <w:tcPr>
            <w:tcW w:w="1560" w:type="dxa"/>
            <w:tcBorders>
              <w:top w:val="single" w:sz="4" w:space="0" w:color="auto"/>
              <w:left w:val="single" w:sz="4" w:space="0" w:color="auto"/>
              <w:bottom w:val="single" w:sz="4" w:space="0" w:color="auto"/>
              <w:right w:val="single" w:sz="4" w:space="0" w:color="auto"/>
            </w:tcBorders>
            <w:hideMark/>
          </w:tcPr>
          <w:p w14:paraId="560E6C89" w14:textId="77777777" w:rsidR="00590BEF" w:rsidRPr="007202FA" w:rsidRDefault="000B4F21" w:rsidP="007202FA">
            <w:pPr>
              <w:jc w:val="right"/>
              <w:rPr>
                <w:sz w:val="20"/>
                <w:szCs w:val="20"/>
              </w:rPr>
            </w:pPr>
            <w:r>
              <w:rPr>
                <w:sz w:val="20"/>
                <w:szCs w:val="20"/>
                <w:lang w:val="ga"/>
              </w:rPr>
              <w:t>141</w:t>
            </w:r>
          </w:p>
        </w:tc>
        <w:tc>
          <w:tcPr>
            <w:tcW w:w="1559" w:type="dxa"/>
            <w:tcBorders>
              <w:top w:val="single" w:sz="4" w:space="0" w:color="auto"/>
              <w:left w:val="single" w:sz="4" w:space="0" w:color="auto"/>
              <w:bottom w:val="single" w:sz="4" w:space="0" w:color="auto"/>
              <w:right w:val="single" w:sz="4" w:space="0" w:color="auto"/>
            </w:tcBorders>
            <w:hideMark/>
          </w:tcPr>
          <w:p w14:paraId="0266AF39" w14:textId="77777777" w:rsidR="00590BEF" w:rsidRPr="007202FA" w:rsidRDefault="000B4F21" w:rsidP="007202FA">
            <w:pPr>
              <w:jc w:val="right"/>
              <w:rPr>
                <w:sz w:val="20"/>
                <w:szCs w:val="20"/>
              </w:rPr>
            </w:pPr>
            <w:r>
              <w:rPr>
                <w:sz w:val="20"/>
                <w:szCs w:val="20"/>
                <w:lang w:val="ga"/>
              </w:rPr>
              <w:t>10</w:t>
            </w:r>
          </w:p>
        </w:tc>
        <w:tc>
          <w:tcPr>
            <w:tcW w:w="1559" w:type="dxa"/>
            <w:tcBorders>
              <w:top w:val="single" w:sz="4" w:space="0" w:color="auto"/>
              <w:left w:val="single" w:sz="4" w:space="0" w:color="auto"/>
              <w:bottom w:val="single" w:sz="4" w:space="0" w:color="auto"/>
              <w:right w:val="single" w:sz="4" w:space="0" w:color="auto"/>
            </w:tcBorders>
            <w:hideMark/>
          </w:tcPr>
          <w:p w14:paraId="385CBCF4" w14:textId="77777777" w:rsidR="00590BEF" w:rsidRPr="007202FA" w:rsidRDefault="000B4F21" w:rsidP="007202FA">
            <w:pPr>
              <w:jc w:val="right"/>
              <w:rPr>
                <w:sz w:val="20"/>
                <w:szCs w:val="20"/>
              </w:rPr>
            </w:pPr>
            <w:r>
              <w:rPr>
                <w:sz w:val="20"/>
                <w:szCs w:val="20"/>
                <w:lang w:val="ga"/>
              </w:rPr>
              <w:t>7.1%</w:t>
            </w:r>
          </w:p>
        </w:tc>
        <w:tc>
          <w:tcPr>
            <w:tcW w:w="1559" w:type="dxa"/>
            <w:tcBorders>
              <w:top w:val="single" w:sz="4" w:space="0" w:color="auto"/>
              <w:left w:val="single" w:sz="4" w:space="0" w:color="auto"/>
              <w:bottom w:val="single" w:sz="4" w:space="0" w:color="auto"/>
              <w:right w:val="single" w:sz="4" w:space="0" w:color="auto"/>
            </w:tcBorders>
            <w:hideMark/>
          </w:tcPr>
          <w:p w14:paraId="58C9ACAA" w14:textId="77777777" w:rsidR="00590BEF" w:rsidRPr="007202FA" w:rsidRDefault="000B4F21" w:rsidP="007202FA">
            <w:pPr>
              <w:jc w:val="right"/>
              <w:rPr>
                <w:sz w:val="20"/>
                <w:szCs w:val="20"/>
              </w:rPr>
            </w:pPr>
            <w:r>
              <w:rPr>
                <w:rFonts w:cs="Calibri"/>
                <w:color w:val="000000"/>
                <w:sz w:val="20"/>
                <w:szCs w:val="20"/>
                <w:lang w:val="ga"/>
              </w:rPr>
              <w:t>163</w:t>
            </w:r>
          </w:p>
        </w:tc>
        <w:tc>
          <w:tcPr>
            <w:tcW w:w="1560" w:type="dxa"/>
            <w:tcBorders>
              <w:top w:val="single" w:sz="4" w:space="0" w:color="auto"/>
              <w:left w:val="single" w:sz="4" w:space="0" w:color="auto"/>
              <w:bottom w:val="single" w:sz="4" w:space="0" w:color="auto"/>
              <w:right w:val="single" w:sz="4" w:space="0" w:color="auto"/>
            </w:tcBorders>
            <w:hideMark/>
          </w:tcPr>
          <w:p w14:paraId="4BF1E64D" w14:textId="77777777" w:rsidR="00590BEF" w:rsidRPr="007202FA" w:rsidRDefault="000B4F21" w:rsidP="007202FA">
            <w:pPr>
              <w:jc w:val="right"/>
              <w:rPr>
                <w:sz w:val="20"/>
                <w:szCs w:val="20"/>
              </w:rPr>
            </w:pPr>
            <w:r>
              <w:rPr>
                <w:rFonts w:cs="Calibri"/>
                <w:color w:val="000000"/>
                <w:sz w:val="20"/>
                <w:szCs w:val="20"/>
                <w:lang w:val="ga"/>
              </w:rPr>
              <w:t>16</w:t>
            </w:r>
          </w:p>
        </w:tc>
        <w:tc>
          <w:tcPr>
            <w:tcW w:w="1577" w:type="dxa"/>
            <w:tcBorders>
              <w:top w:val="single" w:sz="4" w:space="0" w:color="auto"/>
              <w:left w:val="single" w:sz="4" w:space="0" w:color="auto"/>
              <w:bottom w:val="single" w:sz="4" w:space="0" w:color="auto"/>
              <w:right w:val="single" w:sz="4" w:space="0" w:color="auto"/>
            </w:tcBorders>
            <w:hideMark/>
          </w:tcPr>
          <w:p w14:paraId="1A1CEB12" w14:textId="77777777" w:rsidR="00590BEF" w:rsidRPr="007202FA" w:rsidRDefault="000B4F21" w:rsidP="007202FA">
            <w:pPr>
              <w:jc w:val="right"/>
              <w:rPr>
                <w:sz w:val="20"/>
                <w:szCs w:val="20"/>
              </w:rPr>
            </w:pPr>
            <w:r>
              <w:rPr>
                <w:rFonts w:cs="Calibri"/>
                <w:color w:val="000000"/>
                <w:sz w:val="20"/>
                <w:szCs w:val="20"/>
                <w:lang w:val="ga"/>
              </w:rPr>
              <w:t>9.8%</w:t>
            </w:r>
          </w:p>
        </w:tc>
      </w:tr>
      <w:tr w:rsidR="00F31303" w14:paraId="15F07CC0"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6A83BF06" w14:textId="77777777" w:rsidR="00590BEF" w:rsidRPr="005524D6" w:rsidRDefault="000B4F21" w:rsidP="007202FA">
            <w:pPr>
              <w:rPr>
                <w:rFonts w:cs="Calibri"/>
                <w:color w:val="000000"/>
                <w:sz w:val="20"/>
                <w:szCs w:val="20"/>
                <w:lang w:val="de-DE"/>
              </w:rPr>
            </w:pPr>
            <w:r>
              <w:rPr>
                <w:rFonts w:cs="Calibri"/>
                <w:color w:val="000000"/>
                <w:sz w:val="20"/>
                <w:szCs w:val="20"/>
                <w:lang w:val="ga"/>
              </w:rPr>
              <w:t>An Bord um an gClárlann Náisiúnta Ailse</w:t>
            </w:r>
          </w:p>
        </w:tc>
        <w:tc>
          <w:tcPr>
            <w:tcW w:w="1560" w:type="dxa"/>
            <w:tcBorders>
              <w:top w:val="single" w:sz="4" w:space="0" w:color="auto"/>
              <w:left w:val="single" w:sz="4" w:space="0" w:color="auto"/>
              <w:bottom w:val="single" w:sz="4" w:space="0" w:color="auto"/>
              <w:right w:val="single" w:sz="4" w:space="0" w:color="auto"/>
            </w:tcBorders>
            <w:hideMark/>
          </w:tcPr>
          <w:p w14:paraId="5B44426A" w14:textId="77777777" w:rsidR="00590BEF" w:rsidRPr="007202FA" w:rsidRDefault="000B4F21" w:rsidP="007202FA">
            <w:pPr>
              <w:jc w:val="right"/>
              <w:rPr>
                <w:rFonts w:cs="Calibri"/>
                <w:color w:val="000000"/>
                <w:sz w:val="20"/>
                <w:szCs w:val="20"/>
              </w:rPr>
            </w:pPr>
            <w:r>
              <w:rPr>
                <w:rFonts w:cs="Calibri"/>
                <w:color w:val="000000"/>
                <w:sz w:val="20"/>
                <w:szCs w:val="20"/>
                <w:lang w:val="ga"/>
              </w:rPr>
              <w:t>54</w:t>
            </w:r>
          </w:p>
        </w:tc>
        <w:tc>
          <w:tcPr>
            <w:tcW w:w="1559" w:type="dxa"/>
            <w:tcBorders>
              <w:top w:val="single" w:sz="4" w:space="0" w:color="auto"/>
              <w:left w:val="single" w:sz="4" w:space="0" w:color="auto"/>
              <w:bottom w:val="single" w:sz="4" w:space="0" w:color="auto"/>
              <w:right w:val="single" w:sz="4" w:space="0" w:color="auto"/>
            </w:tcBorders>
            <w:hideMark/>
          </w:tcPr>
          <w:p w14:paraId="64B4B24C" w14:textId="77777777" w:rsidR="00590BEF" w:rsidRPr="007202FA" w:rsidRDefault="000B4F21" w:rsidP="007202FA">
            <w:pPr>
              <w:jc w:val="right"/>
              <w:rPr>
                <w:rFonts w:cs="Calibri"/>
                <w:color w:val="000000"/>
                <w:sz w:val="20"/>
                <w:szCs w:val="20"/>
              </w:rPr>
            </w:pPr>
            <w:r>
              <w:rPr>
                <w:rFonts w:cs="Calibri"/>
                <w:color w:val="000000"/>
                <w:sz w:val="20"/>
                <w:szCs w:val="20"/>
                <w:lang w:val="ga"/>
              </w:rPr>
              <w:t>2</w:t>
            </w:r>
          </w:p>
        </w:tc>
        <w:tc>
          <w:tcPr>
            <w:tcW w:w="1559" w:type="dxa"/>
            <w:tcBorders>
              <w:top w:val="single" w:sz="4" w:space="0" w:color="auto"/>
              <w:left w:val="single" w:sz="4" w:space="0" w:color="auto"/>
              <w:bottom w:val="single" w:sz="4" w:space="0" w:color="auto"/>
              <w:right w:val="single" w:sz="4" w:space="0" w:color="auto"/>
            </w:tcBorders>
            <w:hideMark/>
          </w:tcPr>
          <w:p w14:paraId="03290CFE" w14:textId="77777777" w:rsidR="00590BEF" w:rsidRPr="007202FA" w:rsidRDefault="000B4F21" w:rsidP="007202FA">
            <w:pPr>
              <w:jc w:val="right"/>
              <w:rPr>
                <w:rFonts w:cs="Calibri"/>
                <w:color w:val="000000"/>
                <w:sz w:val="20"/>
                <w:szCs w:val="20"/>
              </w:rPr>
            </w:pPr>
            <w:r>
              <w:rPr>
                <w:rFonts w:cs="Calibri"/>
                <w:color w:val="000000"/>
                <w:sz w:val="20"/>
                <w:szCs w:val="20"/>
                <w:lang w:val="ga"/>
              </w:rPr>
              <w:t>3.7%</w:t>
            </w:r>
          </w:p>
        </w:tc>
        <w:tc>
          <w:tcPr>
            <w:tcW w:w="1559" w:type="dxa"/>
            <w:tcBorders>
              <w:top w:val="single" w:sz="4" w:space="0" w:color="auto"/>
              <w:left w:val="single" w:sz="4" w:space="0" w:color="auto"/>
              <w:bottom w:val="single" w:sz="4" w:space="0" w:color="auto"/>
              <w:right w:val="single" w:sz="4" w:space="0" w:color="auto"/>
            </w:tcBorders>
            <w:hideMark/>
          </w:tcPr>
          <w:p w14:paraId="58E417A8" w14:textId="77777777" w:rsidR="00590BEF" w:rsidRPr="007202FA" w:rsidRDefault="000B4F21" w:rsidP="007202FA">
            <w:pPr>
              <w:jc w:val="right"/>
              <w:rPr>
                <w:rFonts w:cs="Calibri"/>
                <w:color w:val="000000"/>
                <w:sz w:val="20"/>
                <w:szCs w:val="20"/>
              </w:rPr>
            </w:pPr>
            <w:r>
              <w:rPr>
                <w:rFonts w:cs="Calibri"/>
                <w:color w:val="000000"/>
                <w:sz w:val="20"/>
                <w:szCs w:val="20"/>
                <w:lang w:val="ga"/>
              </w:rPr>
              <w:t>52</w:t>
            </w:r>
          </w:p>
        </w:tc>
        <w:tc>
          <w:tcPr>
            <w:tcW w:w="1560" w:type="dxa"/>
            <w:tcBorders>
              <w:top w:val="single" w:sz="4" w:space="0" w:color="auto"/>
              <w:left w:val="single" w:sz="4" w:space="0" w:color="auto"/>
              <w:bottom w:val="single" w:sz="4" w:space="0" w:color="auto"/>
              <w:right w:val="single" w:sz="4" w:space="0" w:color="auto"/>
            </w:tcBorders>
            <w:hideMark/>
          </w:tcPr>
          <w:p w14:paraId="416C6864" w14:textId="77777777" w:rsidR="00590BEF" w:rsidRPr="007202FA" w:rsidRDefault="000B4F21" w:rsidP="007202FA">
            <w:pPr>
              <w:jc w:val="right"/>
              <w:rPr>
                <w:rFonts w:cs="Calibri"/>
                <w:color w:val="000000"/>
                <w:sz w:val="20"/>
                <w:szCs w:val="20"/>
              </w:rPr>
            </w:pPr>
            <w:r>
              <w:rPr>
                <w:rFonts w:cs="Calibri"/>
                <w:color w:val="000000"/>
                <w:sz w:val="20"/>
                <w:szCs w:val="20"/>
                <w:lang w:val="ga"/>
              </w:rPr>
              <w:t>3</w:t>
            </w:r>
          </w:p>
        </w:tc>
        <w:tc>
          <w:tcPr>
            <w:tcW w:w="1577" w:type="dxa"/>
            <w:tcBorders>
              <w:top w:val="single" w:sz="4" w:space="0" w:color="auto"/>
              <w:left w:val="single" w:sz="4" w:space="0" w:color="auto"/>
              <w:bottom w:val="single" w:sz="4" w:space="0" w:color="auto"/>
              <w:right w:val="single" w:sz="4" w:space="0" w:color="auto"/>
            </w:tcBorders>
            <w:hideMark/>
          </w:tcPr>
          <w:p w14:paraId="76EDA56F" w14:textId="77777777" w:rsidR="00590BEF" w:rsidRPr="007202FA" w:rsidRDefault="000B4F21" w:rsidP="007202FA">
            <w:pPr>
              <w:jc w:val="right"/>
              <w:rPr>
                <w:rFonts w:cs="Calibri"/>
                <w:color w:val="000000"/>
                <w:sz w:val="20"/>
                <w:szCs w:val="20"/>
              </w:rPr>
            </w:pPr>
            <w:r>
              <w:rPr>
                <w:rFonts w:cs="Calibri"/>
                <w:color w:val="000000"/>
                <w:sz w:val="20"/>
                <w:szCs w:val="20"/>
                <w:lang w:val="ga"/>
              </w:rPr>
              <w:t>5.8%</w:t>
            </w:r>
          </w:p>
        </w:tc>
      </w:tr>
      <w:tr w:rsidR="00F31303" w14:paraId="3D22F5F3"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45EE9B1B" w14:textId="77777777" w:rsidR="00590BEF" w:rsidRPr="007202FA" w:rsidRDefault="000B4F21" w:rsidP="007202FA">
            <w:pPr>
              <w:rPr>
                <w:sz w:val="20"/>
                <w:szCs w:val="20"/>
              </w:rPr>
            </w:pPr>
            <w:r>
              <w:rPr>
                <w:rFonts w:cs="Calibri"/>
                <w:color w:val="000000"/>
                <w:sz w:val="20"/>
                <w:szCs w:val="20"/>
                <w:lang w:val="ga"/>
              </w:rPr>
              <w:t>An Ciste Náisiúnta um Cheannach Cóireála</w:t>
            </w:r>
          </w:p>
        </w:tc>
        <w:tc>
          <w:tcPr>
            <w:tcW w:w="1560" w:type="dxa"/>
            <w:tcBorders>
              <w:top w:val="single" w:sz="4" w:space="0" w:color="auto"/>
              <w:left w:val="single" w:sz="4" w:space="0" w:color="auto"/>
              <w:bottom w:val="single" w:sz="4" w:space="0" w:color="auto"/>
              <w:right w:val="single" w:sz="4" w:space="0" w:color="auto"/>
            </w:tcBorders>
            <w:hideMark/>
          </w:tcPr>
          <w:p w14:paraId="6DC12DFA" w14:textId="77777777" w:rsidR="00590BEF" w:rsidRPr="007202FA" w:rsidRDefault="000B4F21" w:rsidP="007202FA">
            <w:pPr>
              <w:jc w:val="right"/>
              <w:rPr>
                <w:sz w:val="20"/>
                <w:szCs w:val="20"/>
              </w:rPr>
            </w:pPr>
            <w:r>
              <w:rPr>
                <w:sz w:val="20"/>
                <w:szCs w:val="20"/>
                <w:lang w:val="ga"/>
              </w:rPr>
              <w:t>93</w:t>
            </w:r>
          </w:p>
        </w:tc>
        <w:tc>
          <w:tcPr>
            <w:tcW w:w="1559" w:type="dxa"/>
            <w:tcBorders>
              <w:top w:val="single" w:sz="4" w:space="0" w:color="auto"/>
              <w:left w:val="single" w:sz="4" w:space="0" w:color="auto"/>
              <w:bottom w:val="single" w:sz="4" w:space="0" w:color="auto"/>
              <w:right w:val="single" w:sz="4" w:space="0" w:color="auto"/>
            </w:tcBorders>
            <w:hideMark/>
          </w:tcPr>
          <w:p w14:paraId="270DC17D" w14:textId="77777777" w:rsidR="00590BEF" w:rsidRPr="007202FA" w:rsidRDefault="000B4F21" w:rsidP="007202FA">
            <w:pPr>
              <w:jc w:val="right"/>
              <w:rPr>
                <w:sz w:val="20"/>
                <w:szCs w:val="20"/>
              </w:rPr>
            </w:pPr>
            <w:r>
              <w:rPr>
                <w:sz w:val="20"/>
                <w:szCs w:val="20"/>
                <w:lang w:val="ga"/>
              </w:rPr>
              <w:t>5</w:t>
            </w:r>
          </w:p>
        </w:tc>
        <w:tc>
          <w:tcPr>
            <w:tcW w:w="1559" w:type="dxa"/>
            <w:tcBorders>
              <w:top w:val="single" w:sz="4" w:space="0" w:color="auto"/>
              <w:left w:val="single" w:sz="4" w:space="0" w:color="auto"/>
              <w:bottom w:val="single" w:sz="4" w:space="0" w:color="auto"/>
              <w:right w:val="single" w:sz="4" w:space="0" w:color="auto"/>
            </w:tcBorders>
            <w:hideMark/>
          </w:tcPr>
          <w:p w14:paraId="55C4A104" w14:textId="77777777" w:rsidR="00590BEF" w:rsidRPr="007202FA" w:rsidRDefault="000B4F21" w:rsidP="007202FA">
            <w:pPr>
              <w:jc w:val="right"/>
              <w:rPr>
                <w:sz w:val="20"/>
                <w:szCs w:val="20"/>
              </w:rPr>
            </w:pPr>
            <w:r>
              <w:rPr>
                <w:sz w:val="20"/>
                <w:szCs w:val="20"/>
                <w:lang w:val="ga"/>
              </w:rPr>
              <w:t>5.4%</w:t>
            </w:r>
          </w:p>
        </w:tc>
        <w:tc>
          <w:tcPr>
            <w:tcW w:w="1559" w:type="dxa"/>
            <w:tcBorders>
              <w:top w:val="single" w:sz="4" w:space="0" w:color="auto"/>
              <w:left w:val="single" w:sz="4" w:space="0" w:color="auto"/>
              <w:bottom w:val="single" w:sz="4" w:space="0" w:color="auto"/>
              <w:right w:val="single" w:sz="4" w:space="0" w:color="auto"/>
            </w:tcBorders>
            <w:hideMark/>
          </w:tcPr>
          <w:p w14:paraId="7361F0AA" w14:textId="77777777" w:rsidR="00590BEF" w:rsidRPr="007202FA" w:rsidRDefault="000B4F21" w:rsidP="007202FA">
            <w:pPr>
              <w:jc w:val="right"/>
              <w:rPr>
                <w:sz w:val="20"/>
                <w:szCs w:val="20"/>
              </w:rPr>
            </w:pPr>
            <w:r>
              <w:rPr>
                <w:rFonts w:cs="Calibri"/>
                <w:color w:val="000000"/>
                <w:sz w:val="20"/>
                <w:szCs w:val="20"/>
                <w:lang w:val="ga"/>
              </w:rPr>
              <w:t>98</w:t>
            </w:r>
          </w:p>
        </w:tc>
        <w:tc>
          <w:tcPr>
            <w:tcW w:w="1560" w:type="dxa"/>
            <w:tcBorders>
              <w:top w:val="single" w:sz="4" w:space="0" w:color="auto"/>
              <w:left w:val="single" w:sz="4" w:space="0" w:color="auto"/>
              <w:bottom w:val="single" w:sz="4" w:space="0" w:color="auto"/>
              <w:right w:val="single" w:sz="4" w:space="0" w:color="auto"/>
            </w:tcBorders>
            <w:hideMark/>
          </w:tcPr>
          <w:p w14:paraId="0F5A9E46" w14:textId="77777777" w:rsidR="00590BEF" w:rsidRPr="007202FA" w:rsidRDefault="000B4F21" w:rsidP="007202FA">
            <w:pPr>
              <w:jc w:val="right"/>
              <w:rPr>
                <w:sz w:val="20"/>
                <w:szCs w:val="20"/>
              </w:rPr>
            </w:pPr>
            <w:r>
              <w:rPr>
                <w:rFonts w:cs="Calibri"/>
                <w:color w:val="000000"/>
                <w:sz w:val="20"/>
                <w:szCs w:val="20"/>
                <w:lang w:val="ga"/>
              </w:rPr>
              <w:t>8</w:t>
            </w:r>
          </w:p>
        </w:tc>
        <w:tc>
          <w:tcPr>
            <w:tcW w:w="1577" w:type="dxa"/>
            <w:tcBorders>
              <w:top w:val="single" w:sz="4" w:space="0" w:color="auto"/>
              <w:left w:val="single" w:sz="4" w:space="0" w:color="auto"/>
              <w:bottom w:val="single" w:sz="4" w:space="0" w:color="auto"/>
              <w:right w:val="single" w:sz="4" w:space="0" w:color="auto"/>
            </w:tcBorders>
            <w:hideMark/>
          </w:tcPr>
          <w:p w14:paraId="2276A84A" w14:textId="77777777" w:rsidR="00590BEF" w:rsidRPr="007202FA" w:rsidRDefault="000B4F21" w:rsidP="007202FA">
            <w:pPr>
              <w:jc w:val="right"/>
              <w:rPr>
                <w:sz w:val="20"/>
                <w:szCs w:val="20"/>
              </w:rPr>
            </w:pPr>
            <w:r>
              <w:rPr>
                <w:rFonts w:cs="Calibri"/>
                <w:color w:val="000000"/>
                <w:sz w:val="20"/>
                <w:szCs w:val="20"/>
                <w:lang w:val="ga"/>
              </w:rPr>
              <w:t>8.2%</w:t>
            </w:r>
          </w:p>
        </w:tc>
      </w:tr>
      <w:tr w:rsidR="00F31303" w14:paraId="0F769D7E"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14247AB" w14:textId="77777777" w:rsidR="00590BEF" w:rsidRPr="005524D6" w:rsidRDefault="000B4F21" w:rsidP="007202FA">
            <w:pPr>
              <w:rPr>
                <w:sz w:val="20"/>
                <w:szCs w:val="20"/>
                <w:lang w:val="fr-FR"/>
              </w:rPr>
            </w:pPr>
            <w:r>
              <w:rPr>
                <w:rFonts w:cs="Calibri"/>
                <w:color w:val="000000"/>
                <w:sz w:val="20"/>
                <w:szCs w:val="20"/>
                <w:lang w:val="ga"/>
              </w:rPr>
              <w:t xml:space="preserve">Bord Altranais agus </w:t>
            </w:r>
            <w:r>
              <w:rPr>
                <w:rFonts w:cs="Calibri"/>
                <w:color w:val="000000"/>
                <w:sz w:val="20"/>
                <w:szCs w:val="20"/>
                <w:lang w:val="ga"/>
              </w:rPr>
              <w:lastRenderedPageBreak/>
              <w:t>Cnáimhseachais na hÉireann</w:t>
            </w:r>
          </w:p>
        </w:tc>
        <w:tc>
          <w:tcPr>
            <w:tcW w:w="1560" w:type="dxa"/>
            <w:tcBorders>
              <w:top w:val="single" w:sz="4" w:space="0" w:color="auto"/>
              <w:left w:val="single" w:sz="4" w:space="0" w:color="auto"/>
              <w:bottom w:val="single" w:sz="4" w:space="0" w:color="auto"/>
              <w:right w:val="single" w:sz="4" w:space="0" w:color="auto"/>
            </w:tcBorders>
            <w:hideMark/>
          </w:tcPr>
          <w:p w14:paraId="66C41D2C" w14:textId="77777777" w:rsidR="00590BEF" w:rsidRPr="007202FA" w:rsidRDefault="000B4F21" w:rsidP="007202FA">
            <w:pPr>
              <w:jc w:val="right"/>
              <w:rPr>
                <w:sz w:val="20"/>
                <w:szCs w:val="20"/>
              </w:rPr>
            </w:pPr>
            <w:r>
              <w:rPr>
                <w:sz w:val="20"/>
                <w:szCs w:val="20"/>
                <w:lang w:val="ga"/>
              </w:rPr>
              <w:lastRenderedPageBreak/>
              <w:t>74</w:t>
            </w:r>
          </w:p>
        </w:tc>
        <w:tc>
          <w:tcPr>
            <w:tcW w:w="1559" w:type="dxa"/>
            <w:tcBorders>
              <w:top w:val="single" w:sz="4" w:space="0" w:color="auto"/>
              <w:left w:val="single" w:sz="4" w:space="0" w:color="auto"/>
              <w:bottom w:val="single" w:sz="4" w:space="0" w:color="auto"/>
              <w:right w:val="single" w:sz="4" w:space="0" w:color="auto"/>
            </w:tcBorders>
            <w:hideMark/>
          </w:tcPr>
          <w:p w14:paraId="0CA007B7" w14:textId="77777777" w:rsidR="00590BEF" w:rsidRPr="007202FA" w:rsidRDefault="000B4F21" w:rsidP="007202FA">
            <w:pPr>
              <w:jc w:val="right"/>
              <w:rPr>
                <w:sz w:val="20"/>
                <w:szCs w:val="20"/>
              </w:rPr>
            </w:pPr>
            <w:r>
              <w:rPr>
                <w:sz w:val="20"/>
                <w:szCs w:val="20"/>
                <w:lang w:val="ga"/>
              </w:rPr>
              <w:t>3</w:t>
            </w:r>
          </w:p>
        </w:tc>
        <w:tc>
          <w:tcPr>
            <w:tcW w:w="1559" w:type="dxa"/>
            <w:tcBorders>
              <w:top w:val="single" w:sz="4" w:space="0" w:color="auto"/>
              <w:left w:val="single" w:sz="4" w:space="0" w:color="auto"/>
              <w:bottom w:val="single" w:sz="4" w:space="0" w:color="auto"/>
              <w:right w:val="single" w:sz="4" w:space="0" w:color="auto"/>
            </w:tcBorders>
            <w:hideMark/>
          </w:tcPr>
          <w:p w14:paraId="7254B78B" w14:textId="77777777" w:rsidR="00590BEF" w:rsidRPr="007202FA" w:rsidRDefault="000B4F21" w:rsidP="007202FA">
            <w:pPr>
              <w:jc w:val="right"/>
              <w:rPr>
                <w:sz w:val="20"/>
                <w:szCs w:val="20"/>
              </w:rPr>
            </w:pPr>
            <w:r>
              <w:rPr>
                <w:sz w:val="20"/>
                <w:szCs w:val="20"/>
                <w:lang w:val="ga"/>
              </w:rPr>
              <w:t>4.1%</w:t>
            </w:r>
          </w:p>
        </w:tc>
        <w:tc>
          <w:tcPr>
            <w:tcW w:w="1559" w:type="dxa"/>
            <w:tcBorders>
              <w:top w:val="single" w:sz="4" w:space="0" w:color="auto"/>
              <w:left w:val="single" w:sz="4" w:space="0" w:color="auto"/>
              <w:bottom w:val="single" w:sz="4" w:space="0" w:color="auto"/>
              <w:right w:val="single" w:sz="4" w:space="0" w:color="auto"/>
            </w:tcBorders>
            <w:hideMark/>
          </w:tcPr>
          <w:p w14:paraId="371234F3" w14:textId="77777777" w:rsidR="00590BEF" w:rsidRPr="007202FA" w:rsidRDefault="000B4F21" w:rsidP="007202FA">
            <w:pPr>
              <w:jc w:val="right"/>
              <w:rPr>
                <w:sz w:val="20"/>
                <w:szCs w:val="20"/>
              </w:rPr>
            </w:pPr>
            <w:r>
              <w:rPr>
                <w:rFonts w:cs="Calibri"/>
                <w:color w:val="000000"/>
                <w:sz w:val="20"/>
                <w:szCs w:val="20"/>
                <w:lang w:val="ga"/>
              </w:rPr>
              <w:t>66</w:t>
            </w:r>
          </w:p>
        </w:tc>
        <w:tc>
          <w:tcPr>
            <w:tcW w:w="1560" w:type="dxa"/>
            <w:tcBorders>
              <w:top w:val="single" w:sz="4" w:space="0" w:color="auto"/>
              <w:left w:val="single" w:sz="4" w:space="0" w:color="auto"/>
              <w:bottom w:val="single" w:sz="4" w:space="0" w:color="auto"/>
              <w:right w:val="single" w:sz="4" w:space="0" w:color="auto"/>
            </w:tcBorders>
            <w:hideMark/>
          </w:tcPr>
          <w:p w14:paraId="50862605" w14:textId="77777777" w:rsidR="00590BEF" w:rsidRPr="007202FA" w:rsidRDefault="000B4F21" w:rsidP="007202FA">
            <w:pPr>
              <w:jc w:val="right"/>
              <w:rPr>
                <w:sz w:val="20"/>
                <w:szCs w:val="20"/>
              </w:rPr>
            </w:pPr>
            <w:r>
              <w:rPr>
                <w:rFonts w:cs="Calibri"/>
                <w:color w:val="000000"/>
                <w:sz w:val="20"/>
                <w:szCs w:val="20"/>
                <w:lang w:val="ga"/>
              </w:rPr>
              <w:t>4</w:t>
            </w:r>
          </w:p>
        </w:tc>
        <w:tc>
          <w:tcPr>
            <w:tcW w:w="1577" w:type="dxa"/>
            <w:tcBorders>
              <w:top w:val="single" w:sz="4" w:space="0" w:color="auto"/>
              <w:left w:val="single" w:sz="4" w:space="0" w:color="auto"/>
              <w:bottom w:val="single" w:sz="4" w:space="0" w:color="auto"/>
              <w:right w:val="single" w:sz="4" w:space="0" w:color="auto"/>
            </w:tcBorders>
            <w:hideMark/>
          </w:tcPr>
          <w:p w14:paraId="456D5C31" w14:textId="77777777" w:rsidR="00590BEF" w:rsidRPr="007202FA" w:rsidRDefault="000B4F21" w:rsidP="007202FA">
            <w:pPr>
              <w:jc w:val="right"/>
              <w:rPr>
                <w:sz w:val="20"/>
                <w:szCs w:val="20"/>
              </w:rPr>
            </w:pPr>
            <w:r>
              <w:rPr>
                <w:rFonts w:cs="Calibri"/>
                <w:color w:val="000000"/>
                <w:sz w:val="20"/>
                <w:szCs w:val="20"/>
                <w:lang w:val="ga"/>
              </w:rPr>
              <w:t>6.1%</w:t>
            </w:r>
          </w:p>
        </w:tc>
      </w:tr>
      <w:tr w:rsidR="00F31303" w14:paraId="2E8C82FF"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5484AE82" w14:textId="77777777" w:rsidR="00590BEF" w:rsidRPr="007202FA" w:rsidRDefault="000B4F21" w:rsidP="007202FA">
            <w:pPr>
              <w:rPr>
                <w:sz w:val="20"/>
                <w:szCs w:val="20"/>
              </w:rPr>
            </w:pPr>
            <w:r>
              <w:rPr>
                <w:rFonts w:cs="Calibri"/>
                <w:color w:val="000000"/>
                <w:sz w:val="20"/>
                <w:szCs w:val="20"/>
                <w:lang w:val="ga"/>
              </w:rPr>
              <w:t>Cumann Cógaiseoirí na hÉireann</w:t>
            </w:r>
          </w:p>
        </w:tc>
        <w:tc>
          <w:tcPr>
            <w:tcW w:w="1560" w:type="dxa"/>
            <w:tcBorders>
              <w:top w:val="single" w:sz="4" w:space="0" w:color="auto"/>
              <w:left w:val="single" w:sz="4" w:space="0" w:color="auto"/>
              <w:bottom w:val="single" w:sz="4" w:space="0" w:color="auto"/>
              <w:right w:val="single" w:sz="4" w:space="0" w:color="auto"/>
            </w:tcBorders>
            <w:hideMark/>
          </w:tcPr>
          <w:p w14:paraId="012792DD" w14:textId="77777777" w:rsidR="00590BEF" w:rsidRPr="007202FA" w:rsidRDefault="000B4F21" w:rsidP="007202FA">
            <w:pPr>
              <w:jc w:val="right"/>
              <w:rPr>
                <w:sz w:val="20"/>
                <w:szCs w:val="20"/>
              </w:rPr>
            </w:pPr>
            <w:r>
              <w:rPr>
                <w:sz w:val="20"/>
                <w:szCs w:val="20"/>
                <w:lang w:val="ga"/>
              </w:rPr>
              <w:t>44</w:t>
            </w:r>
          </w:p>
        </w:tc>
        <w:tc>
          <w:tcPr>
            <w:tcW w:w="1559" w:type="dxa"/>
            <w:tcBorders>
              <w:top w:val="single" w:sz="4" w:space="0" w:color="auto"/>
              <w:left w:val="single" w:sz="4" w:space="0" w:color="auto"/>
              <w:bottom w:val="single" w:sz="4" w:space="0" w:color="auto"/>
              <w:right w:val="single" w:sz="4" w:space="0" w:color="auto"/>
            </w:tcBorders>
            <w:hideMark/>
          </w:tcPr>
          <w:p w14:paraId="6639CF65" w14:textId="77777777" w:rsidR="00590BEF" w:rsidRPr="007202FA" w:rsidRDefault="000B4F21" w:rsidP="007202FA">
            <w:pPr>
              <w:jc w:val="right"/>
              <w:rPr>
                <w:sz w:val="20"/>
                <w:szCs w:val="20"/>
              </w:rPr>
            </w:pPr>
            <w:r>
              <w:rPr>
                <w:sz w:val="20"/>
                <w:szCs w:val="20"/>
                <w:lang w:val="ga"/>
              </w:rPr>
              <w:t>4</w:t>
            </w:r>
          </w:p>
        </w:tc>
        <w:tc>
          <w:tcPr>
            <w:tcW w:w="1559" w:type="dxa"/>
            <w:tcBorders>
              <w:top w:val="single" w:sz="4" w:space="0" w:color="auto"/>
              <w:left w:val="single" w:sz="4" w:space="0" w:color="auto"/>
              <w:bottom w:val="single" w:sz="4" w:space="0" w:color="auto"/>
              <w:right w:val="single" w:sz="4" w:space="0" w:color="auto"/>
            </w:tcBorders>
            <w:hideMark/>
          </w:tcPr>
          <w:p w14:paraId="52D64EDA" w14:textId="77777777" w:rsidR="00590BEF" w:rsidRPr="007202FA" w:rsidRDefault="000B4F21" w:rsidP="007202FA">
            <w:pPr>
              <w:jc w:val="right"/>
              <w:rPr>
                <w:sz w:val="20"/>
                <w:szCs w:val="20"/>
              </w:rPr>
            </w:pPr>
            <w:r>
              <w:rPr>
                <w:sz w:val="20"/>
                <w:szCs w:val="20"/>
                <w:lang w:val="ga"/>
              </w:rPr>
              <w:t>9.1%</w:t>
            </w:r>
          </w:p>
        </w:tc>
        <w:tc>
          <w:tcPr>
            <w:tcW w:w="1559" w:type="dxa"/>
            <w:tcBorders>
              <w:top w:val="single" w:sz="4" w:space="0" w:color="auto"/>
              <w:left w:val="single" w:sz="4" w:space="0" w:color="auto"/>
              <w:bottom w:val="single" w:sz="4" w:space="0" w:color="auto"/>
              <w:right w:val="single" w:sz="4" w:space="0" w:color="auto"/>
            </w:tcBorders>
            <w:hideMark/>
          </w:tcPr>
          <w:p w14:paraId="029BDB7D" w14:textId="77777777" w:rsidR="00590BEF" w:rsidRPr="007202FA" w:rsidRDefault="000B4F21" w:rsidP="007202FA">
            <w:pPr>
              <w:jc w:val="right"/>
              <w:rPr>
                <w:sz w:val="20"/>
                <w:szCs w:val="20"/>
              </w:rPr>
            </w:pPr>
            <w:r>
              <w:rPr>
                <w:rFonts w:cs="Calibri"/>
                <w:color w:val="000000"/>
                <w:sz w:val="20"/>
                <w:szCs w:val="20"/>
                <w:lang w:val="ga"/>
              </w:rPr>
              <w:t>49</w:t>
            </w:r>
          </w:p>
        </w:tc>
        <w:tc>
          <w:tcPr>
            <w:tcW w:w="1560" w:type="dxa"/>
            <w:tcBorders>
              <w:top w:val="single" w:sz="4" w:space="0" w:color="auto"/>
              <w:left w:val="single" w:sz="4" w:space="0" w:color="auto"/>
              <w:bottom w:val="single" w:sz="4" w:space="0" w:color="auto"/>
              <w:right w:val="single" w:sz="4" w:space="0" w:color="auto"/>
            </w:tcBorders>
            <w:hideMark/>
          </w:tcPr>
          <w:p w14:paraId="303FF92B" w14:textId="77777777" w:rsidR="00590BEF" w:rsidRPr="007202FA" w:rsidRDefault="000B4F21" w:rsidP="007202FA">
            <w:pPr>
              <w:jc w:val="right"/>
              <w:rPr>
                <w:sz w:val="20"/>
                <w:szCs w:val="20"/>
              </w:rPr>
            </w:pPr>
            <w:r>
              <w:rPr>
                <w:rFonts w:cs="Calibri"/>
                <w:color w:val="000000"/>
                <w:sz w:val="20"/>
                <w:szCs w:val="20"/>
                <w:lang w:val="ga"/>
              </w:rPr>
              <w:t>2</w:t>
            </w:r>
          </w:p>
        </w:tc>
        <w:tc>
          <w:tcPr>
            <w:tcW w:w="1577" w:type="dxa"/>
            <w:tcBorders>
              <w:top w:val="single" w:sz="4" w:space="0" w:color="auto"/>
              <w:left w:val="single" w:sz="4" w:space="0" w:color="auto"/>
              <w:bottom w:val="single" w:sz="4" w:space="0" w:color="auto"/>
              <w:right w:val="single" w:sz="4" w:space="0" w:color="auto"/>
            </w:tcBorders>
            <w:hideMark/>
          </w:tcPr>
          <w:p w14:paraId="2146A74A" w14:textId="77777777" w:rsidR="00590BEF" w:rsidRPr="007202FA" w:rsidRDefault="000B4F21" w:rsidP="007202FA">
            <w:pPr>
              <w:jc w:val="right"/>
              <w:rPr>
                <w:sz w:val="20"/>
                <w:szCs w:val="20"/>
              </w:rPr>
            </w:pPr>
            <w:r>
              <w:rPr>
                <w:rFonts w:cs="Calibri"/>
                <w:color w:val="000000"/>
                <w:sz w:val="20"/>
                <w:szCs w:val="20"/>
                <w:lang w:val="ga"/>
              </w:rPr>
              <w:t>4.1%</w:t>
            </w:r>
          </w:p>
        </w:tc>
      </w:tr>
      <w:tr w:rsidR="00F31303" w14:paraId="7A6D927C"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5F8A448E" w14:textId="77777777" w:rsidR="00590BEF" w:rsidRPr="007202FA" w:rsidRDefault="000B4F21" w:rsidP="007202FA">
            <w:pPr>
              <w:rPr>
                <w:sz w:val="20"/>
                <w:szCs w:val="20"/>
              </w:rPr>
            </w:pPr>
            <w:r>
              <w:rPr>
                <w:rFonts w:cs="Calibri"/>
                <w:color w:val="000000"/>
                <w:sz w:val="20"/>
                <w:szCs w:val="20"/>
                <w:lang w:val="ga"/>
              </w:rPr>
              <w:t>An Chomhairle um Chúram Éigeandála Réamhospidéil</w:t>
            </w:r>
          </w:p>
        </w:tc>
        <w:tc>
          <w:tcPr>
            <w:tcW w:w="1560" w:type="dxa"/>
            <w:tcBorders>
              <w:top w:val="single" w:sz="4" w:space="0" w:color="auto"/>
              <w:left w:val="single" w:sz="4" w:space="0" w:color="auto"/>
              <w:bottom w:val="single" w:sz="4" w:space="0" w:color="auto"/>
              <w:right w:val="single" w:sz="4" w:space="0" w:color="auto"/>
            </w:tcBorders>
            <w:hideMark/>
          </w:tcPr>
          <w:p w14:paraId="5674E635" w14:textId="77777777" w:rsidR="00590BEF" w:rsidRPr="007202FA" w:rsidRDefault="000B4F21" w:rsidP="007202FA">
            <w:pPr>
              <w:jc w:val="right"/>
              <w:rPr>
                <w:sz w:val="20"/>
                <w:szCs w:val="20"/>
              </w:rPr>
            </w:pPr>
            <w:r>
              <w:rPr>
                <w:sz w:val="20"/>
                <w:szCs w:val="20"/>
                <w:lang w:val="ga"/>
              </w:rPr>
              <w:t>22</w:t>
            </w:r>
          </w:p>
        </w:tc>
        <w:tc>
          <w:tcPr>
            <w:tcW w:w="1559" w:type="dxa"/>
            <w:tcBorders>
              <w:top w:val="single" w:sz="4" w:space="0" w:color="auto"/>
              <w:left w:val="single" w:sz="4" w:space="0" w:color="auto"/>
              <w:bottom w:val="single" w:sz="4" w:space="0" w:color="auto"/>
              <w:right w:val="single" w:sz="4" w:space="0" w:color="auto"/>
            </w:tcBorders>
            <w:hideMark/>
          </w:tcPr>
          <w:p w14:paraId="5DB06B4D" w14:textId="77777777" w:rsidR="00590BEF" w:rsidRPr="007202FA" w:rsidRDefault="000B4F21" w:rsidP="007202FA">
            <w:pPr>
              <w:jc w:val="right"/>
              <w:rPr>
                <w:sz w:val="20"/>
                <w:szCs w:val="20"/>
              </w:rPr>
            </w:pPr>
            <w:r>
              <w:rPr>
                <w:sz w:val="20"/>
                <w:szCs w:val="20"/>
                <w:lang w:val="ga"/>
              </w:rPr>
              <w:t>0</w:t>
            </w:r>
          </w:p>
        </w:tc>
        <w:tc>
          <w:tcPr>
            <w:tcW w:w="1559" w:type="dxa"/>
            <w:tcBorders>
              <w:top w:val="single" w:sz="4" w:space="0" w:color="auto"/>
              <w:left w:val="single" w:sz="4" w:space="0" w:color="auto"/>
              <w:bottom w:val="single" w:sz="4" w:space="0" w:color="auto"/>
              <w:right w:val="single" w:sz="4" w:space="0" w:color="auto"/>
            </w:tcBorders>
            <w:hideMark/>
          </w:tcPr>
          <w:p w14:paraId="54113FF7" w14:textId="77777777" w:rsidR="00590BEF" w:rsidRPr="007202FA" w:rsidRDefault="000B4F21" w:rsidP="007202FA">
            <w:pPr>
              <w:jc w:val="right"/>
              <w:rPr>
                <w:sz w:val="20"/>
                <w:szCs w:val="20"/>
              </w:rPr>
            </w:pPr>
            <w:r>
              <w:rPr>
                <w:sz w:val="20"/>
                <w:szCs w:val="20"/>
                <w:lang w:val="ga"/>
              </w:rPr>
              <w:t>0.0%</w:t>
            </w:r>
          </w:p>
        </w:tc>
        <w:tc>
          <w:tcPr>
            <w:tcW w:w="1559" w:type="dxa"/>
            <w:tcBorders>
              <w:top w:val="single" w:sz="4" w:space="0" w:color="auto"/>
              <w:left w:val="single" w:sz="4" w:space="0" w:color="auto"/>
              <w:bottom w:val="single" w:sz="4" w:space="0" w:color="auto"/>
              <w:right w:val="single" w:sz="4" w:space="0" w:color="auto"/>
            </w:tcBorders>
            <w:hideMark/>
          </w:tcPr>
          <w:p w14:paraId="34CFBC26" w14:textId="77777777" w:rsidR="00590BEF" w:rsidRPr="007202FA" w:rsidRDefault="000B4F21" w:rsidP="007202FA">
            <w:pPr>
              <w:jc w:val="right"/>
              <w:rPr>
                <w:sz w:val="20"/>
                <w:szCs w:val="20"/>
              </w:rPr>
            </w:pPr>
            <w:r>
              <w:rPr>
                <w:rFonts w:cs="Calibri"/>
                <w:color w:val="000000"/>
                <w:sz w:val="20"/>
                <w:szCs w:val="20"/>
                <w:lang w:val="ga"/>
              </w:rPr>
              <w:t>24</w:t>
            </w:r>
          </w:p>
        </w:tc>
        <w:tc>
          <w:tcPr>
            <w:tcW w:w="1560" w:type="dxa"/>
            <w:tcBorders>
              <w:top w:val="single" w:sz="4" w:space="0" w:color="auto"/>
              <w:left w:val="single" w:sz="4" w:space="0" w:color="auto"/>
              <w:bottom w:val="single" w:sz="4" w:space="0" w:color="auto"/>
              <w:right w:val="single" w:sz="4" w:space="0" w:color="auto"/>
            </w:tcBorders>
            <w:hideMark/>
          </w:tcPr>
          <w:p w14:paraId="2071DA58" w14:textId="77777777" w:rsidR="00590BEF" w:rsidRPr="007202FA" w:rsidRDefault="000B4F21" w:rsidP="007202FA">
            <w:pPr>
              <w:jc w:val="right"/>
              <w:rPr>
                <w:sz w:val="20"/>
                <w:szCs w:val="20"/>
              </w:rPr>
            </w:pPr>
            <w:r>
              <w:rPr>
                <w:rFonts w:cs="Calibri"/>
                <w:color w:val="000000"/>
                <w:sz w:val="20"/>
                <w:szCs w:val="20"/>
                <w:lang w:val="ga"/>
              </w:rPr>
              <w:t>0</w:t>
            </w:r>
          </w:p>
        </w:tc>
        <w:tc>
          <w:tcPr>
            <w:tcW w:w="1577" w:type="dxa"/>
            <w:tcBorders>
              <w:top w:val="single" w:sz="4" w:space="0" w:color="auto"/>
              <w:left w:val="single" w:sz="4" w:space="0" w:color="auto"/>
              <w:bottom w:val="single" w:sz="4" w:space="0" w:color="auto"/>
              <w:right w:val="single" w:sz="4" w:space="0" w:color="auto"/>
            </w:tcBorders>
            <w:hideMark/>
          </w:tcPr>
          <w:p w14:paraId="4AD221F5" w14:textId="77777777" w:rsidR="00590BEF" w:rsidRPr="007202FA" w:rsidRDefault="000B4F21" w:rsidP="007202FA">
            <w:pPr>
              <w:jc w:val="right"/>
              <w:rPr>
                <w:sz w:val="20"/>
                <w:szCs w:val="20"/>
              </w:rPr>
            </w:pPr>
            <w:r>
              <w:rPr>
                <w:rFonts w:cs="Calibri"/>
                <w:color w:val="000000"/>
                <w:sz w:val="20"/>
                <w:szCs w:val="20"/>
                <w:lang w:val="ga"/>
              </w:rPr>
              <w:t>0.0%</w:t>
            </w:r>
          </w:p>
        </w:tc>
      </w:tr>
      <w:tr w:rsidR="00F31303" w14:paraId="3B39C09B"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6C301EC" w14:textId="77777777" w:rsidR="00590BEF" w:rsidRPr="007202FA" w:rsidRDefault="000B4F21" w:rsidP="007202FA">
            <w:pPr>
              <w:rPr>
                <w:rFonts w:cs="Calibri"/>
                <w:color w:val="000000"/>
                <w:sz w:val="20"/>
                <w:szCs w:val="20"/>
              </w:rPr>
            </w:pPr>
            <w:r>
              <w:rPr>
                <w:rFonts w:cs="Calibri"/>
                <w:color w:val="000000"/>
                <w:sz w:val="20"/>
                <w:szCs w:val="20"/>
                <w:lang w:val="ga"/>
              </w:rPr>
              <w:t>safefood</w:t>
            </w:r>
          </w:p>
          <w:p w14:paraId="5899A11F" w14:textId="77777777" w:rsidR="00BE7D53" w:rsidRPr="007202FA" w:rsidRDefault="00BE7D53" w:rsidP="007202FA">
            <w:pPr>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18C708B1" w14:textId="77777777" w:rsidR="00590BEF" w:rsidRPr="007202FA" w:rsidRDefault="000B4F21" w:rsidP="007202FA">
            <w:pPr>
              <w:jc w:val="right"/>
              <w:rPr>
                <w:sz w:val="20"/>
                <w:szCs w:val="20"/>
              </w:rPr>
            </w:pPr>
            <w:r>
              <w:rPr>
                <w:sz w:val="20"/>
                <w:szCs w:val="20"/>
                <w:lang w:val="ga"/>
              </w:rPr>
              <w:t>31</w:t>
            </w:r>
          </w:p>
        </w:tc>
        <w:tc>
          <w:tcPr>
            <w:tcW w:w="1559" w:type="dxa"/>
            <w:tcBorders>
              <w:top w:val="single" w:sz="4" w:space="0" w:color="auto"/>
              <w:left w:val="single" w:sz="4" w:space="0" w:color="auto"/>
              <w:bottom w:val="single" w:sz="4" w:space="0" w:color="auto"/>
              <w:right w:val="single" w:sz="4" w:space="0" w:color="auto"/>
            </w:tcBorders>
            <w:hideMark/>
          </w:tcPr>
          <w:p w14:paraId="26A52D64" w14:textId="77777777" w:rsidR="00590BEF" w:rsidRPr="007202FA" w:rsidRDefault="000B4F21" w:rsidP="007202FA">
            <w:pPr>
              <w:jc w:val="right"/>
              <w:rPr>
                <w:sz w:val="20"/>
                <w:szCs w:val="20"/>
              </w:rPr>
            </w:pPr>
            <w:r>
              <w:rPr>
                <w:sz w:val="20"/>
                <w:szCs w:val="20"/>
                <w:lang w:val="ga"/>
              </w:rPr>
              <w:t>3</w:t>
            </w:r>
          </w:p>
        </w:tc>
        <w:tc>
          <w:tcPr>
            <w:tcW w:w="1559" w:type="dxa"/>
            <w:tcBorders>
              <w:top w:val="single" w:sz="4" w:space="0" w:color="auto"/>
              <w:left w:val="single" w:sz="4" w:space="0" w:color="auto"/>
              <w:bottom w:val="single" w:sz="4" w:space="0" w:color="auto"/>
              <w:right w:val="single" w:sz="4" w:space="0" w:color="auto"/>
            </w:tcBorders>
            <w:hideMark/>
          </w:tcPr>
          <w:p w14:paraId="29CB2CEC" w14:textId="77777777" w:rsidR="00590BEF" w:rsidRPr="007202FA" w:rsidRDefault="000B4F21" w:rsidP="007202FA">
            <w:pPr>
              <w:jc w:val="right"/>
              <w:rPr>
                <w:sz w:val="20"/>
                <w:szCs w:val="20"/>
              </w:rPr>
            </w:pPr>
            <w:r>
              <w:rPr>
                <w:sz w:val="20"/>
                <w:szCs w:val="20"/>
                <w:lang w:val="ga"/>
              </w:rPr>
              <w:t>9.7%</w:t>
            </w:r>
          </w:p>
        </w:tc>
        <w:tc>
          <w:tcPr>
            <w:tcW w:w="1559" w:type="dxa"/>
            <w:tcBorders>
              <w:top w:val="single" w:sz="4" w:space="0" w:color="auto"/>
              <w:left w:val="single" w:sz="4" w:space="0" w:color="auto"/>
              <w:bottom w:val="single" w:sz="4" w:space="0" w:color="auto"/>
              <w:right w:val="single" w:sz="4" w:space="0" w:color="auto"/>
            </w:tcBorders>
            <w:hideMark/>
          </w:tcPr>
          <w:p w14:paraId="72871A2C" w14:textId="77777777" w:rsidR="00590BEF" w:rsidRPr="007202FA" w:rsidRDefault="000B4F21" w:rsidP="007202FA">
            <w:pPr>
              <w:jc w:val="right"/>
              <w:rPr>
                <w:sz w:val="20"/>
                <w:szCs w:val="20"/>
              </w:rPr>
            </w:pPr>
            <w:r>
              <w:rPr>
                <w:rFonts w:cs="Calibri"/>
                <w:color w:val="000000"/>
                <w:sz w:val="20"/>
                <w:szCs w:val="20"/>
                <w:lang w:val="ga"/>
              </w:rPr>
              <w:t>29</w:t>
            </w:r>
          </w:p>
        </w:tc>
        <w:tc>
          <w:tcPr>
            <w:tcW w:w="1560" w:type="dxa"/>
            <w:tcBorders>
              <w:top w:val="single" w:sz="4" w:space="0" w:color="auto"/>
              <w:left w:val="single" w:sz="4" w:space="0" w:color="auto"/>
              <w:bottom w:val="single" w:sz="4" w:space="0" w:color="auto"/>
              <w:right w:val="single" w:sz="4" w:space="0" w:color="auto"/>
            </w:tcBorders>
            <w:hideMark/>
          </w:tcPr>
          <w:p w14:paraId="4403EBEA" w14:textId="77777777" w:rsidR="00590BEF" w:rsidRPr="007202FA" w:rsidRDefault="000B4F21" w:rsidP="007202FA">
            <w:pPr>
              <w:jc w:val="right"/>
              <w:rPr>
                <w:sz w:val="20"/>
                <w:szCs w:val="20"/>
              </w:rPr>
            </w:pPr>
            <w:r>
              <w:rPr>
                <w:rFonts w:cs="Calibri"/>
                <w:color w:val="000000"/>
                <w:sz w:val="20"/>
                <w:szCs w:val="20"/>
                <w:lang w:val="ga"/>
              </w:rPr>
              <w:t>3</w:t>
            </w:r>
          </w:p>
        </w:tc>
        <w:tc>
          <w:tcPr>
            <w:tcW w:w="1577" w:type="dxa"/>
            <w:tcBorders>
              <w:top w:val="single" w:sz="4" w:space="0" w:color="auto"/>
              <w:left w:val="single" w:sz="4" w:space="0" w:color="auto"/>
              <w:bottom w:val="single" w:sz="4" w:space="0" w:color="auto"/>
              <w:right w:val="single" w:sz="4" w:space="0" w:color="auto"/>
            </w:tcBorders>
            <w:hideMark/>
          </w:tcPr>
          <w:p w14:paraId="657E596E" w14:textId="77777777" w:rsidR="00590BEF" w:rsidRPr="007202FA" w:rsidRDefault="000B4F21" w:rsidP="007202FA">
            <w:pPr>
              <w:jc w:val="right"/>
              <w:rPr>
                <w:sz w:val="20"/>
                <w:szCs w:val="20"/>
              </w:rPr>
            </w:pPr>
            <w:r>
              <w:rPr>
                <w:rFonts w:cs="Calibri"/>
                <w:color w:val="000000"/>
                <w:sz w:val="20"/>
                <w:szCs w:val="20"/>
                <w:lang w:val="ga"/>
              </w:rPr>
              <w:t>10.3%</w:t>
            </w:r>
          </w:p>
        </w:tc>
      </w:tr>
      <w:tr w:rsidR="00F31303" w14:paraId="3B4A5E85"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319EC683" w14:textId="77777777" w:rsidR="00590BEF" w:rsidRPr="007202FA" w:rsidRDefault="000B4F21" w:rsidP="007202FA">
            <w:pPr>
              <w:rPr>
                <w:sz w:val="20"/>
                <w:szCs w:val="20"/>
              </w:rPr>
            </w:pPr>
            <w:r>
              <w:rPr>
                <w:rFonts w:cs="Calibri"/>
                <w:color w:val="000000"/>
                <w:sz w:val="20"/>
                <w:szCs w:val="20"/>
                <w:lang w:val="ga"/>
              </w:rPr>
              <w:t>Ospidéal San Séamas</w:t>
            </w:r>
          </w:p>
        </w:tc>
        <w:tc>
          <w:tcPr>
            <w:tcW w:w="1560" w:type="dxa"/>
            <w:tcBorders>
              <w:top w:val="single" w:sz="4" w:space="0" w:color="auto"/>
              <w:left w:val="single" w:sz="4" w:space="0" w:color="auto"/>
              <w:bottom w:val="single" w:sz="4" w:space="0" w:color="auto"/>
              <w:right w:val="single" w:sz="4" w:space="0" w:color="auto"/>
            </w:tcBorders>
            <w:hideMark/>
          </w:tcPr>
          <w:p w14:paraId="33325F04" w14:textId="77777777" w:rsidR="00590BEF" w:rsidRPr="007202FA" w:rsidRDefault="000B4F21" w:rsidP="007202FA">
            <w:pPr>
              <w:jc w:val="right"/>
              <w:rPr>
                <w:sz w:val="20"/>
                <w:szCs w:val="20"/>
              </w:rPr>
            </w:pPr>
            <w:r>
              <w:rPr>
                <w:sz w:val="20"/>
                <w:szCs w:val="20"/>
                <w:lang w:val="ga"/>
              </w:rPr>
              <w:t>5,430</w:t>
            </w:r>
          </w:p>
        </w:tc>
        <w:tc>
          <w:tcPr>
            <w:tcW w:w="1559" w:type="dxa"/>
            <w:tcBorders>
              <w:top w:val="single" w:sz="4" w:space="0" w:color="auto"/>
              <w:left w:val="single" w:sz="4" w:space="0" w:color="auto"/>
              <w:bottom w:val="single" w:sz="4" w:space="0" w:color="auto"/>
              <w:right w:val="single" w:sz="4" w:space="0" w:color="auto"/>
            </w:tcBorders>
            <w:hideMark/>
          </w:tcPr>
          <w:p w14:paraId="2E73E49C" w14:textId="77777777" w:rsidR="00590BEF" w:rsidRPr="007202FA" w:rsidRDefault="000B4F21" w:rsidP="007202FA">
            <w:pPr>
              <w:jc w:val="right"/>
              <w:rPr>
                <w:sz w:val="20"/>
                <w:szCs w:val="20"/>
              </w:rPr>
            </w:pPr>
            <w:r>
              <w:rPr>
                <w:sz w:val="20"/>
                <w:szCs w:val="20"/>
                <w:lang w:val="ga"/>
              </w:rPr>
              <w:t>376</w:t>
            </w:r>
          </w:p>
        </w:tc>
        <w:tc>
          <w:tcPr>
            <w:tcW w:w="1559" w:type="dxa"/>
            <w:tcBorders>
              <w:top w:val="single" w:sz="4" w:space="0" w:color="auto"/>
              <w:left w:val="single" w:sz="4" w:space="0" w:color="auto"/>
              <w:bottom w:val="single" w:sz="4" w:space="0" w:color="auto"/>
              <w:right w:val="single" w:sz="4" w:space="0" w:color="auto"/>
            </w:tcBorders>
            <w:hideMark/>
          </w:tcPr>
          <w:p w14:paraId="2F160B71" w14:textId="77777777" w:rsidR="00590BEF" w:rsidRPr="007202FA" w:rsidRDefault="000B4F21" w:rsidP="007202FA">
            <w:pPr>
              <w:jc w:val="right"/>
              <w:rPr>
                <w:sz w:val="20"/>
                <w:szCs w:val="20"/>
              </w:rPr>
            </w:pPr>
            <w:r>
              <w:rPr>
                <w:sz w:val="20"/>
                <w:szCs w:val="20"/>
                <w:lang w:val="ga"/>
              </w:rPr>
              <w:t>6.9%</w:t>
            </w:r>
          </w:p>
        </w:tc>
        <w:tc>
          <w:tcPr>
            <w:tcW w:w="1559" w:type="dxa"/>
            <w:tcBorders>
              <w:top w:val="single" w:sz="4" w:space="0" w:color="auto"/>
              <w:left w:val="single" w:sz="4" w:space="0" w:color="auto"/>
              <w:bottom w:val="single" w:sz="4" w:space="0" w:color="auto"/>
              <w:right w:val="single" w:sz="4" w:space="0" w:color="auto"/>
            </w:tcBorders>
            <w:hideMark/>
          </w:tcPr>
          <w:p w14:paraId="7BC1AE90" w14:textId="77777777" w:rsidR="00590BEF" w:rsidRPr="007202FA" w:rsidRDefault="000B4F21" w:rsidP="007202FA">
            <w:pPr>
              <w:jc w:val="right"/>
              <w:rPr>
                <w:sz w:val="20"/>
                <w:szCs w:val="20"/>
              </w:rPr>
            </w:pPr>
            <w:r>
              <w:rPr>
                <w:rFonts w:cs="Calibri"/>
                <w:color w:val="000000"/>
                <w:sz w:val="20"/>
                <w:szCs w:val="20"/>
                <w:lang w:val="ga"/>
              </w:rPr>
              <w:t>5,639</w:t>
            </w:r>
          </w:p>
        </w:tc>
        <w:tc>
          <w:tcPr>
            <w:tcW w:w="1560" w:type="dxa"/>
            <w:tcBorders>
              <w:top w:val="single" w:sz="4" w:space="0" w:color="auto"/>
              <w:left w:val="single" w:sz="4" w:space="0" w:color="auto"/>
              <w:bottom w:val="single" w:sz="4" w:space="0" w:color="auto"/>
              <w:right w:val="single" w:sz="4" w:space="0" w:color="auto"/>
            </w:tcBorders>
            <w:hideMark/>
          </w:tcPr>
          <w:p w14:paraId="5052B336" w14:textId="77777777" w:rsidR="00590BEF" w:rsidRPr="007202FA" w:rsidRDefault="000B4F21" w:rsidP="007202FA">
            <w:pPr>
              <w:jc w:val="right"/>
              <w:rPr>
                <w:sz w:val="20"/>
                <w:szCs w:val="20"/>
              </w:rPr>
            </w:pPr>
            <w:r>
              <w:rPr>
                <w:rFonts w:cs="Calibri"/>
                <w:color w:val="000000"/>
                <w:sz w:val="20"/>
                <w:szCs w:val="20"/>
                <w:lang w:val="ga"/>
              </w:rPr>
              <w:t>500</w:t>
            </w:r>
          </w:p>
        </w:tc>
        <w:tc>
          <w:tcPr>
            <w:tcW w:w="1577" w:type="dxa"/>
            <w:tcBorders>
              <w:top w:val="single" w:sz="4" w:space="0" w:color="auto"/>
              <w:left w:val="single" w:sz="4" w:space="0" w:color="auto"/>
              <w:bottom w:val="single" w:sz="4" w:space="0" w:color="auto"/>
              <w:right w:val="single" w:sz="4" w:space="0" w:color="auto"/>
            </w:tcBorders>
            <w:hideMark/>
          </w:tcPr>
          <w:p w14:paraId="0FB203D9" w14:textId="77777777" w:rsidR="00590BEF" w:rsidRPr="007202FA" w:rsidRDefault="000B4F21" w:rsidP="007202FA">
            <w:pPr>
              <w:jc w:val="right"/>
              <w:rPr>
                <w:sz w:val="20"/>
                <w:szCs w:val="20"/>
              </w:rPr>
            </w:pPr>
            <w:r>
              <w:rPr>
                <w:rFonts w:cs="Calibri"/>
                <w:color w:val="000000"/>
                <w:sz w:val="20"/>
                <w:szCs w:val="20"/>
                <w:lang w:val="ga"/>
              </w:rPr>
              <w:t>8.9%</w:t>
            </w:r>
          </w:p>
        </w:tc>
      </w:tr>
      <w:tr w:rsidR="00F31303" w14:paraId="5FD28611" w14:textId="77777777" w:rsidTr="001B4A66">
        <w:trPr>
          <w:trHeight w:val="338"/>
          <w:jc w:val="center"/>
        </w:trPr>
        <w:tc>
          <w:tcPr>
            <w:tcW w:w="1843" w:type="dxa"/>
            <w:tcBorders>
              <w:top w:val="single" w:sz="4" w:space="0" w:color="auto"/>
              <w:left w:val="single" w:sz="4" w:space="0" w:color="auto"/>
              <w:bottom w:val="single" w:sz="4" w:space="0" w:color="auto"/>
              <w:right w:val="single" w:sz="4" w:space="0" w:color="auto"/>
            </w:tcBorders>
            <w:hideMark/>
          </w:tcPr>
          <w:p w14:paraId="2F18E11F" w14:textId="77777777" w:rsidR="00590BEF" w:rsidRPr="007202FA" w:rsidRDefault="000B4F21" w:rsidP="007202FA">
            <w:pPr>
              <w:rPr>
                <w:sz w:val="20"/>
                <w:szCs w:val="20"/>
              </w:rPr>
            </w:pPr>
            <w:r>
              <w:rPr>
                <w:rFonts w:cs="Calibri"/>
                <w:color w:val="000000"/>
                <w:sz w:val="20"/>
                <w:szCs w:val="20"/>
                <w:lang w:val="ga"/>
              </w:rPr>
              <w:t>Ospidéal Ollscoile Thamhlachta</w:t>
            </w:r>
          </w:p>
        </w:tc>
        <w:tc>
          <w:tcPr>
            <w:tcW w:w="1560" w:type="dxa"/>
            <w:tcBorders>
              <w:top w:val="single" w:sz="4" w:space="0" w:color="auto"/>
              <w:left w:val="single" w:sz="4" w:space="0" w:color="auto"/>
              <w:bottom w:val="single" w:sz="4" w:space="0" w:color="auto"/>
              <w:right w:val="single" w:sz="4" w:space="0" w:color="auto"/>
            </w:tcBorders>
            <w:hideMark/>
          </w:tcPr>
          <w:p w14:paraId="68811CB4" w14:textId="77777777" w:rsidR="00590BEF" w:rsidRPr="007202FA" w:rsidRDefault="000B4F21" w:rsidP="007202FA">
            <w:pPr>
              <w:jc w:val="right"/>
              <w:rPr>
                <w:sz w:val="20"/>
                <w:szCs w:val="20"/>
              </w:rPr>
            </w:pPr>
            <w:r>
              <w:rPr>
                <w:sz w:val="20"/>
                <w:szCs w:val="20"/>
                <w:lang w:val="ga"/>
              </w:rPr>
              <w:t>3,894</w:t>
            </w:r>
          </w:p>
        </w:tc>
        <w:tc>
          <w:tcPr>
            <w:tcW w:w="1559" w:type="dxa"/>
            <w:tcBorders>
              <w:top w:val="single" w:sz="4" w:space="0" w:color="auto"/>
              <w:left w:val="single" w:sz="4" w:space="0" w:color="auto"/>
              <w:bottom w:val="single" w:sz="4" w:space="0" w:color="auto"/>
              <w:right w:val="single" w:sz="4" w:space="0" w:color="auto"/>
            </w:tcBorders>
            <w:hideMark/>
          </w:tcPr>
          <w:p w14:paraId="3C37194E" w14:textId="77777777" w:rsidR="00590BEF" w:rsidRPr="007202FA" w:rsidRDefault="000B4F21" w:rsidP="007202FA">
            <w:pPr>
              <w:jc w:val="right"/>
              <w:rPr>
                <w:sz w:val="20"/>
                <w:szCs w:val="20"/>
              </w:rPr>
            </w:pPr>
            <w:r>
              <w:rPr>
                <w:sz w:val="20"/>
                <w:szCs w:val="20"/>
                <w:lang w:val="ga"/>
              </w:rPr>
              <w:t>176</w:t>
            </w:r>
          </w:p>
        </w:tc>
        <w:tc>
          <w:tcPr>
            <w:tcW w:w="1559" w:type="dxa"/>
            <w:tcBorders>
              <w:top w:val="single" w:sz="4" w:space="0" w:color="auto"/>
              <w:left w:val="single" w:sz="4" w:space="0" w:color="auto"/>
              <w:bottom w:val="single" w:sz="4" w:space="0" w:color="auto"/>
              <w:right w:val="single" w:sz="4" w:space="0" w:color="auto"/>
            </w:tcBorders>
            <w:hideMark/>
          </w:tcPr>
          <w:p w14:paraId="28D29F1A" w14:textId="77777777" w:rsidR="00590BEF" w:rsidRPr="007202FA" w:rsidRDefault="000B4F21" w:rsidP="007202FA">
            <w:pPr>
              <w:jc w:val="right"/>
              <w:rPr>
                <w:sz w:val="20"/>
                <w:szCs w:val="20"/>
              </w:rPr>
            </w:pPr>
            <w:r>
              <w:rPr>
                <w:sz w:val="20"/>
                <w:szCs w:val="20"/>
                <w:lang w:val="ga"/>
              </w:rPr>
              <w:t>4.5%</w:t>
            </w:r>
          </w:p>
        </w:tc>
        <w:tc>
          <w:tcPr>
            <w:tcW w:w="1559" w:type="dxa"/>
            <w:tcBorders>
              <w:top w:val="single" w:sz="4" w:space="0" w:color="auto"/>
              <w:left w:val="single" w:sz="4" w:space="0" w:color="auto"/>
              <w:bottom w:val="single" w:sz="4" w:space="0" w:color="auto"/>
              <w:right w:val="single" w:sz="4" w:space="0" w:color="auto"/>
            </w:tcBorders>
            <w:hideMark/>
          </w:tcPr>
          <w:p w14:paraId="332E7326" w14:textId="77777777" w:rsidR="00590BEF" w:rsidRPr="007202FA" w:rsidRDefault="000B4F21" w:rsidP="007202FA">
            <w:pPr>
              <w:jc w:val="right"/>
              <w:rPr>
                <w:sz w:val="20"/>
                <w:szCs w:val="20"/>
              </w:rPr>
            </w:pPr>
            <w:r>
              <w:rPr>
                <w:rFonts w:cs="Calibri"/>
                <w:color w:val="000000"/>
                <w:sz w:val="20"/>
                <w:szCs w:val="20"/>
                <w:lang w:val="ga"/>
              </w:rPr>
              <w:t>4,071</w:t>
            </w:r>
          </w:p>
        </w:tc>
        <w:tc>
          <w:tcPr>
            <w:tcW w:w="1560" w:type="dxa"/>
            <w:tcBorders>
              <w:top w:val="single" w:sz="4" w:space="0" w:color="auto"/>
              <w:left w:val="single" w:sz="4" w:space="0" w:color="auto"/>
              <w:bottom w:val="single" w:sz="4" w:space="0" w:color="auto"/>
              <w:right w:val="single" w:sz="4" w:space="0" w:color="auto"/>
            </w:tcBorders>
            <w:hideMark/>
          </w:tcPr>
          <w:p w14:paraId="18045651" w14:textId="77777777" w:rsidR="00590BEF" w:rsidRPr="007202FA" w:rsidRDefault="000B4F21" w:rsidP="007202FA">
            <w:pPr>
              <w:jc w:val="right"/>
              <w:rPr>
                <w:sz w:val="20"/>
                <w:szCs w:val="20"/>
              </w:rPr>
            </w:pPr>
            <w:r>
              <w:rPr>
                <w:rFonts w:cs="Calibri"/>
                <w:color w:val="000000"/>
                <w:sz w:val="20"/>
                <w:szCs w:val="20"/>
                <w:lang w:val="ga"/>
              </w:rPr>
              <w:t>216</w:t>
            </w:r>
          </w:p>
        </w:tc>
        <w:tc>
          <w:tcPr>
            <w:tcW w:w="1577" w:type="dxa"/>
            <w:tcBorders>
              <w:top w:val="single" w:sz="4" w:space="0" w:color="auto"/>
              <w:left w:val="single" w:sz="4" w:space="0" w:color="auto"/>
              <w:bottom w:val="single" w:sz="4" w:space="0" w:color="auto"/>
              <w:right w:val="single" w:sz="4" w:space="0" w:color="auto"/>
            </w:tcBorders>
            <w:hideMark/>
          </w:tcPr>
          <w:p w14:paraId="79702F46" w14:textId="77777777" w:rsidR="00590BEF" w:rsidRPr="007202FA" w:rsidRDefault="000B4F21" w:rsidP="007202FA">
            <w:pPr>
              <w:jc w:val="right"/>
              <w:rPr>
                <w:sz w:val="20"/>
                <w:szCs w:val="20"/>
              </w:rPr>
            </w:pPr>
            <w:r>
              <w:rPr>
                <w:rFonts w:cs="Calibri"/>
                <w:color w:val="000000"/>
                <w:sz w:val="20"/>
                <w:szCs w:val="20"/>
                <w:lang w:val="ga"/>
              </w:rPr>
              <w:t>5.3%</w:t>
            </w:r>
          </w:p>
        </w:tc>
      </w:tr>
      <w:tr w:rsidR="00F31303" w14:paraId="6CC732A8" w14:textId="77777777" w:rsidTr="001B4A66">
        <w:trPr>
          <w:jc w:val="center"/>
        </w:trPr>
        <w:tc>
          <w:tcPr>
            <w:tcW w:w="1843" w:type="dxa"/>
            <w:tcBorders>
              <w:top w:val="single" w:sz="4" w:space="0" w:color="auto"/>
              <w:left w:val="single" w:sz="4" w:space="0" w:color="auto"/>
              <w:bottom w:val="single" w:sz="4" w:space="0" w:color="auto"/>
              <w:right w:val="single" w:sz="4" w:space="0" w:color="auto"/>
            </w:tcBorders>
            <w:hideMark/>
          </w:tcPr>
          <w:p w14:paraId="0BE3283B" w14:textId="77777777" w:rsidR="00590BEF" w:rsidRPr="007202FA" w:rsidRDefault="000B4F21" w:rsidP="007202FA">
            <w:pPr>
              <w:rPr>
                <w:rFonts w:cs="Calibri"/>
                <w:color w:val="000000"/>
                <w:sz w:val="20"/>
                <w:szCs w:val="20"/>
              </w:rPr>
            </w:pPr>
            <w:r>
              <w:rPr>
                <w:rFonts w:cs="Calibri"/>
                <w:color w:val="000000"/>
                <w:sz w:val="20"/>
                <w:szCs w:val="20"/>
                <w:lang w:val="ga"/>
              </w:rPr>
              <w:t xml:space="preserve">Vhi um Chúram Sláinte </w:t>
            </w:r>
          </w:p>
          <w:p w14:paraId="2A6E1AE9" w14:textId="77777777" w:rsidR="00BE7D53" w:rsidRPr="007202FA" w:rsidRDefault="00BE7D53" w:rsidP="007202FA">
            <w:pPr>
              <w:rPr>
                <w:sz w:val="20"/>
                <w:szCs w:val="20"/>
              </w:rPr>
            </w:pPr>
          </w:p>
        </w:tc>
        <w:tc>
          <w:tcPr>
            <w:tcW w:w="1560" w:type="dxa"/>
            <w:tcBorders>
              <w:top w:val="single" w:sz="4" w:space="0" w:color="auto"/>
              <w:left w:val="single" w:sz="4" w:space="0" w:color="auto"/>
              <w:bottom w:val="single" w:sz="4" w:space="0" w:color="auto"/>
              <w:right w:val="single" w:sz="4" w:space="0" w:color="auto"/>
            </w:tcBorders>
            <w:hideMark/>
          </w:tcPr>
          <w:p w14:paraId="5D0B233A" w14:textId="77777777" w:rsidR="00590BEF" w:rsidRPr="007202FA" w:rsidRDefault="000B4F21" w:rsidP="007202FA">
            <w:pPr>
              <w:jc w:val="right"/>
              <w:rPr>
                <w:sz w:val="20"/>
                <w:szCs w:val="20"/>
              </w:rPr>
            </w:pPr>
            <w:r>
              <w:rPr>
                <w:sz w:val="20"/>
                <w:szCs w:val="20"/>
                <w:lang w:val="ga"/>
              </w:rPr>
              <w:t>1,931</w:t>
            </w:r>
          </w:p>
        </w:tc>
        <w:tc>
          <w:tcPr>
            <w:tcW w:w="1559" w:type="dxa"/>
            <w:tcBorders>
              <w:top w:val="single" w:sz="4" w:space="0" w:color="auto"/>
              <w:left w:val="single" w:sz="4" w:space="0" w:color="auto"/>
              <w:bottom w:val="single" w:sz="4" w:space="0" w:color="auto"/>
              <w:right w:val="single" w:sz="4" w:space="0" w:color="auto"/>
            </w:tcBorders>
            <w:hideMark/>
          </w:tcPr>
          <w:p w14:paraId="0F5345F5" w14:textId="77777777" w:rsidR="00590BEF" w:rsidRPr="007202FA" w:rsidRDefault="000B4F21" w:rsidP="007202FA">
            <w:pPr>
              <w:jc w:val="right"/>
              <w:rPr>
                <w:sz w:val="20"/>
                <w:szCs w:val="20"/>
              </w:rPr>
            </w:pPr>
            <w:r>
              <w:rPr>
                <w:sz w:val="20"/>
                <w:szCs w:val="20"/>
                <w:lang w:val="ga"/>
              </w:rPr>
              <w:t>94</w:t>
            </w:r>
          </w:p>
        </w:tc>
        <w:tc>
          <w:tcPr>
            <w:tcW w:w="1559" w:type="dxa"/>
            <w:tcBorders>
              <w:top w:val="single" w:sz="4" w:space="0" w:color="auto"/>
              <w:left w:val="single" w:sz="4" w:space="0" w:color="auto"/>
              <w:bottom w:val="single" w:sz="4" w:space="0" w:color="auto"/>
              <w:right w:val="single" w:sz="4" w:space="0" w:color="auto"/>
            </w:tcBorders>
            <w:hideMark/>
          </w:tcPr>
          <w:p w14:paraId="08AF9256" w14:textId="77777777" w:rsidR="00590BEF" w:rsidRPr="007202FA" w:rsidRDefault="000B4F21" w:rsidP="007202FA">
            <w:pPr>
              <w:jc w:val="right"/>
              <w:rPr>
                <w:sz w:val="20"/>
                <w:szCs w:val="20"/>
              </w:rPr>
            </w:pPr>
            <w:r>
              <w:rPr>
                <w:sz w:val="20"/>
                <w:szCs w:val="20"/>
                <w:lang w:val="ga"/>
              </w:rPr>
              <w:t>4.9%</w:t>
            </w:r>
          </w:p>
        </w:tc>
        <w:tc>
          <w:tcPr>
            <w:tcW w:w="1559" w:type="dxa"/>
            <w:tcBorders>
              <w:top w:val="single" w:sz="4" w:space="0" w:color="auto"/>
              <w:left w:val="single" w:sz="4" w:space="0" w:color="auto"/>
              <w:bottom w:val="single" w:sz="4" w:space="0" w:color="auto"/>
              <w:right w:val="single" w:sz="4" w:space="0" w:color="auto"/>
            </w:tcBorders>
            <w:hideMark/>
          </w:tcPr>
          <w:p w14:paraId="528DA7E9" w14:textId="77777777" w:rsidR="00590BEF" w:rsidRPr="007202FA" w:rsidRDefault="000B4F21" w:rsidP="007202FA">
            <w:pPr>
              <w:jc w:val="right"/>
              <w:rPr>
                <w:sz w:val="20"/>
                <w:szCs w:val="20"/>
              </w:rPr>
            </w:pPr>
            <w:r>
              <w:rPr>
                <w:rFonts w:cs="Calibri"/>
                <w:color w:val="000000"/>
                <w:sz w:val="20"/>
                <w:szCs w:val="20"/>
                <w:lang w:val="ga"/>
              </w:rPr>
              <w:t>2,189</w:t>
            </w:r>
          </w:p>
        </w:tc>
        <w:tc>
          <w:tcPr>
            <w:tcW w:w="1560" w:type="dxa"/>
            <w:tcBorders>
              <w:top w:val="single" w:sz="4" w:space="0" w:color="auto"/>
              <w:left w:val="single" w:sz="4" w:space="0" w:color="auto"/>
              <w:bottom w:val="single" w:sz="4" w:space="0" w:color="auto"/>
              <w:right w:val="single" w:sz="4" w:space="0" w:color="auto"/>
            </w:tcBorders>
            <w:hideMark/>
          </w:tcPr>
          <w:p w14:paraId="1F6F781A" w14:textId="77777777" w:rsidR="00590BEF" w:rsidRPr="007202FA" w:rsidRDefault="000B4F21" w:rsidP="007202FA">
            <w:pPr>
              <w:jc w:val="right"/>
              <w:rPr>
                <w:sz w:val="20"/>
                <w:szCs w:val="20"/>
              </w:rPr>
            </w:pPr>
            <w:r>
              <w:rPr>
                <w:rFonts w:cs="Calibri"/>
                <w:color w:val="000000"/>
                <w:sz w:val="20"/>
                <w:szCs w:val="20"/>
                <w:lang w:val="ga"/>
              </w:rPr>
              <w:t>104</w:t>
            </w:r>
          </w:p>
        </w:tc>
        <w:tc>
          <w:tcPr>
            <w:tcW w:w="1577" w:type="dxa"/>
            <w:tcBorders>
              <w:top w:val="single" w:sz="4" w:space="0" w:color="auto"/>
              <w:left w:val="single" w:sz="4" w:space="0" w:color="auto"/>
              <w:bottom w:val="single" w:sz="4" w:space="0" w:color="auto"/>
              <w:right w:val="single" w:sz="4" w:space="0" w:color="auto"/>
            </w:tcBorders>
            <w:hideMark/>
          </w:tcPr>
          <w:p w14:paraId="125F4AD9" w14:textId="77777777" w:rsidR="00590BEF" w:rsidRPr="007202FA" w:rsidRDefault="000B4F21" w:rsidP="007202FA">
            <w:pPr>
              <w:jc w:val="right"/>
              <w:rPr>
                <w:sz w:val="20"/>
                <w:szCs w:val="20"/>
              </w:rPr>
            </w:pPr>
            <w:r>
              <w:rPr>
                <w:rFonts w:cs="Calibri"/>
                <w:color w:val="000000"/>
                <w:sz w:val="20"/>
                <w:szCs w:val="20"/>
                <w:lang w:val="ga"/>
              </w:rPr>
              <w:t>4.8%</w:t>
            </w:r>
          </w:p>
        </w:tc>
      </w:tr>
      <w:tr w:rsidR="00F31303" w14:paraId="74F074B4" w14:textId="77777777" w:rsidTr="001B4A66">
        <w:trPr>
          <w:trHeight w:val="517"/>
          <w:jc w:val="center"/>
        </w:trPr>
        <w:tc>
          <w:tcPr>
            <w:tcW w:w="1843" w:type="dxa"/>
            <w:tcBorders>
              <w:top w:val="single" w:sz="4" w:space="0" w:color="auto"/>
              <w:left w:val="single" w:sz="4" w:space="0" w:color="auto"/>
              <w:bottom w:val="single" w:sz="4" w:space="0" w:color="auto"/>
              <w:right w:val="single" w:sz="4" w:space="0" w:color="auto"/>
            </w:tcBorders>
            <w:hideMark/>
          </w:tcPr>
          <w:p w14:paraId="30EF5057" w14:textId="77777777" w:rsidR="00590BEF" w:rsidRPr="007202FA" w:rsidRDefault="000B4F21" w:rsidP="007202FA">
            <w:pPr>
              <w:rPr>
                <w:b/>
                <w:sz w:val="20"/>
                <w:szCs w:val="20"/>
              </w:rPr>
            </w:pPr>
            <w:r>
              <w:rPr>
                <w:b/>
                <w:bCs/>
                <w:sz w:val="20"/>
                <w:szCs w:val="20"/>
                <w:lang w:val="ga"/>
              </w:rPr>
              <w:t xml:space="preserve">Mór-Iomlán </w:t>
            </w:r>
          </w:p>
        </w:tc>
        <w:tc>
          <w:tcPr>
            <w:tcW w:w="1560" w:type="dxa"/>
            <w:tcBorders>
              <w:top w:val="single" w:sz="4" w:space="0" w:color="auto"/>
              <w:left w:val="single" w:sz="4" w:space="0" w:color="auto"/>
              <w:bottom w:val="single" w:sz="4" w:space="0" w:color="auto"/>
              <w:right w:val="single" w:sz="4" w:space="0" w:color="auto"/>
            </w:tcBorders>
            <w:hideMark/>
          </w:tcPr>
          <w:p w14:paraId="67E9F671" w14:textId="77777777" w:rsidR="00590BEF" w:rsidRPr="007202FA" w:rsidRDefault="000B4F21" w:rsidP="007202FA">
            <w:pPr>
              <w:jc w:val="right"/>
              <w:rPr>
                <w:sz w:val="20"/>
                <w:szCs w:val="20"/>
              </w:rPr>
            </w:pPr>
            <w:r>
              <w:rPr>
                <w:b/>
                <w:bCs/>
                <w:sz w:val="20"/>
                <w:szCs w:val="20"/>
                <w:lang w:val="ga"/>
              </w:rPr>
              <w:t>124,787</w:t>
            </w:r>
          </w:p>
        </w:tc>
        <w:tc>
          <w:tcPr>
            <w:tcW w:w="1559" w:type="dxa"/>
            <w:tcBorders>
              <w:top w:val="single" w:sz="4" w:space="0" w:color="auto"/>
              <w:left w:val="single" w:sz="4" w:space="0" w:color="auto"/>
              <w:bottom w:val="single" w:sz="4" w:space="0" w:color="auto"/>
              <w:right w:val="single" w:sz="4" w:space="0" w:color="auto"/>
            </w:tcBorders>
            <w:hideMark/>
          </w:tcPr>
          <w:p w14:paraId="15A028EA" w14:textId="77777777" w:rsidR="00590BEF" w:rsidRPr="007202FA" w:rsidRDefault="000B4F21" w:rsidP="007202FA">
            <w:pPr>
              <w:jc w:val="right"/>
              <w:rPr>
                <w:b/>
                <w:sz w:val="20"/>
                <w:szCs w:val="20"/>
              </w:rPr>
            </w:pPr>
            <w:r>
              <w:rPr>
                <w:b/>
                <w:bCs/>
                <w:sz w:val="20"/>
                <w:szCs w:val="20"/>
                <w:lang w:val="ga"/>
              </w:rPr>
              <w:t>2738</w:t>
            </w:r>
          </w:p>
        </w:tc>
        <w:tc>
          <w:tcPr>
            <w:tcW w:w="1559" w:type="dxa"/>
            <w:tcBorders>
              <w:top w:val="single" w:sz="4" w:space="0" w:color="auto"/>
              <w:left w:val="single" w:sz="4" w:space="0" w:color="auto"/>
              <w:bottom w:val="single" w:sz="4" w:space="0" w:color="auto"/>
              <w:right w:val="single" w:sz="4" w:space="0" w:color="auto"/>
            </w:tcBorders>
            <w:hideMark/>
          </w:tcPr>
          <w:p w14:paraId="3C4E6702" w14:textId="77777777" w:rsidR="00590BEF" w:rsidRPr="007202FA" w:rsidRDefault="000B4F21" w:rsidP="007202FA">
            <w:pPr>
              <w:jc w:val="right"/>
              <w:rPr>
                <w:b/>
                <w:sz w:val="20"/>
                <w:szCs w:val="20"/>
              </w:rPr>
            </w:pPr>
            <w:r>
              <w:rPr>
                <w:b/>
                <w:bCs/>
                <w:sz w:val="20"/>
                <w:szCs w:val="20"/>
                <w:lang w:val="ga"/>
              </w:rPr>
              <w:t>2.2%</w:t>
            </w:r>
          </w:p>
        </w:tc>
        <w:tc>
          <w:tcPr>
            <w:tcW w:w="1559" w:type="dxa"/>
            <w:tcBorders>
              <w:top w:val="single" w:sz="4" w:space="0" w:color="auto"/>
              <w:left w:val="single" w:sz="4" w:space="0" w:color="auto"/>
              <w:bottom w:val="single" w:sz="4" w:space="0" w:color="auto"/>
              <w:right w:val="single" w:sz="4" w:space="0" w:color="auto"/>
            </w:tcBorders>
            <w:hideMark/>
          </w:tcPr>
          <w:p w14:paraId="26D294F0" w14:textId="77777777" w:rsidR="00590BEF" w:rsidRPr="007202FA" w:rsidRDefault="000B4F21" w:rsidP="007202FA">
            <w:pPr>
              <w:jc w:val="right"/>
              <w:rPr>
                <w:b/>
                <w:sz w:val="20"/>
                <w:szCs w:val="20"/>
              </w:rPr>
            </w:pPr>
            <w:r>
              <w:rPr>
                <w:b/>
                <w:bCs/>
                <w:sz w:val="20"/>
                <w:szCs w:val="20"/>
                <w:lang w:val="ga"/>
              </w:rPr>
              <w:t>124,197</w:t>
            </w:r>
          </w:p>
        </w:tc>
        <w:tc>
          <w:tcPr>
            <w:tcW w:w="1560" w:type="dxa"/>
            <w:tcBorders>
              <w:top w:val="single" w:sz="4" w:space="0" w:color="auto"/>
              <w:left w:val="single" w:sz="4" w:space="0" w:color="auto"/>
              <w:bottom w:val="single" w:sz="4" w:space="0" w:color="auto"/>
              <w:right w:val="single" w:sz="4" w:space="0" w:color="auto"/>
            </w:tcBorders>
            <w:hideMark/>
          </w:tcPr>
          <w:p w14:paraId="77A89386" w14:textId="77777777" w:rsidR="00590BEF" w:rsidRPr="007202FA" w:rsidRDefault="000B4F21" w:rsidP="007202FA">
            <w:pPr>
              <w:jc w:val="right"/>
              <w:rPr>
                <w:b/>
                <w:sz w:val="20"/>
                <w:szCs w:val="20"/>
              </w:rPr>
            </w:pPr>
            <w:r>
              <w:rPr>
                <w:b/>
                <w:bCs/>
                <w:sz w:val="20"/>
                <w:szCs w:val="20"/>
                <w:lang w:val="ga"/>
              </w:rPr>
              <w:t>4,057</w:t>
            </w:r>
          </w:p>
        </w:tc>
        <w:tc>
          <w:tcPr>
            <w:tcW w:w="1577" w:type="dxa"/>
            <w:tcBorders>
              <w:top w:val="single" w:sz="4" w:space="0" w:color="auto"/>
              <w:left w:val="single" w:sz="4" w:space="0" w:color="auto"/>
              <w:bottom w:val="single" w:sz="4" w:space="0" w:color="auto"/>
              <w:right w:val="single" w:sz="4" w:space="0" w:color="auto"/>
            </w:tcBorders>
            <w:hideMark/>
          </w:tcPr>
          <w:p w14:paraId="193081CE" w14:textId="77777777" w:rsidR="00590BEF" w:rsidRPr="007202FA" w:rsidRDefault="000B4F21" w:rsidP="007202FA">
            <w:pPr>
              <w:jc w:val="right"/>
              <w:rPr>
                <w:b/>
                <w:sz w:val="20"/>
                <w:szCs w:val="20"/>
              </w:rPr>
            </w:pPr>
            <w:r>
              <w:rPr>
                <w:b/>
                <w:bCs/>
                <w:sz w:val="20"/>
                <w:szCs w:val="20"/>
                <w:lang w:val="ga"/>
              </w:rPr>
              <w:t>3.3%</w:t>
            </w:r>
          </w:p>
        </w:tc>
      </w:tr>
    </w:tbl>
    <w:p w14:paraId="47BA186C" w14:textId="77777777" w:rsidR="00590BEF" w:rsidRPr="007202FA" w:rsidRDefault="00590BEF" w:rsidP="007202FA">
      <w:pPr>
        <w:spacing w:after="0"/>
        <w:rPr>
          <w:rFonts w:ascii="Gill Sans" w:hAnsi="Gill Sans"/>
        </w:rPr>
      </w:pPr>
    </w:p>
    <w:p w14:paraId="4947CAF7" w14:textId="77777777" w:rsidR="00590BEF" w:rsidRPr="007202FA" w:rsidRDefault="00590BEF" w:rsidP="007202FA">
      <w:pPr>
        <w:spacing w:after="0"/>
        <w:rPr>
          <w:rFonts w:ascii="Gill Sans" w:hAnsi="Gill Sans"/>
        </w:rPr>
      </w:pPr>
    </w:p>
    <w:p w14:paraId="62423680" w14:textId="77777777" w:rsidR="00590BEF" w:rsidRPr="007202FA" w:rsidRDefault="00590BEF" w:rsidP="007202FA">
      <w:pPr>
        <w:spacing w:after="0"/>
        <w:rPr>
          <w:rFonts w:ascii="Gill Sans" w:hAnsi="Gill Sans"/>
        </w:rPr>
      </w:pPr>
    </w:p>
    <w:p w14:paraId="2131C55D" w14:textId="77777777" w:rsidR="00590BEF" w:rsidRPr="007202FA" w:rsidRDefault="00590BEF" w:rsidP="007202FA">
      <w:pPr>
        <w:rPr>
          <w:rFonts w:ascii="Gill Sans" w:hAnsi="Gill Sans"/>
        </w:rPr>
      </w:pPr>
    </w:p>
    <w:p w14:paraId="0D6D33BD" w14:textId="77777777" w:rsidR="00590BEF" w:rsidRPr="007202FA" w:rsidRDefault="00590BEF" w:rsidP="007202FA">
      <w:pPr>
        <w:rPr>
          <w:rFonts w:ascii="Gill Sans" w:hAnsi="Gill Sans"/>
        </w:rPr>
      </w:pPr>
    </w:p>
    <w:p w14:paraId="3166A0EB" w14:textId="77777777" w:rsidR="00590BEF" w:rsidRPr="007202FA" w:rsidRDefault="00590BEF" w:rsidP="007202FA">
      <w:pPr>
        <w:rPr>
          <w:rFonts w:ascii="Gill Sans" w:hAnsi="Gill Sans"/>
        </w:rPr>
      </w:pPr>
    </w:p>
    <w:p w14:paraId="4938273F" w14:textId="77777777" w:rsidR="00590BEF" w:rsidRPr="007202FA" w:rsidRDefault="00590BEF" w:rsidP="007202FA">
      <w:pPr>
        <w:rPr>
          <w:rFonts w:ascii="Gill Sans" w:hAnsi="Gill Sans"/>
        </w:rPr>
      </w:pPr>
    </w:p>
    <w:p w14:paraId="0A46677E" w14:textId="77777777" w:rsidR="00590BEF" w:rsidRPr="007202FA" w:rsidRDefault="00590BEF" w:rsidP="007202FA">
      <w:pPr>
        <w:rPr>
          <w:rFonts w:ascii="Gill Sans" w:hAnsi="Gill Sans"/>
        </w:rPr>
      </w:pPr>
    </w:p>
    <w:p w14:paraId="49FD0AD0" w14:textId="77777777" w:rsidR="00590BEF" w:rsidRPr="007202FA" w:rsidRDefault="00590BEF" w:rsidP="007202FA">
      <w:pPr>
        <w:rPr>
          <w:rFonts w:ascii="Gill Sans" w:hAnsi="Gill Sans"/>
        </w:rPr>
      </w:pPr>
    </w:p>
    <w:p w14:paraId="0B94B6B1" w14:textId="77777777" w:rsidR="00590BEF" w:rsidRPr="007202FA" w:rsidRDefault="00590BEF" w:rsidP="007202FA">
      <w:pPr>
        <w:rPr>
          <w:rFonts w:ascii="Gill Sans" w:hAnsi="Gill Sans"/>
        </w:rPr>
      </w:pPr>
    </w:p>
    <w:p w14:paraId="633151B5" w14:textId="77777777" w:rsidR="00590BEF" w:rsidRPr="007202FA" w:rsidRDefault="00590BEF" w:rsidP="007202FA">
      <w:pPr>
        <w:rPr>
          <w:rFonts w:ascii="Gill Sans" w:hAnsi="Gill Sans"/>
        </w:rPr>
      </w:pPr>
    </w:p>
    <w:p w14:paraId="76186970" w14:textId="77777777" w:rsidR="00590BEF" w:rsidRPr="007202FA" w:rsidRDefault="00590BEF" w:rsidP="007202FA">
      <w:pPr>
        <w:rPr>
          <w:rFonts w:ascii="Gill Sans" w:hAnsi="Gill Sans"/>
        </w:rPr>
      </w:pPr>
    </w:p>
    <w:p w14:paraId="2191E1FA" w14:textId="77777777" w:rsidR="00590BEF" w:rsidRPr="007202FA" w:rsidRDefault="00590BEF" w:rsidP="007202FA">
      <w:pPr>
        <w:rPr>
          <w:rFonts w:ascii="Gill Sans" w:hAnsi="Gill Sans"/>
        </w:rPr>
      </w:pPr>
    </w:p>
    <w:p w14:paraId="74970A0F" w14:textId="77777777" w:rsidR="00590BEF" w:rsidRPr="007202FA" w:rsidRDefault="00590BEF" w:rsidP="007202FA">
      <w:pPr>
        <w:rPr>
          <w:rFonts w:ascii="Gill Sans" w:hAnsi="Gill Sans"/>
        </w:rPr>
      </w:pPr>
    </w:p>
    <w:p w14:paraId="6169E446" w14:textId="77777777" w:rsidR="00590BEF" w:rsidRPr="007202FA" w:rsidRDefault="00590BEF" w:rsidP="007202FA">
      <w:pPr>
        <w:rPr>
          <w:rFonts w:ascii="Gill Sans" w:hAnsi="Gill Sans"/>
        </w:rPr>
      </w:pPr>
    </w:p>
    <w:p w14:paraId="6AAD2373" w14:textId="77777777" w:rsidR="007D6D30" w:rsidRPr="007202FA" w:rsidRDefault="007D6D30" w:rsidP="007202FA">
      <w:bookmarkStart w:id="220" w:name="_Toc176801631"/>
    </w:p>
    <w:p w14:paraId="6085CB5B" w14:textId="5B0BE55D" w:rsidR="00590BEF" w:rsidRPr="007202FA" w:rsidRDefault="000B4F21" w:rsidP="007202FA">
      <w:pPr>
        <w:pStyle w:val="Heading2"/>
        <w:jc w:val="center"/>
      </w:pPr>
      <w:bookmarkStart w:id="221" w:name="_Toc214033669"/>
      <w:r>
        <w:rPr>
          <w:bCs/>
          <w:lang w:val="ga"/>
        </w:rPr>
        <w:lastRenderedPageBreak/>
        <w:t>An Roinn Tithíochta, Rialtais Áitiúil agus Oidhreachta</w:t>
      </w:r>
      <w:bookmarkEnd w:id="220"/>
      <w:bookmarkEnd w:id="221"/>
    </w:p>
    <w:p w14:paraId="07D75514" w14:textId="77777777" w:rsidR="00590BEF" w:rsidRPr="007202FA" w:rsidRDefault="00590BEF" w:rsidP="007202FA">
      <w:pPr>
        <w:rPr>
          <w:rFonts w:ascii="Gill Sans" w:hAnsi="Gill Sans"/>
          <w:sz w:val="6"/>
          <w:szCs w:val="6"/>
        </w:rPr>
      </w:pPr>
    </w:p>
    <w:tbl>
      <w:tblPr>
        <w:tblStyle w:val="TableGrid"/>
        <w:tblW w:w="11205" w:type="dxa"/>
        <w:jc w:val="center"/>
        <w:tblLayout w:type="fixed"/>
        <w:tblLook w:val="04A0" w:firstRow="1" w:lastRow="0" w:firstColumn="1" w:lastColumn="0" w:noHBand="0" w:noVBand="1"/>
      </w:tblPr>
      <w:tblGrid>
        <w:gridCol w:w="2122"/>
        <w:gridCol w:w="1559"/>
        <w:gridCol w:w="1559"/>
        <w:gridCol w:w="1559"/>
        <w:gridCol w:w="1430"/>
        <w:gridCol w:w="1547"/>
        <w:gridCol w:w="1429"/>
      </w:tblGrid>
      <w:tr w:rsidR="00F31303" w14:paraId="57D497FC" w14:textId="77777777" w:rsidTr="0050231C">
        <w:trPr>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E78CC5"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59" w:type="dxa"/>
            <w:tcBorders>
              <w:top w:val="single" w:sz="4" w:space="0" w:color="auto"/>
              <w:left w:val="single" w:sz="4" w:space="0" w:color="auto"/>
              <w:bottom w:val="single" w:sz="4" w:space="0" w:color="auto"/>
              <w:right w:val="single" w:sz="4" w:space="0" w:color="auto"/>
            </w:tcBorders>
            <w:hideMark/>
          </w:tcPr>
          <w:p w14:paraId="50105DB9"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1EE85B4D" w14:textId="182A7941"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2023</w:t>
            </w:r>
          </w:p>
        </w:tc>
        <w:tc>
          <w:tcPr>
            <w:tcW w:w="1559" w:type="dxa"/>
            <w:tcBorders>
              <w:top w:val="single" w:sz="4" w:space="0" w:color="auto"/>
              <w:left w:val="single" w:sz="4" w:space="0" w:color="auto"/>
              <w:bottom w:val="single" w:sz="4" w:space="0" w:color="auto"/>
              <w:right w:val="single" w:sz="4" w:space="0" w:color="auto"/>
            </w:tcBorders>
            <w:hideMark/>
          </w:tcPr>
          <w:p w14:paraId="53034B53"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406D8B64"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59" w:type="dxa"/>
            <w:tcBorders>
              <w:top w:val="single" w:sz="4" w:space="0" w:color="auto"/>
              <w:left w:val="single" w:sz="4" w:space="0" w:color="auto"/>
              <w:bottom w:val="single" w:sz="4" w:space="0" w:color="auto"/>
              <w:right w:val="single" w:sz="4" w:space="0" w:color="auto"/>
            </w:tcBorders>
            <w:hideMark/>
          </w:tcPr>
          <w:p w14:paraId="458945CF" w14:textId="77777777" w:rsidR="00590BEF" w:rsidRPr="000B0546" w:rsidRDefault="000B4F21" w:rsidP="007202FA">
            <w:pPr>
              <w:pStyle w:val="TableHead"/>
              <w:rPr>
                <w:rFonts w:ascii="Verdana" w:hAnsi="Verdana"/>
                <w:kern w:val="2"/>
                <w:sz w:val="19"/>
                <w:szCs w:val="19"/>
                <w14:ligatures w14:val="standardContextual"/>
              </w:rPr>
            </w:pPr>
            <w:r w:rsidRPr="000B0546">
              <w:rPr>
                <w:rFonts w:ascii="Verdana" w:hAnsi="Verdana"/>
                <w:bCs/>
                <w:kern w:val="2"/>
                <w:sz w:val="19"/>
                <w:szCs w:val="19"/>
                <w:lang w:val="ga"/>
                <w14:ligatures w14:val="standardContextual"/>
              </w:rPr>
              <w:t>An % d’fhostaithe a thuairiscigh</w:t>
            </w:r>
          </w:p>
          <w:p w14:paraId="3E47DECE" w14:textId="77777777" w:rsidR="00590BEF" w:rsidRPr="007202FA" w:rsidRDefault="000B4F21" w:rsidP="007202FA">
            <w:pPr>
              <w:pStyle w:val="TableHead"/>
              <w:rPr>
                <w:rFonts w:ascii="Verdana" w:hAnsi="Verdana"/>
                <w:kern w:val="2"/>
                <w:sz w:val="20"/>
                <w:szCs w:val="20"/>
                <w14:ligatures w14:val="standardContextual"/>
              </w:rPr>
            </w:pPr>
            <w:r w:rsidRPr="000B0546">
              <w:rPr>
                <w:rFonts w:ascii="Verdana" w:hAnsi="Verdana"/>
                <w:bCs/>
                <w:kern w:val="2"/>
                <w:sz w:val="19"/>
                <w:szCs w:val="19"/>
                <w:lang w:val="ga"/>
                <w14:ligatures w14:val="standardContextual"/>
              </w:rPr>
              <w:t>míchumas 2023</w:t>
            </w:r>
          </w:p>
        </w:tc>
        <w:tc>
          <w:tcPr>
            <w:tcW w:w="1430" w:type="dxa"/>
            <w:tcBorders>
              <w:top w:val="single" w:sz="4" w:space="0" w:color="auto"/>
              <w:left w:val="single" w:sz="4" w:space="0" w:color="auto"/>
              <w:bottom w:val="single" w:sz="4" w:space="0" w:color="auto"/>
              <w:right w:val="single" w:sz="4" w:space="0" w:color="auto"/>
            </w:tcBorders>
            <w:hideMark/>
          </w:tcPr>
          <w:p w14:paraId="663B5F0C"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0EBA43E0" w14:textId="6565D299"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2024</w:t>
            </w:r>
          </w:p>
        </w:tc>
        <w:tc>
          <w:tcPr>
            <w:tcW w:w="1547" w:type="dxa"/>
            <w:tcBorders>
              <w:top w:val="single" w:sz="4" w:space="0" w:color="auto"/>
              <w:left w:val="single" w:sz="4" w:space="0" w:color="auto"/>
              <w:bottom w:val="single" w:sz="4" w:space="0" w:color="auto"/>
              <w:right w:val="single" w:sz="4" w:space="0" w:color="auto"/>
            </w:tcBorders>
            <w:hideMark/>
          </w:tcPr>
          <w:p w14:paraId="1ACAAD29" w14:textId="77777777" w:rsidR="00590BEF" w:rsidRPr="000B0546" w:rsidRDefault="000B4F21" w:rsidP="007202FA">
            <w:pPr>
              <w:pStyle w:val="TableHead"/>
              <w:rPr>
                <w:rFonts w:ascii="Verdana" w:hAnsi="Verdana"/>
                <w:kern w:val="2"/>
                <w:sz w:val="17"/>
                <w:szCs w:val="17"/>
                <w14:ligatures w14:val="standardContextual"/>
              </w:rPr>
            </w:pPr>
            <w:r w:rsidRPr="000B0546">
              <w:rPr>
                <w:rFonts w:ascii="Verdana" w:hAnsi="Verdana"/>
                <w:bCs/>
                <w:kern w:val="2"/>
                <w:sz w:val="17"/>
                <w:szCs w:val="17"/>
                <w:lang w:val="ga"/>
                <w14:ligatures w14:val="standardContextual"/>
              </w:rPr>
              <w:t xml:space="preserve">An líon fostaithe a thuairiscigh míchumas </w:t>
            </w:r>
          </w:p>
          <w:p w14:paraId="6C61CDFE" w14:textId="77777777" w:rsidR="00590BEF" w:rsidRPr="000B0546" w:rsidRDefault="000B4F21" w:rsidP="007202FA">
            <w:pPr>
              <w:pStyle w:val="TableHead"/>
              <w:rPr>
                <w:rFonts w:ascii="Verdana" w:hAnsi="Verdana"/>
                <w:kern w:val="2"/>
                <w:sz w:val="17"/>
                <w:szCs w:val="17"/>
                <w14:ligatures w14:val="standardContextual"/>
              </w:rPr>
            </w:pPr>
            <w:r w:rsidRPr="000B0546">
              <w:rPr>
                <w:rFonts w:ascii="Verdana" w:hAnsi="Verdana"/>
                <w:bCs/>
                <w:kern w:val="2"/>
                <w:sz w:val="17"/>
                <w:szCs w:val="17"/>
                <w:lang w:val="ga"/>
                <w14:ligatures w14:val="standardContextual"/>
              </w:rPr>
              <w:t>2024</w:t>
            </w:r>
          </w:p>
        </w:tc>
        <w:tc>
          <w:tcPr>
            <w:tcW w:w="1429" w:type="dxa"/>
            <w:tcBorders>
              <w:top w:val="single" w:sz="4" w:space="0" w:color="auto"/>
              <w:left w:val="single" w:sz="4" w:space="0" w:color="auto"/>
              <w:bottom w:val="single" w:sz="4" w:space="0" w:color="auto"/>
              <w:right w:val="single" w:sz="4" w:space="0" w:color="auto"/>
            </w:tcBorders>
            <w:hideMark/>
          </w:tcPr>
          <w:p w14:paraId="7F2869C7" w14:textId="77777777" w:rsidR="00590BEF" w:rsidRPr="000B0546" w:rsidRDefault="000B4F21" w:rsidP="007202FA">
            <w:pPr>
              <w:pStyle w:val="TableHead"/>
              <w:rPr>
                <w:rFonts w:ascii="Verdana" w:hAnsi="Verdana"/>
                <w:kern w:val="2"/>
                <w:sz w:val="17"/>
                <w:szCs w:val="17"/>
                <w14:ligatures w14:val="standardContextual"/>
              </w:rPr>
            </w:pPr>
            <w:r w:rsidRPr="000B0546">
              <w:rPr>
                <w:rFonts w:ascii="Verdana" w:hAnsi="Verdana"/>
                <w:bCs/>
                <w:kern w:val="2"/>
                <w:sz w:val="17"/>
                <w:szCs w:val="17"/>
                <w:lang w:val="ga"/>
                <w14:ligatures w14:val="standardContextual"/>
              </w:rPr>
              <w:t>An % d’fhostaithe a thuairiscigh</w:t>
            </w:r>
          </w:p>
          <w:p w14:paraId="4C6EF5B2" w14:textId="77777777" w:rsidR="00590BEF" w:rsidRPr="000B0546" w:rsidRDefault="000B4F21" w:rsidP="007202FA">
            <w:pPr>
              <w:pStyle w:val="TableHead"/>
              <w:rPr>
                <w:rFonts w:ascii="Verdana" w:hAnsi="Verdana"/>
                <w:kern w:val="2"/>
                <w:sz w:val="17"/>
                <w:szCs w:val="17"/>
                <w14:ligatures w14:val="standardContextual"/>
              </w:rPr>
            </w:pPr>
            <w:r w:rsidRPr="000B0546">
              <w:rPr>
                <w:rFonts w:ascii="Verdana" w:hAnsi="Verdana"/>
                <w:bCs/>
                <w:kern w:val="2"/>
                <w:sz w:val="17"/>
                <w:szCs w:val="17"/>
                <w:lang w:val="ga"/>
                <w14:ligatures w14:val="standardContextual"/>
              </w:rPr>
              <w:t>míchumas 2024</w:t>
            </w:r>
          </w:p>
        </w:tc>
      </w:tr>
      <w:tr w:rsidR="00F31303" w14:paraId="27B75014" w14:textId="77777777" w:rsidTr="00C913FB">
        <w:trPr>
          <w:jc w:val="center"/>
        </w:trPr>
        <w:tc>
          <w:tcPr>
            <w:tcW w:w="2122" w:type="dxa"/>
            <w:tcBorders>
              <w:top w:val="single" w:sz="4" w:space="0" w:color="auto"/>
              <w:left w:val="single" w:sz="4" w:space="0" w:color="auto"/>
              <w:bottom w:val="single" w:sz="4" w:space="0" w:color="auto"/>
              <w:right w:val="single" w:sz="4" w:space="0" w:color="auto"/>
            </w:tcBorders>
          </w:tcPr>
          <w:p w14:paraId="11D79516" w14:textId="405F4A4B" w:rsidR="005F5C07" w:rsidRPr="007202FA" w:rsidRDefault="000B4F21" w:rsidP="007202FA">
            <w:pPr>
              <w:rPr>
                <w:sz w:val="20"/>
                <w:szCs w:val="20"/>
              </w:rPr>
            </w:pPr>
            <w:r>
              <w:rPr>
                <w:sz w:val="20"/>
                <w:szCs w:val="20"/>
                <w:lang w:val="ga"/>
              </w:rPr>
              <w:t>An Bord Pleanála</w:t>
            </w:r>
          </w:p>
        </w:tc>
        <w:tc>
          <w:tcPr>
            <w:tcW w:w="1559" w:type="dxa"/>
            <w:tcBorders>
              <w:top w:val="single" w:sz="4" w:space="0" w:color="auto"/>
              <w:left w:val="single" w:sz="4" w:space="0" w:color="auto"/>
              <w:bottom w:val="single" w:sz="4" w:space="0" w:color="auto"/>
              <w:right w:val="single" w:sz="4" w:space="0" w:color="auto"/>
            </w:tcBorders>
          </w:tcPr>
          <w:p w14:paraId="167F2E1C" w14:textId="5979BEE5" w:rsidR="00590BEF" w:rsidRPr="007202FA" w:rsidRDefault="000B4F21" w:rsidP="007202FA">
            <w:pPr>
              <w:jc w:val="right"/>
              <w:rPr>
                <w:sz w:val="20"/>
                <w:szCs w:val="20"/>
              </w:rPr>
            </w:pPr>
            <w:r>
              <w:rPr>
                <w:sz w:val="20"/>
                <w:szCs w:val="20"/>
                <w:lang w:val="ga"/>
              </w:rPr>
              <w:t>249</w:t>
            </w:r>
          </w:p>
        </w:tc>
        <w:tc>
          <w:tcPr>
            <w:tcW w:w="1559" w:type="dxa"/>
            <w:tcBorders>
              <w:top w:val="single" w:sz="4" w:space="0" w:color="auto"/>
              <w:left w:val="single" w:sz="4" w:space="0" w:color="auto"/>
              <w:bottom w:val="single" w:sz="4" w:space="0" w:color="auto"/>
              <w:right w:val="single" w:sz="4" w:space="0" w:color="auto"/>
            </w:tcBorders>
          </w:tcPr>
          <w:p w14:paraId="281895BB" w14:textId="3F7A5537" w:rsidR="00590BEF" w:rsidRPr="007202FA" w:rsidRDefault="000B4F21" w:rsidP="007202FA">
            <w:pPr>
              <w:jc w:val="right"/>
              <w:rPr>
                <w:sz w:val="20"/>
                <w:szCs w:val="20"/>
              </w:rPr>
            </w:pPr>
            <w:r>
              <w:rPr>
                <w:sz w:val="20"/>
                <w:szCs w:val="20"/>
                <w:lang w:val="ga"/>
              </w:rPr>
              <w:t>24</w:t>
            </w:r>
          </w:p>
        </w:tc>
        <w:tc>
          <w:tcPr>
            <w:tcW w:w="1559" w:type="dxa"/>
            <w:tcBorders>
              <w:top w:val="single" w:sz="4" w:space="0" w:color="auto"/>
              <w:left w:val="single" w:sz="4" w:space="0" w:color="auto"/>
              <w:bottom w:val="single" w:sz="4" w:space="0" w:color="auto"/>
              <w:right w:val="single" w:sz="4" w:space="0" w:color="auto"/>
            </w:tcBorders>
          </w:tcPr>
          <w:p w14:paraId="5234EB31" w14:textId="03F3C81C" w:rsidR="00590BEF" w:rsidRPr="007202FA" w:rsidRDefault="000B4F21" w:rsidP="007202FA">
            <w:pPr>
              <w:jc w:val="right"/>
              <w:rPr>
                <w:sz w:val="20"/>
                <w:szCs w:val="20"/>
              </w:rPr>
            </w:pPr>
            <w:r>
              <w:rPr>
                <w:sz w:val="20"/>
                <w:szCs w:val="20"/>
                <w:lang w:val="ga"/>
              </w:rPr>
              <w:t>9.6%</w:t>
            </w:r>
          </w:p>
        </w:tc>
        <w:tc>
          <w:tcPr>
            <w:tcW w:w="1430" w:type="dxa"/>
            <w:tcBorders>
              <w:top w:val="single" w:sz="4" w:space="0" w:color="auto"/>
              <w:left w:val="single" w:sz="4" w:space="0" w:color="auto"/>
              <w:bottom w:val="single" w:sz="4" w:space="0" w:color="auto"/>
              <w:right w:val="single" w:sz="4" w:space="0" w:color="auto"/>
            </w:tcBorders>
          </w:tcPr>
          <w:p w14:paraId="532FA2D9" w14:textId="024996F5" w:rsidR="00590BEF" w:rsidRPr="007202FA" w:rsidRDefault="000B4F21" w:rsidP="007202FA">
            <w:pPr>
              <w:jc w:val="right"/>
              <w:rPr>
                <w:sz w:val="20"/>
                <w:szCs w:val="20"/>
              </w:rPr>
            </w:pPr>
            <w:r>
              <w:rPr>
                <w:sz w:val="20"/>
                <w:szCs w:val="20"/>
                <w:lang w:val="ga"/>
              </w:rPr>
              <w:t>290</w:t>
            </w:r>
          </w:p>
        </w:tc>
        <w:tc>
          <w:tcPr>
            <w:tcW w:w="1547" w:type="dxa"/>
            <w:tcBorders>
              <w:top w:val="single" w:sz="4" w:space="0" w:color="auto"/>
              <w:left w:val="single" w:sz="4" w:space="0" w:color="auto"/>
              <w:bottom w:val="single" w:sz="4" w:space="0" w:color="auto"/>
              <w:right w:val="single" w:sz="4" w:space="0" w:color="auto"/>
            </w:tcBorders>
          </w:tcPr>
          <w:p w14:paraId="658735D2" w14:textId="584B6B46" w:rsidR="00590BEF" w:rsidRPr="007202FA" w:rsidRDefault="000B4F21" w:rsidP="007202FA">
            <w:pPr>
              <w:jc w:val="right"/>
              <w:rPr>
                <w:sz w:val="20"/>
                <w:szCs w:val="20"/>
              </w:rPr>
            </w:pPr>
            <w:r>
              <w:rPr>
                <w:sz w:val="20"/>
                <w:szCs w:val="20"/>
                <w:lang w:val="ga"/>
              </w:rPr>
              <w:t>29</w:t>
            </w:r>
          </w:p>
        </w:tc>
        <w:tc>
          <w:tcPr>
            <w:tcW w:w="1429" w:type="dxa"/>
            <w:tcBorders>
              <w:top w:val="single" w:sz="4" w:space="0" w:color="auto"/>
              <w:left w:val="single" w:sz="4" w:space="0" w:color="auto"/>
              <w:bottom w:val="single" w:sz="4" w:space="0" w:color="auto"/>
              <w:right w:val="single" w:sz="4" w:space="0" w:color="auto"/>
            </w:tcBorders>
          </w:tcPr>
          <w:p w14:paraId="0F28B513" w14:textId="5BA4AE2F" w:rsidR="00590BEF" w:rsidRPr="007202FA" w:rsidRDefault="000B4F21" w:rsidP="007202FA">
            <w:pPr>
              <w:jc w:val="right"/>
              <w:rPr>
                <w:sz w:val="20"/>
                <w:szCs w:val="20"/>
              </w:rPr>
            </w:pPr>
            <w:r>
              <w:rPr>
                <w:sz w:val="20"/>
                <w:szCs w:val="20"/>
                <w:lang w:val="ga"/>
              </w:rPr>
              <w:t>10.0%</w:t>
            </w:r>
          </w:p>
        </w:tc>
      </w:tr>
      <w:tr w:rsidR="00F31303" w14:paraId="2465972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E87CF41" w14:textId="77777777" w:rsidR="00590BEF" w:rsidRPr="007202FA" w:rsidRDefault="000B4F21" w:rsidP="007202FA">
            <w:pPr>
              <w:rPr>
                <w:sz w:val="20"/>
                <w:szCs w:val="20"/>
              </w:rPr>
            </w:pPr>
            <w:r>
              <w:rPr>
                <w:color w:val="000000"/>
                <w:sz w:val="20"/>
                <w:szCs w:val="20"/>
                <w:lang w:val="ga"/>
              </w:rPr>
              <w:t>Údarás Rialála na gComhlachtaí Tithíochta Ceadaithe (AHBRA)</w:t>
            </w:r>
            <w:r>
              <w:rPr>
                <w:b/>
                <w:bCs/>
                <w:sz w:val="20"/>
                <w:szCs w:val="20"/>
                <w:lang w:val="ga"/>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7B26CF18" w14:textId="77777777" w:rsidR="00590BEF" w:rsidRPr="007202FA" w:rsidRDefault="000B4F21" w:rsidP="007202FA">
            <w:pPr>
              <w:jc w:val="right"/>
              <w:rPr>
                <w:sz w:val="20"/>
                <w:szCs w:val="20"/>
              </w:rPr>
            </w:pPr>
            <w:r>
              <w:rPr>
                <w:sz w:val="20"/>
                <w:szCs w:val="20"/>
                <w:lang w:val="ga"/>
              </w:rPr>
              <w:t>25</w:t>
            </w:r>
          </w:p>
        </w:tc>
        <w:tc>
          <w:tcPr>
            <w:tcW w:w="1559" w:type="dxa"/>
            <w:tcBorders>
              <w:top w:val="single" w:sz="4" w:space="0" w:color="auto"/>
              <w:left w:val="single" w:sz="4" w:space="0" w:color="auto"/>
              <w:bottom w:val="single" w:sz="4" w:space="0" w:color="auto"/>
              <w:right w:val="single" w:sz="4" w:space="0" w:color="auto"/>
            </w:tcBorders>
            <w:hideMark/>
          </w:tcPr>
          <w:p w14:paraId="1AE3CDCC" w14:textId="77777777" w:rsidR="00590BEF" w:rsidRPr="007202FA" w:rsidRDefault="000B4F21" w:rsidP="007202FA">
            <w:pPr>
              <w:jc w:val="right"/>
              <w:rPr>
                <w:sz w:val="20"/>
                <w:szCs w:val="20"/>
              </w:rPr>
            </w:pPr>
            <w:r>
              <w:rPr>
                <w:sz w:val="20"/>
                <w:szCs w:val="20"/>
                <w:lang w:val="ga"/>
              </w:rPr>
              <w:t>2</w:t>
            </w:r>
          </w:p>
        </w:tc>
        <w:tc>
          <w:tcPr>
            <w:tcW w:w="1559" w:type="dxa"/>
            <w:tcBorders>
              <w:top w:val="single" w:sz="4" w:space="0" w:color="auto"/>
              <w:left w:val="single" w:sz="4" w:space="0" w:color="auto"/>
              <w:bottom w:val="single" w:sz="4" w:space="0" w:color="auto"/>
              <w:right w:val="single" w:sz="4" w:space="0" w:color="auto"/>
            </w:tcBorders>
            <w:hideMark/>
          </w:tcPr>
          <w:p w14:paraId="305ACB2D" w14:textId="77777777" w:rsidR="00590BEF" w:rsidRPr="007202FA" w:rsidRDefault="000B4F21" w:rsidP="007202FA">
            <w:pPr>
              <w:jc w:val="right"/>
              <w:rPr>
                <w:sz w:val="20"/>
                <w:szCs w:val="20"/>
              </w:rPr>
            </w:pPr>
            <w:r>
              <w:rPr>
                <w:sz w:val="20"/>
                <w:szCs w:val="20"/>
                <w:lang w:val="ga"/>
              </w:rPr>
              <w:t>8.0%</w:t>
            </w:r>
          </w:p>
        </w:tc>
        <w:tc>
          <w:tcPr>
            <w:tcW w:w="1430" w:type="dxa"/>
            <w:tcBorders>
              <w:top w:val="single" w:sz="4" w:space="0" w:color="auto"/>
              <w:left w:val="single" w:sz="4" w:space="0" w:color="auto"/>
              <w:bottom w:val="single" w:sz="4" w:space="0" w:color="auto"/>
              <w:right w:val="single" w:sz="4" w:space="0" w:color="auto"/>
            </w:tcBorders>
            <w:hideMark/>
          </w:tcPr>
          <w:p w14:paraId="26313C70" w14:textId="77777777" w:rsidR="00590BEF" w:rsidRPr="007202FA" w:rsidRDefault="000B4F21" w:rsidP="007202FA">
            <w:pPr>
              <w:jc w:val="right"/>
              <w:rPr>
                <w:sz w:val="20"/>
                <w:szCs w:val="20"/>
              </w:rPr>
            </w:pPr>
            <w:r>
              <w:rPr>
                <w:rFonts w:cs="Calibri"/>
                <w:color w:val="000000"/>
                <w:sz w:val="20"/>
                <w:szCs w:val="20"/>
                <w:lang w:val="ga"/>
              </w:rPr>
              <w:t>30</w:t>
            </w:r>
          </w:p>
        </w:tc>
        <w:tc>
          <w:tcPr>
            <w:tcW w:w="1547" w:type="dxa"/>
            <w:tcBorders>
              <w:top w:val="single" w:sz="4" w:space="0" w:color="auto"/>
              <w:left w:val="single" w:sz="4" w:space="0" w:color="auto"/>
              <w:bottom w:val="single" w:sz="4" w:space="0" w:color="auto"/>
              <w:right w:val="single" w:sz="4" w:space="0" w:color="auto"/>
            </w:tcBorders>
            <w:hideMark/>
          </w:tcPr>
          <w:p w14:paraId="49E86C47" w14:textId="77777777" w:rsidR="00590BEF" w:rsidRPr="007202FA" w:rsidRDefault="000B4F21" w:rsidP="007202FA">
            <w:pPr>
              <w:jc w:val="right"/>
              <w:rPr>
                <w:sz w:val="20"/>
                <w:szCs w:val="20"/>
              </w:rPr>
            </w:pPr>
            <w:r>
              <w:rPr>
                <w:rFonts w:cs="Calibri"/>
                <w:color w:val="000000"/>
                <w:sz w:val="20"/>
                <w:szCs w:val="20"/>
                <w:lang w:val="ga"/>
              </w:rPr>
              <w:t>4</w:t>
            </w:r>
          </w:p>
        </w:tc>
        <w:tc>
          <w:tcPr>
            <w:tcW w:w="1429" w:type="dxa"/>
            <w:tcBorders>
              <w:top w:val="single" w:sz="4" w:space="0" w:color="auto"/>
              <w:left w:val="single" w:sz="4" w:space="0" w:color="auto"/>
              <w:bottom w:val="single" w:sz="4" w:space="0" w:color="auto"/>
              <w:right w:val="single" w:sz="4" w:space="0" w:color="auto"/>
            </w:tcBorders>
            <w:hideMark/>
          </w:tcPr>
          <w:p w14:paraId="748EC697" w14:textId="77777777" w:rsidR="00590BEF" w:rsidRPr="007202FA" w:rsidRDefault="000B4F21" w:rsidP="007202FA">
            <w:pPr>
              <w:jc w:val="right"/>
              <w:rPr>
                <w:sz w:val="20"/>
                <w:szCs w:val="20"/>
              </w:rPr>
            </w:pPr>
            <w:r>
              <w:rPr>
                <w:rFonts w:cs="Calibri"/>
                <w:color w:val="000000"/>
                <w:sz w:val="20"/>
                <w:szCs w:val="20"/>
                <w:lang w:val="ga"/>
              </w:rPr>
              <w:t>13.3%</w:t>
            </w:r>
          </w:p>
        </w:tc>
      </w:tr>
      <w:tr w:rsidR="00F31303" w14:paraId="28B6DB51"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864763A" w14:textId="77777777" w:rsidR="00590BEF" w:rsidRPr="007202FA" w:rsidRDefault="000B4F21" w:rsidP="007202FA">
            <w:pPr>
              <w:rPr>
                <w:sz w:val="20"/>
                <w:szCs w:val="20"/>
              </w:rPr>
            </w:pPr>
            <w:r>
              <w:rPr>
                <w:rFonts w:cs="Calibri"/>
                <w:color w:val="000000"/>
                <w:sz w:val="20"/>
                <w:szCs w:val="20"/>
                <w:lang w:val="ga"/>
              </w:rPr>
              <w:t>Comhairle Contae Cheatharlach</w:t>
            </w:r>
          </w:p>
        </w:tc>
        <w:tc>
          <w:tcPr>
            <w:tcW w:w="1559" w:type="dxa"/>
            <w:tcBorders>
              <w:top w:val="single" w:sz="4" w:space="0" w:color="auto"/>
              <w:left w:val="single" w:sz="4" w:space="0" w:color="auto"/>
              <w:bottom w:val="single" w:sz="4" w:space="0" w:color="auto"/>
              <w:right w:val="single" w:sz="4" w:space="0" w:color="auto"/>
            </w:tcBorders>
            <w:hideMark/>
          </w:tcPr>
          <w:p w14:paraId="71187EB6" w14:textId="77777777" w:rsidR="00590BEF" w:rsidRPr="007202FA" w:rsidRDefault="000B4F21" w:rsidP="007202FA">
            <w:pPr>
              <w:jc w:val="right"/>
              <w:rPr>
                <w:sz w:val="20"/>
                <w:szCs w:val="20"/>
              </w:rPr>
            </w:pPr>
            <w:r>
              <w:rPr>
                <w:sz w:val="20"/>
                <w:szCs w:val="20"/>
                <w:lang w:val="ga"/>
              </w:rPr>
              <w:t>406</w:t>
            </w:r>
          </w:p>
        </w:tc>
        <w:tc>
          <w:tcPr>
            <w:tcW w:w="1559" w:type="dxa"/>
            <w:tcBorders>
              <w:top w:val="single" w:sz="4" w:space="0" w:color="auto"/>
              <w:left w:val="single" w:sz="4" w:space="0" w:color="auto"/>
              <w:bottom w:val="single" w:sz="4" w:space="0" w:color="auto"/>
              <w:right w:val="single" w:sz="4" w:space="0" w:color="auto"/>
            </w:tcBorders>
            <w:hideMark/>
          </w:tcPr>
          <w:p w14:paraId="53C1FEAF" w14:textId="77777777" w:rsidR="00590BEF" w:rsidRPr="007202FA" w:rsidRDefault="000B4F21" w:rsidP="007202FA">
            <w:pPr>
              <w:jc w:val="right"/>
              <w:rPr>
                <w:sz w:val="20"/>
                <w:szCs w:val="20"/>
              </w:rPr>
            </w:pPr>
            <w:r>
              <w:rPr>
                <w:sz w:val="20"/>
                <w:szCs w:val="20"/>
                <w:lang w:val="ga"/>
              </w:rPr>
              <w:t>16</w:t>
            </w:r>
          </w:p>
        </w:tc>
        <w:tc>
          <w:tcPr>
            <w:tcW w:w="1559" w:type="dxa"/>
            <w:tcBorders>
              <w:top w:val="single" w:sz="4" w:space="0" w:color="auto"/>
              <w:left w:val="single" w:sz="4" w:space="0" w:color="auto"/>
              <w:bottom w:val="single" w:sz="4" w:space="0" w:color="auto"/>
              <w:right w:val="single" w:sz="4" w:space="0" w:color="auto"/>
            </w:tcBorders>
            <w:hideMark/>
          </w:tcPr>
          <w:p w14:paraId="54544F12" w14:textId="77777777" w:rsidR="00590BEF" w:rsidRPr="007202FA" w:rsidRDefault="000B4F21" w:rsidP="007202FA">
            <w:pPr>
              <w:jc w:val="right"/>
              <w:rPr>
                <w:sz w:val="20"/>
                <w:szCs w:val="20"/>
              </w:rPr>
            </w:pPr>
            <w:r>
              <w:rPr>
                <w:sz w:val="20"/>
                <w:szCs w:val="20"/>
                <w:lang w:val="ga"/>
              </w:rPr>
              <w:t>3.9%</w:t>
            </w:r>
          </w:p>
        </w:tc>
        <w:tc>
          <w:tcPr>
            <w:tcW w:w="1430" w:type="dxa"/>
            <w:tcBorders>
              <w:top w:val="single" w:sz="4" w:space="0" w:color="auto"/>
              <w:left w:val="single" w:sz="4" w:space="0" w:color="auto"/>
              <w:bottom w:val="single" w:sz="4" w:space="0" w:color="auto"/>
              <w:right w:val="single" w:sz="4" w:space="0" w:color="auto"/>
            </w:tcBorders>
            <w:hideMark/>
          </w:tcPr>
          <w:p w14:paraId="416A5B07" w14:textId="77777777" w:rsidR="00590BEF" w:rsidRPr="007202FA" w:rsidRDefault="000B4F21" w:rsidP="007202FA">
            <w:pPr>
              <w:jc w:val="right"/>
              <w:rPr>
                <w:sz w:val="20"/>
                <w:szCs w:val="20"/>
              </w:rPr>
            </w:pPr>
            <w:r>
              <w:rPr>
                <w:rFonts w:cs="Calibri"/>
                <w:color w:val="000000"/>
                <w:sz w:val="20"/>
                <w:szCs w:val="20"/>
                <w:lang w:val="ga"/>
              </w:rPr>
              <w:t>402</w:t>
            </w:r>
          </w:p>
        </w:tc>
        <w:tc>
          <w:tcPr>
            <w:tcW w:w="1547" w:type="dxa"/>
            <w:tcBorders>
              <w:top w:val="single" w:sz="4" w:space="0" w:color="auto"/>
              <w:left w:val="single" w:sz="4" w:space="0" w:color="auto"/>
              <w:bottom w:val="single" w:sz="4" w:space="0" w:color="auto"/>
              <w:right w:val="single" w:sz="4" w:space="0" w:color="auto"/>
            </w:tcBorders>
            <w:hideMark/>
          </w:tcPr>
          <w:p w14:paraId="2832EE31" w14:textId="77777777" w:rsidR="00590BEF" w:rsidRPr="007202FA" w:rsidRDefault="000B4F21" w:rsidP="007202FA">
            <w:pPr>
              <w:jc w:val="right"/>
              <w:rPr>
                <w:sz w:val="20"/>
                <w:szCs w:val="20"/>
              </w:rPr>
            </w:pPr>
            <w:r>
              <w:rPr>
                <w:rFonts w:cs="Calibri"/>
                <w:color w:val="000000"/>
                <w:sz w:val="20"/>
                <w:szCs w:val="20"/>
                <w:lang w:val="ga"/>
              </w:rPr>
              <w:t>18</w:t>
            </w:r>
          </w:p>
        </w:tc>
        <w:tc>
          <w:tcPr>
            <w:tcW w:w="1429" w:type="dxa"/>
            <w:tcBorders>
              <w:top w:val="single" w:sz="4" w:space="0" w:color="auto"/>
              <w:left w:val="single" w:sz="4" w:space="0" w:color="auto"/>
              <w:bottom w:val="single" w:sz="4" w:space="0" w:color="auto"/>
              <w:right w:val="single" w:sz="4" w:space="0" w:color="auto"/>
            </w:tcBorders>
            <w:hideMark/>
          </w:tcPr>
          <w:p w14:paraId="44E88EB0" w14:textId="77777777" w:rsidR="00590BEF" w:rsidRPr="007202FA" w:rsidRDefault="000B4F21" w:rsidP="007202FA">
            <w:pPr>
              <w:jc w:val="right"/>
              <w:rPr>
                <w:sz w:val="20"/>
                <w:szCs w:val="20"/>
              </w:rPr>
            </w:pPr>
            <w:r>
              <w:rPr>
                <w:rFonts w:cs="Calibri"/>
                <w:color w:val="000000"/>
                <w:sz w:val="20"/>
                <w:szCs w:val="20"/>
                <w:lang w:val="ga"/>
              </w:rPr>
              <w:t>4.5%</w:t>
            </w:r>
          </w:p>
        </w:tc>
      </w:tr>
      <w:tr w:rsidR="00F31303" w14:paraId="45649571"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A08830D" w14:textId="77777777" w:rsidR="00590BEF" w:rsidRPr="007202FA" w:rsidRDefault="000B4F21" w:rsidP="007202FA">
            <w:pPr>
              <w:rPr>
                <w:sz w:val="20"/>
                <w:szCs w:val="20"/>
              </w:rPr>
            </w:pPr>
            <w:r>
              <w:rPr>
                <w:rFonts w:cs="Calibri"/>
                <w:color w:val="000000"/>
                <w:sz w:val="20"/>
                <w:szCs w:val="20"/>
                <w:lang w:val="ga"/>
              </w:rPr>
              <w:t xml:space="preserve">Comhairle Contae an Chabháin </w:t>
            </w:r>
          </w:p>
        </w:tc>
        <w:tc>
          <w:tcPr>
            <w:tcW w:w="1559" w:type="dxa"/>
            <w:tcBorders>
              <w:top w:val="single" w:sz="4" w:space="0" w:color="auto"/>
              <w:left w:val="single" w:sz="4" w:space="0" w:color="auto"/>
              <w:bottom w:val="single" w:sz="4" w:space="0" w:color="auto"/>
              <w:right w:val="single" w:sz="4" w:space="0" w:color="auto"/>
            </w:tcBorders>
            <w:hideMark/>
          </w:tcPr>
          <w:p w14:paraId="03984E49" w14:textId="77777777" w:rsidR="00590BEF" w:rsidRPr="007202FA" w:rsidRDefault="000B4F21" w:rsidP="007202FA">
            <w:pPr>
              <w:jc w:val="right"/>
              <w:rPr>
                <w:sz w:val="20"/>
                <w:szCs w:val="20"/>
              </w:rPr>
            </w:pPr>
            <w:r>
              <w:rPr>
                <w:sz w:val="20"/>
                <w:szCs w:val="20"/>
                <w:lang w:val="ga"/>
              </w:rPr>
              <w:t>440</w:t>
            </w:r>
          </w:p>
        </w:tc>
        <w:tc>
          <w:tcPr>
            <w:tcW w:w="1559" w:type="dxa"/>
            <w:tcBorders>
              <w:top w:val="single" w:sz="4" w:space="0" w:color="auto"/>
              <w:left w:val="single" w:sz="4" w:space="0" w:color="auto"/>
              <w:bottom w:val="single" w:sz="4" w:space="0" w:color="auto"/>
              <w:right w:val="single" w:sz="4" w:space="0" w:color="auto"/>
            </w:tcBorders>
            <w:hideMark/>
          </w:tcPr>
          <w:p w14:paraId="050001B8" w14:textId="77777777" w:rsidR="00590BEF" w:rsidRPr="007202FA" w:rsidRDefault="000B4F21" w:rsidP="007202FA">
            <w:pPr>
              <w:jc w:val="right"/>
              <w:rPr>
                <w:sz w:val="20"/>
                <w:szCs w:val="20"/>
              </w:rPr>
            </w:pPr>
            <w:r>
              <w:rPr>
                <w:sz w:val="20"/>
                <w:szCs w:val="20"/>
                <w:lang w:val="ga"/>
              </w:rPr>
              <w:t>31</w:t>
            </w:r>
          </w:p>
        </w:tc>
        <w:tc>
          <w:tcPr>
            <w:tcW w:w="1559" w:type="dxa"/>
            <w:tcBorders>
              <w:top w:val="single" w:sz="4" w:space="0" w:color="auto"/>
              <w:left w:val="single" w:sz="4" w:space="0" w:color="auto"/>
              <w:bottom w:val="single" w:sz="4" w:space="0" w:color="auto"/>
              <w:right w:val="single" w:sz="4" w:space="0" w:color="auto"/>
            </w:tcBorders>
            <w:hideMark/>
          </w:tcPr>
          <w:p w14:paraId="6C4E8FFC" w14:textId="77777777" w:rsidR="00590BEF" w:rsidRPr="007202FA" w:rsidRDefault="000B4F21" w:rsidP="007202FA">
            <w:pPr>
              <w:jc w:val="right"/>
              <w:rPr>
                <w:sz w:val="20"/>
                <w:szCs w:val="20"/>
              </w:rPr>
            </w:pPr>
            <w:r>
              <w:rPr>
                <w:sz w:val="20"/>
                <w:szCs w:val="20"/>
                <w:lang w:val="ga"/>
              </w:rPr>
              <w:t>7.0%</w:t>
            </w:r>
          </w:p>
        </w:tc>
        <w:tc>
          <w:tcPr>
            <w:tcW w:w="1430" w:type="dxa"/>
            <w:tcBorders>
              <w:top w:val="single" w:sz="4" w:space="0" w:color="auto"/>
              <w:left w:val="single" w:sz="4" w:space="0" w:color="auto"/>
              <w:bottom w:val="single" w:sz="4" w:space="0" w:color="auto"/>
              <w:right w:val="single" w:sz="4" w:space="0" w:color="auto"/>
            </w:tcBorders>
            <w:hideMark/>
          </w:tcPr>
          <w:p w14:paraId="1CF6B3D4" w14:textId="77777777" w:rsidR="00590BEF" w:rsidRPr="007202FA" w:rsidRDefault="000B4F21" w:rsidP="007202FA">
            <w:pPr>
              <w:jc w:val="right"/>
              <w:rPr>
                <w:sz w:val="20"/>
                <w:szCs w:val="20"/>
              </w:rPr>
            </w:pPr>
            <w:r>
              <w:rPr>
                <w:rFonts w:cs="Calibri"/>
                <w:color w:val="000000"/>
                <w:sz w:val="20"/>
                <w:szCs w:val="20"/>
                <w:lang w:val="ga"/>
              </w:rPr>
              <w:t>484</w:t>
            </w:r>
          </w:p>
        </w:tc>
        <w:tc>
          <w:tcPr>
            <w:tcW w:w="1547" w:type="dxa"/>
            <w:tcBorders>
              <w:top w:val="single" w:sz="4" w:space="0" w:color="auto"/>
              <w:left w:val="single" w:sz="4" w:space="0" w:color="auto"/>
              <w:bottom w:val="single" w:sz="4" w:space="0" w:color="auto"/>
              <w:right w:val="single" w:sz="4" w:space="0" w:color="auto"/>
            </w:tcBorders>
            <w:hideMark/>
          </w:tcPr>
          <w:p w14:paraId="3F5D9A77" w14:textId="77777777" w:rsidR="00590BEF" w:rsidRPr="007202FA" w:rsidRDefault="000B4F21" w:rsidP="007202FA">
            <w:pPr>
              <w:jc w:val="right"/>
              <w:rPr>
                <w:sz w:val="20"/>
                <w:szCs w:val="20"/>
              </w:rPr>
            </w:pPr>
            <w:r>
              <w:rPr>
                <w:rFonts w:cs="Calibri"/>
                <w:color w:val="000000"/>
                <w:sz w:val="20"/>
                <w:szCs w:val="20"/>
                <w:lang w:val="ga"/>
              </w:rPr>
              <w:t>35</w:t>
            </w:r>
          </w:p>
        </w:tc>
        <w:tc>
          <w:tcPr>
            <w:tcW w:w="1429" w:type="dxa"/>
            <w:tcBorders>
              <w:top w:val="single" w:sz="4" w:space="0" w:color="auto"/>
              <w:left w:val="single" w:sz="4" w:space="0" w:color="auto"/>
              <w:bottom w:val="single" w:sz="4" w:space="0" w:color="auto"/>
              <w:right w:val="single" w:sz="4" w:space="0" w:color="auto"/>
            </w:tcBorders>
            <w:hideMark/>
          </w:tcPr>
          <w:p w14:paraId="04FBA7E4" w14:textId="77777777" w:rsidR="00590BEF" w:rsidRPr="007202FA" w:rsidRDefault="000B4F21" w:rsidP="007202FA">
            <w:pPr>
              <w:jc w:val="right"/>
              <w:rPr>
                <w:sz w:val="20"/>
                <w:szCs w:val="20"/>
              </w:rPr>
            </w:pPr>
            <w:r>
              <w:rPr>
                <w:rFonts w:cs="Calibri"/>
                <w:color w:val="000000"/>
                <w:sz w:val="20"/>
                <w:szCs w:val="20"/>
                <w:lang w:val="ga"/>
              </w:rPr>
              <w:t>7.2%</w:t>
            </w:r>
          </w:p>
        </w:tc>
      </w:tr>
      <w:tr w:rsidR="00F31303" w14:paraId="7F0659BA"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EC5F20F" w14:textId="77777777" w:rsidR="00590BEF" w:rsidRPr="007202FA" w:rsidRDefault="000B4F21" w:rsidP="007202FA">
            <w:pPr>
              <w:rPr>
                <w:sz w:val="20"/>
                <w:szCs w:val="20"/>
              </w:rPr>
            </w:pPr>
            <w:r>
              <w:rPr>
                <w:rFonts w:cs="Calibri"/>
                <w:color w:val="000000"/>
                <w:sz w:val="20"/>
                <w:szCs w:val="20"/>
                <w:lang w:val="ga"/>
              </w:rPr>
              <w:t>Comhairle Contae an Chláir</w:t>
            </w:r>
          </w:p>
        </w:tc>
        <w:tc>
          <w:tcPr>
            <w:tcW w:w="1559" w:type="dxa"/>
            <w:tcBorders>
              <w:top w:val="single" w:sz="4" w:space="0" w:color="auto"/>
              <w:left w:val="single" w:sz="4" w:space="0" w:color="auto"/>
              <w:bottom w:val="single" w:sz="4" w:space="0" w:color="auto"/>
              <w:right w:val="single" w:sz="4" w:space="0" w:color="auto"/>
            </w:tcBorders>
            <w:hideMark/>
          </w:tcPr>
          <w:p w14:paraId="4AE3F367" w14:textId="77777777" w:rsidR="00590BEF" w:rsidRPr="007202FA" w:rsidRDefault="000B4F21" w:rsidP="007202FA">
            <w:pPr>
              <w:jc w:val="right"/>
              <w:rPr>
                <w:sz w:val="20"/>
                <w:szCs w:val="20"/>
              </w:rPr>
            </w:pPr>
            <w:r>
              <w:rPr>
                <w:sz w:val="20"/>
                <w:szCs w:val="20"/>
                <w:lang w:val="ga"/>
              </w:rPr>
              <w:t>973</w:t>
            </w:r>
          </w:p>
        </w:tc>
        <w:tc>
          <w:tcPr>
            <w:tcW w:w="1559" w:type="dxa"/>
            <w:tcBorders>
              <w:top w:val="single" w:sz="4" w:space="0" w:color="auto"/>
              <w:left w:val="single" w:sz="4" w:space="0" w:color="auto"/>
              <w:bottom w:val="single" w:sz="4" w:space="0" w:color="auto"/>
              <w:right w:val="single" w:sz="4" w:space="0" w:color="auto"/>
            </w:tcBorders>
            <w:hideMark/>
          </w:tcPr>
          <w:p w14:paraId="25FD9AF9" w14:textId="77777777" w:rsidR="00590BEF" w:rsidRPr="007202FA" w:rsidRDefault="000B4F21" w:rsidP="007202FA">
            <w:pPr>
              <w:jc w:val="right"/>
              <w:rPr>
                <w:sz w:val="20"/>
                <w:szCs w:val="20"/>
              </w:rPr>
            </w:pPr>
            <w:r>
              <w:rPr>
                <w:sz w:val="20"/>
                <w:szCs w:val="20"/>
                <w:lang w:val="ga"/>
              </w:rPr>
              <w:t>59</w:t>
            </w:r>
          </w:p>
        </w:tc>
        <w:tc>
          <w:tcPr>
            <w:tcW w:w="1559" w:type="dxa"/>
            <w:tcBorders>
              <w:top w:val="single" w:sz="4" w:space="0" w:color="auto"/>
              <w:left w:val="single" w:sz="4" w:space="0" w:color="auto"/>
              <w:bottom w:val="single" w:sz="4" w:space="0" w:color="auto"/>
              <w:right w:val="single" w:sz="4" w:space="0" w:color="auto"/>
            </w:tcBorders>
            <w:hideMark/>
          </w:tcPr>
          <w:p w14:paraId="0D2F1329" w14:textId="77777777" w:rsidR="00590BEF" w:rsidRPr="007202FA" w:rsidRDefault="000B4F21" w:rsidP="007202FA">
            <w:pPr>
              <w:jc w:val="right"/>
              <w:rPr>
                <w:sz w:val="20"/>
                <w:szCs w:val="20"/>
              </w:rPr>
            </w:pPr>
            <w:r>
              <w:rPr>
                <w:sz w:val="20"/>
                <w:szCs w:val="20"/>
                <w:lang w:val="ga"/>
              </w:rPr>
              <w:t>6.1%</w:t>
            </w:r>
          </w:p>
        </w:tc>
        <w:tc>
          <w:tcPr>
            <w:tcW w:w="1430" w:type="dxa"/>
            <w:tcBorders>
              <w:top w:val="single" w:sz="4" w:space="0" w:color="auto"/>
              <w:left w:val="single" w:sz="4" w:space="0" w:color="auto"/>
              <w:bottom w:val="single" w:sz="4" w:space="0" w:color="auto"/>
              <w:right w:val="single" w:sz="4" w:space="0" w:color="auto"/>
            </w:tcBorders>
            <w:hideMark/>
          </w:tcPr>
          <w:p w14:paraId="61FEB10F" w14:textId="77777777" w:rsidR="00590BEF" w:rsidRPr="007202FA" w:rsidRDefault="000B4F21" w:rsidP="007202FA">
            <w:pPr>
              <w:jc w:val="right"/>
              <w:rPr>
                <w:sz w:val="20"/>
                <w:szCs w:val="20"/>
              </w:rPr>
            </w:pPr>
            <w:r>
              <w:rPr>
                <w:rFonts w:cs="Calibri"/>
                <w:color w:val="000000"/>
                <w:sz w:val="20"/>
                <w:szCs w:val="20"/>
                <w:lang w:val="ga"/>
              </w:rPr>
              <w:t>999</w:t>
            </w:r>
          </w:p>
        </w:tc>
        <w:tc>
          <w:tcPr>
            <w:tcW w:w="1547" w:type="dxa"/>
            <w:tcBorders>
              <w:top w:val="single" w:sz="4" w:space="0" w:color="auto"/>
              <w:left w:val="single" w:sz="4" w:space="0" w:color="auto"/>
              <w:bottom w:val="single" w:sz="4" w:space="0" w:color="auto"/>
              <w:right w:val="single" w:sz="4" w:space="0" w:color="auto"/>
            </w:tcBorders>
            <w:hideMark/>
          </w:tcPr>
          <w:p w14:paraId="02DB69E4" w14:textId="77777777" w:rsidR="00590BEF" w:rsidRPr="007202FA" w:rsidRDefault="000B4F21" w:rsidP="007202FA">
            <w:pPr>
              <w:jc w:val="right"/>
              <w:rPr>
                <w:sz w:val="20"/>
                <w:szCs w:val="20"/>
              </w:rPr>
            </w:pPr>
            <w:r>
              <w:rPr>
                <w:rFonts w:cs="Calibri"/>
                <w:color w:val="000000"/>
                <w:sz w:val="20"/>
                <w:szCs w:val="20"/>
                <w:lang w:val="ga"/>
              </w:rPr>
              <w:t>57</w:t>
            </w:r>
          </w:p>
        </w:tc>
        <w:tc>
          <w:tcPr>
            <w:tcW w:w="1429" w:type="dxa"/>
            <w:tcBorders>
              <w:top w:val="single" w:sz="4" w:space="0" w:color="auto"/>
              <w:left w:val="single" w:sz="4" w:space="0" w:color="auto"/>
              <w:bottom w:val="single" w:sz="4" w:space="0" w:color="auto"/>
              <w:right w:val="single" w:sz="4" w:space="0" w:color="auto"/>
            </w:tcBorders>
            <w:hideMark/>
          </w:tcPr>
          <w:p w14:paraId="3679F059" w14:textId="77777777" w:rsidR="00590BEF" w:rsidRPr="007202FA" w:rsidRDefault="000B4F21" w:rsidP="007202FA">
            <w:pPr>
              <w:jc w:val="right"/>
              <w:rPr>
                <w:sz w:val="20"/>
                <w:szCs w:val="20"/>
              </w:rPr>
            </w:pPr>
            <w:r>
              <w:rPr>
                <w:rFonts w:cs="Calibri"/>
                <w:color w:val="000000"/>
                <w:sz w:val="20"/>
                <w:szCs w:val="20"/>
                <w:lang w:val="ga"/>
              </w:rPr>
              <w:t>5.7%</w:t>
            </w:r>
          </w:p>
        </w:tc>
      </w:tr>
      <w:tr w:rsidR="00F31303" w14:paraId="452A4D08"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75A6D76" w14:textId="77777777" w:rsidR="00590BEF" w:rsidRPr="007202FA" w:rsidRDefault="000B4F21" w:rsidP="007202FA">
            <w:pPr>
              <w:rPr>
                <w:rFonts w:cs="Calibri"/>
                <w:color w:val="000000"/>
                <w:sz w:val="20"/>
                <w:szCs w:val="20"/>
              </w:rPr>
            </w:pPr>
            <w:r>
              <w:rPr>
                <w:rFonts w:cs="Calibri"/>
                <w:color w:val="000000"/>
                <w:sz w:val="20"/>
                <w:szCs w:val="20"/>
                <w:lang w:val="ga"/>
              </w:rPr>
              <w:t>Comhairle Cathrach Chorcaí</w:t>
            </w:r>
          </w:p>
          <w:p w14:paraId="31AD2BC8" w14:textId="77777777" w:rsidR="00BE7D53" w:rsidRPr="007202FA" w:rsidRDefault="00BE7D53" w:rsidP="007202FA">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5B757132" w14:textId="77777777" w:rsidR="00590BEF" w:rsidRPr="007202FA" w:rsidRDefault="000B4F21" w:rsidP="007202FA">
            <w:pPr>
              <w:jc w:val="right"/>
              <w:rPr>
                <w:sz w:val="20"/>
                <w:szCs w:val="20"/>
              </w:rPr>
            </w:pPr>
            <w:r>
              <w:rPr>
                <w:sz w:val="20"/>
                <w:szCs w:val="20"/>
                <w:lang w:val="ga"/>
              </w:rPr>
              <w:t>1,653</w:t>
            </w:r>
          </w:p>
        </w:tc>
        <w:tc>
          <w:tcPr>
            <w:tcW w:w="1559" w:type="dxa"/>
            <w:tcBorders>
              <w:top w:val="single" w:sz="4" w:space="0" w:color="auto"/>
              <w:left w:val="single" w:sz="4" w:space="0" w:color="auto"/>
              <w:bottom w:val="single" w:sz="4" w:space="0" w:color="auto"/>
              <w:right w:val="single" w:sz="4" w:space="0" w:color="auto"/>
            </w:tcBorders>
            <w:hideMark/>
          </w:tcPr>
          <w:p w14:paraId="43846753" w14:textId="77777777" w:rsidR="00590BEF" w:rsidRPr="007202FA" w:rsidRDefault="000B4F21" w:rsidP="007202FA">
            <w:pPr>
              <w:jc w:val="right"/>
              <w:rPr>
                <w:sz w:val="20"/>
                <w:szCs w:val="20"/>
              </w:rPr>
            </w:pPr>
            <w:r>
              <w:rPr>
                <w:sz w:val="20"/>
                <w:szCs w:val="20"/>
                <w:lang w:val="ga"/>
              </w:rPr>
              <w:t>65</w:t>
            </w:r>
          </w:p>
        </w:tc>
        <w:tc>
          <w:tcPr>
            <w:tcW w:w="1559" w:type="dxa"/>
            <w:tcBorders>
              <w:top w:val="single" w:sz="4" w:space="0" w:color="auto"/>
              <w:left w:val="single" w:sz="4" w:space="0" w:color="auto"/>
              <w:bottom w:val="single" w:sz="4" w:space="0" w:color="auto"/>
              <w:right w:val="single" w:sz="4" w:space="0" w:color="auto"/>
            </w:tcBorders>
            <w:hideMark/>
          </w:tcPr>
          <w:p w14:paraId="497CC507" w14:textId="77777777" w:rsidR="00590BEF" w:rsidRPr="007202FA" w:rsidRDefault="000B4F21" w:rsidP="007202FA">
            <w:pPr>
              <w:jc w:val="right"/>
              <w:rPr>
                <w:sz w:val="20"/>
                <w:szCs w:val="20"/>
              </w:rPr>
            </w:pPr>
            <w:r>
              <w:rPr>
                <w:sz w:val="20"/>
                <w:szCs w:val="20"/>
                <w:lang w:val="ga"/>
              </w:rPr>
              <w:t>3.9%</w:t>
            </w:r>
          </w:p>
        </w:tc>
        <w:tc>
          <w:tcPr>
            <w:tcW w:w="1430" w:type="dxa"/>
            <w:tcBorders>
              <w:top w:val="single" w:sz="4" w:space="0" w:color="auto"/>
              <w:left w:val="single" w:sz="4" w:space="0" w:color="auto"/>
              <w:bottom w:val="single" w:sz="4" w:space="0" w:color="auto"/>
              <w:right w:val="single" w:sz="4" w:space="0" w:color="auto"/>
            </w:tcBorders>
            <w:hideMark/>
          </w:tcPr>
          <w:p w14:paraId="529F6A45" w14:textId="77777777" w:rsidR="00590BEF" w:rsidRPr="007202FA" w:rsidRDefault="000B4F21" w:rsidP="007202FA">
            <w:pPr>
              <w:jc w:val="right"/>
              <w:rPr>
                <w:sz w:val="20"/>
                <w:szCs w:val="20"/>
              </w:rPr>
            </w:pPr>
            <w:r>
              <w:rPr>
                <w:rFonts w:cs="Calibri"/>
                <w:color w:val="000000"/>
                <w:sz w:val="20"/>
                <w:szCs w:val="20"/>
                <w:lang w:val="ga"/>
              </w:rPr>
              <w:t>1,712</w:t>
            </w:r>
          </w:p>
        </w:tc>
        <w:tc>
          <w:tcPr>
            <w:tcW w:w="1547" w:type="dxa"/>
            <w:tcBorders>
              <w:top w:val="single" w:sz="4" w:space="0" w:color="auto"/>
              <w:left w:val="single" w:sz="4" w:space="0" w:color="auto"/>
              <w:bottom w:val="single" w:sz="4" w:space="0" w:color="auto"/>
              <w:right w:val="single" w:sz="4" w:space="0" w:color="auto"/>
            </w:tcBorders>
            <w:hideMark/>
          </w:tcPr>
          <w:p w14:paraId="48BCB2E8" w14:textId="77777777" w:rsidR="00590BEF" w:rsidRPr="007202FA" w:rsidRDefault="000B4F21" w:rsidP="007202FA">
            <w:pPr>
              <w:jc w:val="right"/>
              <w:rPr>
                <w:sz w:val="20"/>
                <w:szCs w:val="20"/>
              </w:rPr>
            </w:pPr>
            <w:r>
              <w:rPr>
                <w:rFonts w:cs="Calibri"/>
                <w:color w:val="000000"/>
                <w:sz w:val="20"/>
                <w:szCs w:val="20"/>
                <w:lang w:val="ga"/>
              </w:rPr>
              <w:t>79</w:t>
            </w:r>
          </w:p>
        </w:tc>
        <w:tc>
          <w:tcPr>
            <w:tcW w:w="1429" w:type="dxa"/>
            <w:tcBorders>
              <w:top w:val="single" w:sz="4" w:space="0" w:color="auto"/>
              <w:left w:val="single" w:sz="4" w:space="0" w:color="auto"/>
              <w:bottom w:val="single" w:sz="4" w:space="0" w:color="auto"/>
              <w:right w:val="single" w:sz="4" w:space="0" w:color="auto"/>
            </w:tcBorders>
            <w:hideMark/>
          </w:tcPr>
          <w:p w14:paraId="0A283FF5" w14:textId="77777777" w:rsidR="00590BEF" w:rsidRPr="007202FA" w:rsidRDefault="000B4F21" w:rsidP="007202FA">
            <w:pPr>
              <w:jc w:val="right"/>
              <w:rPr>
                <w:sz w:val="20"/>
                <w:szCs w:val="20"/>
              </w:rPr>
            </w:pPr>
            <w:r>
              <w:rPr>
                <w:rFonts w:cs="Calibri"/>
                <w:color w:val="000000"/>
                <w:sz w:val="20"/>
                <w:szCs w:val="20"/>
                <w:lang w:val="ga"/>
              </w:rPr>
              <w:t>4.6%</w:t>
            </w:r>
          </w:p>
        </w:tc>
      </w:tr>
      <w:tr w:rsidR="00F31303" w14:paraId="5B1E01A4"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2D9FA23" w14:textId="77777777" w:rsidR="00590BEF" w:rsidRPr="007202FA" w:rsidRDefault="000B4F21" w:rsidP="007202FA">
            <w:pPr>
              <w:rPr>
                <w:sz w:val="20"/>
                <w:szCs w:val="20"/>
              </w:rPr>
            </w:pPr>
            <w:r>
              <w:rPr>
                <w:rFonts w:cs="Calibri"/>
                <w:color w:val="000000"/>
                <w:sz w:val="20"/>
                <w:szCs w:val="20"/>
                <w:lang w:val="ga"/>
              </w:rPr>
              <w:t>Comhairle Contae Chorcaí</w:t>
            </w:r>
          </w:p>
        </w:tc>
        <w:tc>
          <w:tcPr>
            <w:tcW w:w="1559" w:type="dxa"/>
            <w:tcBorders>
              <w:top w:val="single" w:sz="4" w:space="0" w:color="auto"/>
              <w:left w:val="single" w:sz="4" w:space="0" w:color="auto"/>
              <w:bottom w:val="single" w:sz="4" w:space="0" w:color="auto"/>
              <w:right w:val="single" w:sz="4" w:space="0" w:color="auto"/>
            </w:tcBorders>
            <w:hideMark/>
          </w:tcPr>
          <w:p w14:paraId="7F5DB61A" w14:textId="77777777" w:rsidR="00590BEF" w:rsidRPr="007202FA" w:rsidRDefault="000B4F21" w:rsidP="007202FA">
            <w:pPr>
              <w:jc w:val="right"/>
              <w:rPr>
                <w:sz w:val="20"/>
                <w:szCs w:val="20"/>
              </w:rPr>
            </w:pPr>
            <w:r>
              <w:rPr>
                <w:sz w:val="20"/>
                <w:szCs w:val="20"/>
                <w:lang w:val="ga"/>
              </w:rPr>
              <w:t>2,731</w:t>
            </w:r>
          </w:p>
        </w:tc>
        <w:tc>
          <w:tcPr>
            <w:tcW w:w="1559" w:type="dxa"/>
            <w:tcBorders>
              <w:top w:val="single" w:sz="4" w:space="0" w:color="auto"/>
              <w:left w:val="single" w:sz="4" w:space="0" w:color="auto"/>
              <w:bottom w:val="single" w:sz="4" w:space="0" w:color="auto"/>
              <w:right w:val="single" w:sz="4" w:space="0" w:color="auto"/>
            </w:tcBorders>
            <w:hideMark/>
          </w:tcPr>
          <w:p w14:paraId="491FF5CA" w14:textId="77777777" w:rsidR="00590BEF" w:rsidRPr="007202FA" w:rsidRDefault="000B4F21" w:rsidP="007202FA">
            <w:pPr>
              <w:jc w:val="right"/>
              <w:rPr>
                <w:sz w:val="20"/>
                <w:szCs w:val="20"/>
              </w:rPr>
            </w:pPr>
            <w:r>
              <w:rPr>
                <w:sz w:val="20"/>
                <w:szCs w:val="20"/>
                <w:lang w:val="ga"/>
              </w:rPr>
              <w:t>131</w:t>
            </w:r>
          </w:p>
        </w:tc>
        <w:tc>
          <w:tcPr>
            <w:tcW w:w="1559" w:type="dxa"/>
            <w:tcBorders>
              <w:top w:val="single" w:sz="4" w:space="0" w:color="auto"/>
              <w:left w:val="single" w:sz="4" w:space="0" w:color="auto"/>
              <w:bottom w:val="single" w:sz="4" w:space="0" w:color="auto"/>
              <w:right w:val="single" w:sz="4" w:space="0" w:color="auto"/>
            </w:tcBorders>
            <w:hideMark/>
          </w:tcPr>
          <w:p w14:paraId="6A2517FA" w14:textId="77777777" w:rsidR="00590BEF" w:rsidRPr="007202FA" w:rsidRDefault="000B4F21" w:rsidP="007202FA">
            <w:pPr>
              <w:jc w:val="right"/>
              <w:rPr>
                <w:sz w:val="20"/>
                <w:szCs w:val="20"/>
              </w:rPr>
            </w:pPr>
            <w:r>
              <w:rPr>
                <w:sz w:val="20"/>
                <w:szCs w:val="20"/>
                <w:lang w:val="ga"/>
              </w:rPr>
              <w:t>4.8%</w:t>
            </w:r>
          </w:p>
        </w:tc>
        <w:tc>
          <w:tcPr>
            <w:tcW w:w="1430" w:type="dxa"/>
            <w:tcBorders>
              <w:top w:val="single" w:sz="4" w:space="0" w:color="auto"/>
              <w:left w:val="single" w:sz="4" w:space="0" w:color="auto"/>
              <w:bottom w:val="single" w:sz="4" w:space="0" w:color="auto"/>
              <w:right w:val="single" w:sz="4" w:space="0" w:color="auto"/>
            </w:tcBorders>
            <w:hideMark/>
          </w:tcPr>
          <w:p w14:paraId="2C15CA9B" w14:textId="77777777" w:rsidR="00590BEF" w:rsidRPr="007202FA" w:rsidRDefault="000B4F21" w:rsidP="007202FA">
            <w:pPr>
              <w:jc w:val="right"/>
              <w:rPr>
                <w:sz w:val="20"/>
                <w:szCs w:val="20"/>
              </w:rPr>
            </w:pPr>
            <w:r>
              <w:rPr>
                <w:rFonts w:cs="Calibri"/>
                <w:color w:val="000000"/>
                <w:sz w:val="20"/>
                <w:szCs w:val="20"/>
                <w:lang w:val="ga"/>
              </w:rPr>
              <w:t>2,767</w:t>
            </w:r>
          </w:p>
        </w:tc>
        <w:tc>
          <w:tcPr>
            <w:tcW w:w="1547" w:type="dxa"/>
            <w:tcBorders>
              <w:top w:val="single" w:sz="4" w:space="0" w:color="auto"/>
              <w:left w:val="single" w:sz="4" w:space="0" w:color="auto"/>
              <w:bottom w:val="single" w:sz="4" w:space="0" w:color="auto"/>
              <w:right w:val="single" w:sz="4" w:space="0" w:color="auto"/>
            </w:tcBorders>
            <w:hideMark/>
          </w:tcPr>
          <w:p w14:paraId="5B0A6EA7" w14:textId="77777777" w:rsidR="00590BEF" w:rsidRPr="007202FA" w:rsidRDefault="000B4F21" w:rsidP="007202FA">
            <w:pPr>
              <w:jc w:val="right"/>
              <w:rPr>
                <w:sz w:val="20"/>
                <w:szCs w:val="20"/>
              </w:rPr>
            </w:pPr>
            <w:r>
              <w:rPr>
                <w:rFonts w:cs="Calibri"/>
                <w:color w:val="000000"/>
                <w:sz w:val="20"/>
                <w:szCs w:val="20"/>
                <w:lang w:val="ga"/>
              </w:rPr>
              <w:t>128</w:t>
            </w:r>
          </w:p>
        </w:tc>
        <w:tc>
          <w:tcPr>
            <w:tcW w:w="1429" w:type="dxa"/>
            <w:tcBorders>
              <w:top w:val="single" w:sz="4" w:space="0" w:color="auto"/>
              <w:left w:val="single" w:sz="4" w:space="0" w:color="auto"/>
              <w:bottom w:val="single" w:sz="4" w:space="0" w:color="auto"/>
              <w:right w:val="single" w:sz="4" w:space="0" w:color="auto"/>
            </w:tcBorders>
            <w:hideMark/>
          </w:tcPr>
          <w:p w14:paraId="3A43EE69" w14:textId="77777777" w:rsidR="00590BEF" w:rsidRPr="007202FA" w:rsidRDefault="000B4F21" w:rsidP="007202FA">
            <w:pPr>
              <w:jc w:val="right"/>
              <w:rPr>
                <w:sz w:val="20"/>
                <w:szCs w:val="20"/>
              </w:rPr>
            </w:pPr>
            <w:r>
              <w:rPr>
                <w:rFonts w:cs="Calibri"/>
                <w:color w:val="000000"/>
                <w:sz w:val="20"/>
                <w:szCs w:val="20"/>
                <w:lang w:val="ga"/>
              </w:rPr>
              <w:t>4.6%</w:t>
            </w:r>
          </w:p>
        </w:tc>
      </w:tr>
      <w:tr w:rsidR="00F31303" w14:paraId="4F10AAB3"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2931E611" w14:textId="77777777" w:rsidR="00590BEF" w:rsidRPr="005524D6" w:rsidRDefault="000B4F21" w:rsidP="007202FA">
            <w:pPr>
              <w:rPr>
                <w:sz w:val="20"/>
                <w:szCs w:val="20"/>
                <w:lang w:val="it-IT"/>
              </w:rPr>
            </w:pPr>
            <w:r>
              <w:rPr>
                <w:rFonts w:cs="Calibri"/>
                <w:color w:val="000000"/>
                <w:sz w:val="20"/>
                <w:szCs w:val="20"/>
                <w:lang w:val="ga"/>
              </w:rPr>
              <w:t>Comhairle Contae Dhún na nGall</w:t>
            </w:r>
          </w:p>
        </w:tc>
        <w:tc>
          <w:tcPr>
            <w:tcW w:w="1559" w:type="dxa"/>
            <w:tcBorders>
              <w:top w:val="single" w:sz="4" w:space="0" w:color="auto"/>
              <w:left w:val="single" w:sz="4" w:space="0" w:color="auto"/>
              <w:bottom w:val="single" w:sz="4" w:space="0" w:color="auto"/>
              <w:right w:val="single" w:sz="4" w:space="0" w:color="auto"/>
            </w:tcBorders>
            <w:hideMark/>
          </w:tcPr>
          <w:p w14:paraId="7A53ECD2" w14:textId="77777777" w:rsidR="00590BEF" w:rsidRPr="007202FA" w:rsidRDefault="000B4F21" w:rsidP="007202FA">
            <w:pPr>
              <w:jc w:val="right"/>
              <w:rPr>
                <w:sz w:val="20"/>
                <w:szCs w:val="20"/>
              </w:rPr>
            </w:pPr>
            <w:r>
              <w:rPr>
                <w:sz w:val="20"/>
                <w:szCs w:val="20"/>
                <w:lang w:val="ga"/>
              </w:rPr>
              <w:t>1,224</w:t>
            </w:r>
          </w:p>
        </w:tc>
        <w:tc>
          <w:tcPr>
            <w:tcW w:w="1559" w:type="dxa"/>
            <w:tcBorders>
              <w:top w:val="single" w:sz="4" w:space="0" w:color="auto"/>
              <w:left w:val="single" w:sz="4" w:space="0" w:color="auto"/>
              <w:bottom w:val="single" w:sz="4" w:space="0" w:color="auto"/>
              <w:right w:val="single" w:sz="4" w:space="0" w:color="auto"/>
            </w:tcBorders>
            <w:hideMark/>
          </w:tcPr>
          <w:p w14:paraId="00B11B8B" w14:textId="77777777" w:rsidR="00590BEF" w:rsidRPr="007202FA" w:rsidRDefault="000B4F21" w:rsidP="007202FA">
            <w:pPr>
              <w:jc w:val="right"/>
              <w:rPr>
                <w:sz w:val="20"/>
                <w:szCs w:val="20"/>
              </w:rPr>
            </w:pPr>
            <w:r>
              <w:rPr>
                <w:sz w:val="20"/>
                <w:szCs w:val="20"/>
                <w:lang w:val="ga"/>
              </w:rPr>
              <w:t>67</w:t>
            </w:r>
          </w:p>
        </w:tc>
        <w:tc>
          <w:tcPr>
            <w:tcW w:w="1559" w:type="dxa"/>
            <w:tcBorders>
              <w:top w:val="single" w:sz="4" w:space="0" w:color="auto"/>
              <w:left w:val="single" w:sz="4" w:space="0" w:color="auto"/>
              <w:bottom w:val="single" w:sz="4" w:space="0" w:color="auto"/>
              <w:right w:val="single" w:sz="4" w:space="0" w:color="auto"/>
            </w:tcBorders>
            <w:hideMark/>
          </w:tcPr>
          <w:p w14:paraId="257A62AA" w14:textId="77777777" w:rsidR="00590BEF" w:rsidRPr="007202FA" w:rsidRDefault="000B4F21" w:rsidP="007202FA">
            <w:pPr>
              <w:jc w:val="right"/>
              <w:rPr>
                <w:sz w:val="20"/>
                <w:szCs w:val="20"/>
              </w:rPr>
            </w:pPr>
            <w:r>
              <w:rPr>
                <w:sz w:val="20"/>
                <w:szCs w:val="20"/>
                <w:lang w:val="ga"/>
              </w:rPr>
              <w:t>5.5%</w:t>
            </w:r>
          </w:p>
        </w:tc>
        <w:tc>
          <w:tcPr>
            <w:tcW w:w="1430" w:type="dxa"/>
            <w:tcBorders>
              <w:top w:val="single" w:sz="4" w:space="0" w:color="auto"/>
              <w:left w:val="single" w:sz="4" w:space="0" w:color="auto"/>
              <w:bottom w:val="single" w:sz="4" w:space="0" w:color="auto"/>
              <w:right w:val="single" w:sz="4" w:space="0" w:color="auto"/>
            </w:tcBorders>
            <w:hideMark/>
          </w:tcPr>
          <w:p w14:paraId="6327CBF4" w14:textId="77777777" w:rsidR="00590BEF" w:rsidRPr="007202FA" w:rsidRDefault="000B4F21" w:rsidP="007202FA">
            <w:pPr>
              <w:jc w:val="right"/>
              <w:rPr>
                <w:sz w:val="20"/>
                <w:szCs w:val="20"/>
              </w:rPr>
            </w:pPr>
            <w:r>
              <w:rPr>
                <w:rFonts w:cs="Calibri"/>
                <w:color w:val="000000"/>
                <w:sz w:val="20"/>
                <w:szCs w:val="20"/>
                <w:lang w:val="ga"/>
              </w:rPr>
              <w:t>1,199</w:t>
            </w:r>
          </w:p>
        </w:tc>
        <w:tc>
          <w:tcPr>
            <w:tcW w:w="1547" w:type="dxa"/>
            <w:tcBorders>
              <w:top w:val="single" w:sz="4" w:space="0" w:color="auto"/>
              <w:left w:val="single" w:sz="4" w:space="0" w:color="auto"/>
              <w:bottom w:val="single" w:sz="4" w:space="0" w:color="auto"/>
              <w:right w:val="single" w:sz="4" w:space="0" w:color="auto"/>
            </w:tcBorders>
            <w:hideMark/>
          </w:tcPr>
          <w:p w14:paraId="08C83DD4" w14:textId="77777777" w:rsidR="00590BEF" w:rsidRPr="007202FA" w:rsidRDefault="000B4F21" w:rsidP="007202FA">
            <w:pPr>
              <w:jc w:val="right"/>
              <w:rPr>
                <w:sz w:val="20"/>
                <w:szCs w:val="20"/>
              </w:rPr>
            </w:pPr>
            <w:r>
              <w:rPr>
                <w:rFonts w:cs="Calibri"/>
                <w:color w:val="000000"/>
                <w:sz w:val="20"/>
                <w:szCs w:val="20"/>
                <w:lang w:val="ga"/>
              </w:rPr>
              <w:t>73</w:t>
            </w:r>
          </w:p>
        </w:tc>
        <w:tc>
          <w:tcPr>
            <w:tcW w:w="1429" w:type="dxa"/>
            <w:tcBorders>
              <w:top w:val="single" w:sz="4" w:space="0" w:color="auto"/>
              <w:left w:val="single" w:sz="4" w:space="0" w:color="auto"/>
              <w:bottom w:val="single" w:sz="4" w:space="0" w:color="auto"/>
              <w:right w:val="single" w:sz="4" w:space="0" w:color="auto"/>
            </w:tcBorders>
            <w:hideMark/>
          </w:tcPr>
          <w:p w14:paraId="04F89249" w14:textId="77777777" w:rsidR="00590BEF" w:rsidRPr="007202FA" w:rsidRDefault="000B4F21" w:rsidP="007202FA">
            <w:pPr>
              <w:jc w:val="right"/>
              <w:rPr>
                <w:sz w:val="20"/>
                <w:szCs w:val="20"/>
              </w:rPr>
            </w:pPr>
            <w:r>
              <w:rPr>
                <w:rFonts w:cs="Calibri"/>
                <w:color w:val="000000"/>
                <w:sz w:val="20"/>
                <w:szCs w:val="20"/>
                <w:lang w:val="ga"/>
              </w:rPr>
              <w:t>6.1%</w:t>
            </w:r>
          </w:p>
        </w:tc>
      </w:tr>
      <w:tr w:rsidR="00F31303" w14:paraId="2C6D6623"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tcPr>
          <w:p w14:paraId="4D716700" w14:textId="77777777" w:rsidR="00590BEF" w:rsidRPr="007202FA" w:rsidRDefault="000B4F21" w:rsidP="007202FA">
            <w:pPr>
              <w:rPr>
                <w:rFonts w:cs="Calibri"/>
                <w:color w:val="000000"/>
                <w:sz w:val="20"/>
                <w:szCs w:val="20"/>
              </w:rPr>
            </w:pPr>
            <w:r>
              <w:rPr>
                <w:rFonts w:cs="Calibri"/>
                <w:color w:val="000000"/>
                <w:sz w:val="20"/>
                <w:szCs w:val="20"/>
                <w:lang w:val="ga"/>
              </w:rPr>
              <w:t>Comhairle Cathrach Bhaile Átha Cliath</w:t>
            </w:r>
          </w:p>
          <w:p w14:paraId="66AEF0A5" w14:textId="23262082" w:rsidR="00590BEF" w:rsidRPr="007202FA" w:rsidRDefault="00590BEF" w:rsidP="007202FA">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6052CE32" w14:textId="77777777" w:rsidR="00590BEF" w:rsidRPr="007202FA" w:rsidRDefault="000B4F21" w:rsidP="007202FA">
            <w:pPr>
              <w:jc w:val="right"/>
              <w:rPr>
                <w:sz w:val="20"/>
                <w:szCs w:val="20"/>
              </w:rPr>
            </w:pPr>
            <w:r>
              <w:rPr>
                <w:sz w:val="20"/>
                <w:szCs w:val="20"/>
                <w:lang w:val="ga"/>
              </w:rPr>
              <w:t>6,080</w:t>
            </w:r>
          </w:p>
        </w:tc>
        <w:tc>
          <w:tcPr>
            <w:tcW w:w="1559" w:type="dxa"/>
            <w:tcBorders>
              <w:top w:val="single" w:sz="4" w:space="0" w:color="auto"/>
              <w:left w:val="single" w:sz="4" w:space="0" w:color="auto"/>
              <w:bottom w:val="single" w:sz="4" w:space="0" w:color="auto"/>
              <w:right w:val="single" w:sz="4" w:space="0" w:color="auto"/>
            </w:tcBorders>
            <w:hideMark/>
          </w:tcPr>
          <w:p w14:paraId="63BD2F5A" w14:textId="77777777" w:rsidR="00590BEF" w:rsidRPr="007202FA" w:rsidRDefault="000B4F21" w:rsidP="007202FA">
            <w:pPr>
              <w:jc w:val="right"/>
              <w:rPr>
                <w:sz w:val="20"/>
                <w:szCs w:val="20"/>
              </w:rPr>
            </w:pPr>
            <w:r>
              <w:rPr>
                <w:sz w:val="20"/>
                <w:szCs w:val="20"/>
                <w:lang w:val="ga"/>
              </w:rPr>
              <w:t>245</w:t>
            </w:r>
          </w:p>
        </w:tc>
        <w:tc>
          <w:tcPr>
            <w:tcW w:w="1559" w:type="dxa"/>
            <w:tcBorders>
              <w:top w:val="single" w:sz="4" w:space="0" w:color="auto"/>
              <w:left w:val="single" w:sz="4" w:space="0" w:color="auto"/>
              <w:bottom w:val="single" w:sz="4" w:space="0" w:color="auto"/>
              <w:right w:val="single" w:sz="4" w:space="0" w:color="auto"/>
            </w:tcBorders>
            <w:hideMark/>
          </w:tcPr>
          <w:p w14:paraId="6BCE6BB4" w14:textId="77777777" w:rsidR="00590BEF" w:rsidRPr="007202FA" w:rsidRDefault="000B4F21" w:rsidP="007202FA">
            <w:pPr>
              <w:jc w:val="right"/>
              <w:rPr>
                <w:sz w:val="20"/>
                <w:szCs w:val="20"/>
              </w:rPr>
            </w:pPr>
            <w:r>
              <w:rPr>
                <w:sz w:val="20"/>
                <w:szCs w:val="20"/>
                <w:lang w:val="ga"/>
              </w:rPr>
              <w:t>4.0%</w:t>
            </w:r>
          </w:p>
        </w:tc>
        <w:tc>
          <w:tcPr>
            <w:tcW w:w="1430" w:type="dxa"/>
            <w:tcBorders>
              <w:top w:val="single" w:sz="4" w:space="0" w:color="auto"/>
              <w:left w:val="single" w:sz="4" w:space="0" w:color="auto"/>
              <w:bottom w:val="single" w:sz="4" w:space="0" w:color="auto"/>
              <w:right w:val="single" w:sz="4" w:space="0" w:color="auto"/>
            </w:tcBorders>
            <w:hideMark/>
          </w:tcPr>
          <w:p w14:paraId="6906DAB0" w14:textId="77777777" w:rsidR="00590BEF" w:rsidRPr="007202FA" w:rsidRDefault="000B4F21" w:rsidP="007202FA">
            <w:pPr>
              <w:jc w:val="right"/>
              <w:rPr>
                <w:sz w:val="20"/>
                <w:szCs w:val="20"/>
              </w:rPr>
            </w:pPr>
            <w:r>
              <w:rPr>
                <w:rFonts w:cs="Calibri"/>
                <w:color w:val="000000"/>
                <w:sz w:val="20"/>
                <w:szCs w:val="20"/>
                <w:lang w:val="ga"/>
              </w:rPr>
              <w:t>6,157</w:t>
            </w:r>
          </w:p>
        </w:tc>
        <w:tc>
          <w:tcPr>
            <w:tcW w:w="1547" w:type="dxa"/>
            <w:tcBorders>
              <w:top w:val="single" w:sz="4" w:space="0" w:color="auto"/>
              <w:left w:val="single" w:sz="4" w:space="0" w:color="auto"/>
              <w:bottom w:val="single" w:sz="4" w:space="0" w:color="auto"/>
              <w:right w:val="single" w:sz="4" w:space="0" w:color="auto"/>
            </w:tcBorders>
            <w:hideMark/>
          </w:tcPr>
          <w:p w14:paraId="47008D58" w14:textId="77777777" w:rsidR="00590BEF" w:rsidRPr="007202FA" w:rsidRDefault="000B4F21" w:rsidP="007202FA">
            <w:pPr>
              <w:jc w:val="right"/>
              <w:rPr>
                <w:sz w:val="20"/>
                <w:szCs w:val="20"/>
              </w:rPr>
            </w:pPr>
            <w:r>
              <w:rPr>
                <w:rFonts w:cs="Calibri"/>
                <w:color w:val="000000"/>
                <w:sz w:val="20"/>
                <w:szCs w:val="20"/>
                <w:lang w:val="ga"/>
              </w:rPr>
              <w:t>250</w:t>
            </w:r>
          </w:p>
        </w:tc>
        <w:tc>
          <w:tcPr>
            <w:tcW w:w="1429" w:type="dxa"/>
            <w:tcBorders>
              <w:top w:val="single" w:sz="4" w:space="0" w:color="auto"/>
              <w:left w:val="single" w:sz="4" w:space="0" w:color="auto"/>
              <w:bottom w:val="single" w:sz="4" w:space="0" w:color="auto"/>
              <w:right w:val="single" w:sz="4" w:space="0" w:color="auto"/>
            </w:tcBorders>
            <w:hideMark/>
          </w:tcPr>
          <w:p w14:paraId="7B3B4906" w14:textId="77777777" w:rsidR="00590BEF" w:rsidRPr="007202FA" w:rsidRDefault="000B4F21" w:rsidP="007202FA">
            <w:pPr>
              <w:jc w:val="right"/>
              <w:rPr>
                <w:sz w:val="20"/>
                <w:szCs w:val="20"/>
              </w:rPr>
            </w:pPr>
            <w:r>
              <w:rPr>
                <w:rFonts w:cs="Calibri"/>
                <w:color w:val="000000"/>
                <w:sz w:val="20"/>
                <w:szCs w:val="20"/>
                <w:lang w:val="ga"/>
              </w:rPr>
              <w:t>4.1%</w:t>
            </w:r>
          </w:p>
        </w:tc>
      </w:tr>
      <w:tr w:rsidR="00F31303" w14:paraId="747A1DF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7BF42966" w14:textId="77777777" w:rsidR="00590BEF" w:rsidRPr="007202FA" w:rsidRDefault="000B4F21" w:rsidP="007202FA">
            <w:pPr>
              <w:rPr>
                <w:sz w:val="20"/>
                <w:szCs w:val="20"/>
              </w:rPr>
            </w:pPr>
            <w:r>
              <w:rPr>
                <w:rFonts w:cs="Calibri"/>
                <w:color w:val="000000"/>
                <w:sz w:val="20"/>
                <w:szCs w:val="20"/>
                <w:lang w:val="ga"/>
              </w:rPr>
              <w:t>Comhairle Contae Dhún Laoghaire-Ráth an Dúin</w:t>
            </w:r>
          </w:p>
        </w:tc>
        <w:tc>
          <w:tcPr>
            <w:tcW w:w="1559" w:type="dxa"/>
            <w:tcBorders>
              <w:top w:val="single" w:sz="4" w:space="0" w:color="auto"/>
              <w:left w:val="single" w:sz="4" w:space="0" w:color="auto"/>
              <w:bottom w:val="single" w:sz="4" w:space="0" w:color="auto"/>
              <w:right w:val="single" w:sz="4" w:space="0" w:color="auto"/>
            </w:tcBorders>
            <w:hideMark/>
          </w:tcPr>
          <w:p w14:paraId="60E52257" w14:textId="77777777" w:rsidR="00590BEF" w:rsidRPr="007202FA" w:rsidRDefault="000B4F21" w:rsidP="007202FA">
            <w:pPr>
              <w:jc w:val="right"/>
              <w:rPr>
                <w:sz w:val="20"/>
                <w:szCs w:val="20"/>
              </w:rPr>
            </w:pPr>
            <w:r>
              <w:rPr>
                <w:sz w:val="20"/>
                <w:szCs w:val="20"/>
                <w:lang w:val="ga"/>
              </w:rPr>
              <w:t>1,182</w:t>
            </w:r>
          </w:p>
        </w:tc>
        <w:tc>
          <w:tcPr>
            <w:tcW w:w="1559" w:type="dxa"/>
            <w:tcBorders>
              <w:top w:val="single" w:sz="4" w:space="0" w:color="auto"/>
              <w:left w:val="single" w:sz="4" w:space="0" w:color="auto"/>
              <w:bottom w:val="single" w:sz="4" w:space="0" w:color="auto"/>
              <w:right w:val="single" w:sz="4" w:space="0" w:color="auto"/>
            </w:tcBorders>
            <w:hideMark/>
          </w:tcPr>
          <w:p w14:paraId="51636036" w14:textId="77777777" w:rsidR="00590BEF" w:rsidRPr="007202FA" w:rsidRDefault="000B4F21" w:rsidP="007202FA">
            <w:pPr>
              <w:jc w:val="right"/>
              <w:rPr>
                <w:sz w:val="20"/>
                <w:szCs w:val="20"/>
              </w:rPr>
            </w:pPr>
            <w:r>
              <w:rPr>
                <w:sz w:val="20"/>
                <w:szCs w:val="20"/>
                <w:lang w:val="ga"/>
              </w:rPr>
              <w:t>55</w:t>
            </w:r>
          </w:p>
        </w:tc>
        <w:tc>
          <w:tcPr>
            <w:tcW w:w="1559" w:type="dxa"/>
            <w:tcBorders>
              <w:top w:val="single" w:sz="4" w:space="0" w:color="auto"/>
              <w:left w:val="single" w:sz="4" w:space="0" w:color="auto"/>
              <w:bottom w:val="single" w:sz="4" w:space="0" w:color="auto"/>
              <w:right w:val="single" w:sz="4" w:space="0" w:color="auto"/>
            </w:tcBorders>
            <w:hideMark/>
          </w:tcPr>
          <w:p w14:paraId="6C6ED414" w14:textId="77777777" w:rsidR="00590BEF" w:rsidRPr="007202FA" w:rsidRDefault="000B4F21" w:rsidP="007202FA">
            <w:pPr>
              <w:jc w:val="right"/>
              <w:rPr>
                <w:sz w:val="20"/>
                <w:szCs w:val="20"/>
              </w:rPr>
            </w:pPr>
            <w:r>
              <w:rPr>
                <w:sz w:val="20"/>
                <w:szCs w:val="20"/>
                <w:lang w:val="ga"/>
              </w:rPr>
              <w:t>4.7%</w:t>
            </w:r>
          </w:p>
        </w:tc>
        <w:tc>
          <w:tcPr>
            <w:tcW w:w="1430" w:type="dxa"/>
            <w:tcBorders>
              <w:top w:val="single" w:sz="4" w:space="0" w:color="auto"/>
              <w:left w:val="single" w:sz="4" w:space="0" w:color="auto"/>
              <w:bottom w:val="single" w:sz="4" w:space="0" w:color="auto"/>
              <w:right w:val="single" w:sz="4" w:space="0" w:color="auto"/>
            </w:tcBorders>
            <w:hideMark/>
          </w:tcPr>
          <w:p w14:paraId="72CAE2A6" w14:textId="77777777" w:rsidR="00590BEF" w:rsidRPr="007202FA" w:rsidRDefault="000B4F21" w:rsidP="007202FA">
            <w:pPr>
              <w:jc w:val="right"/>
              <w:rPr>
                <w:sz w:val="20"/>
                <w:szCs w:val="20"/>
              </w:rPr>
            </w:pPr>
            <w:r>
              <w:rPr>
                <w:rFonts w:cs="Calibri"/>
                <w:color w:val="000000"/>
                <w:sz w:val="20"/>
                <w:szCs w:val="20"/>
                <w:lang w:val="ga"/>
              </w:rPr>
              <w:t>1,253</w:t>
            </w:r>
          </w:p>
        </w:tc>
        <w:tc>
          <w:tcPr>
            <w:tcW w:w="1547" w:type="dxa"/>
            <w:tcBorders>
              <w:top w:val="single" w:sz="4" w:space="0" w:color="auto"/>
              <w:left w:val="single" w:sz="4" w:space="0" w:color="auto"/>
              <w:bottom w:val="single" w:sz="4" w:space="0" w:color="auto"/>
              <w:right w:val="single" w:sz="4" w:space="0" w:color="auto"/>
            </w:tcBorders>
            <w:hideMark/>
          </w:tcPr>
          <w:p w14:paraId="6C65DCFC" w14:textId="77777777" w:rsidR="00590BEF" w:rsidRPr="007202FA" w:rsidRDefault="000B4F21" w:rsidP="007202FA">
            <w:pPr>
              <w:jc w:val="right"/>
              <w:rPr>
                <w:sz w:val="20"/>
                <w:szCs w:val="20"/>
              </w:rPr>
            </w:pPr>
            <w:r>
              <w:rPr>
                <w:rFonts w:cs="Calibri"/>
                <w:color w:val="000000"/>
                <w:sz w:val="20"/>
                <w:szCs w:val="20"/>
                <w:lang w:val="ga"/>
              </w:rPr>
              <w:t>118</w:t>
            </w:r>
          </w:p>
        </w:tc>
        <w:tc>
          <w:tcPr>
            <w:tcW w:w="1429" w:type="dxa"/>
            <w:tcBorders>
              <w:top w:val="single" w:sz="4" w:space="0" w:color="auto"/>
              <w:left w:val="single" w:sz="4" w:space="0" w:color="auto"/>
              <w:bottom w:val="single" w:sz="4" w:space="0" w:color="auto"/>
              <w:right w:val="single" w:sz="4" w:space="0" w:color="auto"/>
            </w:tcBorders>
            <w:hideMark/>
          </w:tcPr>
          <w:p w14:paraId="1ADB91EE" w14:textId="77777777" w:rsidR="00590BEF" w:rsidRPr="007202FA" w:rsidRDefault="000B4F21" w:rsidP="007202FA">
            <w:pPr>
              <w:jc w:val="right"/>
              <w:rPr>
                <w:sz w:val="20"/>
                <w:szCs w:val="20"/>
              </w:rPr>
            </w:pPr>
            <w:r>
              <w:rPr>
                <w:rFonts w:cs="Calibri"/>
                <w:color w:val="000000"/>
                <w:sz w:val="20"/>
                <w:szCs w:val="20"/>
                <w:lang w:val="ga"/>
              </w:rPr>
              <w:t>9.4%</w:t>
            </w:r>
          </w:p>
        </w:tc>
      </w:tr>
      <w:tr w:rsidR="00F31303" w14:paraId="34EE763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BDC8A04" w14:textId="77777777" w:rsidR="00590BEF" w:rsidRPr="007202FA" w:rsidRDefault="000B4F21" w:rsidP="007202FA">
            <w:pPr>
              <w:rPr>
                <w:sz w:val="20"/>
                <w:szCs w:val="20"/>
              </w:rPr>
            </w:pPr>
            <w:r>
              <w:rPr>
                <w:rFonts w:cs="Calibri"/>
                <w:color w:val="000000"/>
                <w:sz w:val="20"/>
                <w:szCs w:val="20"/>
                <w:lang w:val="ga"/>
              </w:rPr>
              <w:t xml:space="preserve">Tionól Réigiúnach an Oirthir agus Lár Tíre </w:t>
            </w:r>
          </w:p>
        </w:tc>
        <w:tc>
          <w:tcPr>
            <w:tcW w:w="1559" w:type="dxa"/>
            <w:tcBorders>
              <w:top w:val="single" w:sz="4" w:space="0" w:color="auto"/>
              <w:left w:val="single" w:sz="4" w:space="0" w:color="auto"/>
              <w:bottom w:val="single" w:sz="4" w:space="0" w:color="auto"/>
              <w:right w:val="single" w:sz="4" w:space="0" w:color="auto"/>
            </w:tcBorders>
            <w:hideMark/>
          </w:tcPr>
          <w:p w14:paraId="26A7638B" w14:textId="77777777" w:rsidR="00590BEF" w:rsidRPr="007202FA" w:rsidRDefault="000B4F21" w:rsidP="007202FA">
            <w:pPr>
              <w:jc w:val="right"/>
              <w:rPr>
                <w:sz w:val="20"/>
                <w:szCs w:val="20"/>
              </w:rPr>
            </w:pPr>
            <w:r>
              <w:rPr>
                <w:sz w:val="20"/>
                <w:szCs w:val="20"/>
                <w:lang w:val="ga"/>
              </w:rPr>
              <w:t>21</w:t>
            </w:r>
          </w:p>
        </w:tc>
        <w:tc>
          <w:tcPr>
            <w:tcW w:w="1559" w:type="dxa"/>
            <w:tcBorders>
              <w:top w:val="single" w:sz="4" w:space="0" w:color="auto"/>
              <w:left w:val="single" w:sz="4" w:space="0" w:color="auto"/>
              <w:bottom w:val="single" w:sz="4" w:space="0" w:color="auto"/>
              <w:right w:val="single" w:sz="4" w:space="0" w:color="auto"/>
            </w:tcBorders>
            <w:hideMark/>
          </w:tcPr>
          <w:p w14:paraId="7EA285C9" w14:textId="77777777" w:rsidR="00590BEF" w:rsidRPr="007202FA" w:rsidRDefault="000B4F21" w:rsidP="007202FA">
            <w:pPr>
              <w:jc w:val="right"/>
              <w:rPr>
                <w:sz w:val="20"/>
                <w:szCs w:val="20"/>
              </w:rPr>
            </w:pPr>
            <w:r>
              <w:rPr>
                <w:sz w:val="20"/>
                <w:szCs w:val="20"/>
                <w:lang w:val="ga"/>
              </w:rPr>
              <w:t>0</w:t>
            </w:r>
          </w:p>
        </w:tc>
        <w:tc>
          <w:tcPr>
            <w:tcW w:w="1559" w:type="dxa"/>
            <w:tcBorders>
              <w:top w:val="single" w:sz="4" w:space="0" w:color="auto"/>
              <w:left w:val="single" w:sz="4" w:space="0" w:color="auto"/>
              <w:bottom w:val="single" w:sz="4" w:space="0" w:color="auto"/>
              <w:right w:val="single" w:sz="4" w:space="0" w:color="auto"/>
            </w:tcBorders>
            <w:hideMark/>
          </w:tcPr>
          <w:p w14:paraId="3BF37C5C" w14:textId="77777777" w:rsidR="00590BEF" w:rsidRPr="007202FA" w:rsidRDefault="000B4F21" w:rsidP="007202FA">
            <w:pPr>
              <w:jc w:val="right"/>
              <w:rPr>
                <w:sz w:val="20"/>
                <w:szCs w:val="20"/>
              </w:rPr>
            </w:pPr>
            <w:r>
              <w:rPr>
                <w:sz w:val="20"/>
                <w:szCs w:val="20"/>
                <w:lang w:val="ga"/>
              </w:rPr>
              <w:t>0.0%</w:t>
            </w:r>
          </w:p>
        </w:tc>
        <w:tc>
          <w:tcPr>
            <w:tcW w:w="1430" w:type="dxa"/>
            <w:tcBorders>
              <w:top w:val="single" w:sz="4" w:space="0" w:color="auto"/>
              <w:left w:val="single" w:sz="4" w:space="0" w:color="auto"/>
              <w:bottom w:val="single" w:sz="4" w:space="0" w:color="auto"/>
              <w:right w:val="single" w:sz="4" w:space="0" w:color="auto"/>
            </w:tcBorders>
            <w:hideMark/>
          </w:tcPr>
          <w:p w14:paraId="06F6B782" w14:textId="77777777" w:rsidR="00590BEF" w:rsidRPr="007202FA" w:rsidRDefault="000B4F21" w:rsidP="007202FA">
            <w:pPr>
              <w:jc w:val="right"/>
              <w:rPr>
                <w:sz w:val="20"/>
                <w:szCs w:val="20"/>
              </w:rPr>
            </w:pPr>
            <w:r>
              <w:rPr>
                <w:rFonts w:cs="Calibri"/>
                <w:color w:val="000000"/>
                <w:sz w:val="20"/>
                <w:szCs w:val="20"/>
                <w:lang w:val="ga"/>
              </w:rPr>
              <w:t>22</w:t>
            </w:r>
          </w:p>
        </w:tc>
        <w:tc>
          <w:tcPr>
            <w:tcW w:w="1547" w:type="dxa"/>
            <w:tcBorders>
              <w:top w:val="single" w:sz="4" w:space="0" w:color="auto"/>
              <w:left w:val="single" w:sz="4" w:space="0" w:color="auto"/>
              <w:bottom w:val="single" w:sz="4" w:space="0" w:color="auto"/>
              <w:right w:val="single" w:sz="4" w:space="0" w:color="auto"/>
            </w:tcBorders>
            <w:hideMark/>
          </w:tcPr>
          <w:p w14:paraId="41EAA0C9" w14:textId="77777777" w:rsidR="00590BEF" w:rsidRPr="007202FA" w:rsidRDefault="000B4F21" w:rsidP="007202FA">
            <w:pPr>
              <w:jc w:val="right"/>
              <w:rPr>
                <w:sz w:val="20"/>
                <w:szCs w:val="20"/>
              </w:rPr>
            </w:pPr>
            <w:r>
              <w:rPr>
                <w:rFonts w:cs="Calibri"/>
                <w:color w:val="000000"/>
                <w:sz w:val="20"/>
                <w:szCs w:val="20"/>
                <w:lang w:val="ga"/>
              </w:rPr>
              <w:t>0</w:t>
            </w:r>
          </w:p>
        </w:tc>
        <w:tc>
          <w:tcPr>
            <w:tcW w:w="1429" w:type="dxa"/>
            <w:tcBorders>
              <w:top w:val="single" w:sz="4" w:space="0" w:color="auto"/>
              <w:left w:val="single" w:sz="4" w:space="0" w:color="auto"/>
              <w:bottom w:val="single" w:sz="4" w:space="0" w:color="auto"/>
              <w:right w:val="single" w:sz="4" w:space="0" w:color="auto"/>
            </w:tcBorders>
            <w:hideMark/>
          </w:tcPr>
          <w:p w14:paraId="61271F73" w14:textId="77777777" w:rsidR="00590BEF" w:rsidRPr="007202FA" w:rsidRDefault="000B4F21" w:rsidP="007202FA">
            <w:pPr>
              <w:jc w:val="right"/>
              <w:rPr>
                <w:sz w:val="20"/>
                <w:szCs w:val="20"/>
              </w:rPr>
            </w:pPr>
            <w:r>
              <w:rPr>
                <w:rFonts w:cs="Calibri"/>
                <w:color w:val="000000"/>
                <w:sz w:val="20"/>
                <w:szCs w:val="20"/>
                <w:lang w:val="ga"/>
              </w:rPr>
              <w:t>0.0%</w:t>
            </w:r>
          </w:p>
        </w:tc>
      </w:tr>
      <w:tr w:rsidR="00F31303" w14:paraId="5AFA61EF"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B39E3FD" w14:textId="77777777" w:rsidR="00590BEF" w:rsidRPr="007202FA" w:rsidRDefault="000B4F21" w:rsidP="007202FA">
            <w:pPr>
              <w:rPr>
                <w:sz w:val="20"/>
                <w:szCs w:val="20"/>
              </w:rPr>
            </w:pPr>
            <w:r>
              <w:rPr>
                <w:rFonts w:cs="Calibri"/>
                <w:color w:val="000000"/>
                <w:sz w:val="20"/>
                <w:szCs w:val="20"/>
                <w:lang w:val="ga"/>
              </w:rPr>
              <w:t>Ervia/Líonraí Gáis Éireann</w:t>
            </w:r>
          </w:p>
        </w:tc>
        <w:tc>
          <w:tcPr>
            <w:tcW w:w="1559" w:type="dxa"/>
            <w:tcBorders>
              <w:top w:val="single" w:sz="4" w:space="0" w:color="auto"/>
              <w:left w:val="single" w:sz="4" w:space="0" w:color="auto"/>
              <w:bottom w:val="single" w:sz="4" w:space="0" w:color="auto"/>
              <w:right w:val="single" w:sz="4" w:space="0" w:color="auto"/>
            </w:tcBorders>
            <w:hideMark/>
          </w:tcPr>
          <w:p w14:paraId="36EC29BE" w14:textId="77777777" w:rsidR="00590BEF" w:rsidRPr="007202FA" w:rsidRDefault="000B4F21" w:rsidP="007202FA">
            <w:pPr>
              <w:jc w:val="right"/>
              <w:rPr>
                <w:sz w:val="20"/>
                <w:szCs w:val="20"/>
              </w:rPr>
            </w:pPr>
            <w:r>
              <w:rPr>
                <w:sz w:val="20"/>
                <w:szCs w:val="20"/>
                <w:lang w:val="ga"/>
              </w:rPr>
              <w:t>820</w:t>
            </w:r>
          </w:p>
        </w:tc>
        <w:tc>
          <w:tcPr>
            <w:tcW w:w="1559" w:type="dxa"/>
            <w:tcBorders>
              <w:top w:val="single" w:sz="4" w:space="0" w:color="auto"/>
              <w:left w:val="single" w:sz="4" w:space="0" w:color="auto"/>
              <w:bottom w:val="single" w:sz="4" w:space="0" w:color="auto"/>
              <w:right w:val="single" w:sz="4" w:space="0" w:color="auto"/>
            </w:tcBorders>
            <w:hideMark/>
          </w:tcPr>
          <w:p w14:paraId="1D0A26C8" w14:textId="77777777" w:rsidR="00590BEF" w:rsidRPr="007202FA" w:rsidRDefault="000B4F21" w:rsidP="007202FA">
            <w:pPr>
              <w:jc w:val="right"/>
              <w:rPr>
                <w:sz w:val="20"/>
                <w:szCs w:val="20"/>
              </w:rPr>
            </w:pPr>
            <w:r>
              <w:rPr>
                <w:sz w:val="20"/>
                <w:szCs w:val="20"/>
                <w:lang w:val="ga"/>
              </w:rPr>
              <w:t>35</w:t>
            </w:r>
          </w:p>
        </w:tc>
        <w:tc>
          <w:tcPr>
            <w:tcW w:w="1559" w:type="dxa"/>
            <w:tcBorders>
              <w:top w:val="single" w:sz="4" w:space="0" w:color="auto"/>
              <w:left w:val="single" w:sz="4" w:space="0" w:color="auto"/>
              <w:bottom w:val="single" w:sz="4" w:space="0" w:color="auto"/>
              <w:right w:val="single" w:sz="4" w:space="0" w:color="auto"/>
            </w:tcBorders>
            <w:hideMark/>
          </w:tcPr>
          <w:p w14:paraId="297E8872" w14:textId="77777777" w:rsidR="00590BEF" w:rsidRPr="007202FA" w:rsidRDefault="000B4F21" w:rsidP="007202FA">
            <w:pPr>
              <w:jc w:val="right"/>
              <w:rPr>
                <w:sz w:val="20"/>
                <w:szCs w:val="20"/>
              </w:rPr>
            </w:pPr>
            <w:r>
              <w:rPr>
                <w:sz w:val="20"/>
                <w:szCs w:val="20"/>
                <w:lang w:val="ga"/>
              </w:rPr>
              <w:t>4.3%</w:t>
            </w:r>
          </w:p>
        </w:tc>
        <w:tc>
          <w:tcPr>
            <w:tcW w:w="1430" w:type="dxa"/>
            <w:tcBorders>
              <w:top w:val="single" w:sz="4" w:space="0" w:color="auto"/>
              <w:left w:val="single" w:sz="4" w:space="0" w:color="auto"/>
              <w:bottom w:val="single" w:sz="4" w:space="0" w:color="auto"/>
              <w:right w:val="single" w:sz="4" w:space="0" w:color="auto"/>
            </w:tcBorders>
            <w:hideMark/>
          </w:tcPr>
          <w:p w14:paraId="76454352" w14:textId="77777777" w:rsidR="00590BEF" w:rsidRPr="007202FA" w:rsidRDefault="000B4F21" w:rsidP="007202FA">
            <w:pPr>
              <w:jc w:val="right"/>
              <w:rPr>
                <w:sz w:val="20"/>
                <w:szCs w:val="20"/>
              </w:rPr>
            </w:pPr>
            <w:r>
              <w:rPr>
                <w:rFonts w:cs="Calibri"/>
                <w:color w:val="000000"/>
                <w:sz w:val="20"/>
                <w:szCs w:val="20"/>
                <w:lang w:val="ga"/>
              </w:rPr>
              <w:t>863</w:t>
            </w:r>
          </w:p>
        </w:tc>
        <w:tc>
          <w:tcPr>
            <w:tcW w:w="1547" w:type="dxa"/>
            <w:tcBorders>
              <w:top w:val="single" w:sz="4" w:space="0" w:color="auto"/>
              <w:left w:val="single" w:sz="4" w:space="0" w:color="auto"/>
              <w:bottom w:val="single" w:sz="4" w:space="0" w:color="auto"/>
              <w:right w:val="single" w:sz="4" w:space="0" w:color="auto"/>
            </w:tcBorders>
            <w:hideMark/>
          </w:tcPr>
          <w:p w14:paraId="5A348CAF" w14:textId="77777777" w:rsidR="00590BEF" w:rsidRPr="007202FA" w:rsidRDefault="000B4F21" w:rsidP="007202FA">
            <w:pPr>
              <w:jc w:val="right"/>
              <w:rPr>
                <w:sz w:val="20"/>
                <w:szCs w:val="20"/>
              </w:rPr>
            </w:pPr>
            <w:r>
              <w:rPr>
                <w:rFonts w:cs="Calibri"/>
                <w:color w:val="000000"/>
                <w:sz w:val="20"/>
                <w:szCs w:val="20"/>
                <w:lang w:val="ga"/>
              </w:rPr>
              <w:t>42</w:t>
            </w:r>
          </w:p>
        </w:tc>
        <w:tc>
          <w:tcPr>
            <w:tcW w:w="1429" w:type="dxa"/>
            <w:tcBorders>
              <w:top w:val="single" w:sz="4" w:space="0" w:color="auto"/>
              <w:left w:val="single" w:sz="4" w:space="0" w:color="auto"/>
              <w:bottom w:val="single" w:sz="4" w:space="0" w:color="auto"/>
              <w:right w:val="single" w:sz="4" w:space="0" w:color="auto"/>
            </w:tcBorders>
            <w:hideMark/>
          </w:tcPr>
          <w:p w14:paraId="2D0604FE" w14:textId="77777777" w:rsidR="00590BEF" w:rsidRPr="007202FA" w:rsidRDefault="000B4F21" w:rsidP="007202FA">
            <w:pPr>
              <w:jc w:val="right"/>
              <w:rPr>
                <w:sz w:val="20"/>
                <w:szCs w:val="20"/>
              </w:rPr>
            </w:pPr>
            <w:r>
              <w:rPr>
                <w:rFonts w:cs="Calibri"/>
                <w:color w:val="000000"/>
                <w:sz w:val="20"/>
                <w:szCs w:val="20"/>
                <w:lang w:val="ga"/>
              </w:rPr>
              <w:t>4.9%</w:t>
            </w:r>
          </w:p>
        </w:tc>
      </w:tr>
      <w:tr w:rsidR="00F31303" w14:paraId="68C59E3E"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528BE99C" w14:textId="77777777" w:rsidR="00590BEF" w:rsidRPr="007202FA" w:rsidRDefault="000B4F21" w:rsidP="007202FA">
            <w:pPr>
              <w:rPr>
                <w:sz w:val="20"/>
                <w:szCs w:val="20"/>
              </w:rPr>
            </w:pPr>
            <w:r>
              <w:rPr>
                <w:rFonts w:cs="Calibri"/>
                <w:color w:val="000000"/>
                <w:sz w:val="20"/>
                <w:szCs w:val="20"/>
                <w:lang w:val="ga"/>
              </w:rPr>
              <w:t>Comhairle Contae Fhine Gall</w:t>
            </w:r>
          </w:p>
        </w:tc>
        <w:tc>
          <w:tcPr>
            <w:tcW w:w="1559" w:type="dxa"/>
            <w:tcBorders>
              <w:top w:val="single" w:sz="4" w:space="0" w:color="auto"/>
              <w:left w:val="single" w:sz="4" w:space="0" w:color="auto"/>
              <w:bottom w:val="single" w:sz="4" w:space="0" w:color="auto"/>
              <w:right w:val="single" w:sz="4" w:space="0" w:color="auto"/>
            </w:tcBorders>
            <w:hideMark/>
          </w:tcPr>
          <w:p w14:paraId="5C8DF311" w14:textId="77777777" w:rsidR="00590BEF" w:rsidRPr="007202FA" w:rsidRDefault="000B4F21" w:rsidP="007202FA">
            <w:pPr>
              <w:jc w:val="right"/>
              <w:rPr>
                <w:sz w:val="20"/>
                <w:szCs w:val="20"/>
              </w:rPr>
            </w:pPr>
            <w:r>
              <w:rPr>
                <w:sz w:val="20"/>
                <w:szCs w:val="20"/>
                <w:lang w:val="ga"/>
              </w:rPr>
              <w:t>1,639</w:t>
            </w:r>
          </w:p>
        </w:tc>
        <w:tc>
          <w:tcPr>
            <w:tcW w:w="1559" w:type="dxa"/>
            <w:tcBorders>
              <w:top w:val="single" w:sz="4" w:space="0" w:color="auto"/>
              <w:left w:val="single" w:sz="4" w:space="0" w:color="auto"/>
              <w:bottom w:val="single" w:sz="4" w:space="0" w:color="auto"/>
              <w:right w:val="single" w:sz="4" w:space="0" w:color="auto"/>
            </w:tcBorders>
            <w:hideMark/>
          </w:tcPr>
          <w:p w14:paraId="4CB2B482" w14:textId="77777777" w:rsidR="00590BEF" w:rsidRPr="007202FA" w:rsidRDefault="000B4F21" w:rsidP="007202FA">
            <w:pPr>
              <w:jc w:val="right"/>
              <w:rPr>
                <w:sz w:val="20"/>
                <w:szCs w:val="20"/>
              </w:rPr>
            </w:pPr>
            <w:r>
              <w:rPr>
                <w:sz w:val="20"/>
                <w:szCs w:val="20"/>
                <w:lang w:val="ga"/>
              </w:rPr>
              <w:t>74</w:t>
            </w:r>
          </w:p>
        </w:tc>
        <w:tc>
          <w:tcPr>
            <w:tcW w:w="1559" w:type="dxa"/>
            <w:tcBorders>
              <w:top w:val="single" w:sz="4" w:space="0" w:color="auto"/>
              <w:left w:val="single" w:sz="4" w:space="0" w:color="auto"/>
              <w:bottom w:val="single" w:sz="4" w:space="0" w:color="auto"/>
              <w:right w:val="single" w:sz="4" w:space="0" w:color="auto"/>
            </w:tcBorders>
            <w:hideMark/>
          </w:tcPr>
          <w:p w14:paraId="7EC3B730" w14:textId="77777777" w:rsidR="00590BEF" w:rsidRPr="007202FA" w:rsidRDefault="000B4F21" w:rsidP="007202FA">
            <w:pPr>
              <w:jc w:val="right"/>
              <w:rPr>
                <w:sz w:val="20"/>
                <w:szCs w:val="20"/>
              </w:rPr>
            </w:pPr>
            <w:r>
              <w:rPr>
                <w:sz w:val="20"/>
                <w:szCs w:val="20"/>
                <w:lang w:val="ga"/>
              </w:rPr>
              <w:t>4.5%</w:t>
            </w:r>
          </w:p>
        </w:tc>
        <w:tc>
          <w:tcPr>
            <w:tcW w:w="1430" w:type="dxa"/>
            <w:tcBorders>
              <w:top w:val="single" w:sz="4" w:space="0" w:color="auto"/>
              <w:left w:val="single" w:sz="4" w:space="0" w:color="auto"/>
              <w:bottom w:val="single" w:sz="4" w:space="0" w:color="auto"/>
              <w:right w:val="single" w:sz="4" w:space="0" w:color="auto"/>
            </w:tcBorders>
            <w:hideMark/>
          </w:tcPr>
          <w:p w14:paraId="3557B615" w14:textId="77777777" w:rsidR="00590BEF" w:rsidRPr="007202FA" w:rsidRDefault="000B4F21" w:rsidP="007202FA">
            <w:pPr>
              <w:jc w:val="right"/>
              <w:rPr>
                <w:sz w:val="20"/>
                <w:szCs w:val="20"/>
              </w:rPr>
            </w:pPr>
            <w:r>
              <w:rPr>
                <w:rFonts w:cs="Calibri"/>
                <w:color w:val="000000"/>
                <w:sz w:val="20"/>
                <w:szCs w:val="20"/>
                <w:lang w:val="ga"/>
              </w:rPr>
              <w:t>1,628</w:t>
            </w:r>
          </w:p>
        </w:tc>
        <w:tc>
          <w:tcPr>
            <w:tcW w:w="1547" w:type="dxa"/>
            <w:tcBorders>
              <w:top w:val="single" w:sz="4" w:space="0" w:color="auto"/>
              <w:left w:val="single" w:sz="4" w:space="0" w:color="auto"/>
              <w:bottom w:val="single" w:sz="4" w:space="0" w:color="auto"/>
              <w:right w:val="single" w:sz="4" w:space="0" w:color="auto"/>
            </w:tcBorders>
            <w:hideMark/>
          </w:tcPr>
          <w:p w14:paraId="00F11109" w14:textId="77777777" w:rsidR="00590BEF" w:rsidRPr="007202FA" w:rsidRDefault="000B4F21" w:rsidP="007202FA">
            <w:pPr>
              <w:jc w:val="right"/>
              <w:rPr>
                <w:sz w:val="20"/>
                <w:szCs w:val="20"/>
              </w:rPr>
            </w:pPr>
            <w:r>
              <w:rPr>
                <w:rFonts w:cs="Calibri"/>
                <w:color w:val="000000"/>
                <w:sz w:val="20"/>
                <w:szCs w:val="20"/>
                <w:lang w:val="ga"/>
              </w:rPr>
              <w:t>77</w:t>
            </w:r>
          </w:p>
        </w:tc>
        <w:tc>
          <w:tcPr>
            <w:tcW w:w="1429" w:type="dxa"/>
            <w:tcBorders>
              <w:top w:val="single" w:sz="4" w:space="0" w:color="auto"/>
              <w:left w:val="single" w:sz="4" w:space="0" w:color="auto"/>
              <w:bottom w:val="single" w:sz="4" w:space="0" w:color="auto"/>
              <w:right w:val="single" w:sz="4" w:space="0" w:color="auto"/>
            </w:tcBorders>
            <w:hideMark/>
          </w:tcPr>
          <w:p w14:paraId="3B272BBC" w14:textId="77777777" w:rsidR="00590BEF" w:rsidRPr="007202FA" w:rsidRDefault="000B4F21" w:rsidP="007202FA">
            <w:pPr>
              <w:jc w:val="right"/>
              <w:rPr>
                <w:sz w:val="20"/>
                <w:szCs w:val="20"/>
              </w:rPr>
            </w:pPr>
            <w:r>
              <w:rPr>
                <w:rFonts w:cs="Calibri"/>
                <w:color w:val="000000"/>
                <w:sz w:val="20"/>
                <w:szCs w:val="20"/>
                <w:lang w:val="ga"/>
              </w:rPr>
              <w:t>4.7%</w:t>
            </w:r>
          </w:p>
        </w:tc>
      </w:tr>
      <w:tr w:rsidR="00F31303" w14:paraId="4F757231"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05498C1" w14:textId="77777777" w:rsidR="00590BEF" w:rsidRPr="007202FA" w:rsidRDefault="000B4F21" w:rsidP="007202FA">
            <w:pPr>
              <w:rPr>
                <w:sz w:val="20"/>
                <w:szCs w:val="20"/>
              </w:rPr>
            </w:pPr>
            <w:r>
              <w:rPr>
                <w:rFonts w:cs="Calibri"/>
                <w:color w:val="000000"/>
                <w:sz w:val="20"/>
                <w:szCs w:val="20"/>
                <w:lang w:val="ga"/>
              </w:rPr>
              <w:t>Comhairle Cathrach na Gaillimhe</w:t>
            </w:r>
          </w:p>
        </w:tc>
        <w:tc>
          <w:tcPr>
            <w:tcW w:w="1559" w:type="dxa"/>
            <w:tcBorders>
              <w:top w:val="single" w:sz="4" w:space="0" w:color="auto"/>
              <w:left w:val="single" w:sz="4" w:space="0" w:color="auto"/>
              <w:bottom w:val="single" w:sz="4" w:space="0" w:color="auto"/>
              <w:right w:val="single" w:sz="4" w:space="0" w:color="auto"/>
            </w:tcBorders>
            <w:hideMark/>
          </w:tcPr>
          <w:p w14:paraId="4874CAA0" w14:textId="77777777" w:rsidR="00590BEF" w:rsidRPr="007202FA" w:rsidRDefault="000B4F21" w:rsidP="007202FA">
            <w:pPr>
              <w:jc w:val="right"/>
              <w:rPr>
                <w:sz w:val="20"/>
                <w:szCs w:val="20"/>
              </w:rPr>
            </w:pPr>
            <w:r>
              <w:rPr>
                <w:sz w:val="20"/>
                <w:szCs w:val="20"/>
                <w:lang w:val="ga"/>
              </w:rPr>
              <w:t>602</w:t>
            </w:r>
          </w:p>
        </w:tc>
        <w:tc>
          <w:tcPr>
            <w:tcW w:w="1559" w:type="dxa"/>
            <w:tcBorders>
              <w:top w:val="single" w:sz="4" w:space="0" w:color="auto"/>
              <w:left w:val="single" w:sz="4" w:space="0" w:color="auto"/>
              <w:bottom w:val="single" w:sz="4" w:space="0" w:color="auto"/>
              <w:right w:val="single" w:sz="4" w:space="0" w:color="auto"/>
            </w:tcBorders>
            <w:hideMark/>
          </w:tcPr>
          <w:p w14:paraId="438E43E7" w14:textId="77777777" w:rsidR="00590BEF" w:rsidRPr="007202FA" w:rsidRDefault="000B4F21" w:rsidP="007202FA">
            <w:pPr>
              <w:jc w:val="right"/>
              <w:rPr>
                <w:sz w:val="20"/>
                <w:szCs w:val="20"/>
              </w:rPr>
            </w:pPr>
            <w:r>
              <w:rPr>
                <w:sz w:val="20"/>
                <w:szCs w:val="20"/>
                <w:lang w:val="ga"/>
              </w:rPr>
              <w:t>20</w:t>
            </w:r>
          </w:p>
        </w:tc>
        <w:tc>
          <w:tcPr>
            <w:tcW w:w="1559" w:type="dxa"/>
            <w:tcBorders>
              <w:top w:val="single" w:sz="4" w:space="0" w:color="auto"/>
              <w:left w:val="single" w:sz="4" w:space="0" w:color="auto"/>
              <w:bottom w:val="single" w:sz="4" w:space="0" w:color="auto"/>
              <w:right w:val="single" w:sz="4" w:space="0" w:color="auto"/>
            </w:tcBorders>
            <w:hideMark/>
          </w:tcPr>
          <w:p w14:paraId="43CFCCBC" w14:textId="77777777" w:rsidR="00590BEF" w:rsidRPr="007202FA" w:rsidRDefault="000B4F21" w:rsidP="007202FA">
            <w:pPr>
              <w:jc w:val="right"/>
              <w:rPr>
                <w:sz w:val="20"/>
                <w:szCs w:val="20"/>
              </w:rPr>
            </w:pPr>
            <w:r>
              <w:rPr>
                <w:sz w:val="20"/>
                <w:szCs w:val="20"/>
                <w:lang w:val="ga"/>
              </w:rPr>
              <w:t>3.3%</w:t>
            </w:r>
          </w:p>
        </w:tc>
        <w:tc>
          <w:tcPr>
            <w:tcW w:w="1430" w:type="dxa"/>
            <w:tcBorders>
              <w:top w:val="single" w:sz="4" w:space="0" w:color="auto"/>
              <w:left w:val="single" w:sz="4" w:space="0" w:color="auto"/>
              <w:bottom w:val="single" w:sz="4" w:space="0" w:color="auto"/>
              <w:right w:val="single" w:sz="4" w:space="0" w:color="auto"/>
            </w:tcBorders>
            <w:hideMark/>
          </w:tcPr>
          <w:p w14:paraId="15EE1DA5" w14:textId="77777777" w:rsidR="00590BEF" w:rsidRPr="007202FA" w:rsidRDefault="000B4F21" w:rsidP="007202FA">
            <w:pPr>
              <w:jc w:val="right"/>
              <w:rPr>
                <w:sz w:val="20"/>
                <w:szCs w:val="20"/>
              </w:rPr>
            </w:pPr>
            <w:r>
              <w:rPr>
                <w:rFonts w:cs="Calibri"/>
                <w:color w:val="000000"/>
                <w:sz w:val="20"/>
                <w:szCs w:val="20"/>
                <w:lang w:val="ga"/>
              </w:rPr>
              <w:t>621</w:t>
            </w:r>
          </w:p>
        </w:tc>
        <w:tc>
          <w:tcPr>
            <w:tcW w:w="1547" w:type="dxa"/>
            <w:tcBorders>
              <w:top w:val="single" w:sz="4" w:space="0" w:color="auto"/>
              <w:left w:val="single" w:sz="4" w:space="0" w:color="auto"/>
              <w:bottom w:val="single" w:sz="4" w:space="0" w:color="auto"/>
              <w:right w:val="single" w:sz="4" w:space="0" w:color="auto"/>
            </w:tcBorders>
            <w:hideMark/>
          </w:tcPr>
          <w:p w14:paraId="6AF3F225" w14:textId="77777777" w:rsidR="00590BEF" w:rsidRPr="007202FA" w:rsidRDefault="000B4F21" w:rsidP="007202FA">
            <w:pPr>
              <w:jc w:val="right"/>
              <w:rPr>
                <w:sz w:val="20"/>
                <w:szCs w:val="20"/>
              </w:rPr>
            </w:pPr>
            <w:r>
              <w:rPr>
                <w:rFonts w:cs="Calibri"/>
                <w:color w:val="000000"/>
                <w:sz w:val="20"/>
                <w:szCs w:val="20"/>
                <w:lang w:val="ga"/>
              </w:rPr>
              <w:t>25</w:t>
            </w:r>
          </w:p>
        </w:tc>
        <w:tc>
          <w:tcPr>
            <w:tcW w:w="1429" w:type="dxa"/>
            <w:tcBorders>
              <w:top w:val="single" w:sz="4" w:space="0" w:color="auto"/>
              <w:left w:val="single" w:sz="4" w:space="0" w:color="auto"/>
              <w:bottom w:val="single" w:sz="4" w:space="0" w:color="auto"/>
              <w:right w:val="single" w:sz="4" w:space="0" w:color="auto"/>
            </w:tcBorders>
            <w:hideMark/>
          </w:tcPr>
          <w:p w14:paraId="2B9D5FEB" w14:textId="77777777" w:rsidR="00590BEF" w:rsidRPr="007202FA" w:rsidRDefault="000B4F21" w:rsidP="007202FA">
            <w:pPr>
              <w:jc w:val="right"/>
              <w:rPr>
                <w:sz w:val="20"/>
                <w:szCs w:val="20"/>
              </w:rPr>
            </w:pPr>
            <w:r>
              <w:rPr>
                <w:rFonts w:cs="Calibri"/>
                <w:color w:val="000000"/>
                <w:sz w:val="20"/>
                <w:szCs w:val="20"/>
                <w:lang w:val="ga"/>
              </w:rPr>
              <w:t>4.0%</w:t>
            </w:r>
          </w:p>
        </w:tc>
      </w:tr>
      <w:tr w:rsidR="00F31303" w14:paraId="7811022B"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7AAA800" w14:textId="77777777" w:rsidR="00590BEF" w:rsidRPr="007202FA" w:rsidRDefault="000B4F21" w:rsidP="007202FA">
            <w:pPr>
              <w:rPr>
                <w:b/>
                <w:sz w:val="20"/>
                <w:szCs w:val="20"/>
              </w:rPr>
            </w:pPr>
            <w:r>
              <w:rPr>
                <w:rFonts w:cs="Calibri"/>
                <w:color w:val="000000"/>
                <w:sz w:val="20"/>
                <w:szCs w:val="20"/>
                <w:lang w:val="ga"/>
              </w:rPr>
              <w:t>Comhairle Contae na Gaillimhe</w:t>
            </w:r>
          </w:p>
        </w:tc>
        <w:tc>
          <w:tcPr>
            <w:tcW w:w="1559" w:type="dxa"/>
            <w:tcBorders>
              <w:top w:val="single" w:sz="4" w:space="0" w:color="auto"/>
              <w:left w:val="single" w:sz="4" w:space="0" w:color="auto"/>
              <w:bottom w:val="single" w:sz="4" w:space="0" w:color="auto"/>
              <w:right w:val="single" w:sz="4" w:space="0" w:color="auto"/>
            </w:tcBorders>
            <w:hideMark/>
          </w:tcPr>
          <w:p w14:paraId="18FBFEEA"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875</w:t>
            </w:r>
          </w:p>
        </w:tc>
        <w:tc>
          <w:tcPr>
            <w:tcW w:w="1559" w:type="dxa"/>
            <w:tcBorders>
              <w:top w:val="single" w:sz="4" w:space="0" w:color="auto"/>
              <w:left w:val="single" w:sz="4" w:space="0" w:color="auto"/>
              <w:bottom w:val="single" w:sz="4" w:space="0" w:color="auto"/>
              <w:right w:val="single" w:sz="4" w:space="0" w:color="auto"/>
            </w:tcBorders>
            <w:hideMark/>
          </w:tcPr>
          <w:p w14:paraId="166F149A"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30</w:t>
            </w:r>
          </w:p>
        </w:tc>
        <w:tc>
          <w:tcPr>
            <w:tcW w:w="1559" w:type="dxa"/>
            <w:tcBorders>
              <w:top w:val="single" w:sz="4" w:space="0" w:color="auto"/>
              <w:left w:val="single" w:sz="4" w:space="0" w:color="auto"/>
              <w:bottom w:val="single" w:sz="4" w:space="0" w:color="auto"/>
              <w:right w:val="single" w:sz="4" w:space="0" w:color="auto"/>
            </w:tcBorders>
            <w:hideMark/>
          </w:tcPr>
          <w:p w14:paraId="3E761743"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kern w:val="2"/>
                <w:sz w:val="20"/>
                <w:szCs w:val="20"/>
                <w:lang w:val="ga"/>
                <w14:ligatures w14:val="standardContextual"/>
              </w:rPr>
              <w:t>3.4%</w:t>
            </w:r>
          </w:p>
        </w:tc>
        <w:tc>
          <w:tcPr>
            <w:tcW w:w="1430" w:type="dxa"/>
            <w:tcBorders>
              <w:top w:val="single" w:sz="4" w:space="0" w:color="auto"/>
              <w:left w:val="single" w:sz="4" w:space="0" w:color="auto"/>
              <w:bottom w:val="single" w:sz="4" w:space="0" w:color="auto"/>
              <w:right w:val="single" w:sz="4" w:space="0" w:color="auto"/>
            </w:tcBorders>
            <w:hideMark/>
          </w:tcPr>
          <w:p w14:paraId="53672B79" w14:textId="77777777" w:rsidR="00590BEF" w:rsidRPr="007202FA" w:rsidRDefault="000B4F21" w:rsidP="007202FA">
            <w:pPr>
              <w:jc w:val="right"/>
              <w:rPr>
                <w:sz w:val="20"/>
                <w:szCs w:val="20"/>
              </w:rPr>
            </w:pPr>
            <w:r>
              <w:rPr>
                <w:rFonts w:cs="Calibri"/>
                <w:color w:val="000000"/>
                <w:sz w:val="20"/>
                <w:szCs w:val="20"/>
                <w:lang w:val="ga"/>
              </w:rPr>
              <w:t>893</w:t>
            </w:r>
          </w:p>
        </w:tc>
        <w:tc>
          <w:tcPr>
            <w:tcW w:w="1547" w:type="dxa"/>
            <w:tcBorders>
              <w:top w:val="single" w:sz="4" w:space="0" w:color="auto"/>
              <w:left w:val="single" w:sz="4" w:space="0" w:color="auto"/>
              <w:bottom w:val="single" w:sz="4" w:space="0" w:color="auto"/>
              <w:right w:val="single" w:sz="4" w:space="0" w:color="auto"/>
            </w:tcBorders>
            <w:hideMark/>
          </w:tcPr>
          <w:p w14:paraId="37FB9B65" w14:textId="77777777" w:rsidR="00590BEF" w:rsidRPr="007202FA" w:rsidRDefault="000B4F21" w:rsidP="007202FA">
            <w:pPr>
              <w:jc w:val="right"/>
              <w:rPr>
                <w:sz w:val="20"/>
                <w:szCs w:val="20"/>
              </w:rPr>
            </w:pPr>
            <w:r>
              <w:rPr>
                <w:rFonts w:cs="Calibri"/>
                <w:color w:val="000000"/>
                <w:sz w:val="20"/>
                <w:szCs w:val="20"/>
                <w:lang w:val="ga"/>
              </w:rPr>
              <w:t>24</w:t>
            </w:r>
          </w:p>
        </w:tc>
        <w:tc>
          <w:tcPr>
            <w:tcW w:w="1429" w:type="dxa"/>
            <w:tcBorders>
              <w:top w:val="single" w:sz="4" w:space="0" w:color="auto"/>
              <w:left w:val="single" w:sz="4" w:space="0" w:color="auto"/>
              <w:bottom w:val="single" w:sz="4" w:space="0" w:color="auto"/>
              <w:right w:val="single" w:sz="4" w:space="0" w:color="auto"/>
            </w:tcBorders>
            <w:hideMark/>
          </w:tcPr>
          <w:p w14:paraId="4A8554BF" w14:textId="77777777" w:rsidR="00590BEF" w:rsidRPr="007202FA" w:rsidRDefault="000B4F21" w:rsidP="007202FA">
            <w:pPr>
              <w:jc w:val="right"/>
              <w:rPr>
                <w:sz w:val="20"/>
                <w:szCs w:val="20"/>
              </w:rPr>
            </w:pPr>
            <w:r>
              <w:rPr>
                <w:rFonts w:cs="Calibri"/>
                <w:color w:val="000000"/>
                <w:sz w:val="20"/>
                <w:szCs w:val="20"/>
                <w:lang w:val="ga"/>
              </w:rPr>
              <w:t>2.7%</w:t>
            </w:r>
          </w:p>
        </w:tc>
      </w:tr>
      <w:tr w:rsidR="00F31303" w14:paraId="1D804006"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7219B0E5" w14:textId="77777777" w:rsidR="00590BEF" w:rsidRPr="007202FA" w:rsidRDefault="000B4F21" w:rsidP="007202FA">
            <w:pPr>
              <w:rPr>
                <w:rFonts w:cs="Calibri"/>
                <w:color w:val="000000"/>
                <w:sz w:val="20"/>
                <w:szCs w:val="20"/>
              </w:rPr>
            </w:pPr>
            <w:r>
              <w:rPr>
                <w:rFonts w:cs="Calibri"/>
                <w:color w:val="000000"/>
                <w:sz w:val="20"/>
                <w:szCs w:val="20"/>
                <w:lang w:val="ga"/>
              </w:rPr>
              <w:t>An Chomhairle Oidhreachta</w:t>
            </w:r>
          </w:p>
          <w:p w14:paraId="3F8D2335" w14:textId="77777777" w:rsidR="005F5C07" w:rsidRPr="007202FA" w:rsidRDefault="005F5C07" w:rsidP="007202FA">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248C7E33" w14:textId="77777777" w:rsidR="00590BEF" w:rsidRPr="007202FA" w:rsidRDefault="000B4F21" w:rsidP="007202FA">
            <w:pPr>
              <w:jc w:val="right"/>
              <w:rPr>
                <w:sz w:val="20"/>
                <w:szCs w:val="20"/>
              </w:rPr>
            </w:pPr>
            <w:r>
              <w:rPr>
                <w:sz w:val="20"/>
                <w:szCs w:val="20"/>
                <w:lang w:val="ga"/>
              </w:rPr>
              <w:t>25</w:t>
            </w:r>
          </w:p>
        </w:tc>
        <w:tc>
          <w:tcPr>
            <w:tcW w:w="1559" w:type="dxa"/>
            <w:tcBorders>
              <w:top w:val="single" w:sz="4" w:space="0" w:color="auto"/>
              <w:left w:val="single" w:sz="4" w:space="0" w:color="auto"/>
              <w:bottom w:val="single" w:sz="4" w:space="0" w:color="auto"/>
              <w:right w:val="single" w:sz="4" w:space="0" w:color="auto"/>
            </w:tcBorders>
            <w:hideMark/>
          </w:tcPr>
          <w:p w14:paraId="3CD22B1E" w14:textId="77777777" w:rsidR="00590BEF" w:rsidRPr="007202FA" w:rsidRDefault="000B4F21" w:rsidP="007202FA">
            <w:pPr>
              <w:jc w:val="right"/>
              <w:rPr>
                <w:sz w:val="20"/>
                <w:szCs w:val="20"/>
              </w:rPr>
            </w:pPr>
            <w:r>
              <w:rPr>
                <w:sz w:val="20"/>
                <w:szCs w:val="20"/>
                <w:lang w:val="ga"/>
              </w:rPr>
              <w:t>2</w:t>
            </w:r>
          </w:p>
        </w:tc>
        <w:tc>
          <w:tcPr>
            <w:tcW w:w="1559" w:type="dxa"/>
            <w:tcBorders>
              <w:top w:val="single" w:sz="4" w:space="0" w:color="auto"/>
              <w:left w:val="single" w:sz="4" w:space="0" w:color="auto"/>
              <w:bottom w:val="single" w:sz="4" w:space="0" w:color="auto"/>
              <w:right w:val="single" w:sz="4" w:space="0" w:color="auto"/>
            </w:tcBorders>
            <w:hideMark/>
          </w:tcPr>
          <w:p w14:paraId="65CCE767" w14:textId="77777777" w:rsidR="00590BEF" w:rsidRPr="007202FA" w:rsidRDefault="000B4F21" w:rsidP="007202FA">
            <w:pPr>
              <w:jc w:val="right"/>
              <w:rPr>
                <w:sz w:val="20"/>
                <w:szCs w:val="20"/>
              </w:rPr>
            </w:pPr>
            <w:r>
              <w:rPr>
                <w:sz w:val="20"/>
                <w:szCs w:val="20"/>
                <w:lang w:val="ga"/>
              </w:rPr>
              <w:t>8.0%</w:t>
            </w:r>
          </w:p>
        </w:tc>
        <w:tc>
          <w:tcPr>
            <w:tcW w:w="1430" w:type="dxa"/>
            <w:tcBorders>
              <w:top w:val="single" w:sz="4" w:space="0" w:color="auto"/>
              <w:left w:val="single" w:sz="4" w:space="0" w:color="auto"/>
              <w:bottom w:val="single" w:sz="4" w:space="0" w:color="auto"/>
              <w:right w:val="single" w:sz="4" w:space="0" w:color="auto"/>
            </w:tcBorders>
            <w:hideMark/>
          </w:tcPr>
          <w:p w14:paraId="00D63B87" w14:textId="77777777" w:rsidR="00590BEF" w:rsidRPr="007202FA" w:rsidRDefault="000B4F21" w:rsidP="007202FA">
            <w:pPr>
              <w:jc w:val="right"/>
              <w:rPr>
                <w:sz w:val="20"/>
                <w:szCs w:val="20"/>
              </w:rPr>
            </w:pPr>
            <w:r>
              <w:rPr>
                <w:rFonts w:cs="Calibri"/>
                <w:color w:val="000000"/>
                <w:sz w:val="20"/>
                <w:szCs w:val="20"/>
                <w:lang w:val="ga"/>
              </w:rPr>
              <w:t>25</w:t>
            </w:r>
          </w:p>
        </w:tc>
        <w:tc>
          <w:tcPr>
            <w:tcW w:w="1547" w:type="dxa"/>
            <w:tcBorders>
              <w:top w:val="single" w:sz="4" w:space="0" w:color="auto"/>
              <w:left w:val="single" w:sz="4" w:space="0" w:color="auto"/>
              <w:bottom w:val="single" w:sz="4" w:space="0" w:color="auto"/>
              <w:right w:val="single" w:sz="4" w:space="0" w:color="auto"/>
            </w:tcBorders>
            <w:hideMark/>
          </w:tcPr>
          <w:p w14:paraId="35B66D1B" w14:textId="77777777" w:rsidR="00590BEF" w:rsidRPr="007202FA" w:rsidRDefault="000B4F21" w:rsidP="007202FA">
            <w:pPr>
              <w:jc w:val="right"/>
              <w:rPr>
                <w:sz w:val="20"/>
                <w:szCs w:val="20"/>
              </w:rPr>
            </w:pPr>
            <w:r>
              <w:rPr>
                <w:rFonts w:cs="Calibri"/>
                <w:color w:val="000000"/>
                <w:sz w:val="20"/>
                <w:szCs w:val="20"/>
                <w:lang w:val="ga"/>
              </w:rPr>
              <w:t>3</w:t>
            </w:r>
          </w:p>
        </w:tc>
        <w:tc>
          <w:tcPr>
            <w:tcW w:w="1429" w:type="dxa"/>
            <w:tcBorders>
              <w:top w:val="single" w:sz="4" w:space="0" w:color="auto"/>
              <w:left w:val="single" w:sz="4" w:space="0" w:color="auto"/>
              <w:bottom w:val="single" w:sz="4" w:space="0" w:color="auto"/>
              <w:right w:val="single" w:sz="4" w:space="0" w:color="auto"/>
            </w:tcBorders>
            <w:hideMark/>
          </w:tcPr>
          <w:p w14:paraId="32846E17" w14:textId="77777777" w:rsidR="00590BEF" w:rsidRPr="007202FA" w:rsidRDefault="000B4F21" w:rsidP="007202FA">
            <w:pPr>
              <w:jc w:val="right"/>
              <w:rPr>
                <w:sz w:val="20"/>
                <w:szCs w:val="20"/>
              </w:rPr>
            </w:pPr>
            <w:r>
              <w:rPr>
                <w:rFonts w:cs="Calibri"/>
                <w:color w:val="000000"/>
                <w:sz w:val="20"/>
                <w:szCs w:val="20"/>
                <w:lang w:val="ga"/>
              </w:rPr>
              <w:t>12.0%</w:t>
            </w:r>
          </w:p>
        </w:tc>
      </w:tr>
      <w:tr w:rsidR="00F31303" w14:paraId="026A8DBD"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5C24ED96" w14:textId="77777777" w:rsidR="00590BEF" w:rsidRPr="007202FA" w:rsidRDefault="000B4F21" w:rsidP="007202FA">
            <w:pPr>
              <w:rPr>
                <w:sz w:val="20"/>
                <w:szCs w:val="20"/>
              </w:rPr>
            </w:pPr>
            <w:r>
              <w:rPr>
                <w:rFonts w:cs="Calibri"/>
                <w:color w:val="000000"/>
                <w:sz w:val="20"/>
                <w:szCs w:val="20"/>
                <w:lang w:val="ga"/>
              </w:rPr>
              <w:t>An Ghníomhaireacht um Thithíocht agus Pobail Inbhuanaithe</w:t>
            </w:r>
          </w:p>
        </w:tc>
        <w:tc>
          <w:tcPr>
            <w:tcW w:w="1559" w:type="dxa"/>
            <w:tcBorders>
              <w:top w:val="single" w:sz="4" w:space="0" w:color="auto"/>
              <w:left w:val="single" w:sz="4" w:space="0" w:color="auto"/>
              <w:bottom w:val="single" w:sz="4" w:space="0" w:color="auto"/>
              <w:right w:val="single" w:sz="4" w:space="0" w:color="auto"/>
            </w:tcBorders>
            <w:hideMark/>
          </w:tcPr>
          <w:p w14:paraId="0FBB714E" w14:textId="77777777" w:rsidR="00590BEF" w:rsidRPr="007202FA" w:rsidRDefault="000B4F21" w:rsidP="007202FA">
            <w:pPr>
              <w:jc w:val="right"/>
              <w:rPr>
                <w:sz w:val="20"/>
                <w:szCs w:val="20"/>
              </w:rPr>
            </w:pPr>
            <w:r>
              <w:rPr>
                <w:sz w:val="20"/>
                <w:szCs w:val="20"/>
                <w:lang w:val="ga"/>
              </w:rPr>
              <w:t>156</w:t>
            </w:r>
          </w:p>
        </w:tc>
        <w:tc>
          <w:tcPr>
            <w:tcW w:w="1559" w:type="dxa"/>
            <w:tcBorders>
              <w:top w:val="single" w:sz="4" w:space="0" w:color="auto"/>
              <w:left w:val="single" w:sz="4" w:space="0" w:color="auto"/>
              <w:bottom w:val="single" w:sz="4" w:space="0" w:color="auto"/>
              <w:right w:val="single" w:sz="4" w:space="0" w:color="auto"/>
            </w:tcBorders>
            <w:hideMark/>
          </w:tcPr>
          <w:p w14:paraId="24F680B3" w14:textId="77777777" w:rsidR="00590BEF" w:rsidRPr="007202FA" w:rsidRDefault="000B4F21" w:rsidP="007202FA">
            <w:pPr>
              <w:jc w:val="right"/>
              <w:rPr>
                <w:sz w:val="20"/>
                <w:szCs w:val="20"/>
              </w:rPr>
            </w:pPr>
            <w:r>
              <w:rPr>
                <w:sz w:val="20"/>
                <w:szCs w:val="20"/>
                <w:lang w:val="ga"/>
              </w:rPr>
              <w:t>9</w:t>
            </w:r>
          </w:p>
        </w:tc>
        <w:tc>
          <w:tcPr>
            <w:tcW w:w="1559" w:type="dxa"/>
            <w:tcBorders>
              <w:top w:val="single" w:sz="4" w:space="0" w:color="auto"/>
              <w:left w:val="single" w:sz="4" w:space="0" w:color="auto"/>
              <w:bottom w:val="single" w:sz="4" w:space="0" w:color="auto"/>
              <w:right w:val="single" w:sz="4" w:space="0" w:color="auto"/>
            </w:tcBorders>
            <w:hideMark/>
          </w:tcPr>
          <w:p w14:paraId="1FB411D2" w14:textId="77777777" w:rsidR="00590BEF" w:rsidRPr="007202FA" w:rsidRDefault="000B4F21" w:rsidP="007202FA">
            <w:pPr>
              <w:jc w:val="right"/>
              <w:rPr>
                <w:sz w:val="20"/>
                <w:szCs w:val="20"/>
              </w:rPr>
            </w:pPr>
            <w:r>
              <w:rPr>
                <w:sz w:val="20"/>
                <w:szCs w:val="20"/>
                <w:lang w:val="ga"/>
              </w:rPr>
              <w:t>5.8%</w:t>
            </w:r>
          </w:p>
        </w:tc>
        <w:tc>
          <w:tcPr>
            <w:tcW w:w="1430" w:type="dxa"/>
            <w:tcBorders>
              <w:top w:val="single" w:sz="4" w:space="0" w:color="auto"/>
              <w:left w:val="single" w:sz="4" w:space="0" w:color="auto"/>
              <w:bottom w:val="single" w:sz="4" w:space="0" w:color="auto"/>
              <w:right w:val="single" w:sz="4" w:space="0" w:color="auto"/>
            </w:tcBorders>
            <w:hideMark/>
          </w:tcPr>
          <w:p w14:paraId="5A1C6101" w14:textId="77777777" w:rsidR="00590BEF" w:rsidRPr="007202FA" w:rsidRDefault="000B4F21" w:rsidP="007202FA">
            <w:pPr>
              <w:jc w:val="right"/>
              <w:rPr>
                <w:sz w:val="20"/>
                <w:szCs w:val="20"/>
              </w:rPr>
            </w:pPr>
            <w:r>
              <w:rPr>
                <w:rFonts w:cs="Calibri"/>
                <w:color w:val="000000"/>
                <w:sz w:val="20"/>
                <w:szCs w:val="20"/>
                <w:lang w:val="ga"/>
              </w:rPr>
              <w:t>189</w:t>
            </w:r>
          </w:p>
        </w:tc>
        <w:tc>
          <w:tcPr>
            <w:tcW w:w="1547" w:type="dxa"/>
            <w:tcBorders>
              <w:top w:val="single" w:sz="4" w:space="0" w:color="auto"/>
              <w:left w:val="single" w:sz="4" w:space="0" w:color="auto"/>
              <w:bottom w:val="single" w:sz="4" w:space="0" w:color="auto"/>
              <w:right w:val="single" w:sz="4" w:space="0" w:color="auto"/>
            </w:tcBorders>
            <w:hideMark/>
          </w:tcPr>
          <w:p w14:paraId="0DC25AA7" w14:textId="77777777" w:rsidR="00590BEF" w:rsidRPr="007202FA" w:rsidRDefault="000B4F21" w:rsidP="007202FA">
            <w:pPr>
              <w:jc w:val="right"/>
              <w:rPr>
                <w:sz w:val="20"/>
                <w:szCs w:val="20"/>
              </w:rPr>
            </w:pPr>
            <w:r>
              <w:rPr>
                <w:rFonts w:cs="Calibri"/>
                <w:color w:val="000000"/>
                <w:sz w:val="20"/>
                <w:szCs w:val="20"/>
                <w:lang w:val="ga"/>
              </w:rPr>
              <w:t>19</w:t>
            </w:r>
          </w:p>
        </w:tc>
        <w:tc>
          <w:tcPr>
            <w:tcW w:w="1429" w:type="dxa"/>
            <w:tcBorders>
              <w:top w:val="single" w:sz="4" w:space="0" w:color="auto"/>
              <w:left w:val="single" w:sz="4" w:space="0" w:color="auto"/>
              <w:bottom w:val="single" w:sz="4" w:space="0" w:color="auto"/>
              <w:right w:val="single" w:sz="4" w:space="0" w:color="auto"/>
            </w:tcBorders>
            <w:hideMark/>
          </w:tcPr>
          <w:p w14:paraId="741C72BC" w14:textId="77777777" w:rsidR="00590BEF" w:rsidRPr="007202FA" w:rsidRDefault="000B4F21" w:rsidP="007202FA">
            <w:pPr>
              <w:jc w:val="right"/>
              <w:rPr>
                <w:sz w:val="20"/>
                <w:szCs w:val="20"/>
              </w:rPr>
            </w:pPr>
            <w:r>
              <w:rPr>
                <w:rFonts w:cs="Calibri"/>
                <w:color w:val="000000"/>
                <w:sz w:val="20"/>
                <w:szCs w:val="20"/>
                <w:lang w:val="ga"/>
              </w:rPr>
              <w:t>10.1%</w:t>
            </w:r>
          </w:p>
        </w:tc>
      </w:tr>
      <w:tr w:rsidR="00F31303" w14:paraId="7ADBFAB3"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4CCC2D74" w14:textId="77777777" w:rsidR="00590BEF" w:rsidRPr="007202FA" w:rsidRDefault="000B4F21" w:rsidP="007202FA">
            <w:pPr>
              <w:rPr>
                <w:sz w:val="20"/>
                <w:szCs w:val="20"/>
              </w:rPr>
            </w:pPr>
            <w:r>
              <w:rPr>
                <w:rFonts w:cs="Calibri"/>
                <w:color w:val="000000"/>
                <w:sz w:val="20"/>
                <w:szCs w:val="20"/>
                <w:lang w:val="ga"/>
              </w:rPr>
              <w:t xml:space="preserve">An Ghníomhaireacht </w:t>
            </w:r>
            <w:r>
              <w:rPr>
                <w:rFonts w:cs="Calibri"/>
                <w:color w:val="000000"/>
                <w:sz w:val="20"/>
                <w:szCs w:val="20"/>
                <w:lang w:val="ga"/>
              </w:rPr>
              <w:lastRenderedPageBreak/>
              <w:t>Airgeadais do Thithe</w:t>
            </w:r>
          </w:p>
        </w:tc>
        <w:tc>
          <w:tcPr>
            <w:tcW w:w="1559" w:type="dxa"/>
            <w:tcBorders>
              <w:top w:val="single" w:sz="4" w:space="0" w:color="auto"/>
              <w:left w:val="single" w:sz="4" w:space="0" w:color="auto"/>
              <w:bottom w:val="single" w:sz="4" w:space="0" w:color="auto"/>
              <w:right w:val="single" w:sz="4" w:space="0" w:color="auto"/>
            </w:tcBorders>
            <w:hideMark/>
          </w:tcPr>
          <w:p w14:paraId="4FF891E9" w14:textId="77777777" w:rsidR="00590BEF" w:rsidRPr="007202FA" w:rsidRDefault="000B4F21" w:rsidP="007202FA">
            <w:pPr>
              <w:jc w:val="right"/>
              <w:rPr>
                <w:sz w:val="20"/>
                <w:szCs w:val="20"/>
              </w:rPr>
            </w:pPr>
            <w:r>
              <w:rPr>
                <w:rFonts w:cs="Calibri"/>
                <w:color w:val="000000"/>
                <w:sz w:val="20"/>
                <w:szCs w:val="20"/>
                <w:lang w:val="ga"/>
              </w:rPr>
              <w:lastRenderedPageBreak/>
              <w:t>20</w:t>
            </w:r>
          </w:p>
        </w:tc>
        <w:tc>
          <w:tcPr>
            <w:tcW w:w="1559" w:type="dxa"/>
            <w:tcBorders>
              <w:top w:val="single" w:sz="4" w:space="0" w:color="auto"/>
              <w:left w:val="single" w:sz="4" w:space="0" w:color="auto"/>
              <w:bottom w:val="single" w:sz="4" w:space="0" w:color="auto"/>
              <w:right w:val="single" w:sz="4" w:space="0" w:color="auto"/>
            </w:tcBorders>
            <w:hideMark/>
          </w:tcPr>
          <w:p w14:paraId="0E026F2A" w14:textId="77777777" w:rsidR="00590BEF" w:rsidRPr="007202FA" w:rsidRDefault="000B4F21" w:rsidP="007202FA">
            <w:pPr>
              <w:jc w:val="right"/>
              <w:rPr>
                <w:sz w:val="20"/>
                <w:szCs w:val="20"/>
              </w:rPr>
            </w:pPr>
            <w:r>
              <w:rPr>
                <w:rFonts w:cs="Calibri"/>
                <w:color w:val="000000"/>
                <w:sz w:val="20"/>
                <w:szCs w:val="20"/>
                <w:lang w:val="ga"/>
              </w:rPr>
              <w:t>3</w:t>
            </w:r>
          </w:p>
        </w:tc>
        <w:tc>
          <w:tcPr>
            <w:tcW w:w="1559" w:type="dxa"/>
            <w:tcBorders>
              <w:top w:val="single" w:sz="4" w:space="0" w:color="auto"/>
              <w:left w:val="single" w:sz="4" w:space="0" w:color="auto"/>
              <w:bottom w:val="single" w:sz="4" w:space="0" w:color="auto"/>
              <w:right w:val="single" w:sz="4" w:space="0" w:color="auto"/>
            </w:tcBorders>
            <w:hideMark/>
          </w:tcPr>
          <w:p w14:paraId="0E6F57BB" w14:textId="77777777" w:rsidR="00590BEF" w:rsidRPr="007202FA" w:rsidRDefault="000B4F21" w:rsidP="007202FA">
            <w:pPr>
              <w:jc w:val="right"/>
              <w:rPr>
                <w:sz w:val="20"/>
                <w:szCs w:val="20"/>
              </w:rPr>
            </w:pPr>
            <w:r>
              <w:rPr>
                <w:rFonts w:cs="Calibri"/>
                <w:color w:val="000000"/>
                <w:sz w:val="20"/>
                <w:szCs w:val="20"/>
                <w:lang w:val="ga"/>
              </w:rPr>
              <w:t>15.0%</w:t>
            </w:r>
          </w:p>
        </w:tc>
        <w:tc>
          <w:tcPr>
            <w:tcW w:w="1430" w:type="dxa"/>
            <w:tcBorders>
              <w:top w:val="single" w:sz="4" w:space="0" w:color="auto"/>
              <w:left w:val="single" w:sz="4" w:space="0" w:color="auto"/>
              <w:bottom w:val="single" w:sz="4" w:space="0" w:color="auto"/>
              <w:right w:val="single" w:sz="4" w:space="0" w:color="auto"/>
            </w:tcBorders>
            <w:hideMark/>
          </w:tcPr>
          <w:p w14:paraId="6085609F" w14:textId="77777777" w:rsidR="00590BEF" w:rsidRPr="007202FA" w:rsidRDefault="000B4F21" w:rsidP="007202FA">
            <w:pPr>
              <w:jc w:val="right"/>
              <w:rPr>
                <w:sz w:val="20"/>
                <w:szCs w:val="20"/>
              </w:rPr>
            </w:pPr>
            <w:r>
              <w:rPr>
                <w:rFonts w:cs="Calibri"/>
                <w:color w:val="000000"/>
                <w:sz w:val="20"/>
                <w:szCs w:val="20"/>
                <w:lang w:val="ga"/>
              </w:rPr>
              <w:t>23</w:t>
            </w:r>
          </w:p>
        </w:tc>
        <w:tc>
          <w:tcPr>
            <w:tcW w:w="1547" w:type="dxa"/>
            <w:tcBorders>
              <w:top w:val="single" w:sz="4" w:space="0" w:color="auto"/>
              <w:left w:val="single" w:sz="4" w:space="0" w:color="auto"/>
              <w:bottom w:val="single" w:sz="4" w:space="0" w:color="auto"/>
              <w:right w:val="single" w:sz="4" w:space="0" w:color="auto"/>
            </w:tcBorders>
            <w:hideMark/>
          </w:tcPr>
          <w:p w14:paraId="77D89CBC" w14:textId="77777777" w:rsidR="00590BEF" w:rsidRPr="007202FA" w:rsidRDefault="000B4F21" w:rsidP="007202FA">
            <w:pPr>
              <w:jc w:val="right"/>
              <w:rPr>
                <w:sz w:val="20"/>
                <w:szCs w:val="20"/>
              </w:rPr>
            </w:pPr>
            <w:r>
              <w:rPr>
                <w:rFonts w:cs="Calibri"/>
                <w:color w:val="000000"/>
                <w:sz w:val="20"/>
                <w:szCs w:val="20"/>
                <w:lang w:val="ga"/>
              </w:rPr>
              <w:t>5</w:t>
            </w:r>
          </w:p>
        </w:tc>
        <w:tc>
          <w:tcPr>
            <w:tcW w:w="1429" w:type="dxa"/>
            <w:tcBorders>
              <w:top w:val="single" w:sz="4" w:space="0" w:color="auto"/>
              <w:left w:val="single" w:sz="4" w:space="0" w:color="auto"/>
              <w:bottom w:val="single" w:sz="4" w:space="0" w:color="auto"/>
              <w:right w:val="single" w:sz="4" w:space="0" w:color="auto"/>
            </w:tcBorders>
            <w:hideMark/>
          </w:tcPr>
          <w:p w14:paraId="4C01C47E" w14:textId="77777777" w:rsidR="00590BEF" w:rsidRPr="007202FA" w:rsidRDefault="000B4F21" w:rsidP="007202FA">
            <w:pPr>
              <w:jc w:val="right"/>
              <w:rPr>
                <w:sz w:val="20"/>
                <w:szCs w:val="20"/>
              </w:rPr>
            </w:pPr>
            <w:r>
              <w:rPr>
                <w:rFonts w:cs="Calibri"/>
                <w:color w:val="000000"/>
                <w:sz w:val="20"/>
                <w:szCs w:val="20"/>
                <w:lang w:val="ga"/>
              </w:rPr>
              <w:t>21.7%</w:t>
            </w:r>
          </w:p>
        </w:tc>
      </w:tr>
      <w:tr w:rsidR="00F31303" w14:paraId="20FC488D"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42D9891" w14:textId="77777777" w:rsidR="00590BEF" w:rsidRPr="007202FA" w:rsidRDefault="000B4F21" w:rsidP="007202FA">
            <w:pPr>
              <w:rPr>
                <w:sz w:val="20"/>
                <w:szCs w:val="20"/>
              </w:rPr>
            </w:pPr>
            <w:r>
              <w:rPr>
                <w:rFonts w:cs="Calibri"/>
                <w:color w:val="000000"/>
                <w:sz w:val="20"/>
                <w:szCs w:val="20"/>
                <w:lang w:val="ga"/>
              </w:rPr>
              <w:t>Comhairle Contae Chiarraí</w:t>
            </w:r>
          </w:p>
        </w:tc>
        <w:tc>
          <w:tcPr>
            <w:tcW w:w="1559" w:type="dxa"/>
            <w:tcBorders>
              <w:top w:val="single" w:sz="4" w:space="0" w:color="auto"/>
              <w:left w:val="single" w:sz="4" w:space="0" w:color="auto"/>
              <w:bottom w:val="single" w:sz="4" w:space="0" w:color="auto"/>
              <w:right w:val="single" w:sz="4" w:space="0" w:color="auto"/>
            </w:tcBorders>
            <w:hideMark/>
          </w:tcPr>
          <w:p w14:paraId="4442D01D" w14:textId="77777777" w:rsidR="00590BEF" w:rsidRPr="007202FA" w:rsidRDefault="000B4F21" w:rsidP="007202FA">
            <w:pPr>
              <w:jc w:val="right"/>
              <w:rPr>
                <w:sz w:val="20"/>
                <w:szCs w:val="20"/>
              </w:rPr>
            </w:pPr>
            <w:r>
              <w:rPr>
                <w:rFonts w:cs="Calibri"/>
                <w:color w:val="000000"/>
                <w:sz w:val="20"/>
                <w:szCs w:val="20"/>
                <w:lang w:val="ga"/>
              </w:rPr>
              <w:t>1,503</w:t>
            </w:r>
          </w:p>
        </w:tc>
        <w:tc>
          <w:tcPr>
            <w:tcW w:w="1559" w:type="dxa"/>
            <w:tcBorders>
              <w:top w:val="single" w:sz="4" w:space="0" w:color="auto"/>
              <w:left w:val="single" w:sz="4" w:space="0" w:color="auto"/>
              <w:bottom w:val="single" w:sz="4" w:space="0" w:color="auto"/>
              <w:right w:val="single" w:sz="4" w:space="0" w:color="auto"/>
            </w:tcBorders>
            <w:hideMark/>
          </w:tcPr>
          <w:p w14:paraId="5236AF6B" w14:textId="77777777" w:rsidR="00590BEF" w:rsidRPr="007202FA" w:rsidRDefault="000B4F21" w:rsidP="007202FA">
            <w:pPr>
              <w:jc w:val="right"/>
              <w:rPr>
                <w:sz w:val="20"/>
                <w:szCs w:val="20"/>
              </w:rPr>
            </w:pPr>
            <w:r>
              <w:rPr>
                <w:rFonts w:cs="Calibri"/>
                <w:color w:val="000000"/>
                <w:sz w:val="20"/>
                <w:szCs w:val="20"/>
                <w:lang w:val="ga"/>
              </w:rPr>
              <w:t>96</w:t>
            </w:r>
          </w:p>
        </w:tc>
        <w:tc>
          <w:tcPr>
            <w:tcW w:w="1559" w:type="dxa"/>
            <w:tcBorders>
              <w:top w:val="single" w:sz="4" w:space="0" w:color="auto"/>
              <w:left w:val="single" w:sz="4" w:space="0" w:color="auto"/>
              <w:bottom w:val="single" w:sz="4" w:space="0" w:color="auto"/>
              <w:right w:val="single" w:sz="4" w:space="0" w:color="auto"/>
            </w:tcBorders>
            <w:hideMark/>
          </w:tcPr>
          <w:p w14:paraId="16F46F45" w14:textId="77777777" w:rsidR="00590BEF" w:rsidRPr="007202FA" w:rsidRDefault="000B4F21" w:rsidP="007202FA">
            <w:pPr>
              <w:jc w:val="right"/>
              <w:rPr>
                <w:sz w:val="20"/>
                <w:szCs w:val="20"/>
              </w:rPr>
            </w:pPr>
            <w:r>
              <w:rPr>
                <w:rFonts w:cs="Calibri"/>
                <w:color w:val="000000"/>
                <w:sz w:val="20"/>
                <w:szCs w:val="20"/>
                <w:lang w:val="ga"/>
              </w:rPr>
              <w:t>6.4%</w:t>
            </w:r>
          </w:p>
        </w:tc>
        <w:tc>
          <w:tcPr>
            <w:tcW w:w="1430" w:type="dxa"/>
            <w:tcBorders>
              <w:top w:val="single" w:sz="4" w:space="0" w:color="auto"/>
              <w:left w:val="single" w:sz="4" w:space="0" w:color="auto"/>
              <w:bottom w:val="single" w:sz="4" w:space="0" w:color="auto"/>
              <w:right w:val="single" w:sz="4" w:space="0" w:color="auto"/>
            </w:tcBorders>
            <w:hideMark/>
          </w:tcPr>
          <w:p w14:paraId="3A5D63E9" w14:textId="77777777" w:rsidR="00590BEF" w:rsidRPr="007202FA" w:rsidRDefault="000B4F21" w:rsidP="007202FA">
            <w:pPr>
              <w:jc w:val="right"/>
              <w:rPr>
                <w:sz w:val="20"/>
                <w:szCs w:val="20"/>
              </w:rPr>
            </w:pPr>
            <w:r>
              <w:rPr>
                <w:rFonts w:cs="Calibri"/>
                <w:color w:val="000000"/>
                <w:sz w:val="20"/>
                <w:szCs w:val="20"/>
                <w:lang w:val="ga"/>
              </w:rPr>
              <w:t>1,548</w:t>
            </w:r>
          </w:p>
        </w:tc>
        <w:tc>
          <w:tcPr>
            <w:tcW w:w="1547" w:type="dxa"/>
            <w:tcBorders>
              <w:top w:val="single" w:sz="4" w:space="0" w:color="auto"/>
              <w:left w:val="single" w:sz="4" w:space="0" w:color="auto"/>
              <w:bottom w:val="single" w:sz="4" w:space="0" w:color="auto"/>
              <w:right w:val="single" w:sz="4" w:space="0" w:color="auto"/>
            </w:tcBorders>
            <w:hideMark/>
          </w:tcPr>
          <w:p w14:paraId="2BCEC42D" w14:textId="77777777" w:rsidR="00590BEF" w:rsidRPr="007202FA" w:rsidRDefault="000B4F21" w:rsidP="007202FA">
            <w:pPr>
              <w:jc w:val="right"/>
              <w:rPr>
                <w:sz w:val="20"/>
                <w:szCs w:val="20"/>
              </w:rPr>
            </w:pPr>
            <w:r>
              <w:rPr>
                <w:rFonts w:cs="Calibri"/>
                <w:color w:val="000000"/>
                <w:sz w:val="20"/>
                <w:szCs w:val="20"/>
                <w:lang w:val="ga"/>
              </w:rPr>
              <w:t>99</w:t>
            </w:r>
          </w:p>
        </w:tc>
        <w:tc>
          <w:tcPr>
            <w:tcW w:w="1429" w:type="dxa"/>
            <w:tcBorders>
              <w:top w:val="single" w:sz="4" w:space="0" w:color="auto"/>
              <w:left w:val="single" w:sz="4" w:space="0" w:color="auto"/>
              <w:bottom w:val="single" w:sz="4" w:space="0" w:color="auto"/>
              <w:right w:val="single" w:sz="4" w:space="0" w:color="auto"/>
            </w:tcBorders>
            <w:hideMark/>
          </w:tcPr>
          <w:p w14:paraId="3648C6B8" w14:textId="77777777" w:rsidR="00590BEF" w:rsidRPr="007202FA" w:rsidRDefault="000B4F21" w:rsidP="007202FA">
            <w:pPr>
              <w:jc w:val="right"/>
              <w:rPr>
                <w:sz w:val="20"/>
                <w:szCs w:val="20"/>
              </w:rPr>
            </w:pPr>
            <w:r>
              <w:rPr>
                <w:rFonts w:cs="Calibri"/>
                <w:color w:val="000000"/>
                <w:sz w:val="20"/>
                <w:szCs w:val="20"/>
                <w:lang w:val="ga"/>
              </w:rPr>
              <w:t>6.4%</w:t>
            </w:r>
          </w:p>
        </w:tc>
      </w:tr>
      <w:tr w:rsidR="00F31303" w14:paraId="4C95899C"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9781C8C" w14:textId="77777777" w:rsidR="00590BEF" w:rsidRPr="007202FA" w:rsidRDefault="000B4F21" w:rsidP="007202FA">
            <w:pPr>
              <w:rPr>
                <w:sz w:val="20"/>
                <w:szCs w:val="20"/>
              </w:rPr>
            </w:pPr>
            <w:r>
              <w:rPr>
                <w:rFonts w:cs="Calibri"/>
                <w:color w:val="000000"/>
                <w:sz w:val="20"/>
                <w:szCs w:val="20"/>
                <w:lang w:val="ga"/>
              </w:rPr>
              <w:t>Comhairle Contae Chill Dara</w:t>
            </w:r>
          </w:p>
        </w:tc>
        <w:tc>
          <w:tcPr>
            <w:tcW w:w="1559" w:type="dxa"/>
            <w:tcBorders>
              <w:top w:val="single" w:sz="4" w:space="0" w:color="auto"/>
              <w:left w:val="single" w:sz="4" w:space="0" w:color="auto"/>
              <w:bottom w:val="single" w:sz="4" w:space="0" w:color="auto"/>
              <w:right w:val="single" w:sz="4" w:space="0" w:color="auto"/>
            </w:tcBorders>
            <w:hideMark/>
          </w:tcPr>
          <w:p w14:paraId="5FEBD9BC" w14:textId="77777777" w:rsidR="00590BEF" w:rsidRPr="007202FA" w:rsidRDefault="000B4F21" w:rsidP="007202FA">
            <w:pPr>
              <w:jc w:val="right"/>
              <w:rPr>
                <w:sz w:val="20"/>
                <w:szCs w:val="20"/>
              </w:rPr>
            </w:pPr>
            <w:r>
              <w:rPr>
                <w:rFonts w:cs="Calibri"/>
                <w:color w:val="000000"/>
                <w:sz w:val="20"/>
                <w:szCs w:val="20"/>
                <w:lang w:val="ga"/>
              </w:rPr>
              <w:t>1,019</w:t>
            </w:r>
          </w:p>
        </w:tc>
        <w:tc>
          <w:tcPr>
            <w:tcW w:w="1559" w:type="dxa"/>
            <w:tcBorders>
              <w:top w:val="single" w:sz="4" w:space="0" w:color="auto"/>
              <w:left w:val="single" w:sz="4" w:space="0" w:color="auto"/>
              <w:bottom w:val="single" w:sz="4" w:space="0" w:color="auto"/>
              <w:right w:val="single" w:sz="4" w:space="0" w:color="auto"/>
            </w:tcBorders>
            <w:hideMark/>
          </w:tcPr>
          <w:p w14:paraId="760CE7F2" w14:textId="77777777" w:rsidR="00590BEF" w:rsidRPr="007202FA" w:rsidRDefault="000B4F21" w:rsidP="007202FA">
            <w:pPr>
              <w:jc w:val="right"/>
              <w:rPr>
                <w:sz w:val="20"/>
                <w:szCs w:val="20"/>
              </w:rPr>
            </w:pPr>
            <w:r>
              <w:rPr>
                <w:rFonts w:cs="Calibri"/>
                <w:color w:val="000000"/>
                <w:sz w:val="20"/>
                <w:szCs w:val="20"/>
                <w:lang w:val="ga"/>
              </w:rPr>
              <w:t>40</w:t>
            </w:r>
          </w:p>
        </w:tc>
        <w:tc>
          <w:tcPr>
            <w:tcW w:w="1559" w:type="dxa"/>
            <w:tcBorders>
              <w:top w:val="single" w:sz="4" w:space="0" w:color="auto"/>
              <w:left w:val="single" w:sz="4" w:space="0" w:color="auto"/>
              <w:bottom w:val="single" w:sz="4" w:space="0" w:color="auto"/>
              <w:right w:val="single" w:sz="4" w:space="0" w:color="auto"/>
            </w:tcBorders>
            <w:hideMark/>
          </w:tcPr>
          <w:p w14:paraId="682B2945" w14:textId="77777777" w:rsidR="00590BEF" w:rsidRPr="007202FA" w:rsidRDefault="000B4F21" w:rsidP="007202FA">
            <w:pPr>
              <w:jc w:val="right"/>
              <w:rPr>
                <w:sz w:val="20"/>
                <w:szCs w:val="20"/>
              </w:rPr>
            </w:pPr>
            <w:r>
              <w:rPr>
                <w:rFonts w:cs="Calibri"/>
                <w:color w:val="000000"/>
                <w:sz w:val="20"/>
                <w:szCs w:val="20"/>
                <w:lang w:val="ga"/>
              </w:rPr>
              <w:t>3.9%</w:t>
            </w:r>
          </w:p>
        </w:tc>
        <w:tc>
          <w:tcPr>
            <w:tcW w:w="1430" w:type="dxa"/>
            <w:tcBorders>
              <w:top w:val="single" w:sz="4" w:space="0" w:color="auto"/>
              <w:left w:val="single" w:sz="4" w:space="0" w:color="auto"/>
              <w:bottom w:val="single" w:sz="4" w:space="0" w:color="auto"/>
              <w:right w:val="single" w:sz="4" w:space="0" w:color="auto"/>
            </w:tcBorders>
            <w:hideMark/>
          </w:tcPr>
          <w:p w14:paraId="5ADB2DBB" w14:textId="77777777" w:rsidR="00590BEF" w:rsidRPr="007202FA" w:rsidRDefault="000B4F21" w:rsidP="007202FA">
            <w:pPr>
              <w:jc w:val="right"/>
              <w:rPr>
                <w:sz w:val="20"/>
                <w:szCs w:val="20"/>
              </w:rPr>
            </w:pPr>
            <w:r>
              <w:rPr>
                <w:rFonts w:cs="Calibri"/>
                <w:color w:val="000000"/>
                <w:sz w:val="20"/>
                <w:szCs w:val="20"/>
                <w:lang w:val="ga"/>
              </w:rPr>
              <w:t>1,039</w:t>
            </w:r>
          </w:p>
        </w:tc>
        <w:tc>
          <w:tcPr>
            <w:tcW w:w="1547" w:type="dxa"/>
            <w:tcBorders>
              <w:top w:val="single" w:sz="4" w:space="0" w:color="auto"/>
              <w:left w:val="single" w:sz="4" w:space="0" w:color="auto"/>
              <w:bottom w:val="single" w:sz="4" w:space="0" w:color="auto"/>
              <w:right w:val="single" w:sz="4" w:space="0" w:color="auto"/>
            </w:tcBorders>
            <w:hideMark/>
          </w:tcPr>
          <w:p w14:paraId="25764DD4" w14:textId="77777777" w:rsidR="00590BEF" w:rsidRPr="007202FA" w:rsidRDefault="000B4F21" w:rsidP="007202FA">
            <w:pPr>
              <w:jc w:val="right"/>
              <w:rPr>
                <w:sz w:val="20"/>
                <w:szCs w:val="20"/>
              </w:rPr>
            </w:pPr>
            <w:r>
              <w:rPr>
                <w:rFonts w:cs="Calibri"/>
                <w:color w:val="000000"/>
                <w:sz w:val="20"/>
                <w:szCs w:val="20"/>
                <w:lang w:val="ga"/>
              </w:rPr>
              <w:t>39</w:t>
            </w:r>
          </w:p>
        </w:tc>
        <w:tc>
          <w:tcPr>
            <w:tcW w:w="1429" w:type="dxa"/>
            <w:tcBorders>
              <w:top w:val="single" w:sz="4" w:space="0" w:color="auto"/>
              <w:left w:val="single" w:sz="4" w:space="0" w:color="auto"/>
              <w:bottom w:val="single" w:sz="4" w:space="0" w:color="auto"/>
              <w:right w:val="single" w:sz="4" w:space="0" w:color="auto"/>
            </w:tcBorders>
            <w:hideMark/>
          </w:tcPr>
          <w:p w14:paraId="46949143" w14:textId="77777777" w:rsidR="00590BEF" w:rsidRPr="007202FA" w:rsidRDefault="000B4F21" w:rsidP="007202FA">
            <w:pPr>
              <w:jc w:val="right"/>
              <w:rPr>
                <w:sz w:val="20"/>
                <w:szCs w:val="20"/>
              </w:rPr>
            </w:pPr>
            <w:r>
              <w:rPr>
                <w:rFonts w:cs="Calibri"/>
                <w:color w:val="000000"/>
                <w:sz w:val="20"/>
                <w:szCs w:val="20"/>
                <w:lang w:val="ga"/>
              </w:rPr>
              <w:t>3.8%</w:t>
            </w:r>
          </w:p>
        </w:tc>
      </w:tr>
      <w:tr w:rsidR="00F31303" w14:paraId="38F138C6"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1FCD1072" w14:textId="77777777" w:rsidR="00590BEF" w:rsidRPr="007202FA" w:rsidRDefault="000B4F21" w:rsidP="007202FA">
            <w:pPr>
              <w:rPr>
                <w:sz w:val="20"/>
                <w:szCs w:val="20"/>
              </w:rPr>
            </w:pPr>
            <w:r>
              <w:rPr>
                <w:rFonts w:cs="Calibri"/>
                <w:color w:val="000000"/>
                <w:sz w:val="20"/>
                <w:szCs w:val="20"/>
                <w:lang w:val="ga"/>
              </w:rPr>
              <w:t>Comhairle Contae Chill Chainnigh</w:t>
            </w:r>
          </w:p>
        </w:tc>
        <w:tc>
          <w:tcPr>
            <w:tcW w:w="1559" w:type="dxa"/>
            <w:tcBorders>
              <w:top w:val="single" w:sz="4" w:space="0" w:color="auto"/>
              <w:left w:val="single" w:sz="4" w:space="0" w:color="auto"/>
              <w:bottom w:val="single" w:sz="4" w:space="0" w:color="auto"/>
              <w:right w:val="single" w:sz="4" w:space="0" w:color="auto"/>
            </w:tcBorders>
            <w:hideMark/>
          </w:tcPr>
          <w:p w14:paraId="18FCB909" w14:textId="77777777" w:rsidR="00590BEF" w:rsidRPr="007202FA" w:rsidRDefault="000B4F21" w:rsidP="007202FA">
            <w:pPr>
              <w:jc w:val="right"/>
              <w:rPr>
                <w:sz w:val="20"/>
                <w:szCs w:val="20"/>
              </w:rPr>
            </w:pPr>
            <w:r>
              <w:rPr>
                <w:rFonts w:cs="Calibri"/>
                <w:color w:val="000000"/>
                <w:sz w:val="20"/>
                <w:szCs w:val="20"/>
                <w:lang w:val="ga"/>
              </w:rPr>
              <w:t>625</w:t>
            </w:r>
          </w:p>
        </w:tc>
        <w:tc>
          <w:tcPr>
            <w:tcW w:w="1559" w:type="dxa"/>
            <w:tcBorders>
              <w:top w:val="single" w:sz="4" w:space="0" w:color="auto"/>
              <w:left w:val="single" w:sz="4" w:space="0" w:color="auto"/>
              <w:bottom w:val="single" w:sz="4" w:space="0" w:color="auto"/>
              <w:right w:val="single" w:sz="4" w:space="0" w:color="auto"/>
            </w:tcBorders>
            <w:hideMark/>
          </w:tcPr>
          <w:p w14:paraId="32535D05" w14:textId="77777777" w:rsidR="00590BEF" w:rsidRPr="007202FA" w:rsidRDefault="000B4F21" w:rsidP="007202FA">
            <w:pPr>
              <w:jc w:val="right"/>
              <w:rPr>
                <w:sz w:val="20"/>
                <w:szCs w:val="20"/>
              </w:rPr>
            </w:pPr>
            <w:r>
              <w:rPr>
                <w:rFonts w:cs="Calibri"/>
                <w:color w:val="000000"/>
                <w:sz w:val="20"/>
                <w:szCs w:val="20"/>
                <w:lang w:val="ga"/>
              </w:rPr>
              <w:t>25</w:t>
            </w:r>
          </w:p>
        </w:tc>
        <w:tc>
          <w:tcPr>
            <w:tcW w:w="1559" w:type="dxa"/>
            <w:tcBorders>
              <w:top w:val="single" w:sz="4" w:space="0" w:color="auto"/>
              <w:left w:val="single" w:sz="4" w:space="0" w:color="auto"/>
              <w:bottom w:val="single" w:sz="4" w:space="0" w:color="auto"/>
              <w:right w:val="single" w:sz="4" w:space="0" w:color="auto"/>
            </w:tcBorders>
            <w:hideMark/>
          </w:tcPr>
          <w:p w14:paraId="43245EFC" w14:textId="77777777" w:rsidR="00590BEF" w:rsidRPr="007202FA" w:rsidRDefault="000B4F21" w:rsidP="007202FA">
            <w:pPr>
              <w:jc w:val="right"/>
              <w:rPr>
                <w:sz w:val="20"/>
                <w:szCs w:val="20"/>
              </w:rPr>
            </w:pPr>
            <w:r>
              <w:rPr>
                <w:rFonts w:cs="Calibri"/>
                <w:color w:val="000000"/>
                <w:sz w:val="20"/>
                <w:szCs w:val="20"/>
                <w:lang w:val="ga"/>
              </w:rPr>
              <w:t>4.0%</w:t>
            </w:r>
          </w:p>
        </w:tc>
        <w:tc>
          <w:tcPr>
            <w:tcW w:w="1430" w:type="dxa"/>
            <w:tcBorders>
              <w:top w:val="single" w:sz="4" w:space="0" w:color="auto"/>
              <w:left w:val="single" w:sz="4" w:space="0" w:color="auto"/>
              <w:bottom w:val="single" w:sz="4" w:space="0" w:color="auto"/>
              <w:right w:val="single" w:sz="4" w:space="0" w:color="auto"/>
            </w:tcBorders>
            <w:hideMark/>
          </w:tcPr>
          <w:p w14:paraId="655CBF0A" w14:textId="77777777" w:rsidR="00590BEF" w:rsidRPr="007202FA" w:rsidRDefault="000B4F21" w:rsidP="007202FA">
            <w:pPr>
              <w:jc w:val="right"/>
              <w:rPr>
                <w:sz w:val="20"/>
                <w:szCs w:val="20"/>
              </w:rPr>
            </w:pPr>
            <w:r>
              <w:rPr>
                <w:rFonts w:cs="Calibri"/>
                <w:color w:val="000000"/>
                <w:sz w:val="20"/>
                <w:szCs w:val="20"/>
                <w:lang w:val="ga"/>
              </w:rPr>
              <w:t>671</w:t>
            </w:r>
          </w:p>
        </w:tc>
        <w:tc>
          <w:tcPr>
            <w:tcW w:w="1547" w:type="dxa"/>
            <w:tcBorders>
              <w:top w:val="single" w:sz="4" w:space="0" w:color="auto"/>
              <w:left w:val="single" w:sz="4" w:space="0" w:color="auto"/>
              <w:bottom w:val="single" w:sz="4" w:space="0" w:color="auto"/>
              <w:right w:val="single" w:sz="4" w:space="0" w:color="auto"/>
            </w:tcBorders>
            <w:hideMark/>
          </w:tcPr>
          <w:p w14:paraId="3219C624" w14:textId="77777777" w:rsidR="00590BEF" w:rsidRPr="007202FA" w:rsidRDefault="000B4F21" w:rsidP="007202FA">
            <w:pPr>
              <w:jc w:val="right"/>
              <w:rPr>
                <w:sz w:val="20"/>
                <w:szCs w:val="20"/>
              </w:rPr>
            </w:pPr>
            <w:r>
              <w:rPr>
                <w:rFonts w:cs="Calibri"/>
                <w:color w:val="000000"/>
                <w:sz w:val="20"/>
                <w:szCs w:val="20"/>
                <w:lang w:val="ga"/>
              </w:rPr>
              <w:t>25</w:t>
            </w:r>
          </w:p>
        </w:tc>
        <w:tc>
          <w:tcPr>
            <w:tcW w:w="1429" w:type="dxa"/>
            <w:tcBorders>
              <w:top w:val="single" w:sz="4" w:space="0" w:color="auto"/>
              <w:left w:val="single" w:sz="4" w:space="0" w:color="auto"/>
              <w:bottom w:val="single" w:sz="4" w:space="0" w:color="auto"/>
              <w:right w:val="single" w:sz="4" w:space="0" w:color="auto"/>
            </w:tcBorders>
            <w:hideMark/>
          </w:tcPr>
          <w:p w14:paraId="21D30EF3" w14:textId="77777777" w:rsidR="00590BEF" w:rsidRPr="007202FA" w:rsidRDefault="000B4F21" w:rsidP="007202FA">
            <w:pPr>
              <w:jc w:val="right"/>
              <w:rPr>
                <w:sz w:val="20"/>
                <w:szCs w:val="20"/>
              </w:rPr>
            </w:pPr>
            <w:r>
              <w:rPr>
                <w:rFonts w:cs="Calibri"/>
                <w:color w:val="000000"/>
                <w:sz w:val="20"/>
                <w:szCs w:val="20"/>
                <w:lang w:val="ga"/>
              </w:rPr>
              <w:t>3.7%</w:t>
            </w:r>
          </w:p>
        </w:tc>
      </w:tr>
      <w:tr w:rsidR="00F31303" w14:paraId="0568EDAB"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191BDC1F" w14:textId="77777777" w:rsidR="00590BEF" w:rsidRPr="005524D6" w:rsidRDefault="000B4F21" w:rsidP="007202FA">
            <w:pPr>
              <w:rPr>
                <w:color w:val="FFFFFF"/>
                <w:sz w:val="20"/>
                <w:szCs w:val="20"/>
                <w:lang w:val="de-DE"/>
              </w:rPr>
            </w:pPr>
            <w:r>
              <w:rPr>
                <w:rFonts w:cs="Calibri"/>
                <w:color w:val="000000"/>
                <w:sz w:val="20"/>
                <w:szCs w:val="20"/>
                <w:lang w:val="ga"/>
              </w:rPr>
              <w:t>An Ghníomhaireacht um Fhorbairt Talún</w:t>
            </w:r>
          </w:p>
        </w:tc>
        <w:tc>
          <w:tcPr>
            <w:tcW w:w="1559" w:type="dxa"/>
            <w:tcBorders>
              <w:top w:val="single" w:sz="4" w:space="0" w:color="auto"/>
              <w:left w:val="single" w:sz="4" w:space="0" w:color="auto"/>
              <w:bottom w:val="single" w:sz="4" w:space="0" w:color="auto"/>
              <w:right w:val="single" w:sz="4" w:space="0" w:color="auto"/>
            </w:tcBorders>
            <w:hideMark/>
          </w:tcPr>
          <w:p w14:paraId="5CD86315" w14:textId="77777777" w:rsidR="00590BEF" w:rsidRPr="007202FA" w:rsidRDefault="000B4F21" w:rsidP="007202FA">
            <w:pPr>
              <w:jc w:val="right"/>
              <w:rPr>
                <w:color w:val="000000"/>
                <w:sz w:val="20"/>
                <w:szCs w:val="20"/>
              </w:rPr>
            </w:pPr>
            <w:r>
              <w:rPr>
                <w:rFonts w:cs="Calibri"/>
                <w:color w:val="000000"/>
                <w:sz w:val="20"/>
                <w:szCs w:val="20"/>
                <w:lang w:val="ga"/>
              </w:rPr>
              <w:t>111</w:t>
            </w:r>
          </w:p>
        </w:tc>
        <w:tc>
          <w:tcPr>
            <w:tcW w:w="1559" w:type="dxa"/>
            <w:tcBorders>
              <w:top w:val="single" w:sz="4" w:space="0" w:color="auto"/>
              <w:left w:val="single" w:sz="4" w:space="0" w:color="auto"/>
              <w:bottom w:val="single" w:sz="4" w:space="0" w:color="auto"/>
              <w:right w:val="single" w:sz="4" w:space="0" w:color="auto"/>
            </w:tcBorders>
            <w:hideMark/>
          </w:tcPr>
          <w:p w14:paraId="745E03F4" w14:textId="77777777" w:rsidR="00590BEF" w:rsidRPr="007202FA" w:rsidRDefault="000B4F21" w:rsidP="007202FA">
            <w:pPr>
              <w:jc w:val="right"/>
              <w:rPr>
                <w:color w:val="000000"/>
                <w:sz w:val="20"/>
                <w:szCs w:val="20"/>
              </w:rPr>
            </w:pPr>
            <w:r>
              <w:rPr>
                <w:rFonts w:cs="Calibri"/>
                <w:color w:val="000000"/>
                <w:sz w:val="20"/>
                <w:szCs w:val="20"/>
                <w:lang w:val="ga"/>
              </w:rPr>
              <w:t>8</w:t>
            </w:r>
          </w:p>
        </w:tc>
        <w:tc>
          <w:tcPr>
            <w:tcW w:w="1559" w:type="dxa"/>
            <w:tcBorders>
              <w:top w:val="single" w:sz="4" w:space="0" w:color="auto"/>
              <w:left w:val="single" w:sz="4" w:space="0" w:color="auto"/>
              <w:bottom w:val="single" w:sz="4" w:space="0" w:color="auto"/>
              <w:right w:val="single" w:sz="4" w:space="0" w:color="auto"/>
            </w:tcBorders>
            <w:hideMark/>
          </w:tcPr>
          <w:p w14:paraId="55CA93FC" w14:textId="77777777" w:rsidR="00590BEF" w:rsidRPr="007202FA" w:rsidRDefault="000B4F21" w:rsidP="007202FA">
            <w:pPr>
              <w:jc w:val="right"/>
              <w:rPr>
                <w:color w:val="000000"/>
                <w:sz w:val="20"/>
                <w:szCs w:val="20"/>
              </w:rPr>
            </w:pPr>
            <w:r>
              <w:rPr>
                <w:rFonts w:cs="Calibri"/>
                <w:color w:val="000000"/>
                <w:sz w:val="20"/>
                <w:szCs w:val="20"/>
                <w:lang w:val="ga"/>
              </w:rPr>
              <w:t>7.2%</w:t>
            </w:r>
          </w:p>
        </w:tc>
        <w:tc>
          <w:tcPr>
            <w:tcW w:w="1430" w:type="dxa"/>
            <w:tcBorders>
              <w:top w:val="single" w:sz="4" w:space="0" w:color="auto"/>
              <w:left w:val="single" w:sz="4" w:space="0" w:color="auto"/>
              <w:bottom w:val="single" w:sz="4" w:space="0" w:color="auto"/>
              <w:right w:val="single" w:sz="4" w:space="0" w:color="auto"/>
            </w:tcBorders>
            <w:hideMark/>
          </w:tcPr>
          <w:p w14:paraId="579C1D90" w14:textId="77777777" w:rsidR="00590BEF" w:rsidRPr="007202FA" w:rsidRDefault="000B4F21" w:rsidP="007202FA">
            <w:pPr>
              <w:jc w:val="right"/>
              <w:rPr>
                <w:color w:val="000000"/>
                <w:sz w:val="20"/>
                <w:szCs w:val="20"/>
              </w:rPr>
            </w:pPr>
            <w:r>
              <w:rPr>
                <w:rFonts w:cs="Calibri"/>
                <w:color w:val="000000"/>
                <w:sz w:val="20"/>
                <w:szCs w:val="20"/>
                <w:lang w:val="ga"/>
              </w:rPr>
              <w:t>186</w:t>
            </w:r>
          </w:p>
        </w:tc>
        <w:tc>
          <w:tcPr>
            <w:tcW w:w="1547" w:type="dxa"/>
            <w:tcBorders>
              <w:top w:val="single" w:sz="4" w:space="0" w:color="auto"/>
              <w:left w:val="single" w:sz="4" w:space="0" w:color="auto"/>
              <w:bottom w:val="single" w:sz="4" w:space="0" w:color="auto"/>
              <w:right w:val="single" w:sz="4" w:space="0" w:color="auto"/>
            </w:tcBorders>
            <w:hideMark/>
          </w:tcPr>
          <w:p w14:paraId="1B26F030" w14:textId="77777777" w:rsidR="00590BEF" w:rsidRPr="007202FA" w:rsidRDefault="000B4F21" w:rsidP="007202FA">
            <w:pPr>
              <w:jc w:val="right"/>
              <w:rPr>
                <w:color w:val="000000"/>
                <w:sz w:val="20"/>
                <w:szCs w:val="20"/>
              </w:rPr>
            </w:pPr>
            <w:r>
              <w:rPr>
                <w:rFonts w:cs="Calibri"/>
                <w:color w:val="000000"/>
                <w:sz w:val="20"/>
                <w:szCs w:val="20"/>
                <w:lang w:val="ga"/>
              </w:rPr>
              <w:t>23</w:t>
            </w:r>
          </w:p>
        </w:tc>
        <w:tc>
          <w:tcPr>
            <w:tcW w:w="1429" w:type="dxa"/>
            <w:tcBorders>
              <w:top w:val="single" w:sz="4" w:space="0" w:color="auto"/>
              <w:left w:val="single" w:sz="4" w:space="0" w:color="auto"/>
              <w:bottom w:val="single" w:sz="4" w:space="0" w:color="auto"/>
              <w:right w:val="single" w:sz="4" w:space="0" w:color="auto"/>
            </w:tcBorders>
            <w:hideMark/>
          </w:tcPr>
          <w:p w14:paraId="3FD910DE" w14:textId="77777777" w:rsidR="00590BEF" w:rsidRPr="007202FA" w:rsidRDefault="000B4F21" w:rsidP="007202FA">
            <w:pPr>
              <w:jc w:val="right"/>
              <w:rPr>
                <w:color w:val="000000"/>
                <w:sz w:val="20"/>
                <w:szCs w:val="20"/>
              </w:rPr>
            </w:pPr>
            <w:r>
              <w:rPr>
                <w:rFonts w:cs="Calibri"/>
                <w:color w:val="000000"/>
                <w:sz w:val="20"/>
                <w:szCs w:val="20"/>
                <w:lang w:val="ga"/>
              </w:rPr>
              <w:t>12.4%</w:t>
            </w:r>
          </w:p>
        </w:tc>
      </w:tr>
      <w:tr w:rsidR="00F31303" w14:paraId="5EB95943"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25726482" w14:textId="77777777" w:rsidR="00590BEF" w:rsidRPr="007202FA" w:rsidRDefault="000B4F21" w:rsidP="007202FA">
            <w:pPr>
              <w:rPr>
                <w:sz w:val="20"/>
                <w:szCs w:val="20"/>
              </w:rPr>
            </w:pPr>
            <w:r>
              <w:rPr>
                <w:rFonts w:cs="Calibri"/>
                <w:sz w:val="20"/>
                <w:szCs w:val="20"/>
                <w:lang w:val="ga"/>
              </w:rPr>
              <w:t>Comhairle Contae Laoise</w:t>
            </w:r>
          </w:p>
        </w:tc>
        <w:tc>
          <w:tcPr>
            <w:tcW w:w="1559" w:type="dxa"/>
            <w:tcBorders>
              <w:top w:val="single" w:sz="4" w:space="0" w:color="auto"/>
              <w:left w:val="single" w:sz="4" w:space="0" w:color="auto"/>
              <w:bottom w:val="single" w:sz="4" w:space="0" w:color="auto"/>
              <w:right w:val="single" w:sz="4" w:space="0" w:color="auto"/>
            </w:tcBorders>
            <w:hideMark/>
          </w:tcPr>
          <w:p w14:paraId="30868939" w14:textId="77777777" w:rsidR="00590BEF" w:rsidRPr="007202FA" w:rsidRDefault="000B4F21" w:rsidP="007202FA">
            <w:pPr>
              <w:jc w:val="right"/>
              <w:rPr>
                <w:sz w:val="20"/>
                <w:szCs w:val="20"/>
              </w:rPr>
            </w:pPr>
            <w:r>
              <w:rPr>
                <w:rFonts w:cs="Calibri"/>
                <w:color w:val="000000"/>
                <w:sz w:val="20"/>
                <w:szCs w:val="20"/>
                <w:lang w:val="ga"/>
              </w:rPr>
              <w:t>510</w:t>
            </w:r>
          </w:p>
        </w:tc>
        <w:tc>
          <w:tcPr>
            <w:tcW w:w="1559" w:type="dxa"/>
            <w:tcBorders>
              <w:top w:val="single" w:sz="4" w:space="0" w:color="auto"/>
              <w:left w:val="single" w:sz="4" w:space="0" w:color="auto"/>
              <w:bottom w:val="single" w:sz="4" w:space="0" w:color="auto"/>
              <w:right w:val="single" w:sz="4" w:space="0" w:color="auto"/>
            </w:tcBorders>
            <w:hideMark/>
          </w:tcPr>
          <w:p w14:paraId="344B19D0" w14:textId="77777777" w:rsidR="00590BEF" w:rsidRPr="007202FA" w:rsidRDefault="000B4F21" w:rsidP="007202FA">
            <w:pPr>
              <w:jc w:val="right"/>
              <w:rPr>
                <w:sz w:val="20"/>
                <w:szCs w:val="20"/>
              </w:rPr>
            </w:pPr>
            <w:r>
              <w:rPr>
                <w:rFonts w:cs="Calibri"/>
                <w:color w:val="000000"/>
                <w:sz w:val="20"/>
                <w:szCs w:val="20"/>
                <w:lang w:val="ga"/>
              </w:rPr>
              <w:t>30</w:t>
            </w:r>
          </w:p>
        </w:tc>
        <w:tc>
          <w:tcPr>
            <w:tcW w:w="1559" w:type="dxa"/>
            <w:tcBorders>
              <w:top w:val="single" w:sz="4" w:space="0" w:color="auto"/>
              <w:left w:val="single" w:sz="4" w:space="0" w:color="auto"/>
              <w:bottom w:val="single" w:sz="4" w:space="0" w:color="auto"/>
              <w:right w:val="single" w:sz="4" w:space="0" w:color="auto"/>
            </w:tcBorders>
            <w:hideMark/>
          </w:tcPr>
          <w:p w14:paraId="402A0CB1" w14:textId="77777777" w:rsidR="00590BEF" w:rsidRPr="007202FA" w:rsidRDefault="000B4F21" w:rsidP="007202FA">
            <w:pPr>
              <w:jc w:val="right"/>
              <w:rPr>
                <w:sz w:val="20"/>
                <w:szCs w:val="20"/>
              </w:rPr>
            </w:pPr>
            <w:r>
              <w:rPr>
                <w:rFonts w:cs="Calibri"/>
                <w:color w:val="000000"/>
                <w:sz w:val="20"/>
                <w:szCs w:val="20"/>
                <w:lang w:val="ga"/>
              </w:rPr>
              <w:t>5.9%</w:t>
            </w:r>
          </w:p>
        </w:tc>
        <w:tc>
          <w:tcPr>
            <w:tcW w:w="1430" w:type="dxa"/>
            <w:tcBorders>
              <w:top w:val="single" w:sz="4" w:space="0" w:color="auto"/>
              <w:left w:val="single" w:sz="4" w:space="0" w:color="auto"/>
              <w:bottom w:val="single" w:sz="4" w:space="0" w:color="auto"/>
              <w:right w:val="single" w:sz="4" w:space="0" w:color="auto"/>
            </w:tcBorders>
            <w:hideMark/>
          </w:tcPr>
          <w:p w14:paraId="2835AAC2" w14:textId="77777777" w:rsidR="00590BEF" w:rsidRPr="007202FA" w:rsidRDefault="000B4F21" w:rsidP="007202FA">
            <w:pPr>
              <w:jc w:val="right"/>
              <w:rPr>
                <w:sz w:val="20"/>
                <w:szCs w:val="20"/>
              </w:rPr>
            </w:pPr>
            <w:r>
              <w:rPr>
                <w:rFonts w:cs="Calibri"/>
                <w:color w:val="000000"/>
                <w:sz w:val="20"/>
                <w:szCs w:val="20"/>
                <w:lang w:val="ga"/>
              </w:rPr>
              <w:t>532</w:t>
            </w:r>
          </w:p>
        </w:tc>
        <w:tc>
          <w:tcPr>
            <w:tcW w:w="1547" w:type="dxa"/>
            <w:tcBorders>
              <w:top w:val="single" w:sz="4" w:space="0" w:color="auto"/>
              <w:left w:val="single" w:sz="4" w:space="0" w:color="auto"/>
              <w:bottom w:val="single" w:sz="4" w:space="0" w:color="auto"/>
              <w:right w:val="single" w:sz="4" w:space="0" w:color="auto"/>
            </w:tcBorders>
            <w:hideMark/>
          </w:tcPr>
          <w:p w14:paraId="2DE4A0C1" w14:textId="77777777" w:rsidR="00590BEF" w:rsidRPr="007202FA" w:rsidRDefault="000B4F21" w:rsidP="007202FA">
            <w:pPr>
              <w:jc w:val="right"/>
              <w:rPr>
                <w:sz w:val="20"/>
                <w:szCs w:val="20"/>
              </w:rPr>
            </w:pPr>
            <w:r>
              <w:rPr>
                <w:rFonts w:cs="Calibri"/>
                <w:color w:val="000000"/>
                <w:sz w:val="20"/>
                <w:szCs w:val="20"/>
                <w:lang w:val="ga"/>
              </w:rPr>
              <w:t>35</w:t>
            </w:r>
          </w:p>
        </w:tc>
        <w:tc>
          <w:tcPr>
            <w:tcW w:w="1429" w:type="dxa"/>
            <w:tcBorders>
              <w:top w:val="single" w:sz="4" w:space="0" w:color="auto"/>
              <w:left w:val="single" w:sz="4" w:space="0" w:color="auto"/>
              <w:bottom w:val="single" w:sz="4" w:space="0" w:color="auto"/>
              <w:right w:val="single" w:sz="4" w:space="0" w:color="auto"/>
            </w:tcBorders>
            <w:hideMark/>
          </w:tcPr>
          <w:p w14:paraId="36F7E282" w14:textId="77777777" w:rsidR="00590BEF" w:rsidRPr="007202FA" w:rsidRDefault="000B4F21" w:rsidP="007202FA">
            <w:pPr>
              <w:jc w:val="right"/>
              <w:rPr>
                <w:sz w:val="20"/>
                <w:szCs w:val="20"/>
              </w:rPr>
            </w:pPr>
            <w:r>
              <w:rPr>
                <w:rFonts w:cs="Calibri"/>
                <w:color w:val="000000"/>
                <w:sz w:val="20"/>
                <w:szCs w:val="20"/>
                <w:lang w:val="ga"/>
              </w:rPr>
              <w:t>6.6%</w:t>
            </w:r>
          </w:p>
        </w:tc>
      </w:tr>
      <w:tr w:rsidR="00F31303" w14:paraId="77509650"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7A2367C" w14:textId="77777777" w:rsidR="00590BEF" w:rsidRPr="007202FA" w:rsidRDefault="000B4F21" w:rsidP="007202FA">
            <w:pPr>
              <w:rPr>
                <w:sz w:val="20"/>
                <w:szCs w:val="20"/>
              </w:rPr>
            </w:pPr>
            <w:r>
              <w:rPr>
                <w:rFonts w:cs="Calibri"/>
                <w:sz w:val="20"/>
                <w:szCs w:val="20"/>
                <w:lang w:val="ga"/>
              </w:rPr>
              <w:t>Comhairle Contae Liatroma</w:t>
            </w:r>
          </w:p>
        </w:tc>
        <w:tc>
          <w:tcPr>
            <w:tcW w:w="1559" w:type="dxa"/>
            <w:tcBorders>
              <w:top w:val="single" w:sz="4" w:space="0" w:color="auto"/>
              <w:left w:val="single" w:sz="4" w:space="0" w:color="auto"/>
              <w:bottom w:val="single" w:sz="4" w:space="0" w:color="auto"/>
              <w:right w:val="single" w:sz="4" w:space="0" w:color="auto"/>
            </w:tcBorders>
            <w:hideMark/>
          </w:tcPr>
          <w:p w14:paraId="7510F009" w14:textId="77777777" w:rsidR="00590BEF" w:rsidRPr="007202FA" w:rsidRDefault="000B4F21" w:rsidP="007202FA">
            <w:pPr>
              <w:jc w:val="right"/>
              <w:rPr>
                <w:sz w:val="20"/>
                <w:szCs w:val="20"/>
              </w:rPr>
            </w:pPr>
            <w:r>
              <w:rPr>
                <w:rFonts w:cs="Calibri"/>
                <w:color w:val="000000"/>
                <w:sz w:val="20"/>
                <w:szCs w:val="20"/>
                <w:lang w:val="ga"/>
              </w:rPr>
              <w:t>397</w:t>
            </w:r>
          </w:p>
        </w:tc>
        <w:tc>
          <w:tcPr>
            <w:tcW w:w="1559" w:type="dxa"/>
            <w:tcBorders>
              <w:top w:val="single" w:sz="4" w:space="0" w:color="auto"/>
              <w:left w:val="single" w:sz="4" w:space="0" w:color="auto"/>
              <w:bottom w:val="single" w:sz="4" w:space="0" w:color="auto"/>
              <w:right w:val="single" w:sz="4" w:space="0" w:color="auto"/>
            </w:tcBorders>
            <w:hideMark/>
          </w:tcPr>
          <w:p w14:paraId="25D583EE" w14:textId="77777777" w:rsidR="00590BEF" w:rsidRPr="007202FA" w:rsidRDefault="000B4F21" w:rsidP="007202FA">
            <w:pPr>
              <w:jc w:val="right"/>
              <w:rPr>
                <w:sz w:val="20"/>
                <w:szCs w:val="20"/>
              </w:rPr>
            </w:pPr>
            <w:r>
              <w:rPr>
                <w:rFonts w:cs="Calibri"/>
                <w:color w:val="000000"/>
                <w:sz w:val="20"/>
                <w:szCs w:val="20"/>
                <w:lang w:val="ga"/>
              </w:rPr>
              <w:t>16</w:t>
            </w:r>
          </w:p>
        </w:tc>
        <w:tc>
          <w:tcPr>
            <w:tcW w:w="1559" w:type="dxa"/>
            <w:tcBorders>
              <w:top w:val="single" w:sz="4" w:space="0" w:color="auto"/>
              <w:left w:val="single" w:sz="4" w:space="0" w:color="auto"/>
              <w:bottom w:val="single" w:sz="4" w:space="0" w:color="auto"/>
              <w:right w:val="single" w:sz="4" w:space="0" w:color="auto"/>
            </w:tcBorders>
            <w:hideMark/>
          </w:tcPr>
          <w:p w14:paraId="0B330247" w14:textId="77777777" w:rsidR="00590BEF" w:rsidRPr="007202FA" w:rsidRDefault="000B4F21" w:rsidP="007202FA">
            <w:pPr>
              <w:jc w:val="right"/>
              <w:rPr>
                <w:sz w:val="20"/>
                <w:szCs w:val="20"/>
              </w:rPr>
            </w:pPr>
            <w:r>
              <w:rPr>
                <w:rFonts w:cs="Calibri"/>
                <w:color w:val="000000"/>
                <w:sz w:val="20"/>
                <w:szCs w:val="20"/>
                <w:lang w:val="ga"/>
              </w:rPr>
              <w:t>4.0%</w:t>
            </w:r>
          </w:p>
        </w:tc>
        <w:tc>
          <w:tcPr>
            <w:tcW w:w="1430" w:type="dxa"/>
            <w:tcBorders>
              <w:top w:val="single" w:sz="4" w:space="0" w:color="auto"/>
              <w:left w:val="single" w:sz="4" w:space="0" w:color="auto"/>
              <w:bottom w:val="single" w:sz="4" w:space="0" w:color="auto"/>
              <w:right w:val="single" w:sz="4" w:space="0" w:color="auto"/>
            </w:tcBorders>
            <w:hideMark/>
          </w:tcPr>
          <w:p w14:paraId="3EEB15D7" w14:textId="77777777" w:rsidR="00590BEF" w:rsidRPr="007202FA" w:rsidRDefault="000B4F21" w:rsidP="007202FA">
            <w:pPr>
              <w:jc w:val="right"/>
              <w:rPr>
                <w:sz w:val="20"/>
                <w:szCs w:val="20"/>
              </w:rPr>
            </w:pPr>
            <w:r>
              <w:rPr>
                <w:rFonts w:cs="Calibri"/>
                <w:color w:val="000000"/>
                <w:sz w:val="20"/>
                <w:szCs w:val="20"/>
                <w:lang w:val="ga"/>
              </w:rPr>
              <w:t>406</w:t>
            </w:r>
          </w:p>
        </w:tc>
        <w:tc>
          <w:tcPr>
            <w:tcW w:w="1547" w:type="dxa"/>
            <w:tcBorders>
              <w:top w:val="single" w:sz="4" w:space="0" w:color="auto"/>
              <w:left w:val="single" w:sz="4" w:space="0" w:color="auto"/>
              <w:bottom w:val="single" w:sz="4" w:space="0" w:color="auto"/>
              <w:right w:val="single" w:sz="4" w:space="0" w:color="auto"/>
            </w:tcBorders>
            <w:hideMark/>
          </w:tcPr>
          <w:p w14:paraId="5BB1ADD9" w14:textId="77777777" w:rsidR="00590BEF" w:rsidRPr="007202FA" w:rsidRDefault="000B4F21" w:rsidP="007202FA">
            <w:pPr>
              <w:jc w:val="right"/>
              <w:rPr>
                <w:sz w:val="20"/>
                <w:szCs w:val="20"/>
              </w:rPr>
            </w:pPr>
            <w:r>
              <w:rPr>
                <w:rFonts w:cs="Calibri"/>
                <w:color w:val="000000"/>
                <w:sz w:val="20"/>
                <w:szCs w:val="20"/>
                <w:lang w:val="ga"/>
              </w:rPr>
              <w:t>19</w:t>
            </w:r>
          </w:p>
        </w:tc>
        <w:tc>
          <w:tcPr>
            <w:tcW w:w="1429" w:type="dxa"/>
            <w:tcBorders>
              <w:top w:val="single" w:sz="4" w:space="0" w:color="auto"/>
              <w:left w:val="single" w:sz="4" w:space="0" w:color="auto"/>
              <w:bottom w:val="single" w:sz="4" w:space="0" w:color="auto"/>
              <w:right w:val="single" w:sz="4" w:space="0" w:color="auto"/>
            </w:tcBorders>
            <w:hideMark/>
          </w:tcPr>
          <w:p w14:paraId="4A674861" w14:textId="77777777" w:rsidR="00590BEF" w:rsidRPr="007202FA" w:rsidRDefault="000B4F21" w:rsidP="007202FA">
            <w:pPr>
              <w:jc w:val="right"/>
              <w:rPr>
                <w:sz w:val="20"/>
                <w:szCs w:val="20"/>
              </w:rPr>
            </w:pPr>
            <w:r>
              <w:rPr>
                <w:rFonts w:cs="Calibri"/>
                <w:color w:val="000000"/>
                <w:sz w:val="20"/>
                <w:szCs w:val="20"/>
                <w:lang w:val="ga"/>
              </w:rPr>
              <w:t>4.7%</w:t>
            </w:r>
          </w:p>
        </w:tc>
      </w:tr>
      <w:tr w:rsidR="00F31303" w14:paraId="796DCD2D"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9A37C89" w14:textId="77777777" w:rsidR="00590BEF" w:rsidRPr="007202FA" w:rsidRDefault="000B4F21" w:rsidP="007202FA">
            <w:pPr>
              <w:rPr>
                <w:sz w:val="20"/>
                <w:szCs w:val="20"/>
              </w:rPr>
            </w:pPr>
            <w:r>
              <w:rPr>
                <w:rFonts w:cs="Calibri"/>
                <w:sz w:val="20"/>
                <w:szCs w:val="20"/>
                <w:lang w:val="ga"/>
              </w:rPr>
              <w:t>Comhairle Cathrach agus Contae Luimnigh</w:t>
            </w:r>
          </w:p>
        </w:tc>
        <w:tc>
          <w:tcPr>
            <w:tcW w:w="1559" w:type="dxa"/>
            <w:tcBorders>
              <w:top w:val="single" w:sz="4" w:space="0" w:color="auto"/>
              <w:left w:val="single" w:sz="4" w:space="0" w:color="auto"/>
              <w:bottom w:val="single" w:sz="4" w:space="0" w:color="auto"/>
              <w:right w:val="single" w:sz="4" w:space="0" w:color="auto"/>
            </w:tcBorders>
            <w:hideMark/>
          </w:tcPr>
          <w:p w14:paraId="3FED8F2D" w14:textId="77777777" w:rsidR="00590BEF" w:rsidRPr="007202FA" w:rsidRDefault="000B4F21" w:rsidP="007202FA">
            <w:pPr>
              <w:jc w:val="right"/>
              <w:rPr>
                <w:sz w:val="20"/>
                <w:szCs w:val="20"/>
              </w:rPr>
            </w:pPr>
            <w:r>
              <w:rPr>
                <w:rFonts w:cs="Calibri"/>
                <w:color w:val="000000"/>
                <w:sz w:val="20"/>
                <w:szCs w:val="20"/>
                <w:lang w:val="ga"/>
              </w:rPr>
              <w:t>1,503</w:t>
            </w:r>
          </w:p>
        </w:tc>
        <w:tc>
          <w:tcPr>
            <w:tcW w:w="1559" w:type="dxa"/>
            <w:tcBorders>
              <w:top w:val="single" w:sz="4" w:space="0" w:color="auto"/>
              <w:left w:val="single" w:sz="4" w:space="0" w:color="auto"/>
              <w:bottom w:val="single" w:sz="4" w:space="0" w:color="auto"/>
              <w:right w:val="single" w:sz="4" w:space="0" w:color="auto"/>
            </w:tcBorders>
            <w:hideMark/>
          </w:tcPr>
          <w:p w14:paraId="179A9169" w14:textId="77777777" w:rsidR="00590BEF" w:rsidRPr="007202FA" w:rsidRDefault="000B4F21" w:rsidP="007202FA">
            <w:pPr>
              <w:jc w:val="right"/>
              <w:rPr>
                <w:sz w:val="20"/>
                <w:szCs w:val="20"/>
              </w:rPr>
            </w:pPr>
            <w:r>
              <w:rPr>
                <w:rFonts w:cs="Calibri"/>
                <w:color w:val="000000"/>
                <w:sz w:val="20"/>
                <w:szCs w:val="20"/>
                <w:lang w:val="ga"/>
              </w:rPr>
              <w:t>133</w:t>
            </w:r>
          </w:p>
        </w:tc>
        <w:tc>
          <w:tcPr>
            <w:tcW w:w="1559" w:type="dxa"/>
            <w:tcBorders>
              <w:top w:val="single" w:sz="4" w:space="0" w:color="auto"/>
              <w:left w:val="single" w:sz="4" w:space="0" w:color="auto"/>
              <w:bottom w:val="single" w:sz="4" w:space="0" w:color="auto"/>
              <w:right w:val="single" w:sz="4" w:space="0" w:color="auto"/>
            </w:tcBorders>
            <w:hideMark/>
          </w:tcPr>
          <w:p w14:paraId="1FC91761" w14:textId="77777777" w:rsidR="00590BEF" w:rsidRPr="007202FA" w:rsidRDefault="000B4F21" w:rsidP="007202FA">
            <w:pPr>
              <w:jc w:val="right"/>
              <w:rPr>
                <w:sz w:val="20"/>
                <w:szCs w:val="20"/>
              </w:rPr>
            </w:pPr>
            <w:r>
              <w:rPr>
                <w:rFonts w:cs="Calibri"/>
                <w:color w:val="000000"/>
                <w:sz w:val="20"/>
                <w:szCs w:val="20"/>
                <w:lang w:val="ga"/>
              </w:rPr>
              <w:t>8.8%</w:t>
            </w:r>
          </w:p>
        </w:tc>
        <w:tc>
          <w:tcPr>
            <w:tcW w:w="1430" w:type="dxa"/>
            <w:tcBorders>
              <w:top w:val="single" w:sz="4" w:space="0" w:color="auto"/>
              <w:left w:val="single" w:sz="4" w:space="0" w:color="auto"/>
              <w:bottom w:val="single" w:sz="4" w:space="0" w:color="auto"/>
              <w:right w:val="single" w:sz="4" w:space="0" w:color="auto"/>
            </w:tcBorders>
            <w:hideMark/>
          </w:tcPr>
          <w:p w14:paraId="00929A7E" w14:textId="77777777" w:rsidR="00590BEF" w:rsidRPr="007202FA" w:rsidRDefault="000B4F21" w:rsidP="007202FA">
            <w:pPr>
              <w:jc w:val="right"/>
              <w:rPr>
                <w:sz w:val="20"/>
                <w:szCs w:val="20"/>
              </w:rPr>
            </w:pPr>
            <w:r>
              <w:rPr>
                <w:rFonts w:cs="Calibri"/>
                <w:color w:val="000000"/>
                <w:sz w:val="20"/>
                <w:szCs w:val="20"/>
                <w:lang w:val="ga"/>
              </w:rPr>
              <w:t>1,511</w:t>
            </w:r>
          </w:p>
        </w:tc>
        <w:tc>
          <w:tcPr>
            <w:tcW w:w="1547" w:type="dxa"/>
            <w:tcBorders>
              <w:top w:val="single" w:sz="4" w:space="0" w:color="auto"/>
              <w:left w:val="single" w:sz="4" w:space="0" w:color="auto"/>
              <w:bottom w:val="single" w:sz="4" w:space="0" w:color="auto"/>
              <w:right w:val="single" w:sz="4" w:space="0" w:color="auto"/>
            </w:tcBorders>
            <w:hideMark/>
          </w:tcPr>
          <w:p w14:paraId="133D745F" w14:textId="77777777" w:rsidR="00590BEF" w:rsidRPr="007202FA" w:rsidRDefault="000B4F21" w:rsidP="007202FA">
            <w:pPr>
              <w:jc w:val="right"/>
              <w:rPr>
                <w:sz w:val="20"/>
                <w:szCs w:val="20"/>
              </w:rPr>
            </w:pPr>
            <w:r>
              <w:rPr>
                <w:rFonts w:cs="Calibri"/>
                <w:color w:val="000000"/>
                <w:sz w:val="20"/>
                <w:szCs w:val="20"/>
                <w:lang w:val="ga"/>
              </w:rPr>
              <w:t>133</w:t>
            </w:r>
          </w:p>
        </w:tc>
        <w:tc>
          <w:tcPr>
            <w:tcW w:w="1429" w:type="dxa"/>
            <w:tcBorders>
              <w:top w:val="single" w:sz="4" w:space="0" w:color="auto"/>
              <w:left w:val="single" w:sz="4" w:space="0" w:color="auto"/>
              <w:bottom w:val="single" w:sz="4" w:space="0" w:color="auto"/>
              <w:right w:val="single" w:sz="4" w:space="0" w:color="auto"/>
            </w:tcBorders>
            <w:hideMark/>
          </w:tcPr>
          <w:p w14:paraId="37A61484" w14:textId="77777777" w:rsidR="00590BEF" w:rsidRPr="007202FA" w:rsidRDefault="000B4F21" w:rsidP="007202FA">
            <w:pPr>
              <w:jc w:val="right"/>
              <w:rPr>
                <w:sz w:val="20"/>
                <w:szCs w:val="20"/>
              </w:rPr>
            </w:pPr>
            <w:r>
              <w:rPr>
                <w:rFonts w:cs="Calibri"/>
                <w:color w:val="000000"/>
                <w:sz w:val="20"/>
                <w:szCs w:val="20"/>
                <w:lang w:val="ga"/>
              </w:rPr>
              <w:t>8.8%</w:t>
            </w:r>
          </w:p>
        </w:tc>
      </w:tr>
      <w:tr w:rsidR="00F31303" w14:paraId="20F186F8"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46528F1" w14:textId="77777777" w:rsidR="00590BEF" w:rsidRPr="007202FA" w:rsidRDefault="000B4F21" w:rsidP="007202FA">
            <w:pPr>
              <w:rPr>
                <w:sz w:val="20"/>
                <w:szCs w:val="20"/>
              </w:rPr>
            </w:pPr>
            <w:r>
              <w:rPr>
                <w:rFonts w:cs="Calibri"/>
                <w:sz w:val="20"/>
                <w:szCs w:val="20"/>
                <w:lang w:val="ga"/>
              </w:rPr>
              <w:t>An Ghníomhaireacht Bainistíochta Rialtais Áitiúil</w:t>
            </w:r>
          </w:p>
        </w:tc>
        <w:tc>
          <w:tcPr>
            <w:tcW w:w="1559" w:type="dxa"/>
            <w:tcBorders>
              <w:top w:val="single" w:sz="4" w:space="0" w:color="auto"/>
              <w:left w:val="single" w:sz="4" w:space="0" w:color="auto"/>
              <w:bottom w:val="single" w:sz="4" w:space="0" w:color="auto"/>
              <w:right w:val="single" w:sz="4" w:space="0" w:color="auto"/>
            </w:tcBorders>
            <w:hideMark/>
          </w:tcPr>
          <w:p w14:paraId="37E0671D" w14:textId="77777777" w:rsidR="00590BEF" w:rsidRPr="007202FA" w:rsidRDefault="000B4F21" w:rsidP="007202FA">
            <w:pPr>
              <w:jc w:val="right"/>
              <w:rPr>
                <w:sz w:val="20"/>
                <w:szCs w:val="20"/>
              </w:rPr>
            </w:pPr>
            <w:r>
              <w:rPr>
                <w:rFonts w:cs="Calibri"/>
                <w:color w:val="000000"/>
                <w:sz w:val="20"/>
                <w:szCs w:val="20"/>
                <w:lang w:val="ga"/>
              </w:rPr>
              <w:t>142</w:t>
            </w:r>
          </w:p>
        </w:tc>
        <w:tc>
          <w:tcPr>
            <w:tcW w:w="1559" w:type="dxa"/>
            <w:tcBorders>
              <w:top w:val="single" w:sz="4" w:space="0" w:color="auto"/>
              <w:left w:val="single" w:sz="4" w:space="0" w:color="auto"/>
              <w:bottom w:val="single" w:sz="4" w:space="0" w:color="auto"/>
              <w:right w:val="single" w:sz="4" w:space="0" w:color="auto"/>
            </w:tcBorders>
            <w:hideMark/>
          </w:tcPr>
          <w:p w14:paraId="36E09AE7" w14:textId="77777777" w:rsidR="00590BEF" w:rsidRPr="007202FA" w:rsidRDefault="000B4F21" w:rsidP="007202FA">
            <w:pPr>
              <w:jc w:val="right"/>
              <w:rPr>
                <w:sz w:val="20"/>
                <w:szCs w:val="20"/>
              </w:rPr>
            </w:pPr>
            <w:r>
              <w:rPr>
                <w:rFonts w:cs="Calibri"/>
                <w:color w:val="000000"/>
                <w:sz w:val="20"/>
                <w:szCs w:val="20"/>
                <w:lang w:val="ga"/>
              </w:rPr>
              <w:t>9</w:t>
            </w:r>
          </w:p>
        </w:tc>
        <w:tc>
          <w:tcPr>
            <w:tcW w:w="1559" w:type="dxa"/>
            <w:tcBorders>
              <w:top w:val="single" w:sz="4" w:space="0" w:color="auto"/>
              <w:left w:val="single" w:sz="4" w:space="0" w:color="auto"/>
              <w:bottom w:val="single" w:sz="4" w:space="0" w:color="auto"/>
              <w:right w:val="single" w:sz="4" w:space="0" w:color="auto"/>
            </w:tcBorders>
            <w:hideMark/>
          </w:tcPr>
          <w:p w14:paraId="61A361D0" w14:textId="77777777" w:rsidR="00590BEF" w:rsidRPr="007202FA" w:rsidRDefault="000B4F21" w:rsidP="007202FA">
            <w:pPr>
              <w:jc w:val="right"/>
              <w:rPr>
                <w:sz w:val="20"/>
                <w:szCs w:val="20"/>
              </w:rPr>
            </w:pPr>
            <w:r>
              <w:rPr>
                <w:rFonts w:cs="Calibri"/>
                <w:color w:val="000000"/>
                <w:sz w:val="20"/>
                <w:szCs w:val="20"/>
                <w:lang w:val="ga"/>
              </w:rPr>
              <w:t>6.3%</w:t>
            </w:r>
          </w:p>
        </w:tc>
        <w:tc>
          <w:tcPr>
            <w:tcW w:w="1430" w:type="dxa"/>
            <w:tcBorders>
              <w:top w:val="single" w:sz="4" w:space="0" w:color="auto"/>
              <w:left w:val="single" w:sz="4" w:space="0" w:color="auto"/>
              <w:bottom w:val="single" w:sz="4" w:space="0" w:color="auto"/>
              <w:right w:val="single" w:sz="4" w:space="0" w:color="auto"/>
            </w:tcBorders>
            <w:hideMark/>
          </w:tcPr>
          <w:p w14:paraId="53EC56DB" w14:textId="77777777" w:rsidR="00590BEF" w:rsidRPr="007202FA" w:rsidRDefault="000B4F21" w:rsidP="007202FA">
            <w:pPr>
              <w:jc w:val="right"/>
              <w:rPr>
                <w:sz w:val="20"/>
                <w:szCs w:val="20"/>
              </w:rPr>
            </w:pPr>
            <w:r>
              <w:rPr>
                <w:rFonts w:cs="Calibri"/>
                <w:color w:val="000000"/>
                <w:sz w:val="20"/>
                <w:szCs w:val="20"/>
                <w:lang w:val="ga"/>
              </w:rPr>
              <w:t>135</w:t>
            </w:r>
          </w:p>
        </w:tc>
        <w:tc>
          <w:tcPr>
            <w:tcW w:w="1547" w:type="dxa"/>
            <w:tcBorders>
              <w:top w:val="single" w:sz="4" w:space="0" w:color="auto"/>
              <w:left w:val="single" w:sz="4" w:space="0" w:color="auto"/>
              <w:bottom w:val="single" w:sz="4" w:space="0" w:color="auto"/>
              <w:right w:val="single" w:sz="4" w:space="0" w:color="auto"/>
            </w:tcBorders>
            <w:hideMark/>
          </w:tcPr>
          <w:p w14:paraId="2CCCF7C9" w14:textId="77777777" w:rsidR="00590BEF" w:rsidRPr="007202FA" w:rsidRDefault="000B4F21" w:rsidP="007202FA">
            <w:pPr>
              <w:jc w:val="right"/>
              <w:rPr>
                <w:sz w:val="20"/>
                <w:szCs w:val="20"/>
              </w:rPr>
            </w:pPr>
            <w:r>
              <w:rPr>
                <w:rFonts w:cs="Calibri"/>
                <w:color w:val="000000"/>
                <w:sz w:val="20"/>
                <w:szCs w:val="20"/>
                <w:lang w:val="ga"/>
              </w:rPr>
              <w:t>11</w:t>
            </w:r>
          </w:p>
        </w:tc>
        <w:tc>
          <w:tcPr>
            <w:tcW w:w="1429" w:type="dxa"/>
            <w:tcBorders>
              <w:top w:val="single" w:sz="4" w:space="0" w:color="auto"/>
              <w:left w:val="single" w:sz="4" w:space="0" w:color="auto"/>
              <w:bottom w:val="single" w:sz="4" w:space="0" w:color="auto"/>
              <w:right w:val="single" w:sz="4" w:space="0" w:color="auto"/>
            </w:tcBorders>
            <w:hideMark/>
          </w:tcPr>
          <w:p w14:paraId="4E4AA6E5" w14:textId="77777777" w:rsidR="00590BEF" w:rsidRPr="007202FA" w:rsidRDefault="000B4F21" w:rsidP="007202FA">
            <w:pPr>
              <w:jc w:val="right"/>
              <w:rPr>
                <w:sz w:val="20"/>
                <w:szCs w:val="20"/>
              </w:rPr>
            </w:pPr>
            <w:r>
              <w:rPr>
                <w:rFonts w:cs="Calibri"/>
                <w:color w:val="000000"/>
                <w:sz w:val="20"/>
                <w:szCs w:val="20"/>
                <w:lang w:val="ga"/>
              </w:rPr>
              <w:t>8.1%</w:t>
            </w:r>
          </w:p>
        </w:tc>
      </w:tr>
      <w:tr w:rsidR="00F31303" w14:paraId="6BB3DBC1"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CD3A185" w14:textId="77777777" w:rsidR="00590BEF" w:rsidRPr="007202FA" w:rsidRDefault="000B4F21" w:rsidP="007202FA">
            <w:pPr>
              <w:rPr>
                <w:sz w:val="20"/>
                <w:szCs w:val="20"/>
              </w:rPr>
            </w:pPr>
            <w:r>
              <w:rPr>
                <w:rFonts w:cs="Calibri"/>
                <w:sz w:val="20"/>
                <w:szCs w:val="20"/>
                <w:lang w:val="ga"/>
              </w:rPr>
              <w:t>Comhairle Contae an Longfoirt</w:t>
            </w:r>
          </w:p>
        </w:tc>
        <w:tc>
          <w:tcPr>
            <w:tcW w:w="1559" w:type="dxa"/>
            <w:tcBorders>
              <w:top w:val="single" w:sz="4" w:space="0" w:color="auto"/>
              <w:left w:val="single" w:sz="4" w:space="0" w:color="auto"/>
              <w:bottom w:val="single" w:sz="4" w:space="0" w:color="auto"/>
              <w:right w:val="single" w:sz="4" w:space="0" w:color="auto"/>
            </w:tcBorders>
            <w:hideMark/>
          </w:tcPr>
          <w:p w14:paraId="0DE86BD2" w14:textId="77777777" w:rsidR="00590BEF" w:rsidRPr="007202FA" w:rsidRDefault="000B4F21" w:rsidP="007202FA">
            <w:pPr>
              <w:jc w:val="right"/>
              <w:rPr>
                <w:sz w:val="20"/>
                <w:szCs w:val="20"/>
              </w:rPr>
            </w:pPr>
            <w:r>
              <w:rPr>
                <w:rFonts w:cs="Calibri"/>
                <w:color w:val="000000"/>
                <w:sz w:val="20"/>
                <w:szCs w:val="20"/>
                <w:lang w:val="ga"/>
              </w:rPr>
              <w:t>422</w:t>
            </w:r>
          </w:p>
        </w:tc>
        <w:tc>
          <w:tcPr>
            <w:tcW w:w="1559" w:type="dxa"/>
            <w:tcBorders>
              <w:top w:val="single" w:sz="4" w:space="0" w:color="auto"/>
              <w:left w:val="single" w:sz="4" w:space="0" w:color="auto"/>
              <w:bottom w:val="single" w:sz="4" w:space="0" w:color="auto"/>
              <w:right w:val="single" w:sz="4" w:space="0" w:color="auto"/>
            </w:tcBorders>
            <w:hideMark/>
          </w:tcPr>
          <w:p w14:paraId="287D1E8C" w14:textId="77777777" w:rsidR="00590BEF" w:rsidRPr="007202FA" w:rsidRDefault="000B4F21" w:rsidP="007202FA">
            <w:pPr>
              <w:jc w:val="right"/>
              <w:rPr>
                <w:sz w:val="20"/>
                <w:szCs w:val="20"/>
              </w:rPr>
            </w:pPr>
            <w:r>
              <w:rPr>
                <w:rFonts w:cs="Calibri"/>
                <w:color w:val="000000"/>
                <w:sz w:val="20"/>
                <w:szCs w:val="20"/>
                <w:lang w:val="ga"/>
              </w:rPr>
              <w:t>47</w:t>
            </w:r>
          </w:p>
        </w:tc>
        <w:tc>
          <w:tcPr>
            <w:tcW w:w="1559" w:type="dxa"/>
            <w:tcBorders>
              <w:top w:val="single" w:sz="4" w:space="0" w:color="auto"/>
              <w:left w:val="single" w:sz="4" w:space="0" w:color="auto"/>
              <w:bottom w:val="single" w:sz="4" w:space="0" w:color="auto"/>
              <w:right w:val="single" w:sz="4" w:space="0" w:color="auto"/>
            </w:tcBorders>
            <w:hideMark/>
          </w:tcPr>
          <w:p w14:paraId="6309B0BB" w14:textId="77777777" w:rsidR="00590BEF" w:rsidRPr="007202FA" w:rsidRDefault="000B4F21" w:rsidP="007202FA">
            <w:pPr>
              <w:jc w:val="right"/>
              <w:rPr>
                <w:sz w:val="20"/>
                <w:szCs w:val="20"/>
              </w:rPr>
            </w:pPr>
            <w:r>
              <w:rPr>
                <w:rFonts w:cs="Calibri"/>
                <w:color w:val="000000"/>
                <w:sz w:val="20"/>
                <w:szCs w:val="20"/>
                <w:lang w:val="ga"/>
              </w:rPr>
              <w:t>11.1%</w:t>
            </w:r>
          </w:p>
        </w:tc>
        <w:tc>
          <w:tcPr>
            <w:tcW w:w="1430" w:type="dxa"/>
            <w:tcBorders>
              <w:top w:val="single" w:sz="4" w:space="0" w:color="auto"/>
              <w:left w:val="single" w:sz="4" w:space="0" w:color="auto"/>
              <w:bottom w:val="single" w:sz="4" w:space="0" w:color="auto"/>
              <w:right w:val="single" w:sz="4" w:space="0" w:color="auto"/>
            </w:tcBorders>
            <w:hideMark/>
          </w:tcPr>
          <w:p w14:paraId="05CDE7E7" w14:textId="77777777" w:rsidR="00590BEF" w:rsidRPr="007202FA" w:rsidRDefault="000B4F21" w:rsidP="007202FA">
            <w:pPr>
              <w:jc w:val="right"/>
              <w:rPr>
                <w:sz w:val="20"/>
                <w:szCs w:val="20"/>
              </w:rPr>
            </w:pPr>
            <w:r>
              <w:rPr>
                <w:rFonts w:cs="Calibri"/>
                <w:color w:val="000000"/>
                <w:sz w:val="20"/>
                <w:szCs w:val="20"/>
                <w:lang w:val="ga"/>
              </w:rPr>
              <w:t>435</w:t>
            </w:r>
          </w:p>
        </w:tc>
        <w:tc>
          <w:tcPr>
            <w:tcW w:w="1547" w:type="dxa"/>
            <w:tcBorders>
              <w:top w:val="single" w:sz="4" w:space="0" w:color="auto"/>
              <w:left w:val="single" w:sz="4" w:space="0" w:color="auto"/>
              <w:bottom w:val="single" w:sz="4" w:space="0" w:color="auto"/>
              <w:right w:val="single" w:sz="4" w:space="0" w:color="auto"/>
            </w:tcBorders>
            <w:hideMark/>
          </w:tcPr>
          <w:p w14:paraId="474646F5" w14:textId="77777777" w:rsidR="00590BEF" w:rsidRPr="007202FA" w:rsidRDefault="000B4F21" w:rsidP="007202FA">
            <w:pPr>
              <w:jc w:val="right"/>
              <w:rPr>
                <w:sz w:val="20"/>
                <w:szCs w:val="20"/>
              </w:rPr>
            </w:pPr>
            <w:r>
              <w:rPr>
                <w:rFonts w:cs="Calibri"/>
                <w:color w:val="000000"/>
                <w:sz w:val="20"/>
                <w:szCs w:val="20"/>
                <w:lang w:val="ga"/>
              </w:rPr>
              <w:t>33</w:t>
            </w:r>
          </w:p>
        </w:tc>
        <w:tc>
          <w:tcPr>
            <w:tcW w:w="1429" w:type="dxa"/>
            <w:tcBorders>
              <w:top w:val="single" w:sz="4" w:space="0" w:color="auto"/>
              <w:left w:val="single" w:sz="4" w:space="0" w:color="auto"/>
              <w:bottom w:val="single" w:sz="4" w:space="0" w:color="auto"/>
              <w:right w:val="single" w:sz="4" w:space="0" w:color="auto"/>
            </w:tcBorders>
            <w:hideMark/>
          </w:tcPr>
          <w:p w14:paraId="6E1D0E20" w14:textId="77777777" w:rsidR="00590BEF" w:rsidRPr="007202FA" w:rsidRDefault="000B4F21" w:rsidP="007202FA">
            <w:pPr>
              <w:jc w:val="right"/>
              <w:rPr>
                <w:sz w:val="20"/>
                <w:szCs w:val="20"/>
              </w:rPr>
            </w:pPr>
            <w:r>
              <w:rPr>
                <w:rFonts w:cs="Calibri"/>
                <w:color w:val="000000"/>
                <w:sz w:val="20"/>
                <w:szCs w:val="20"/>
                <w:lang w:val="ga"/>
              </w:rPr>
              <w:t>7.6%</w:t>
            </w:r>
          </w:p>
        </w:tc>
      </w:tr>
      <w:tr w:rsidR="00F31303" w14:paraId="4A41296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E027E4F" w14:textId="77777777" w:rsidR="00590BEF" w:rsidRPr="007202FA" w:rsidRDefault="000B4F21" w:rsidP="007202FA">
            <w:pPr>
              <w:rPr>
                <w:sz w:val="20"/>
                <w:szCs w:val="20"/>
              </w:rPr>
            </w:pPr>
            <w:r>
              <w:rPr>
                <w:rFonts w:cs="Calibri"/>
                <w:sz w:val="20"/>
                <w:szCs w:val="20"/>
                <w:lang w:val="ga"/>
              </w:rPr>
              <w:t>Comhairle Contae Lú</w:t>
            </w:r>
          </w:p>
        </w:tc>
        <w:tc>
          <w:tcPr>
            <w:tcW w:w="1559" w:type="dxa"/>
            <w:tcBorders>
              <w:top w:val="single" w:sz="4" w:space="0" w:color="auto"/>
              <w:left w:val="single" w:sz="4" w:space="0" w:color="auto"/>
              <w:bottom w:val="single" w:sz="4" w:space="0" w:color="auto"/>
              <w:right w:val="single" w:sz="4" w:space="0" w:color="auto"/>
            </w:tcBorders>
            <w:hideMark/>
          </w:tcPr>
          <w:p w14:paraId="70B49EFF" w14:textId="77777777" w:rsidR="00590BEF" w:rsidRPr="007202FA" w:rsidRDefault="000B4F21" w:rsidP="007202FA">
            <w:pPr>
              <w:jc w:val="right"/>
              <w:rPr>
                <w:sz w:val="20"/>
                <w:szCs w:val="20"/>
              </w:rPr>
            </w:pPr>
            <w:r>
              <w:rPr>
                <w:rFonts w:cs="Calibri"/>
                <w:color w:val="000000"/>
                <w:sz w:val="20"/>
                <w:szCs w:val="20"/>
                <w:lang w:val="ga"/>
              </w:rPr>
              <w:t>791</w:t>
            </w:r>
          </w:p>
        </w:tc>
        <w:tc>
          <w:tcPr>
            <w:tcW w:w="1559" w:type="dxa"/>
            <w:tcBorders>
              <w:top w:val="single" w:sz="4" w:space="0" w:color="auto"/>
              <w:left w:val="single" w:sz="4" w:space="0" w:color="auto"/>
              <w:bottom w:val="single" w:sz="4" w:space="0" w:color="auto"/>
              <w:right w:val="single" w:sz="4" w:space="0" w:color="auto"/>
            </w:tcBorders>
            <w:hideMark/>
          </w:tcPr>
          <w:p w14:paraId="5C44980B" w14:textId="77777777" w:rsidR="00590BEF" w:rsidRPr="007202FA" w:rsidRDefault="000B4F21" w:rsidP="007202FA">
            <w:pPr>
              <w:jc w:val="right"/>
              <w:rPr>
                <w:sz w:val="20"/>
                <w:szCs w:val="20"/>
              </w:rPr>
            </w:pPr>
            <w:r>
              <w:rPr>
                <w:rFonts w:cs="Calibri"/>
                <w:color w:val="000000"/>
                <w:sz w:val="20"/>
                <w:szCs w:val="20"/>
                <w:lang w:val="ga"/>
              </w:rPr>
              <w:t>25</w:t>
            </w:r>
          </w:p>
        </w:tc>
        <w:tc>
          <w:tcPr>
            <w:tcW w:w="1559" w:type="dxa"/>
            <w:tcBorders>
              <w:top w:val="single" w:sz="4" w:space="0" w:color="auto"/>
              <w:left w:val="single" w:sz="4" w:space="0" w:color="auto"/>
              <w:bottom w:val="single" w:sz="4" w:space="0" w:color="auto"/>
              <w:right w:val="single" w:sz="4" w:space="0" w:color="auto"/>
            </w:tcBorders>
            <w:hideMark/>
          </w:tcPr>
          <w:p w14:paraId="4E89BE21" w14:textId="77777777" w:rsidR="00590BEF" w:rsidRPr="007202FA" w:rsidRDefault="000B4F21" w:rsidP="007202FA">
            <w:pPr>
              <w:jc w:val="right"/>
              <w:rPr>
                <w:sz w:val="20"/>
                <w:szCs w:val="20"/>
              </w:rPr>
            </w:pPr>
            <w:r>
              <w:rPr>
                <w:rFonts w:cs="Calibri"/>
                <w:color w:val="000000"/>
                <w:sz w:val="20"/>
                <w:szCs w:val="20"/>
                <w:lang w:val="ga"/>
              </w:rPr>
              <w:t>3.2%</w:t>
            </w:r>
          </w:p>
        </w:tc>
        <w:tc>
          <w:tcPr>
            <w:tcW w:w="1430" w:type="dxa"/>
            <w:tcBorders>
              <w:top w:val="single" w:sz="4" w:space="0" w:color="auto"/>
              <w:left w:val="single" w:sz="4" w:space="0" w:color="auto"/>
              <w:bottom w:val="single" w:sz="4" w:space="0" w:color="auto"/>
              <w:right w:val="single" w:sz="4" w:space="0" w:color="auto"/>
            </w:tcBorders>
            <w:hideMark/>
          </w:tcPr>
          <w:p w14:paraId="154FD38E" w14:textId="77777777" w:rsidR="00590BEF" w:rsidRPr="007202FA" w:rsidRDefault="000B4F21" w:rsidP="007202FA">
            <w:pPr>
              <w:jc w:val="right"/>
              <w:rPr>
                <w:sz w:val="20"/>
                <w:szCs w:val="20"/>
              </w:rPr>
            </w:pPr>
            <w:r>
              <w:rPr>
                <w:rFonts w:cs="Calibri"/>
                <w:color w:val="000000"/>
                <w:sz w:val="20"/>
                <w:szCs w:val="20"/>
                <w:lang w:val="ga"/>
              </w:rPr>
              <w:t>811</w:t>
            </w:r>
          </w:p>
        </w:tc>
        <w:tc>
          <w:tcPr>
            <w:tcW w:w="1547" w:type="dxa"/>
            <w:tcBorders>
              <w:top w:val="single" w:sz="4" w:space="0" w:color="auto"/>
              <w:left w:val="single" w:sz="4" w:space="0" w:color="auto"/>
              <w:bottom w:val="single" w:sz="4" w:space="0" w:color="auto"/>
              <w:right w:val="single" w:sz="4" w:space="0" w:color="auto"/>
            </w:tcBorders>
            <w:hideMark/>
          </w:tcPr>
          <w:p w14:paraId="3273A0B7" w14:textId="77777777" w:rsidR="00590BEF" w:rsidRPr="007202FA" w:rsidRDefault="000B4F21" w:rsidP="007202FA">
            <w:pPr>
              <w:jc w:val="right"/>
              <w:rPr>
                <w:sz w:val="20"/>
                <w:szCs w:val="20"/>
              </w:rPr>
            </w:pPr>
            <w:r>
              <w:rPr>
                <w:rFonts w:cs="Calibri"/>
                <w:color w:val="000000"/>
                <w:sz w:val="20"/>
                <w:szCs w:val="20"/>
                <w:lang w:val="ga"/>
              </w:rPr>
              <w:t>76</w:t>
            </w:r>
          </w:p>
        </w:tc>
        <w:tc>
          <w:tcPr>
            <w:tcW w:w="1429" w:type="dxa"/>
            <w:tcBorders>
              <w:top w:val="single" w:sz="4" w:space="0" w:color="auto"/>
              <w:left w:val="single" w:sz="4" w:space="0" w:color="auto"/>
              <w:bottom w:val="single" w:sz="4" w:space="0" w:color="auto"/>
              <w:right w:val="single" w:sz="4" w:space="0" w:color="auto"/>
            </w:tcBorders>
            <w:hideMark/>
          </w:tcPr>
          <w:p w14:paraId="18E953D1" w14:textId="77777777" w:rsidR="00590BEF" w:rsidRPr="007202FA" w:rsidRDefault="000B4F21" w:rsidP="007202FA">
            <w:pPr>
              <w:jc w:val="right"/>
              <w:rPr>
                <w:sz w:val="20"/>
                <w:szCs w:val="20"/>
              </w:rPr>
            </w:pPr>
            <w:r>
              <w:rPr>
                <w:rFonts w:cs="Calibri"/>
                <w:color w:val="000000"/>
                <w:sz w:val="20"/>
                <w:szCs w:val="20"/>
                <w:lang w:val="ga"/>
              </w:rPr>
              <w:t>9.4%</w:t>
            </w:r>
          </w:p>
        </w:tc>
      </w:tr>
      <w:tr w:rsidR="00F31303" w14:paraId="38CC9129"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40DE4243" w14:textId="77777777" w:rsidR="00590BEF" w:rsidRPr="007202FA" w:rsidRDefault="000B4F21" w:rsidP="007202FA">
            <w:pPr>
              <w:rPr>
                <w:sz w:val="20"/>
                <w:szCs w:val="20"/>
              </w:rPr>
            </w:pPr>
            <w:r>
              <w:rPr>
                <w:rFonts w:cs="Calibri"/>
                <w:sz w:val="20"/>
                <w:szCs w:val="20"/>
                <w:lang w:val="ga"/>
              </w:rPr>
              <w:t>Comhairle Contae Mhaigh Eo</w:t>
            </w:r>
          </w:p>
        </w:tc>
        <w:tc>
          <w:tcPr>
            <w:tcW w:w="1559" w:type="dxa"/>
            <w:tcBorders>
              <w:top w:val="single" w:sz="4" w:space="0" w:color="auto"/>
              <w:left w:val="single" w:sz="4" w:space="0" w:color="auto"/>
              <w:bottom w:val="single" w:sz="4" w:space="0" w:color="auto"/>
              <w:right w:val="single" w:sz="4" w:space="0" w:color="auto"/>
            </w:tcBorders>
            <w:hideMark/>
          </w:tcPr>
          <w:p w14:paraId="29A0E91F" w14:textId="77777777" w:rsidR="00590BEF" w:rsidRPr="007202FA" w:rsidRDefault="000B4F21" w:rsidP="007202FA">
            <w:pPr>
              <w:jc w:val="right"/>
              <w:rPr>
                <w:sz w:val="20"/>
                <w:szCs w:val="20"/>
              </w:rPr>
            </w:pPr>
            <w:r>
              <w:rPr>
                <w:rFonts w:cs="Calibri"/>
                <w:color w:val="000000"/>
                <w:sz w:val="20"/>
                <w:szCs w:val="20"/>
                <w:lang w:val="ga"/>
              </w:rPr>
              <w:t>1,275</w:t>
            </w:r>
          </w:p>
        </w:tc>
        <w:tc>
          <w:tcPr>
            <w:tcW w:w="1559" w:type="dxa"/>
            <w:tcBorders>
              <w:top w:val="single" w:sz="4" w:space="0" w:color="auto"/>
              <w:left w:val="single" w:sz="4" w:space="0" w:color="auto"/>
              <w:bottom w:val="single" w:sz="4" w:space="0" w:color="auto"/>
              <w:right w:val="single" w:sz="4" w:space="0" w:color="auto"/>
            </w:tcBorders>
            <w:hideMark/>
          </w:tcPr>
          <w:p w14:paraId="1D1C0981" w14:textId="77777777" w:rsidR="00590BEF" w:rsidRPr="007202FA" w:rsidRDefault="000B4F21" w:rsidP="007202FA">
            <w:pPr>
              <w:jc w:val="right"/>
              <w:rPr>
                <w:sz w:val="20"/>
                <w:szCs w:val="20"/>
              </w:rPr>
            </w:pPr>
            <w:r>
              <w:rPr>
                <w:rFonts w:cs="Calibri"/>
                <w:color w:val="000000"/>
                <w:sz w:val="20"/>
                <w:szCs w:val="20"/>
                <w:lang w:val="ga"/>
              </w:rPr>
              <w:t>58</w:t>
            </w:r>
          </w:p>
        </w:tc>
        <w:tc>
          <w:tcPr>
            <w:tcW w:w="1559" w:type="dxa"/>
            <w:tcBorders>
              <w:top w:val="single" w:sz="4" w:space="0" w:color="auto"/>
              <w:left w:val="single" w:sz="4" w:space="0" w:color="auto"/>
              <w:bottom w:val="single" w:sz="4" w:space="0" w:color="auto"/>
              <w:right w:val="single" w:sz="4" w:space="0" w:color="auto"/>
            </w:tcBorders>
            <w:hideMark/>
          </w:tcPr>
          <w:p w14:paraId="57A55907" w14:textId="77777777" w:rsidR="00590BEF" w:rsidRPr="007202FA" w:rsidRDefault="000B4F21" w:rsidP="007202FA">
            <w:pPr>
              <w:jc w:val="right"/>
              <w:rPr>
                <w:sz w:val="20"/>
                <w:szCs w:val="20"/>
              </w:rPr>
            </w:pPr>
            <w:r>
              <w:rPr>
                <w:rFonts w:cs="Calibri"/>
                <w:color w:val="000000"/>
                <w:sz w:val="20"/>
                <w:szCs w:val="20"/>
                <w:lang w:val="ga"/>
              </w:rPr>
              <w:t>4.5%</w:t>
            </w:r>
          </w:p>
        </w:tc>
        <w:tc>
          <w:tcPr>
            <w:tcW w:w="1430" w:type="dxa"/>
            <w:tcBorders>
              <w:top w:val="single" w:sz="4" w:space="0" w:color="auto"/>
              <w:left w:val="single" w:sz="4" w:space="0" w:color="auto"/>
              <w:bottom w:val="single" w:sz="4" w:space="0" w:color="auto"/>
              <w:right w:val="single" w:sz="4" w:space="0" w:color="auto"/>
            </w:tcBorders>
            <w:hideMark/>
          </w:tcPr>
          <w:p w14:paraId="7D554019" w14:textId="77777777" w:rsidR="00590BEF" w:rsidRPr="007202FA" w:rsidRDefault="000B4F21" w:rsidP="007202FA">
            <w:pPr>
              <w:jc w:val="right"/>
              <w:rPr>
                <w:sz w:val="20"/>
                <w:szCs w:val="20"/>
              </w:rPr>
            </w:pPr>
            <w:r>
              <w:rPr>
                <w:rFonts w:cs="Calibri"/>
                <w:color w:val="000000"/>
                <w:sz w:val="20"/>
                <w:szCs w:val="20"/>
                <w:lang w:val="ga"/>
              </w:rPr>
              <w:t>1,295</w:t>
            </w:r>
          </w:p>
        </w:tc>
        <w:tc>
          <w:tcPr>
            <w:tcW w:w="1547" w:type="dxa"/>
            <w:tcBorders>
              <w:top w:val="single" w:sz="4" w:space="0" w:color="auto"/>
              <w:left w:val="single" w:sz="4" w:space="0" w:color="auto"/>
              <w:bottom w:val="single" w:sz="4" w:space="0" w:color="auto"/>
              <w:right w:val="single" w:sz="4" w:space="0" w:color="auto"/>
            </w:tcBorders>
            <w:hideMark/>
          </w:tcPr>
          <w:p w14:paraId="4A890820" w14:textId="77777777" w:rsidR="00590BEF" w:rsidRPr="007202FA" w:rsidRDefault="000B4F21" w:rsidP="007202FA">
            <w:pPr>
              <w:jc w:val="right"/>
              <w:rPr>
                <w:sz w:val="20"/>
                <w:szCs w:val="20"/>
              </w:rPr>
            </w:pPr>
            <w:r>
              <w:rPr>
                <w:rFonts w:cs="Calibri"/>
                <w:color w:val="000000"/>
                <w:sz w:val="20"/>
                <w:szCs w:val="20"/>
                <w:lang w:val="ga"/>
              </w:rPr>
              <w:t>69</w:t>
            </w:r>
          </w:p>
        </w:tc>
        <w:tc>
          <w:tcPr>
            <w:tcW w:w="1429" w:type="dxa"/>
            <w:tcBorders>
              <w:top w:val="single" w:sz="4" w:space="0" w:color="auto"/>
              <w:left w:val="single" w:sz="4" w:space="0" w:color="auto"/>
              <w:bottom w:val="single" w:sz="4" w:space="0" w:color="auto"/>
              <w:right w:val="single" w:sz="4" w:space="0" w:color="auto"/>
            </w:tcBorders>
            <w:hideMark/>
          </w:tcPr>
          <w:p w14:paraId="06099602" w14:textId="77777777" w:rsidR="00590BEF" w:rsidRPr="007202FA" w:rsidRDefault="000B4F21" w:rsidP="007202FA">
            <w:pPr>
              <w:jc w:val="right"/>
              <w:rPr>
                <w:sz w:val="20"/>
                <w:szCs w:val="20"/>
              </w:rPr>
            </w:pPr>
            <w:r>
              <w:rPr>
                <w:rFonts w:cs="Calibri"/>
                <w:color w:val="000000"/>
                <w:sz w:val="20"/>
                <w:szCs w:val="20"/>
                <w:lang w:val="ga"/>
              </w:rPr>
              <w:t>5.3%</w:t>
            </w:r>
          </w:p>
        </w:tc>
      </w:tr>
      <w:tr w:rsidR="00F31303" w14:paraId="71051DFA"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1AE9A1D8" w14:textId="77777777" w:rsidR="00590BEF" w:rsidRPr="007202FA" w:rsidRDefault="000B4F21" w:rsidP="007202FA">
            <w:pPr>
              <w:rPr>
                <w:sz w:val="20"/>
                <w:szCs w:val="20"/>
              </w:rPr>
            </w:pPr>
            <w:r>
              <w:rPr>
                <w:rFonts w:cs="Calibri"/>
                <w:sz w:val="20"/>
                <w:szCs w:val="20"/>
                <w:lang w:val="ga"/>
              </w:rPr>
              <w:t>Comhairle Contae na Mí</w:t>
            </w:r>
          </w:p>
        </w:tc>
        <w:tc>
          <w:tcPr>
            <w:tcW w:w="1559" w:type="dxa"/>
            <w:tcBorders>
              <w:top w:val="single" w:sz="4" w:space="0" w:color="auto"/>
              <w:left w:val="single" w:sz="4" w:space="0" w:color="auto"/>
              <w:bottom w:val="single" w:sz="4" w:space="0" w:color="auto"/>
              <w:right w:val="single" w:sz="4" w:space="0" w:color="auto"/>
            </w:tcBorders>
            <w:hideMark/>
          </w:tcPr>
          <w:p w14:paraId="0FF2AE0B" w14:textId="77777777" w:rsidR="00590BEF" w:rsidRPr="007202FA" w:rsidRDefault="000B4F21" w:rsidP="007202FA">
            <w:pPr>
              <w:jc w:val="right"/>
              <w:rPr>
                <w:sz w:val="20"/>
                <w:szCs w:val="20"/>
              </w:rPr>
            </w:pPr>
            <w:r>
              <w:rPr>
                <w:rFonts w:cs="Calibri"/>
                <w:color w:val="000000"/>
                <w:sz w:val="20"/>
                <w:szCs w:val="20"/>
                <w:lang w:val="ga"/>
              </w:rPr>
              <w:t>880</w:t>
            </w:r>
          </w:p>
        </w:tc>
        <w:tc>
          <w:tcPr>
            <w:tcW w:w="1559" w:type="dxa"/>
            <w:tcBorders>
              <w:top w:val="single" w:sz="4" w:space="0" w:color="auto"/>
              <w:left w:val="single" w:sz="4" w:space="0" w:color="auto"/>
              <w:bottom w:val="single" w:sz="4" w:space="0" w:color="auto"/>
              <w:right w:val="single" w:sz="4" w:space="0" w:color="auto"/>
            </w:tcBorders>
            <w:hideMark/>
          </w:tcPr>
          <w:p w14:paraId="6C0B95EA" w14:textId="77777777" w:rsidR="00590BEF" w:rsidRPr="007202FA" w:rsidRDefault="000B4F21" w:rsidP="007202FA">
            <w:pPr>
              <w:jc w:val="right"/>
              <w:rPr>
                <w:sz w:val="20"/>
                <w:szCs w:val="20"/>
              </w:rPr>
            </w:pPr>
            <w:r>
              <w:rPr>
                <w:rFonts w:cs="Calibri"/>
                <w:color w:val="000000"/>
                <w:sz w:val="20"/>
                <w:szCs w:val="20"/>
                <w:lang w:val="ga"/>
              </w:rPr>
              <w:t>43</w:t>
            </w:r>
          </w:p>
        </w:tc>
        <w:tc>
          <w:tcPr>
            <w:tcW w:w="1559" w:type="dxa"/>
            <w:tcBorders>
              <w:top w:val="single" w:sz="4" w:space="0" w:color="auto"/>
              <w:left w:val="single" w:sz="4" w:space="0" w:color="auto"/>
              <w:bottom w:val="single" w:sz="4" w:space="0" w:color="auto"/>
              <w:right w:val="single" w:sz="4" w:space="0" w:color="auto"/>
            </w:tcBorders>
            <w:hideMark/>
          </w:tcPr>
          <w:p w14:paraId="13831B83" w14:textId="77777777" w:rsidR="00590BEF" w:rsidRPr="007202FA" w:rsidRDefault="000B4F21" w:rsidP="007202FA">
            <w:pPr>
              <w:jc w:val="right"/>
              <w:rPr>
                <w:sz w:val="20"/>
                <w:szCs w:val="20"/>
              </w:rPr>
            </w:pPr>
            <w:r>
              <w:rPr>
                <w:rFonts w:cs="Calibri"/>
                <w:color w:val="000000"/>
                <w:sz w:val="20"/>
                <w:szCs w:val="20"/>
                <w:lang w:val="ga"/>
              </w:rPr>
              <w:t>4.9%</w:t>
            </w:r>
          </w:p>
        </w:tc>
        <w:tc>
          <w:tcPr>
            <w:tcW w:w="1430" w:type="dxa"/>
            <w:tcBorders>
              <w:top w:val="single" w:sz="4" w:space="0" w:color="auto"/>
              <w:left w:val="single" w:sz="4" w:space="0" w:color="auto"/>
              <w:bottom w:val="single" w:sz="4" w:space="0" w:color="auto"/>
              <w:right w:val="single" w:sz="4" w:space="0" w:color="auto"/>
            </w:tcBorders>
            <w:hideMark/>
          </w:tcPr>
          <w:p w14:paraId="27C31A7A" w14:textId="77777777" w:rsidR="00590BEF" w:rsidRPr="007202FA" w:rsidRDefault="000B4F21" w:rsidP="007202FA">
            <w:pPr>
              <w:jc w:val="right"/>
              <w:rPr>
                <w:sz w:val="20"/>
                <w:szCs w:val="20"/>
              </w:rPr>
            </w:pPr>
            <w:r>
              <w:rPr>
                <w:rFonts w:cs="Calibri"/>
                <w:color w:val="000000"/>
                <w:sz w:val="20"/>
                <w:szCs w:val="20"/>
                <w:lang w:val="ga"/>
              </w:rPr>
              <w:t>939</w:t>
            </w:r>
          </w:p>
        </w:tc>
        <w:tc>
          <w:tcPr>
            <w:tcW w:w="1547" w:type="dxa"/>
            <w:tcBorders>
              <w:top w:val="single" w:sz="4" w:space="0" w:color="auto"/>
              <w:left w:val="single" w:sz="4" w:space="0" w:color="auto"/>
              <w:bottom w:val="single" w:sz="4" w:space="0" w:color="auto"/>
              <w:right w:val="single" w:sz="4" w:space="0" w:color="auto"/>
            </w:tcBorders>
            <w:hideMark/>
          </w:tcPr>
          <w:p w14:paraId="02DB8268" w14:textId="77777777" w:rsidR="00590BEF" w:rsidRPr="007202FA" w:rsidRDefault="000B4F21" w:rsidP="007202FA">
            <w:pPr>
              <w:jc w:val="right"/>
              <w:rPr>
                <w:sz w:val="20"/>
                <w:szCs w:val="20"/>
              </w:rPr>
            </w:pPr>
            <w:r>
              <w:rPr>
                <w:rFonts w:cs="Calibri"/>
                <w:color w:val="000000"/>
                <w:sz w:val="20"/>
                <w:szCs w:val="20"/>
                <w:lang w:val="ga"/>
              </w:rPr>
              <w:t>49</w:t>
            </w:r>
          </w:p>
        </w:tc>
        <w:tc>
          <w:tcPr>
            <w:tcW w:w="1429" w:type="dxa"/>
            <w:tcBorders>
              <w:top w:val="single" w:sz="4" w:space="0" w:color="auto"/>
              <w:left w:val="single" w:sz="4" w:space="0" w:color="auto"/>
              <w:bottom w:val="single" w:sz="4" w:space="0" w:color="auto"/>
              <w:right w:val="single" w:sz="4" w:space="0" w:color="auto"/>
            </w:tcBorders>
            <w:hideMark/>
          </w:tcPr>
          <w:p w14:paraId="3A267938" w14:textId="77777777" w:rsidR="00590BEF" w:rsidRPr="007202FA" w:rsidRDefault="000B4F21" w:rsidP="007202FA">
            <w:pPr>
              <w:jc w:val="right"/>
              <w:rPr>
                <w:sz w:val="20"/>
                <w:szCs w:val="20"/>
              </w:rPr>
            </w:pPr>
            <w:r>
              <w:rPr>
                <w:rFonts w:cs="Calibri"/>
                <w:color w:val="000000"/>
                <w:sz w:val="20"/>
                <w:szCs w:val="20"/>
                <w:lang w:val="ga"/>
              </w:rPr>
              <w:t>5.2%</w:t>
            </w:r>
          </w:p>
        </w:tc>
      </w:tr>
      <w:tr w:rsidR="00F31303" w14:paraId="3580B6CE"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C5BFF59" w14:textId="77777777" w:rsidR="00590BEF" w:rsidRPr="007202FA" w:rsidRDefault="000B4F21" w:rsidP="007202FA">
            <w:pPr>
              <w:rPr>
                <w:sz w:val="20"/>
                <w:szCs w:val="20"/>
              </w:rPr>
            </w:pPr>
            <w:r>
              <w:rPr>
                <w:rFonts w:cs="Calibri"/>
                <w:sz w:val="20"/>
                <w:szCs w:val="20"/>
                <w:lang w:val="ga"/>
              </w:rPr>
              <w:t>Comhairle Contae Mhuineacháin</w:t>
            </w:r>
          </w:p>
        </w:tc>
        <w:tc>
          <w:tcPr>
            <w:tcW w:w="1559" w:type="dxa"/>
            <w:tcBorders>
              <w:top w:val="single" w:sz="4" w:space="0" w:color="auto"/>
              <w:left w:val="single" w:sz="4" w:space="0" w:color="auto"/>
              <w:bottom w:val="single" w:sz="4" w:space="0" w:color="auto"/>
              <w:right w:val="single" w:sz="4" w:space="0" w:color="auto"/>
            </w:tcBorders>
            <w:hideMark/>
          </w:tcPr>
          <w:p w14:paraId="205FD92B" w14:textId="77777777" w:rsidR="00590BEF" w:rsidRPr="007202FA" w:rsidRDefault="000B4F21" w:rsidP="007202FA">
            <w:pPr>
              <w:jc w:val="right"/>
              <w:rPr>
                <w:sz w:val="20"/>
                <w:szCs w:val="20"/>
              </w:rPr>
            </w:pPr>
            <w:r>
              <w:rPr>
                <w:rFonts w:cs="Calibri"/>
                <w:color w:val="000000"/>
                <w:sz w:val="20"/>
                <w:szCs w:val="20"/>
                <w:lang w:val="ga"/>
              </w:rPr>
              <w:t>497</w:t>
            </w:r>
          </w:p>
        </w:tc>
        <w:tc>
          <w:tcPr>
            <w:tcW w:w="1559" w:type="dxa"/>
            <w:tcBorders>
              <w:top w:val="single" w:sz="4" w:space="0" w:color="auto"/>
              <w:left w:val="single" w:sz="4" w:space="0" w:color="auto"/>
              <w:bottom w:val="single" w:sz="4" w:space="0" w:color="auto"/>
              <w:right w:val="single" w:sz="4" w:space="0" w:color="auto"/>
            </w:tcBorders>
            <w:hideMark/>
          </w:tcPr>
          <w:p w14:paraId="181B0663" w14:textId="77777777" w:rsidR="00590BEF" w:rsidRPr="007202FA" w:rsidRDefault="000B4F21" w:rsidP="007202FA">
            <w:pPr>
              <w:jc w:val="right"/>
              <w:rPr>
                <w:sz w:val="20"/>
                <w:szCs w:val="20"/>
              </w:rPr>
            </w:pPr>
            <w:r>
              <w:rPr>
                <w:rFonts w:cs="Calibri"/>
                <w:color w:val="000000"/>
                <w:sz w:val="20"/>
                <w:szCs w:val="20"/>
                <w:lang w:val="ga"/>
              </w:rPr>
              <w:t>32</w:t>
            </w:r>
          </w:p>
        </w:tc>
        <w:tc>
          <w:tcPr>
            <w:tcW w:w="1559" w:type="dxa"/>
            <w:tcBorders>
              <w:top w:val="single" w:sz="4" w:space="0" w:color="auto"/>
              <w:left w:val="single" w:sz="4" w:space="0" w:color="auto"/>
              <w:bottom w:val="single" w:sz="4" w:space="0" w:color="auto"/>
              <w:right w:val="single" w:sz="4" w:space="0" w:color="auto"/>
            </w:tcBorders>
            <w:hideMark/>
          </w:tcPr>
          <w:p w14:paraId="5FD0CD8B" w14:textId="77777777" w:rsidR="00590BEF" w:rsidRPr="007202FA" w:rsidRDefault="000B4F21" w:rsidP="007202FA">
            <w:pPr>
              <w:jc w:val="right"/>
              <w:rPr>
                <w:sz w:val="20"/>
                <w:szCs w:val="20"/>
              </w:rPr>
            </w:pPr>
            <w:r>
              <w:rPr>
                <w:rFonts w:cs="Calibri"/>
                <w:color w:val="000000"/>
                <w:sz w:val="20"/>
                <w:szCs w:val="20"/>
                <w:lang w:val="ga"/>
              </w:rPr>
              <w:t>6.4%</w:t>
            </w:r>
          </w:p>
        </w:tc>
        <w:tc>
          <w:tcPr>
            <w:tcW w:w="1430" w:type="dxa"/>
            <w:tcBorders>
              <w:top w:val="single" w:sz="4" w:space="0" w:color="auto"/>
              <w:left w:val="single" w:sz="4" w:space="0" w:color="auto"/>
              <w:bottom w:val="single" w:sz="4" w:space="0" w:color="auto"/>
              <w:right w:val="single" w:sz="4" w:space="0" w:color="auto"/>
            </w:tcBorders>
            <w:hideMark/>
          </w:tcPr>
          <w:p w14:paraId="686A3592" w14:textId="77777777" w:rsidR="00590BEF" w:rsidRPr="007202FA" w:rsidRDefault="000B4F21" w:rsidP="007202FA">
            <w:pPr>
              <w:jc w:val="right"/>
              <w:rPr>
                <w:sz w:val="20"/>
                <w:szCs w:val="20"/>
              </w:rPr>
            </w:pPr>
            <w:r>
              <w:rPr>
                <w:rFonts w:cs="Calibri"/>
                <w:color w:val="000000"/>
                <w:sz w:val="20"/>
                <w:szCs w:val="20"/>
                <w:lang w:val="ga"/>
              </w:rPr>
              <w:t>533</w:t>
            </w:r>
          </w:p>
        </w:tc>
        <w:tc>
          <w:tcPr>
            <w:tcW w:w="1547" w:type="dxa"/>
            <w:tcBorders>
              <w:top w:val="single" w:sz="4" w:space="0" w:color="auto"/>
              <w:left w:val="single" w:sz="4" w:space="0" w:color="auto"/>
              <w:bottom w:val="single" w:sz="4" w:space="0" w:color="auto"/>
              <w:right w:val="single" w:sz="4" w:space="0" w:color="auto"/>
            </w:tcBorders>
            <w:hideMark/>
          </w:tcPr>
          <w:p w14:paraId="4D960757" w14:textId="77777777" w:rsidR="00590BEF" w:rsidRPr="007202FA" w:rsidRDefault="000B4F21" w:rsidP="007202FA">
            <w:pPr>
              <w:jc w:val="right"/>
              <w:rPr>
                <w:sz w:val="20"/>
                <w:szCs w:val="20"/>
              </w:rPr>
            </w:pPr>
            <w:r>
              <w:rPr>
                <w:rFonts w:cs="Calibri"/>
                <w:color w:val="000000"/>
                <w:sz w:val="20"/>
                <w:szCs w:val="20"/>
                <w:lang w:val="ga"/>
              </w:rPr>
              <w:t>37</w:t>
            </w:r>
          </w:p>
        </w:tc>
        <w:tc>
          <w:tcPr>
            <w:tcW w:w="1429" w:type="dxa"/>
            <w:tcBorders>
              <w:top w:val="single" w:sz="4" w:space="0" w:color="auto"/>
              <w:left w:val="single" w:sz="4" w:space="0" w:color="auto"/>
              <w:bottom w:val="single" w:sz="4" w:space="0" w:color="auto"/>
              <w:right w:val="single" w:sz="4" w:space="0" w:color="auto"/>
            </w:tcBorders>
            <w:hideMark/>
          </w:tcPr>
          <w:p w14:paraId="0FA484A0" w14:textId="77777777" w:rsidR="00590BEF" w:rsidRPr="007202FA" w:rsidRDefault="000B4F21" w:rsidP="007202FA">
            <w:pPr>
              <w:jc w:val="right"/>
              <w:rPr>
                <w:sz w:val="20"/>
                <w:szCs w:val="20"/>
              </w:rPr>
            </w:pPr>
            <w:r>
              <w:rPr>
                <w:rFonts w:cs="Calibri"/>
                <w:color w:val="000000"/>
                <w:sz w:val="20"/>
                <w:szCs w:val="20"/>
                <w:lang w:val="ga"/>
              </w:rPr>
              <w:t>6.9%</w:t>
            </w:r>
          </w:p>
        </w:tc>
      </w:tr>
      <w:tr w:rsidR="00F31303" w14:paraId="661EFF7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25F1DE05" w14:textId="77777777" w:rsidR="00590BEF" w:rsidRPr="007202FA" w:rsidRDefault="000B4F21" w:rsidP="007202FA">
            <w:pPr>
              <w:rPr>
                <w:sz w:val="20"/>
                <w:szCs w:val="20"/>
              </w:rPr>
            </w:pPr>
            <w:r>
              <w:rPr>
                <w:rFonts w:cs="Calibri"/>
                <w:sz w:val="20"/>
                <w:szCs w:val="20"/>
                <w:lang w:val="ga"/>
              </w:rPr>
              <w:t>Tionól Réigiúnach an Tuaiscirt agus an Iarthair</w:t>
            </w:r>
          </w:p>
        </w:tc>
        <w:tc>
          <w:tcPr>
            <w:tcW w:w="1559" w:type="dxa"/>
            <w:tcBorders>
              <w:top w:val="single" w:sz="4" w:space="0" w:color="auto"/>
              <w:left w:val="single" w:sz="4" w:space="0" w:color="auto"/>
              <w:bottom w:val="single" w:sz="4" w:space="0" w:color="auto"/>
              <w:right w:val="single" w:sz="4" w:space="0" w:color="auto"/>
            </w:tcBorders>
            <w:hideMark/>
          </w:tcPr>
          <w:p w14:paraId="4ADF2FD8" w14:textId="77777777" w:rsidR="00590BEF" w:rsidRPr="007202FA" w:rsidRDefault="000B4F21" w:rsidP="007202FA">
            <w:pPr>
              <w:jc w:val="right"/>
              <w:rPr>
                <w:sz w:val="20"/>
                <w:szCs w:val="20"/>
              </w:rPr>
            </w:pPr>
            <w:r>
              <w:rPr>
                <w:rFonts w:cs="Calibri"/>
                <w:color w:val="000000"/>
                <w:sz w:val="20"/>
                <w:szCs w:val="20"/>
                <w:lang w:val="ga"/>
              </w:rPr>
              <w:t>24</w:t>
            </w:r>
          </w:p>
        </w:tc>
        <w:tc>
          <w:tcPr>
            <w:tcW w:w="1559" w:type="dxa"/>
            <w:tcBorders>
              <w:top w:val="single" w:sz="4" w:space="0" w:color="auto"/>
              <w:left w:val="single" w:sz="4" w:space="0" w:color="auto"/>
              <w:bottom w:val="single" w:sz="4" w:space="0" w:color="auto"/>
              <w:right w:val="single" w:sz="4" w:space="0" w:color="auto"/>
            </w:tcBorders>
            <w:hideMark/>
          </w:tcPr>
          <w:p w14:paraId="6F3B5CFD" w14:textId="77777777" w:rsidR="00590BEF" w:rsidRPr="007202FA" w:rsidRDefault="000B4F21" w:rsidP="007202FA">
            <w:pPr>
              <w:jc w:val="right"/>
              <w:rPr>
                <w:sz w:val="20"/>
                <w:szCs w:val="20"/>
              </w:rPr>
            </w:pPr>
            <w:r>
              <w:rPr>
                <w:rFonts w:cs="Calibri"/>
                <w:color w:val="000000"/>
                <w:sz w:val="20"/>
                <w:szCs w:val="20"/>
                <w:lang w:val="ga"/>
              </w:rPr>
              <w:t>2</w:t>
            </w:r>
          </w:p>
        </w:tc>
        <w:tc>
          <w:tcPr>
            <w:tcW w:w="1559" w:type="dxa"/>
            <w:tcBorders>
              <w:top w:val="single" w:sz="4" w:space="0" w:color="auto"/>
              <w:left w:val="single" w:sz="4" w:space="0" w:color="auto"/>
              <w:bottom w:val="single" w:sz="4" w:space="0" w:color="auto"/>
              <w:right w:val="single" w:sz="4" w:space="0" w:color="auto"/>
            </w:tcBorders>
            <w:hideMark/>
          </w:tcPr>
          <w:p w14:paraId="536B48D9" w14:textId="77777777" w:rsidR="00590BEF" w:rsidRPr="007202FA" w:rsidRDefault="000B4F21" w:rsidP="007202FA">
            <w:pPr>
              <w:jc w:val="right"/>
              <w:rPr>
                <w:sz w:val="20"/>
                <w:szCs w:val="20"/>
              </w:rPr>
            </w:pPr>
            <w:r>
              <w:rPr>
                <w:rFonts w:cs="Calibri"/>
                <w:color w:val="000000"/>
                <w:sz w:val="20"/>
                <w:szCs w:val="20"/>
                <w:lang w:val="ga"/>
              </w:rPr>
              <w:t>8.3%</w:t>
            </w:r>
          </w:p>
        </w:tc>
        <w:tc>
          <w:tcPr>
            <w:tcW w:w="1430" w:type="dxa"/>
            <w:tcBorders>
              <w:top w:val="single" w:sz="4" w:space="0" w:color="auto"/>
              <w:left w:val="single" w:sz="4" w:space="0" w:color="auto"/>
              <w:bottom w:val="single" w:sz="4" w:space="0" w:color="auto"/>
              <w:right w:val="single" w:sz="4" w:space="0" w:color="auto"/>
            </w:tcBorders>
            <w:hideMark/>
          </w:tcPr>
          <w:p w14:paraId="55D69F3F" w14:textId="77777777" w:rsidR="00590BEF" w:rsidRPr="007202FA" w:rsidRDefault="000B4F21" w:rsidP="007202FA">
            <w:pPr>
              <w:jc w:val="right"/>
              <w:rPr>
                <w:sz w:val="20"/>
                <w:szCs w:val="20"/>
              </w:rPr>
            </w:pPr>
            <w:r>
              <w:rPr>
                <w:rFonts w:cs="Calibri"/>
                <w:color w:val="000000"/>
                <w:sz w:val="20"/>
                <w:szCs w:val="20"/>
                <w:lang w:val="ga"/>
              </w:rPr>
              <w:t>28</w:t>
            </w:r>
          </w:p>
        </w:tc>
        <w:tc>
          <w:tcPr>
            <w:tcW w:w="1547" w:type="dxa"/>
            <w:tcBorders>
              <w:top w:val="single" w:sz="4" w:space="0" w:color="auto"/>
              <w:left w:val="single" w:sz="4" w:space="0" w:color="auto"/>
              <w:bottom w:val="single" w:sz="4" w:space="0" w:color="auto"/>
              <w:right w:val="single" w:sz="4" w:space="0" w:color="auto"/>
            </w:tcBorders>
            <w:hideMark/>
          </w:tcPr>
          <w:p w14:paraId="25A81BBD" w14:textId="77777777" w:rsidR="00590BEF" w:rsidRPr="007202FA" w:rsidRDefault="000B4F21" w:rsidP="007202FA">
            <w:pPr>
              <w:jc w:val="right"/>
              <w:rPr>
                <w:sz w:val="20"/>
                <w:szCs w:val="20"/>
              </w:rPr>
            </w:pPr>
            <w:r>
              <w:rPr>
                <w:rFonts w:cs="Calibri"/>
                <w:color w:val="000000"/>
                <w:sz w:val="20"/>
                <w:szCs w:val="20"/>
                <w:lang w:val="ga"/>
              </w:rPr>
              <w:t>0</w:t>
            </w:r>
          </w:p>
        </w:tc>
        <w:tc>
          <w:tcPr>
            <w:tcW w:w="1429" w:type="dxa"/>
            <w:tcBorders>
              <w:top w:val="single" w:sz="4" w:space="0" w:color="auto"/>
              <w:left w:val="single" w:sz="4" w:space="0" w:color="auto"/>
              <w:bottom w:val="single" w:sz="4" w:space="0" w:color="auto"/>
              <w:right w:val="single" w:sz="4" w:space="0" w:color="auto"/>
            </w:tcBorders>
            <w:hideMark/>
          </w:tcPr>
          <w:p w14:paraId="3D3CF20F" w14:textId="77777777" w:rsidR="00590BEF" w:rsidRPr="007202FA" w:rsidRDefault="000B4F21" w:rsidP="007202FA">
            <w:pPr>
              <w:jc w:val="right"/>
              <w:rPr>
                <w:sz w:val="20"/>
                <w:szCs w:val="20"/>
              </w:rPr>
            </w:pPr>
            <w:r>
              <w:rPr>
                <w:rFonts w:cs="Calibri"/>
                <w:color w:val="000000"/>
                <w:sz w:val="20"/>
                <w:szCs w:val="20"/>
                <w:lang w:val="ga"/>
              </w:rPr>
              <w:t>0.0%</w:t>
            </w:r>
          </w:p>
        </w:tc>
      </w:tr>
      <w:tr w:rsidR="00F31303" w14:paraId="128A7E5A"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4E3B6626" w14:textId="77777777" w:rsidR="00590BEF" w:rsidRPr="007202FA" w:rsidRDefault="000B4F21" w:rsidP="007202FA">
            <w:pPr>
              <w:rPr>
                <w:sz w:val="20"/>
                <w:szCs w:val="20"/>
              </w:rPr>
            </w:pPr>
            <w:r>
              <w:rPr>
                <w:rFonts w:cs="Calibri"/>
                <w:color w:val="000000"/>
                <w:sz w:val="20"/>
                <w:szCs w:val="20"/>
                <w:lang w:val="ga"/>
              </w:rPr>
              <w:t>Comhairle Contae Uíbh Fhailí</w:t>
            </w:r>
          </w:p>
        </w:tc>
        <w:tc>
          <w:tcPr>
            <w:tcW w:w="1559" w:type="dxa"/>
            <w:tcBorders>
              <w:top w:val="single" w:sz="4" w:space="0" w:color="auto"/>
              <w:left w:val="single" w:sz="4" w:space="0" w:color="auto"/>
              <w:bottom w:val="single" w:sz="4" w:space="0" w:color="auto"/>
              <w:right w:val="single" w:sz="4" w:space="0" w:color="auto"/>
            </w:tcBorders>
            <w:hideMark/>
          </w:tcPr>
          <w:p w14:paraId="57CAAB8D" w14:textId="77777777" w:rsidR="00590BEF" w:rsidRPr="007202FA" w:rsidRDefault="000B4F21" w:rsidP="007202FA">
            <w:pPr>
              <w:jc w:val="right"/>
              <w:rPr>
                <w:sz w:val="20"/>
                <w:szCs w:val="20"/>
              </w:rPr>
            </w:pPr>
            <w:r>
              <w:rPr>
                <w:rFonts w:cs="Calibri"/>
                <w:color w:val="000000"/>
                <w:sz w:val="20"/>
                <w:szCs w:val="20"/>
                <w:lang w:val="ga"/>
              </w:rPr>
              <w:t>514</w:t>
            </w:r>
          </w:p>
        </w:tc>
        <w:tc>
          <w:tcPr>
            <w:tcW w:w="1559" w:type="dxa"/>
            <w:tcBorders>
              <w:top w:val="single" w:sz="4" w:space="0" w:color="auto"/>
              <w:left w:val="single" w:sz="4" w:space="0" w:color="auto"/>
              <w:bottom w:val="single" w:sz="4" w:space="0" w:color="auto"/>
              <w:right w:val="single" w:sz="4" w:space="0" w:color="auto"/>
            </w:tcBorders>
            <w:hideMark/>
          </w:tcPr>
          <w:p w14:paraId="152421B5" w14:textId="77777777" w:rsidR="00590BEF" w:rsidRPr="007202FA" w:rsidRDefault="000B4F21" w:rsidP="007202FA">
            <w:pPr>
              <w:jc w:val="right"/>
              <w:rPr>
                <w:sz w:val="20"/>
                <w:szCs w:val="20"/>
              </w:rPr>
            </w:pPr>
            <w:r>
              <w:rPr>
                <w:rFonts w:cs="Calibri"/>
                <w:color w:val="000000"/>
                <w:sz w:val="20"/>
                <w:szCs w:val="20"/>
                <w:lang w:val="ga"/>
              </w:rPr>
              <w:t>26</w:t>
            </w:r>
          </w:p>
        </w:tc>
        <w:tc>
          <w:tcPr>
            <w:tcW w:w="1559" w:type="dxa"/>
            <w:tcBorders>
              <w:top w:val="single" w:sz="4" w:space="0" w:color="auto"/>
              <w:left w:val="single" w:sz="4" w:space="0" w:color="auto"/>
              <w:bottom w:val="single" w:sz="4" w:space="0" w:color="auto"/>
              <w:right w:val="single" w:sz="4" w:space="0" w:color="auto"/>
            </w:tcBorders>
            <w:hideMark/>
          </w:tcPr>
          <w:p w14:paraId="262DDC4C" w14:textId="77777777" w:rsidR="00590BEF" w:rsidRPr="007202FA" w:rsidRDefault="000B4F21" w:rsidP="007202FA">
            <w:pPr>
              <w:jc w:val="right"/>
              <w:rPr>
                <w:sz w:val="20"/>
                <w:szCs w:val="20"/>
              </w:rPr>
            </w:pPr>
            <w:r>
              <w:rPr>
                <w:rFonts w:cs="Calibri"/>
                <w:color w:val="000000"/>
                <w:sz w:val="20"/>
                <w:szCs w:val="20"/>
                <w:lang w:val="ga"/>
              </w:rPr>
              <w:t>5.1%</w:t>
            </w:r>
          </w:p>
        </w:tc>
        <w:tc>
          <w:tcPr>
            <w:tcW w:w="1430" w:type="dxa"/>
            <w:tcBorders>
              <w:top w:val="single" w:sz="4" w:space="0" w:color="auto"/>
              <w:left w:val="single" w:sz="4" w:space="0" w:color="auto"/>
              <w:bottom w:val="single" w:sz="4" w:space="0" w:color="auto"/>
              <w:right w:val="single" w:sz="4" w:space="0" w:color="auto"/>
            </w:tcBorders>
            <w:hideMark/>
          </w:tcPr>
          <w:p w14:paraId="48690449" w14:textId="77777777" w:rsidR="00590BEF" w:rsidRPr="007202FA" w:rsidRDefault="000B4F21" w:rsidP="007202FA">
            <w:pPr>
              <w:jc w:val="right"/>
              <w:rPr>
                <w:sz w:val="20"/>
                <w:szCs w:val="20"/>
              </w:rPr>
            </w:pPr>
            <w:r>
              <w:rPr>
                <w:rFonts w:cs="Calibri"/>
                <w:color w:val="000000"/>
                <w:sz w:val="20"/>
                <w:szCs w:val="20"/>
                <w:lang w:val="ga"/>
              </w:rPr>
              <w:t>530</w:t>
            </w:r>
          </w:p>
        </w:tc>
        <w:tc>
          <w:tcPr>
            <w:tcW w:w="1547" w:type="dxa"/>
            <w:tcBorders>
              <w:top w:val="single" w:sz="4" w:space="0" w:color="auto"/>
              <w:left w:val="single" w:sz="4" w:space="0" w:color="auto"/>
              <w:bottom w:val="single" w:sz="4" w:space="0" w:color="auto"/>
              <w:right w:val="single" w:sz="4" w:space="0" w:color="auto"/>
            </w:tcBorders>
            <w:hideMark/>
          </w:tcPr>
          <w:p w14:paraId="7FD63297" w14:textId="77777777" w:rsidR="00590BEF" w:rsidRPr="007202FA" w:rsidRDefault="000B4F21" w:rsidP="007202FA">
            <w:pPr>
              <w:jc w:val="right"/>
              <w:rPr>
                <w:sz w:val="20"/>
                <w:szCs w:val="20"/>
              </w:rPr>
            </w:pPr>
            <w:r>
              <w:rPr>
                <w:rFonts w:cs="Calibri"/>
                <w:color w:val="000000"/>
                <w:sz w:val="20"/>
                <w:szCs w:val="20"/>
                <w:lang w:val="ga"/>
              </w:rPr>
              <w:t>30</w:t>
            </w:r>
          </w:p>
        </w:tc>
        <w:tc>
          <w:tcPr>
            <w:tcW w:w="1429" w:type="dxa"/>
            <w:tcBorders>
              <w:top w:val="single" w:sz="4" w:space="0" w:color="auto"/>
              <w:left w:val="single" w:sz="4" w:space="0" w:color="auto"/>
              <w:bottom w:val="single" w:sz="4" w:space="0" w:color="auto"/>
              <w:right w:val="single" w:sz="4" w:space="0" w:color="auto"/>
            </w:tcBorders>
            <w:hideMark/>
          </w:tcPr>
          <w:p w14:paraId="575FD566" w14:textId="77777777" w:rsidR="00590BEF" w:rsidRPr="007202FA" w:rsidRDefault="000B4F21" w:rsidP="007202FA">
            <w:pPr>
              <w:jc w:val="right"/>
              <w:rPr>
                <w:sz w:val="20"/>
                <w:szCs w:val="20"/>
              </w:rPr>
            </w:pPr>
            <w:r>
              <w:rPr>
                <w:rFonts w:cs="Calibri"/>
                <w:color w:val="000000"/>
                <w:sz w:val="20"/>
                <w:szCs w:val="20"/>
                <w:lang w:val="ga"/>
              </w:rPr>
              <w:t>5.7%</w:t>
            </w:r>
          </w:p>
        </w:tc>
      </w:tr>
      <w:tr w:rsidR="00F31303" w14:paraId="0133828F"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61E036E" w14:textId="77777777" w:rsidR="00590BEF" w:rsidRPr="007202FA" w:rsidRDefault="000B4F21" w:rsidP="007202FA">
            <w:pPr>
              <w:rPr>
                <w:sz w:val="20"/>
                <w:szCs w:val="20"/>
              </w:rPr>
            </w:pPr>
            <w:r>
              <w:rPr>
                <w:rFonts w:cs="Calibri"/>
                <w:color w:val="000000"/>
                <w:sz w:val="20"/>
                <w:szCs w:val="20"/>
                <w:lang w:val="ga"/>
              </w:rPr>
              <w:t>An Bord um Thionóntachtaí Cónaithe</w:t>
            </w:r>
          </w:p>
        </w:tc>
        <w:tc>
          <w:tcPr>
            <w:tcW w:w="1559" w:type="dxa"/>
            <w:tcBorders>
              <w:top w:val="single" w:sz="4" w:space="0" w:color="auto"/>
              <w:left w:val="single" w:sz="4" w:space="0" w:color="auto"/>
              <w:bottom w:val="single" w:sz="4" w:space="0" w:color="auto"/>
              <w:right w:val="single" w:sz="4" w:space="0" w:color="auto"/>
            </w:tcBorders>
            <w:hideMark/>
          </w:tcPr>
          <w:p w14:paraId="287690C4" w14:textId="77777777" w:rsidR="00590BEF" w:rsidRPr="007202FA" w:rsidRDefault="000B4F21" w:rsidP="007202FA">
            <w:pPr>
              <w:jc w:val="right"/>
              <w:rPr>
                <w:sz w:val="20"/>
                <w:szCs w:val="20"/>
              </w:rPr>
            </w:pPr>
            <w:r>
              <w:rPr>
                <w:rFonts w:cs="Calibri"/>
                <w:color w:val="000000"/>
                <w:sz w:val="20"/>
                <w:szCs w:val="20"/>
                <w:lang w:val="ga"/>
              </w:rPr>
              <w:t>91</w:t>
            </w:r>
          </w:p>
        </w:tc>
        <w:tc>
          <w:tcPr>
            <w:tcW w:w="1559" w:type="dxa"/>
            <w:tcBorders>
              <w:top w:val="single" w:sz="4" w:space="0" w:color="auto"/>
              <w:left w:val="single" w:sz="4" w:space="0" w:color="auto"/>
              <w:bottom w:val="single" w:sz="4" w:space="0" w:color="auto"/>
              <w:right w:val="single" w:sz="4" w:space="0" w:color="auto"/>
            </w:tcBorders>
            <w:hideMark/>
          </w:tcPr>
          <w:p w14:paraId="679C8811" w14:textId="77777777" w:rsidR="00590BEF" w:rsidRPr="007202FA" w:rsidRDefault="000B4F21" w:rsidP="007202FA">
            <w:pPr>
              <w:jc w:val="right"/>
              <w:rPr>
                <w:sz w:val="20"/>
                <w:szCs w:val="20"/>
              </w:rPr>
            </w:pPr>
            <w:r>
              <w:rPr>
                <w:rFonts w:cs="Calibri"/>
                <w:color w:val="000000"/>
                <w:sz w:val="20"/>
                <w:szCs w:val="20"/>
                <w:lang w:val="ga"/>
              </w:rPr>
              <w:t>8</w:t>
            </w:r>
          </w:p>
        </w:tc>
        <w:tc>
          <w:tcPr>
            <w:tcW w:w="1559" w:type="dxa"/>
            <w:tcBorders>
              <w:top w:val="single" w:sz="4" w:space="0" w:color="auto"/>
              <w:left w:val="single" w:sz="4" w:space="0" w:color="auto"/>
              <w:bottom w:val="single" w:sz="4" w:space="0" w:color="auto"/>
              <w:right w:val="single" w:sz="4" w:space="0" w:color="auto"/>
            </w:tcBorders>
            <w:hideMark/>
          </w:tcPr>
          <w:p w14:paraId="7B1CDE59" w14:textId="77777777" w:rsidR="00590BEF" w:rsidRPr="007202FA" w:rsidRDefault="000B4F21" w:rsidP="007202FA">
            <w:pPr>
              <w:jc w:val="right"/>
              <w:rPr>
                <w:sz w:val="20"/>
                <w:szCs w:val="20"/>
              </w:rPr>
            </w:pPr>
            <w:r>
              <w:rPr>
                <w:rFonts w:cs="Calibri"/>
                <w:color w:val="000000"/>
                <w:sz w:val="20"/>
                <w:szCs w:val="20"/>
                <w:lang w:val="ga"/>
              </w:rPr>
              <w:t>8.8%</w:t>
            </w:r>
          </w:p>
        </w:tc>
        <w:tc>
          <w:tcPr>
            <w:tcW w:w="1430" w:type="dxa"/>
            <w:tcBorders>
              <w:top w:val="single" w:sz="4" w:space="0" w:color="auto"/>
              <w:left w:val="single" w:sz="4" w:space="0" w:color="auto"/>
              <w:bottom w:val="single" w:sz="4" w:space="0" w:color="auto"/>
              <w:right w:val="single" w:sz="4" w:space="0" w:color="auto"/>
            </w:tcBorders>
            <w:hideMark/>
          </w:tcPr>
          <w:p w14:paraId="1D8AE4EF" w14:textId="77777777" w:rsidR="00590BEF" w:rsidRPr="007202FA" w:rsidRDefault="000B4F21" w:rsidP="007202FA">
            <w:pPr>
              <w:jc w:val="right"/>
              <w:rPr>
                <w:sz w:val="20"/>
                <w:szCs w:val="20"/>
              </w:rPr>
            </w:pPr>
            <w:r>
              <w:rPr>
                <w:rFonts w:cs="Calibri"/>
                <w:color w:val="000000"/>
                <w:sz w:val="20"/>
                <w:szCs w:val="20"/>
                <w:lang w:val="ga"/>
              </w:rPr>
              <w:t>108</w:t>
            </w:r>
          </w:p>
        </w:tc>
        <w:tc>
          <w:tcPr>
            <w:tcW w:w="1547" w:type="dxa"/>
            <w:tcBorders>
              <w:top w:val="single" w:sz="4" w:space="0" w:color="auto"/>
              <w:left w:val="single" w:sz="4" w:space="0" w:color="auto"/>
              <w:bottom w:val="single" w:sz="4" w:space="0" w:color="auto"/>
              <w:right w:val="single" w:sz="4" w:space="0" w:color="auto"/>
            </w:tcBorders>
            <w:hideMark/>
          </w:tcPr>
          <w:p w14:paraId="747D6E2D" w14:textId="77777777" w:rsidR="00590BEF" w:rsidRPr="007202FA" w:rsidRDefault="000B4F21" w:rsidP="007202FA">
            <w:pPr>
              <w:jc w:val="right"/>
              <w:rPr>
                <w:sz w:val="20"/>
                <w:szCs w:val="20"/>
              </w:rPr>
            </w:pPr>
            <w:r>
              <w:rPr>
                <w:rFonts w:cs="Calibri"/>
                <w:color w:val="000000"/>
                <w:sz w:val="20"/>
                <w:szCs w:val="20"/>
                <w:lang w:val="ga"/>
              </w:rPr>
              <w:t>11</w:t>
            </w:r>
          </w:p>
        </w:tc>
        <w:tc>
          <w:tcPr>
            <w:tcW w:w="1429" w:type="dxa"/>
            <w:tcBorders>
              <w:top w:val="single" w:sz="4" w:space="0" w:color="auto"/>
              <w:left w:val="single" w:sz="4" w:space="0" w:color="auto"/>
              <w:bottom w:val="single" w:sz="4" w:space="0" w:color="auto"/>
              <w:right w:val="single" w:sz="4" w:space="0" w:color="auto"/>
            </w:tcBorders>
            <w:hideMark/>
          </w:tcPr>
          <w:p w14:paraId="0AF8ADE3" w14:textId="77777777" w:rsidR="00590BEF" w:rsidRPr="007202FA" w:rsidRDefault="000B4F21" w:rsidP="007202FA">
            <w:pPr>
              <w:jc w:val="right"/>
              <w:rPr>
                <w:sz w:val="20"/>
                <w:szCs w:val="20"/>
              </w:rPr>
            </w:pPr>
            <w:r>
              <w:rPr>
                <w:rFonts w:cs="Calibri"/>
                <w:color w:val="000000"/>
                <w:sz w:val="20"/>
                <w:szCs w:val="20"/>
                <w:lang w:val="ga"/>
              </w:rPr>
              <w:t>10.2%</w:t>
            </w:r>
          </w:p>
        </w:tc>
      </w:tr>
      <w:tr w:rsidR="00F31303" w14:paraId="6ECEC4D5"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024580E" w14:textId="77777777" w:rsidR="00590BEF" w:rsidRPr="007202FA" w:rsidRDefault="000B4F21" w:rsidP="007202FA">
            <w:pPr>
              <w:rPr>
                <w:sz w:val="20"/>
                <w:szCs w:val="20"/>
              </w:rPr>
            </w:pPr>
            <w:r>
              <w:rPr>
                <w:rFonts w:cs="Calibri"/>
                <w:color w:val="000000"/>
                <w:sz w:val="20"/>
                <w:szCs w:val="20"/>
                <w:lang w:val="ga"/>
              </w:rPr>
              <w:t>Comhairle Contae Ros Comáin</w:t>
            </w:r>
          </w:p>
        </w:tc>
        <w:tc>
          <w:tcPr>
            <w:tcW w:w="1559" w:type="dxa"/>
            <w:tcBorders>
              <w:top w:val="single" w:sz="4" w:space="0" w:color="auto"/>
              <w:left w:val="single" w:sz="4" w:space="0" w:color="auto"/>
              <w:bottom w:val="single" w:sz="4" w:space="0" w:color="auto"/>
              <w:right w:val="single" w:sz="4" w:space="0" w:color="auto"/>
            </w:tcBorders>
            <w:hideMark/>
          </w:tcPr>
          <w:p w14:paraId="7D52DC16" w14:textId="77777777" w:rsidR="00590BEF" w:rsidRPr="007202FA" w:rsidRDefault="000B4F21" w:rsidP="007202FA">
            <w:pPr>
              <w:jc w:val="right"/>
              <w:rPr>
                <w:sz w:val="20"/>
                <w:szCs w:val="20"/>
              </w:rPr>
            </w:pPr>
            <w:r>
              <w:rPr>
                <w:rFonts w:cs="Calibri"/>
                <w:color w:val="000000"/>
                <w:sz w:val="20"/>
                <w:szCs w:val="20"/>
                <w:lang w:val="ga"/>
              </w:rPr>
              <w:t>444</w:t>
            </w:r>
          </w:p>
        </w:tc>
        <w:tc>
          <w:tcPr>
            <w:tcW w:w="1559" w:type="dxa"/>
            <w:tcBorders>
              <w:top w:val="single" w:sz="4" w:space="0" w:color="auto"/>
              <w:left w:val="single" w:sz="4" w:space="0" w:color="auto"/>
              <w:bottom w:val="single" w:sz="4" w:space="0" w:color="auto"/>
              <w:right w:val="single" w:sz="4" w:space="0" w:color="auto"/>
            </w:tcBorders>
            <w:hideMark/>
          </w:tcPr>
          <w:p w14:paraId="6ED23CE0" w14:textId="77777777" w:rsidR="00590BEF" w:rsidRPr="007202FA" w:rsidRDefault="000B4F21" w:rsidP="007202FA">
            <w:pPr>
              <w:jc w:val="right"/>
              <w:rPr>
                <w:sz w:val="20"/>
                <w:szCs w:val="20"/>
              </w:rPr>
            </w:pPr>
            <w:r>
              <w:rPr>
                <w:rFonts w:cs="Calibri"/>
                <w:color w:val="000000"/>
                <w:sz w:val="20"/>
                <w:szCs w:val="20"/>
                <w:lang w:val="ga"/>
              </w:rPr>
              <w:t>20</w:t>
            </w:r>
          </w:p>
        </w:tc>
        <w:tc>
          <w:tcPr>
            <w:tcW w:w="1559" w:type="dxa"/>
            <w:tcBorders>
              <w:top w:val="single" w:sz="4" w:space="0" w:color="auto"/>
              <w:left w:val="single" w:sz="4" w:space="0" w:color="auto"/>
              <w:bottom w:val="single" w:sz="4" w:space="0" w:color="auto"/>
              <w:right w:val="single" w:sz="4" w:space="0" w:color="auto"/>
            </w:tcBorders>
            <w:hideMark/>
          </w:tcPr>
          <w:p w14:paraId="12764FCB" w14:textId="77777777" w:rsidR="00590BEF" w:rsidRPr="007202FA" w:rsidRDefault="000B4F21" w:rsidP="007202FA">
            <w:pPr>
              <w:jc w:val="right"/>
              <w:rPr>
                <w:sz w:val="20"/>
                <w:szCs w:val="20"/>
              </w:rPr>
            </w:pPr>
            <w:r>
              <w:rPr>
                <w:rFonts w:cs="Calibri"/>
                <w:color w:val="000000"/>
                <w:sz w:val="20"/>
                <w:szCs w:val="20"/>
                <w:lang w:val="ga"/>
              </w:rPr>
              <w:t>4.5%</w:t>
            </w:r>
          </w:p>
        </w:tc>
        <w:tc>
          <w:tcPr>
            <w:tcW w:w="1430" w:type="dxa"/>
            <w:tcBorders>
              <w:top w:val="single" w:sz="4" w:space="0" w:color="auto"/>
              <w:left w:val="single" w:sz="4" w:space="0" w:color="auto"/>
              <w:bottom w:val="single" w:sz="4" w:space="0" w:color="auto"/>
              <w:right w:val="single" w:sz="4" w:space="0" w:color="auto"/>
            </w:tcBorders>
            <w:hideMark/>
          </w:tcPr>
          <w:p w14:paraId="5FDFE04F" w14:textId="77777777" w:rsidR="00590BEF" w:rsidRPr="007202FA" w:rsidRDefault="000B4F21" w:rsidP="007202FA">
            <w:pPr>
              <w:jc w:val="right"/>
              <w:rPr>
                <w:sz w:val="20"/>
                <w:szCs w:val="20"/>
              </w:rPr>
            </w:pPr>
            <w:r>
              <w:rPr>
                <w:rFonts w:cs="Calibri"/>
                <w:color w:val="000000"/>
                <w:sz w:val="20"/>
                <w:szCs w:val="20"/>
                <w:lang w:val="ga"/>
              </w:rPr>
              <w:t>455</w:t>
            </w:r>
          </w:p>
        </w:tc>
        <w:tc>
          <w:tcPr>
            <w:tcW w:w="1547" w:type="dxa"/>
            <w:tcBorders>
              <w:top w:val="single" w:sz="4" w:space="0" w:color="auto"/>
              <w:left w:val="single" w:sz="4" w:space="0" w:color="auto"/>
              <w:bottom w:val="single" w:sz="4" w:space="0" w:color="auto"/>
              <w:right w:val="single" w:sz="4" w:space="0" w:color="auto"/>
            </w:tcBorders>
            <w:hideMark/>
          </w:tcPr>
          <w:p w14:paraId="2AAD0E11" w14:textId="77777777" w:rsidR="00590BEF" w:rsidRPr="007202FA" w:rsidRDefault="000B4F21" w:rsidP="007202FA">
            <w:pPr>
              <w:jc w:val="right"/>
              <w:rPr>
                <w:sz w:val="20"/>
                <w:szCs w:val="20"/>
              </w:rPr>
            </w:pPr>
            <w:r>
              <w:rPr>
                <w:rFonts w:cs="Calibri"/>
                <w:color w:val="000000"/>
                <w:sz w:val="20"/>
                <w:szCs w:val="20"/>
                <w:lang w:val="ga"/>
              </w:rPr>
              <w:t>24</w:t>
            </w:r>
          </w:p>
        </w:tc>
        <w:tc>
          <w:tcPr>
            <w:tcW w:w="1429" w:type="dxa"/>
            <w:tcBorders>
              <w:top w:val="single" w:sz="4" w:space="0" w:color="auto"/>
              <w:left w:val="single" w:sz="4" w:space="0" w:color="auto"/>
              <w:bottom w:val="single" w:sz="4" w:space="0" w:color="auto"/>
              <w:right w:val="single" w:sz="4" w:space="0" w:color="auto"/>
            </w:tcBorders>
            <w:hideMark/>
          </w:tcPr>
          <w:p w14:paraId="4C017412" w14:textId="77777777" w:rsidR="00590BEF" w:rsidRPr="007202FA" w:rsidRDefault="000B4F21" w:rsidP="007202FA">
            <w:pPr>
              <w:jc w:val="right"/>
              <w:rPr>
                <w:sz w:val="20"/>
                <w:szCs w:val="20"/>
              </w:rPr>
            </w:pPr>
            <w:r>
              <w:rPr>
                <w:rFonts w:cs="Calibri"/>
                <w:color w:val="000000"/>
                <w:sz w:val="20"/>
                <w:szCs w:val="20"/>
                <w:lang w:val="ga"/>
              </w:rPr>
              <w:t>5.3%</w:t>
            </w:r>
          </w:p>
        </w:tc>
      </w:tr>
      <w:tr w:rsidR="00F31303" w14:paraId="09BB3844"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D62079C" w14:textId="77777777" w:rsidR="00590BEF" w:rsidRPr="007202FA" w:rsidRDefault="000B4F21" w:rsidP="007202FA">
            <w:pPr>
              <w:rPr>
                <w:sz w:val="20"/>
                <w:szCs w:val="20"/>
              </w:rPr>
            </w:pPr>
            <w:r>
              <w:rPr>
                <w:rFonts w:cs="Calibri"/>
                <w:color w:val="000000"/>
                <w:sz w:val="20"/>
                <w:szCs w:val="20"/>
                <w:lang w:val="ga"/>
              </w:rPr>
              <w:t>Comhairle Contae Shligigh</w:t>
            </w:r>
          </w:p>
        </w:tc>
        <w:tc>
          <w:tcPr>
            <w:tcW w:w="1559" w:type="dxa"/>
            <w:tcBorders>
              <w:top w:val="single" w:sz="4" w:space="0" w:color="auto"/>
              <w:left w:val="single" w:sz="4" w:space="0" w:color="auto"/>
              <w:bottom w:val="single" w:sz="4" w:space="0" w:color="auto"/>
              <w:right w:val="single" w:sz="4" w:space="0" w:color="auto"/>
            </w:tcBorders>
            <w:hideMark/>
          </w:tcPr>
          <w:p w14:paraId="04CA9244" w14:textId="77777777" w:rsidR="00590BEF" w:rsidRPr="007202FA" w:rsidRDefault="000B4F21" w:rsidP="007202FA">
            <w:pPr>
              <w:jc w:val="right"/>
              <w:rPr>
                <w:sz w:val="20"/>
                <w:szCs w:val="20"/>
              </w:rPr>
            </w:pPr>
            <w:r>
              <w:rPr>
                <w:rFonts w:cs="Calibri"/>
                <w:color w:val="000000"/>
                <w:sz w:val="20"/>
                <w:szCs w:val="20"/>
                <w:lang w:val="ga"/>
              </w:rPr>
              <w:t>501</w:t>
            </w:r>
          </w:p>
        </w:tc>
        <w:tc>
          <w:tcPr>
            <w:tcW w:w="1559" w:type="dxa"/>
            <w:tcBorders>
              <w:top w:val="single" w:sz="4" w:space="0" w:color="auto"/>
              <w:left w:val="single" w:sz="4" w:space="0" w:color="auto"/>
              <w:bottom w:val="single" w:sz="4" w:space="0" w:color="auto"/>
              <w:right w:val="single" w:sz="4" w:space="0" w:color="auto"/>
            </w:tcBorders>
            <w:hideMark/>
          </w:tcPr>
          <w:p w14:paraId="6A59DCB8" w14:textId="77777777" w:rsidR="00590BEF" w:rsidRPr="007202FA" w:rsidRDefault="000B4F21" w:rsidP="007202FA">
            <w:pPr>
              <w:jc w:val="right"/>
              <w:rPr>
                <w:sz w:val="20"/>
                <w:szCs w:val="20"/>
              </w:rPr>
            </w:pPr>
            <w:r>
              <w:rPr>
                <w:rFonts w:cs="Calibri"/>
                <w:color w:val="000000"/>
                <w:sz w:val="20"/>
                <w:szCs w:val="20"/>
                <w:lang w:val="ga"/>
              </w:rPr>
              <w:t>20</w:t>
            </w:r>
          </w:p>
        </w:tc>
        <w:tc>
          <w:tcPr>
            <w:tcW w:w="1559" w:type="dxa"/>
            <w:tcBorders>
              <w:top w:val="single" w:sz="4" w:space="0" w:color="auto"/>
              <w:left w:val="single" w:sz="4" w:space="0" w:color="auto"/>
              <w:bottom w:val="single" w:sz="4" w:space="0" w:color="auto"/>
              <w:right w:val="single" w:sz="4" w:space="0" w:color="auto"/>
            </w:tcBorders>
            <w:hideMark/>
          </w:tcPr>
          <w:p w14:paraId="14756A85" w14:textId="77777777" w:rsidR="00590BEF" w:rsidRPr="007202FA" w:rsidRDefault="000B4F21" w:rsidP="007202FA">
            <w:pPr>
              <w:jc w:val="right"/>
              <w:rPr>
                <w:sz w:val="20"/>
                <w:szCs w:val="20"/>
              </w:rPr>
            </w:pPr>
            <w:r>
              <w:rPr>
                <w:rFonts w:cs="Calibri"/>
                <w:color w:val="000000"/>
                <w:sz w:val="20"/>
                <w:szCs w:val="20"/>
                <w:lang w:val="ga"/>
              </w:rPr>
              <w:t>4.0%</w:t>
            </w:r>
          </w:p>
        </w:tc>
        <w:tc>
          <w:tcPr>
            <w:tcW w:w="1430" w:type="dxa"/>
            <w:tcBorders>
              <w:top w:val="single" w:sz="4" w:space="0" w:color="auto"/>
              <w:left w:val="single" w:sz="4" w:space="0" w:color="auto"/>
              <w:bottom w:val="single" w:sz="4" w:space="0" w:color="auto"/>
              <w:right w:val="single" w:sz="4" w:space="0" w:color="auto"/>
            </w:tcBorders>
            <w:hideMark/>
          </w:tcPr>
          <w:p w14:paraId="77842477" w14:textId="77777777" w:rsidR="00590BEF" w:rsidRPr="007202FA" w:rsidRDefault="000B4F21" w:rsidP="007202FA">
            <w:pPr>
              <w:jc w:val="right"/>
              <w:rPr>
                <w:sz w:val="20"/>
                <w:szCs w:val="20"/>
              </w:rPr>
            </w:pPr>
            <w:r>
              <w:rPr>
                <w:rFonts w:cs="Calibri"/>
                <w:color w:val="000000"/>
                <w:sz w:val="20"/>
                <w:szCs w:val="20"/>
                <w:lang w:val="ga"/>
              </w:rPr>
              <w:t>495</w:t>
            </w:r>
          </w:p>
        </w:tc>
        <w:tc>
          <w:tcPr>
            <w:tcW w:w="1547" w:type="dxa"/>
            <w:tcBorders>
              <w:top w:val="single" w:sz="4" w:space="0" w:color="auto"/>
              <w:left w:val="single" w:sz="4" w:space="0" w:color="auto"/>
              <w:bottom w:val="single" w:sz="4" w:space="0" w:color="auto"/>
              <w:right w:val="single" w:sz="4" w:space="0" w:color="auto"/>
            </w:tcBorders>
            <w:hideMark/>
          </w:tcPr>
          <w:p w14:paraId="2377D342" w14:textId="77777777" w:rsidR="00590BEF" w:rsidRPr="007202FA" w:rsidRDefault="000B4F21" w:rsidP="007202FA">
            <w:pPr>
              <w:jc w:val="right"/>
              <w:rPr>
                <w:sz w:val="20"/>
                <w:szCs w:val="20"/>
              </w:rPr>
            </w:pPr>
            <w:r>
              <w:rPr>
                <w:rFonts w:cs="Calibri"/>
                <w:color w:val="000000"/>
                <w:sz w:val="20"/>
                <w:szCs w:val="20"/>
                <w:lang w:val="ga"/>
              </w:rPr>
              <w:t>21</w:t>
            </w:r>
          </w:p>
        </w:tc>
        <w:tc>
          <w:tcPr>
            <w:tcW w:w="1429" w:type="dxa"/>
            <w:tcBorders>
              <w:top w:val="single" w:sz="4" w:space="0" w:color="auto"/>
              <w:left w:val="single" w:sz="4" w:space="0" w:color="auto"/>
              <w:bottom w:val="single" w:sz="4" w:space="0" w:color="auto"/>
              <w:right w:val="single" w:sz="4" w:space="0" w:color="auto"/>
            </w:tcBorders>
            <w:hideMark/>
          </w:tcPr>
          <w:p w14:paraId="46F03F5A" w14:textId="77777777" w:rsidR="00590BEF" w:rsidRPr="007202FA" w:rsidRDefault="000B4F21" w:rsidP="007202FA">
            <w:pPr>
              <w:jc w:val="right"/>
              <w:rPr>
                <w:sz w:val="20"/>
                <w:szCs w:val="20"/>
              </w:rPr>
            </w:pPr>
            <w:r>
              <w:rPr>
                <w:rFonts w:cs="Calibri"/>
                <w:color w:val="000000"/>
                <w:sz w:val="20"/>
                <w:szCs w:val="20"/>
                <w:lang w:val="ga"/>
              </w:rPr>
              <w:t>4.2%</w:t>
            </w:r>
          </w:p>
        </w:tc>
      </w:tr>
      <w:tr w:rsidR="00F31303" w14:paraId="08BE3057"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E6A30A3" w14:textId="77777777" w:rsidR="00590BEF" w:rsidRPr="007202FA" w:rsidRDefault="000B4F21" w:rsidP="007202FA">
            <w:pPr>
              <w:rPr>
                <w:sz w:val="20"/>
                <w:szCs w:val="20"/>
              </w:rPr>
            </w:pPr>
            <w:r>
              <w:rPr>
                <w:rFonts w:cs="Calibri"/>
                <w:color w:val="000000"/>
                <w:sz w:val="20"/>
                <w:szCs w:val="20"/>
                <w:lang w:val="ga"/>
              </w:rPr>
              <w:t>Comhairle Contae Átha Cliath Theas</w:t>
            </w:r>
          </w:p>
        </w:tc>
        <w:tc>
          <w:tcPr>
            <w:tcW w:w="1559" w:type="dxa"/>
            <w:tcBorders>
              <w:top w:val="single" w:sz="4" w:space="0" w:color="auto"/>
              <w:left w:val="single" w:sz="4" w:space="0" w:color="auto"/>
              <w:bottom w:val="single" w:sz="4" w:space="0" w:color="auto"/>
              <w:right w:val="single" w:sz="4" w:space="0" w:color="auto"/>
            </w:tcBorders>
            <w:hideMark/>
          </w:tcPr>
          <w:p w14:paraId="7AD8D64C" w14:textId="77777777" w:rsidR="00590BEF" w:rsidRPr="007202FA" w:rsidRDefault="000B4F21" w:rsidP="007202FA">
            <w:pPr>
              <w:jc w:val="right"/>
              <w:rPr>
                <w:sz w:val="20"/>
                <w:szCs w:val="20"/>
              </w:rPr>
            </w:pPr>
            <w:r>
              <w:rPr>
                <w:rFonts w:cs="Calibri"/>
                <w:color w:val="000000"/>
                <w:sz w:val="20"/>
                <w:szCs w:val="20"/>
                <w:lang w:val="ga"/>
              </w:rPr>
              <w:t>1,291</w:t>
            </w:r>
          </w:p>
        </w:tc>
        <w:tc>
          <w:tcPr>
            <w:tcW w:w="1559" w:type="dxa"/>
            <w:tcBorders>
              <w:top w:val="single" w:sz="4" w:space="0" w:color="auto"/>
              <w:left w:val="single" w:sz="4" w:space="0" w:color="auto"/>
              <w:bottom w:val="single" w:sz="4" w:space="0" w:color="auto"/>
              <w:right w:val="single" w:sz="4" w:space="0" w:color="auto"/>
            </w:tcBorders>
            <w:hideMark/>
          </w:tcPr>
          <w:p w14:paraId="6BA20FD4" w14:textId="77777777" w:rsidR="00590BEF" w:rsidRPr="007202FA" w:rsidRDefault="000B4F21" w:rsidP="007202FA">
            <w:pPr>
              <w:jc w:val="right"/>
              <w:rPr>
                <w:sz w:val="20"/>
                <w:szCs w:val="20"/>
              </w:rPr>
            </w:pPr>
            <w:r>
              <w:rPr>
                <w:rFonts w:cs="Calibri"/>
                <w:color w:val="000000"/>
                <w:sz w:val="20"/>
                <w:szCs w:val="20"/>
                <w:lang w:val="ga"/>
              </w:rPr>
              <w:t>71</w:t>
            </w:r>
          </w:p>
        </w:tc>
        <w:tc>
          <w:tcPr>
            <w:tcW w:w="1559" w:type="dxa"/>
            <w:tcBorders>
              <w:top w:val="single" w:sz="4" w:space="0" w:color="auto"/>
              <w:left w:val="single" w:sz="4" w:space="0" w:color="auto"/>
              <w:bottom w:val="single" w:sz="4" w:space="0" w:color="auto"/>
              <w:right w:val="single" w:sz="4" w:space="0" w:color="auto"/>
            </w:tcBorders>
            <w:hideMark/>
          </w:tcPr>
          <w:p w14:paraId="43461959" w14:textId="77777777" w:rsidR="00590BEF" w:rsidRPr="007202FA" w:rsidRDefault="000B4F21" w:rsidP="007202FA">
            <w:pPr>
              <w:jc w:val="right"/>
              <w:rPr>
                <w:sz w:val="20"/>
                <w:szCs w:val="20"/>
              </w:rPr>
            </w:pPr>
            <w:r>
              <w:rPr>
                <w:rFonts w:cs="Calibri"/>
                <w:color w:val="000000"/>
                <w:sz w:val="20"/>
                <w:szCs w:val="20"/>
                <w:lang w:val="ga"/>
              </w:rPr>
              <w:t>5.5%</w:t>
            </w:r>
          </w:p>
        </w:tc>
        <w:tc>
          <w:tcPr>
            <w:tcW w:w="1430" w:type="dxa"/>
            <w:tcBorders>
              <w:top w:val="single" w:sz="4" w:space="0" w:color="auto"/>
              <w:left w:val="single" w:sz="4" w:space="0" w:color="auto"/>
              <w:bottom w:val="single" w:sz="4" w:space="0" w:color="auto"/>
              <w:right w:val="single" w:sz="4" w:space="0" w:color="auto"/>
            </w:tcBorders>
            <w:hideMark/>
          </w:tcPr>
          <w:p w14:paraId="7347435F" w14:textId="77777777" w:rsidR="00590BEF" w:rsidRPr="007202FA" w:rsidRDefault="000B4F21" w:rsidP="007202FA">
            <w:pPr>
              <w:jc w:val="right"/>
              <w:rPr>
                <w:sz w:val="20"/>
                <w:szCs w:val="20"/>
              </w:rPr>
            </w:pPr>
            <w:r>
              <w:rPr>
                <w:rFonts w:cs="Calibri"/>
                <w:color w:val="000000"/>
                <w:sz w:val="20"/>
                <w:szCs w:val="20"/>
                <w:lang w:val="ga"/>
              </w:rPr>
              <w:t>1,307</w:t>
            </w:r>
          </w:p>
        </w:tc>
        <w:tc>
          <w:tcPr>
            <w:tcW w:w="1547" w:type="dxa"/>
            <w:tcBorders>
              <w:top w:val="single" w:sz="4" w:space="0" w:color="auto"/>
              <w:left w:val="single" w:sz="4" w:space="0" w:color="auto"/>
              <w:bottom w:val="single" w:sz="4" w:space="0" w:color="auto"/>
              <w:right w:val="single" w:sz="4" w:space="0" w:color="auto"/>
            </w:tcBorders>
            <w:hideMark/>
          </w:tcPr>
          <w:p w14:paraId="0FF07DC3" w14:textId="77777777" w:rsidR="00590BEF" w:rsidRPr="007202FA" w:rsidRDefault="000B4F21" w:rsidP="007202FA">
            <w:pPr>
              <w:jc w:val="right"/>
              <w:rPr>
                <w:sz w:val="20"/>
                <w:szCs w:val="20"/>
              </w:rPr>
            </w:pPr>
            <w:r>
              <w:rPr>
                <w:rFonts w:cs="Calibri"/>
                <w:color w:val="000000"/>
                <w:sz w:val="20"/>
                <w:szCs w:val="20"/>
                <w:lang w:val="ga"/>
              </w:rPr>
              <w:t>110</w:t>
            </w:r>
          </w:p>
        </w:tc>
        <w:tc>
          <w:tcPr>
            <w:tcW w:w="1429" w:type="dxa"/>
            <w:tcBorders>
              <w:top w:val="single" w:sz="4" w:space="0" w:color="auto"/>
              <w:left w:val="single" w:sz="4" w:space="0" w:color="auto"/>
              <w:bottom w:val="single" w:sz="4" w:space="0" w:color="auto"/>
              <w:right w:val="single" w:sz="4" w:space="0" w:color="auto"/>
            </w:tcBorders>
            <w:hideMark/>
          </w:tcPr>
          <w:p w14:paraId="18156B33" w14:textId="77777777" w:rsidR="00590BEF" w:rsidRPr="007202FA" w:rsidRDefault="000B4F21" w:rsidP="007202FA">
            <w:pPr>
              <w:jc w:val="right"/>
              <w:rPr>
                <w:sz w:val="20"/>
                <w:szCs w:val="20"/>
              </w:rPr>
            </w:pPr>
            <w:r>
              <w:rPr>
                <w:rFonts w:cs="Calibri"/>
                <w:color w:val="000000"/>
                <w:sz w:val="20"/>
                <w:szCs w:val="20"/>
                <w:lang w:val="ga"/>
              </w:rPr>
              <w:t>8.4%</w:t>
            </w:r>
          </w:p>
        </w:tc>
      </w:tr>
      <w:tr w:rsidR="00F31303" w14:paraId="25039655"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03511E8D" w14:textId="77777777" w:rsidR="00590BEF" w:rsidRPr="007202FA" w:rsidRDefault="000B4F21" w:rsidP="007202FA">
            <w:pPr>
              <w:rPr>
                <w:sz w:val="20"/>
                <w:szCs w:val="20"/>
              </w:rPr>
            </w:pPr>
            <w:r>
              <w:rPr>
                <w:rFonts w:cs="Calibri"/>
                <w:color w:val="000000"/>
                <w:sz w:val="20"/>
                <w:szCs w:val="20"/>
                <w:lang w:val="ga"/>
              </w:rPr>
              <w:t>Tionól Réigiúnach an Deiscirt</w:t>
            </w:r>
          </w:p>
        </w:tc>
        <w:tc>
          <w:tcPr>
            <w:tcW w:w="1559" w:type="dxa"/>
            <w:tcBorders>
              <w:top w:val="single" w:sz="4" w:space="0" w:color="auto"/>
              <w:left w:val="single" w:sz="4" w:space="0" w:color="auto"/>
              <w:bottom w:val="single" w:sz="4" w:space="0" w:color="auto"/>
              <w:right w:val="single" w:sz="4" w:space="0" w:color="auto"/>
            </w:tcBorders>
            <w:hideMark/>
          </w:tcPr>
          <w:p w14:paraId="5A0DA964" w14:textId="77777777" w:rsidR="00590BEF" w:rsidRPr="007202FA" w:rsidRDefault="000B4F21" w:rsidP="007202FA">
            <w:pPr>
              <w:jc w:val="right"/>
              <w:rPr>
                <w:sz w:val="20"/>
                <w:szCs w:val="20"/>
              </w:rPr>
            </w:pPr>
            <w:r>
              <w:rPr>
                <w:rFonts w:cs="Calibri"/>
                <w:color w:val="000000"/>
                <w:sz w:val="20"/>
                <w:szCs w:val="20"/>
                <w:lang w:val="ga"/>
              </w:rPr>
              <w:t>35</w:t>
            </w:r>
          </w:p>
        </w:tc>
        <w:tc>
          <w:tcPr>
            <w:tcW w:w="1559" w:type="dxa"/>
            <w:tcBorders>
              <w:top w:val="single" w:sz="4" w:space="0" w:color="auto"/>
              <w:left w:val="single" w:sz="4" w:space="0" w:color="auto"/>
              <w:bottom w:val="single" w:sz="4" w:space="0" w:color="auto"/>
              <w:right w:val="single" w:sz="4" w:space="0" w:color="auto"/>
            </w:tcBorders>
            <w:hideMark/>
          </w:tcPr>
          <w:p w14:paraId="59283493" w14:textId="77777777" w:rsidR="00590BEF" w:rsidRPr="007202FA" w:rsidRDefault="000B4F21" w:rsidP="007202FA">
            <w:pPr>
              <w:jc w:val="right"/>
              <w:rPr>
                <w:sz w:val="20"/>
                <w:szCs w:val="20"/>
              </w:rPr>
            </w:pPr>
            <w:r>
              <w:rPr>
                <w:rFonts w:cs="Calibri"/>
                <w:color w:val="000000"/>
                <w:sz w:val="20"/>
                <w:szCs w:val="20"/>
                <w:lang w:val="ga"/>
              </w:rPr>
              <w:t>4</w:t>
            </w:r>
          </w:p>
        </w:tc>
        <w:tc>
          <w:tcPr>
            <w:tcW w:w="1559" w:type="dxa"/>
            <w:tcBorders>
              <w:top w:val="single" w:sz="4" w:space="0" w:color="auto"/>
              <w:left w:val="single" w:sz="4" w:space="0" w:color="auto"/>
              <w:bottom w:val="single" w:sz="4" w:space="0" w:color="auto"/>
              <w:right w:val="single" w:sz="4" w:space="0" w:color="auto"/>
            </w:tcBorders>
            <w:hideMark/>
          </w:tcPr>
          <w:p w14:paraId="7675D4AC" w14:textId="77777777" w:rsidR="00590BEF" w:rsidRPr="007202FA" w:rsidRDefault="000B4F21" w:rsidP="007202FA">
            <w:pPr>
              <w:jc w:val="right"/>
              <w:rPr>
                <w:sz w:val="20"/>
                <w:szCs w:val="20"/>
              </w:rPr>
            </w:pPr>
            <w:r>
              <w:rPr>
                <w:rFonts w:cs="Calibri"/>
                <w:color w:val="000000"/>
                <w:sz w:val="20"/>
                <w:szCs w:val="20"/>
                <w:lang w:val="ga"/>
              </w:rPr>
              <w:t>11.4%</w:t>
            </w:r>
          </w:p>
        </w:tc>
        <w:tc>
          <w:tcPr>
            <w:tcW w:w="1430" w:type="dxa"/>
            <w:tcBorders>
              <w:top w:val="single" w:sz="4" w:space="0" w:color="auto"/>
              <w:left w:val="single" w:sz="4" w:space="0" w:color="auto"/>
              <w:bottom w:val="single" w:sz="4" w:space="0" w:color="auto"/>
              <w:right w:val="single" w:sz="4" w:space="0" w:color="auto"/>
            </w:tcBorders>
            <w:hideMark/>
          </w:tcPr>
          <w:p w14:paraId="216CD28E" w14:textId="77777777" w:rsidR="00590BEF" w:rsidRPr="007202FA" w:rsidRDefault="000B4F21" w:rsidP="007202FA">
            <w:pPr>
              <w:jc w:val="right"/>
              <w:rPr>
                <w:sz w:val="20"/>
                <w:szCs w:val="20"/>
              </w:rPr>
            </w:pPr>
            <w:r>
              <w:rPr>
                <w:rFonts w:cs="Calibri"/>
                <w:color w:val="000000"/>
                <w:sz w:val="20"/>
                <w:szCs w:val="20"/>
                <w:lang w:val="ga"/>
              </w:rPr>
              <w:t>40</w:t>
            </w:r>
          </w:p>
        </w:tc>
        <w:tc>
          <w:tcPr>
            <w:tcW w:w="1547" w:type="dxa"/>
            <w:tcBorders>
              <w:top w:val="single" w:sz="4" w:space="0" w:color="auto"/>
              <w:left w:val="single" w:sz="4" w:space="0" w:color="auto"/>
              <w:bottom w:val="single" w:sz="4" w:space="0" w:color="auto"/>
              <w:right w:val="single" w:sz="4" w:space="0" w:color="auto"/>
            </w:tcBorders>
            <w:hideMark/>
          </w:tcPr>
          <w:p w14:paraId="66D66607" w14:textId="77777777" w:rsidR="00590BEF" w:rsidRPr="007202FA" w:rsidRDefault="000B4F21" w:rsidP="007202FA">
            <w:pPr>
              <w:jc w:val="right"/>
              <w:rPr>
                <w:sz w:val="20"/>
                <w:szCs w:val="20"/>
              </w:rPr>
            </w:pPr>
            <w:r>
              <w:rPr>
                <w:rFonts w:cs="Calibri"/>
                <w:color w:val="000000"/>
                <w:sz w:val="20"/>
                <w:szCs w:val="20"/>
                <w:lang w:val="ga"/>
              </w:rPr>
              <w:t>4</w:t>
            </w:r>
          </w:p>
        </w:tc>
        <w:tc>
          <w:tcPr>
            <w:tcW w:w="1429" w:type="dxa"/>
            <w:tcBorders>
              <w:top w:val="single" w:sz="4" w:space="0" w:color="auto"/>
              <w:left w:val="single" w:sz="4" w:space="0" w:color="auto"/>
              <w:bottom w:val="single" w:sz="4" w:space="0" w:color="auto"/>
              <w:right w:val="single" w:sz="4" w:space="0" w:color="auto"/>
            </w:tcBorders>
            <w:hideMark/>
          </w:tcPr>
          <w:p w14:paraId="4A150F95" w14:textId="77777777" w:rsidR="00590BEF" w:rsidRPr="007202FA" w:rsidRDefault="000B4F21" w:rsidP="007202FA">
            <w:pPr>
              <w:jc w:val="right"/>
              <w:rPr>
                <w:sz w:val="20"/>
                <w:szCs w:val="20"/>
              </w:rPr>
            </w:pPr>
            <w:r>
              <w:rPr>
                <w:rFonts w:cs="Calibri"/>
                <w:color w:val="000000"/>
                <w:sz w:val="20"/>
                <w:szCs w:val="20"/>
                <w:lang w:val="ga"/>
              </w:rPr>
              <w:t>10.0%</w:t>
            </w:r>
          </w:p>
        </w:tc>
      </w:tr>
      <w:tr w:rsidR="00F31303" w14:paraId="3FD4C91A"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15AAEE22" w14:textId="77777777" w:rsidR="00590BEF" w:rsidRPr="007202FA" w:rsidRDefault="000B4F21" w:rsidP="007202FA">
            <w:pPr>
              <w:rPr>
                <w:sz w:val="20"/>
                <w:szCs w:val="20"/>
              </w:rPr>
            </w:pPr>
            <w:r>
              <w:rPr>
                <w:rFonts w:cs="Calibri"/>
                <w:color w:val="000000"/>
                <w:sz w:val="20"/>
                <w:szCs w:val="20"/>
                <w:lang w:val="ga"/>
              </w:rPr>
              <w:t>Comhairle Contae Thiobraid Árann</w:t>
            </w:r>
          </w:p>
        </w:tc>
        <w:tc>
          <w:tcPr>
            <w:tcW w:w="1559" w:type="dxa"/>
            <w:tcBorders>
              <w:top w:val="single" w:sz="4" w:space="0" w:color="auto"/>
              <w:left w:val="single" w:sz="4" w:space="0" w:color="auto"/>
              <w:bottom w:val="single" w:sz="4" w:space="0" w:color="auto"/>
              <w:right w:val="single" w:sz="4" w:space="0" w:color="auto"/>
            </w:tcBorders>
            <w:hideMark/>
          </w:tcPr>
          <w:p w14:paraId="597E4B1E" w14:textId="77777777" w:rsidR="00590BEF" w:rsidRPr="007202FA" w:rsidRDefault="000B4F21" w:rsidP="007202FA">
            <w:pPr>
              <w:jc w:val="right"/>
              <w:rPr>
                <w:sz w:val="20"/>
                <w:szCs w:val="20"/>
              </w:rPr>
            </w:pPr>
            <w:r>
              <w:rPr>
                <w:rFonts w:cs="Calibri"/>
                <w:color w:val="000000"/>
                <w:sz w:val="20"/>
                <w:szCs w:val="20"/>
                <w:lang w:val="ga"/>
              </w:rPr>
              <w:t>1,153</w:t>
            </w:r>
          </w:p>
        </w:tc>
        <w:tc>
          <w:tcPr>
            <w:tcW w:w="1559" w:type="dxa"/>
            <w:tcBorders>
              <w:top w:val="single" w:sz="4" w:space="0" w:color="auto"/>
              <w:left w:val="single" w:sz="4" w:space="0" w:color="auto"/>
              <w:bottom w:val="single" w:sz="4" w:space="0" w:color="auto"/>
              <w:right w:val="single" w:sz="4" w:space="0" w:color="auto"/>
            </w:tcBorders>
            <w:hideMark/>
          </w:tcPr>
          <w:p w14:paraId="5D14A3A6" w14:textId="77777777" w:rsidR="00590BEF" w:rsidRPr="007202FA" w:rsidRDefault="000B4F21" w:rsidP="007202FA">
            <w:pPr>
              <w:jc w:val="right"/>
              <w:rPr>
                <w:sz w:val="20"/>
                <w:szCs w:val="20"/>
              </w:rPr>
            </w:pPr>
            <w:r>
              <w:rPr>
                <w:rFonts w:cs="Calibri"/>
                <w:color w:val="000000"/>
                <w:sz w:val="20"/>
                <w:szCs w:val="20"/>
                <w:lang w:val="ga"/>
              </w:rPr>
              <w:t>61</w:t>
            </w:r>
          </w:p>
        </w:tc>
        <w:tc>
          <w:tcPr>
            <w:tcW w:w="1559" w:type="dxa"/>
            <w:tcBorders>
              <w:top w:val="single" w:sz="4" w:space="0" w:color="auto"/>
              <w:left w:val="single" w:sz="4" w:space="0" w:color="auto"/>
              <w:bottom w:val="single" w:sz="4" w:space="0" w:color="auto"/>
              <w:right w:val="single" w:sz="4" w:space="0" w:color="auto"/>
            </w:tcBorders>
            <w:hideMark/>
          </w:tcPr>
          <w:p w14:paraId="7BD70AC4" w14:textId="77777777" w:rsidR="00590BEF" w:rsidRPr="007202FA" w:rsidRDefault="000B4F21" w:rsidP="007202FA">
            <w:pPr>
              <w:jc w:val="right"/>
              <w:rPr>
                <w:sz w:val="20"/>
                <w:szCs w:val="20"/>
              </w:rPr>
            </w:pPr>
            <w:r>
              <w:rPr>
                <w:rFonts w:cs="Calibri"/>
                <w:color w:val="000000"/>
                <w:sz w:val="20"/>
                <w:szCs w:val="20"/>
                <w:lang w:val="ga"/>
              </w:rPr>
              <w:t>5.3%</w:t>
            </w:r>
          </w:p>
        </w:tc>
        <w:tc>
          <w:tcPr>
            <w:tcW w:w="1430" w:type="dxa"/>
            <w:tcBorders>
              <w:top w:val="single" w:sz="4" w:space="0" w:color="auto"/>
              <w:left w:val="single" w:sz="4" w:space="0" w:color="auto"/>
              <w:bottom w:val="single" w:sz="4" w:space="0" w:color="auto"/>
              <w:right w:val="single" w:sz="4" w:space="0" w:color="auto"/>
            </w:tcBorders>
            <w:hideMark/>
          </w:tcPr>
          <w:p w14:paraId="03C4FDE3" w14:textId="77777777" w:rsidR="00590BEF" w:rsidRPr="007202FA" w:rsidRDefault="000B4F21" w:rsidP="007202FA">
            <w:pPr>
              <w:jc w:val="right"/>
              <w:rPr>
                <w:sz w:val="20"/>
                <w:szCs w:val="20"/>
              </w:rPr>
            </w:pPr>
            <w:r>
              <w:rPr>
                <w:rFonts w:cs="Calibri"/>
                <w:color w:val="000000"/>
                <w:sz w:val="20"/>
                <w:szCs w:val="20"/>
                <w:lang w:val="ga"/>
              </w:rPr>
              <w:t>1,118</w:t>
            </w:r>
          </w:p>
        </w:tc>
        <w:tc>
          <w:tcPr>
            <w:tcW w:w="1547" w:type="dxa"/>
            <w:tcBorders>
              <w:top w:val="single" w:sz="4" w:space="0" w:color="auto"/>
              <w:left w:val="single" w:sz="4" w:space="0" w:color="auto"/>
              <w:bottom w:val="single" w:sz="4" w:space="0" w:color="auto"/>
              <w:right w:val="single" w:sz="4" w:space="0" w:color="auto"/>
            </w:tcBorders>
            <w:hideMark/>
          </w:tcPr>
          <w:p w14:paraId="374CAA88" w14:textId="77777777" w:rsidR="00590BEF" w:rsidRPr="007202FA" w:rsidRDefault="000B4F21" w:rsidP="007202FA">
            <w:pPr>
              <w:jc w:val="right"/>
              <w:rPr>
                <w:sz w:val="20"/>
                <w:szCs w:val="20"/>
              </w:rPr>
            </w:pPr>
            <w:r>
              <w:rPr>
                <w:rFonts w:cs="Calibri"/>
                <w:color w:val="000000"/>
                <w:sz w:val="20"/>
                <w:szCs w:val="20"/>
                <w:lang w:val="ga"/>
              </w:rPr>
              <w:t>67</w:t>
            </w:r>
          </w:p>
        </w:tc>
        <w:tc>
          <w:tcPr>
            <w:tcW w:w="1429" w:type="dxa"/>
            <w:tcBorders>
              <w:top w:val="single" w:sz="4" w:space="0" w:color="auto"/>
              <w:left w:val="single" w:sz="4" w:space="0" w:color="auto"/>
              <w:bottom w:val="single" w:sz="4" w:space="0" w:color="auto"/>
              <w:right w:val="single" w:sz="4" w:space="0" w:color="auto"/>
            </w:tcBorders>
            <w:hideMark/>
          </w:tcPr>
          <w:p w14:paraId="1336FEAC" w14:textId="77777777" w:rsidR="00590BEF" w:rsidRPr="007202FA" w:rsidRDefault="000B4F21" w:rsidP="007202FA">
            <w:pPr>
              <w:jc w:val="right"/>
              <w:rPr>
                <w:sz w:val="20"/>
                <w:szCs w:val="20"/>
              </w:rPr>
            </w:pPr>
            <w:r>
              <w:rPr>
                <w:rFonts w:cs="Calibri"/>
                <w:color w:val="000000"/>
                <w:sz w:val="20"/>
                <w:szCs w:val="20"/>
                <w:lang w:val="ga"/>
              </w:rPr>
              <w:t>6.0%</w:t>
            </w:r>
          </w:p>
        </w:tc>
      </w:tr>
      <w:tr w:rsidR="00F31303" w14:paraId="379A9179"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74F28C88" w14:textId="77777777" w:rsidR="00590BEF" w:rsidRPr="007202FA" w:rsidRDefault="000B4F21" w:rsidP="007202FA">
            <w:pPr>
              <w:rPr>
                <w:rFonts w:cs="Calibri"/>
                <w:color w:val="000000"/>
                <w:sz w:val="20"/>
                <w:szCs w:val="20"/>
              </w:rPr>
            </w:pPr>
            <w:r>
              <w:rPr>
                <w:rFonts w:cs="Calibri"/>
                <w:color w:val="000000"/>
                <w:sz w:val="20"/>
                <w:szCs w:val="20"/>
                <w:lang w:val="ga"/>
              </w:rPr>
              <w:lastRenderedPageBreak/>
              <w:t xml:space="preserve">Uisce Éireann </w:t>
            </w:r>
          </w:p>
          <w:p w14:paraId="6133C242" w14:textId="77777777" w:rsidR="00BE7D53" w:rsidRPr="007202FA" w:rsidRDefault="00BE7D53" w:rsidP="007202FA">
            <w:pPr>
              <w:rPr>
                <w:rFonts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19B059B0" w14:textId="77777777" w:rsidR="00590BEF" w:rsidRPr="007202FA" w:rsidRDefault="000B4F21" w:rsidP="007202FA">
            <w:pPr>
              <w:pStyle w:val="TableHead"/>
              <w:jc w:val="right"/>
              <w:rPr>
                <w:rFonts w:ascii="Verdana" w:hAnsi="Verdana" w:cs="Calibri"/>
                <w:b w:val="0"/>
                <w:bCs/>
                <w:color w:val="000000"/>
                <w:kern w:val="2"/>
                <w:sz w:val="20"/>
                <w:szCs w:val="20"/>
                <w14:ligatures w14:val="standardContextual"/>
              </w:rPr>
            </w:pPr>
            <w:r>
              <w:rPr>
                <w:rFonts w:ascii="Verdana" w:hAnsi="Verdana" w:cs="Calibri"/>
                <w:b w:val="0"/>
                <w:color w:val="000000"/>
                <w:kern w:val="2"/>
                <w:sz w:val="20"/>
                <w:szCs w:val="20"/>
                <w:lang w:val="ga"/>
                <w14:ligatures w14:val="standardContextual"/>
              </w:rPr>
              <w:t>1,557</w:t>
            </w:r>
          </w:p>
        </w:tc>
        <w:tc>
          <w:tcPr>
            <w:tcW w:w="1559" w:type="dxa"/>
            <w:tcBorders>
              <w:top w:val="single" w:sz="4" w:space="0" w:color="auto"/>
              <w:left w:val="single" w:sz="4" w:space="0" w:color="auto"/>
              <w:bottom w:val="single" w:sz="4" w:space="0" w:color="auto"/>
              <w:right w:val="single" w:sz="4" w:space="0" w:color="auto"/>
            </w:tcBorders>
            <w:hideMark/>
          </w:tcPr>
          <w:p w14:paraId="1D6D6425" w14:textId="77777777" w:rsidR="00590BEF" w:rsidRPr="007202FA" w:rsidRDefault="000B4F21" w:rsidP="007202FA">
            <w:pPr>
              <w:jc w:val="right"/>
              <w:rPr>
                <w:rFonts w:cs="Calibri"/>
                <w:bCs/>
                <w:color w:val="000000"/>
                <w:sz w:val="20"/>
                <w:szCs w:val="20"/>
              </w:rPr>
            </w:pPr>
            <w:r>
              <w:rPr>
                <w:rFonts w:cs="Calibri"/>
                <w:color w:val="000000"/>
                <w:sz w:val="20"/>
                <w:szCs w:val="20"/>
                <w:lang w:val="ga"/>
              </w:rPr>
              <w:t>116</w:t>
            </w:r>
          </w:p>
        </w:tc>
        <w:tc>
          <w:tcPr>
            <w:tcW w:w="1559" w:type="dxa"/>
            <w:tcBorders>
              <w:top w:val="single" w:sz="4" w:space="0" w:color="auto"/>
              <w:left w:val="single" w:sz="4" w:space="0" w:color="auto"/>
              <w:bottom w:val="single" w:sz="4" w:space="0" w:color="auto"/>
              <w:right w:val="single" w:sz="4" w:space="0" w:color="auto"/>
            </w:tcBorders>
            <w:hideMark/>
          </w:tcPr>
          <w:p w14:paraId="08A7A38E" w14:textId="77777777" w:rsidR="00590BEF" w:rsidRPr="007202FA" w:rsidRDefault="000B4F21" w:rsidP="007202FA">
            <w:pPr>
              <w:pStyle w:val="TableHead"/>
              <w:jc w:val="right"/>
              <w:rPr>
                <w:rFonts w:ascii="Verdana" w:hAnsi="Verdana" w:cs="Calibri"/>
                <w:b w:val="0"/>
                <w:bCs/>
                <w:color w:val="000000"/>
                <w:kern w:val="2"/>
                <w:sz w:val="20"/>
                <w:szCs w:val="20"/>
                <w14:ligatures w14:val="standardContextual"/>
              </w:rPr>
            </w:pPr>
            <w:r>
              <w:rPr>
                <w:rFonts w:ascii="Verdana" w:hAnsi="Verdana" w:cs="Calibri"/>
                <w:b w:val="0"/>
                <w:color w:val="000000"/>
                <w:kern w:val="2"/>
                <w:sz w:val="20"/>
                <w:szCs w:val="20"/>
                <w:lang w:val="ga"/>
                <w14:ligatures w14:val="standardContextual"/>
              </w:rPr>
              <w:t>7.5%</w:t>
            </w:r>
          </w:p>
        </w:tc>
        <w:tc>
          <w:tcPr>
            <w:tcW w:w="1430" w:type="dxa"/>
            <w:tcBorders>
              <w:top w:val="single" w:sz="4" w:space="0" w:color="auto"/>
              <w:left w:val="single" w:sz="4" w:space="0" w:color="auto"/>
              <w:bottom w:val="single" w:sz="4" w:space="0" w:color="auto"/>
              <w:right w:val="single" w:sz="4" w:space="0" w:color="auto"/>
            </w:tcBorders>
            <w:hideMark/>
          </w:tcPr>
          <w:p w14:paraId="223A3656" w14:textId="77777777" w:rsidR="00590BEF" w:rsidRPr="007202FA" w:rsidRDefault="000B4F21" w:rsidP="007202FA">
            <w:pPr>
              <w:jc w:val="right"/>
              <w:rPr>
                <w:rFonts w:cs="Calibri"/>
                <w:color w:val="000000"/>
                <w:sz w:val="20"/>
                <w:szCs w:val="20"/>
              </w:rPr>
            </w:pPr>
            <w:r>
              <w:rPr>
                <w:rFonts w:cs="Calibri"/>
                <w:color w:val="000000"/>
                <w:sz w:val="20"/>
                <w:szCs w:val="20"/>
                <w:lang w:val="ga"/>
              </w:rPr>
              <w:t>2,328</w:t>
            </w:r>
          </w:p>
        </w:tc>
        <w:tc>
          <w:tcPr>
            <w:tcW w:w="1547" w:type="dxa"/>
            <w:tcBorders>
              <w:top w:val="single" w:sz="4" w:space="0" w:color="auto"/>
              <w:left w:val="single" w:sz="4" w:space="0" w:color="auto"/>
              <w:bottom w:val="single" w:sz="4" w:space="0" w:color="auto"/>
              <w:right w:val="single" w:sz="4" w:space="0" w:color="auto"/>
            </w:tcBorders>
            <w:hideMark/>
          </w:tcPr>
          <w:p w14:paraId="2E433A1D" w14:textId="77777777" w:rsidR="00590BEF" w:rsidRPr="007202FA" w:rsidRDefault="000B4F21" w:rsidP="007202FA">
            <w:pPr>
              <w:jc w:val="right"/>
              <w:rPr>
                <w:rFonts w:cs="Calibri"/>
                <w:color w:val="000000"/>
                <w:sz w:val="20"/>
                <w:szCs w:val="20"/>
              </w:rPr>
            </w:pPr>
            <w:r>
              <w:rPr>
                <w:rFonts w:cs="Calibri"/>
                <w:color w:val="000000"/>
                <w:sz w:val="20"/>
                <w:szCs w:val="20"/>
                <w:lang w:val="ga"/>
              </w:rPr>
              <w:t>216</w:t>
            </w:r>
          </w:p>
        </w:tc>
        <w:tc>
          <w:tcPr>
            <w:tcW w:w="1429" w:type="dxa"/>
            <w:tcBorders>
              <w:top w:val="single" w:sz="4" w:space="0" w:color="auto"/>
              <w:left w:val="single" w:sz="4" w:space="0" w:color="auto"/>
              <w:bottom w:val="single" w:sz="4" w:space="0" w:color="auto"/>
              <w:right w:val="single" w:sz="4" w:space="0" w:color="auto"/>
            </w:tcBorders>
            <w:hideMark/>
          </w:tcPr>
          <w:p w14:paraId="64193F34" w14:textId="77777777" w:rsidR="00590BEF" w:rsidRPr="007202FA" w:rsidRDefault="000B4F21" w:rsidP="007202FA">
            <w:pPr>
              <w:jc w:val="right"/>
              <w:rPr>
                <w:rFonts w:cs="Calibri"/>
                <w:color w:val="000000"/>
                <w:sz w:val="20"/>
                <w:szCs w:val="20"/>
              </w:rPr>
            </w:pPr>
            <w:r>
              <w:rPr>
                <w:rFonts w:cs="Calibri"/>
                <w:color w:val="000000"/>
                <w:sz w:val="20"/>
                <w:szCs w:val="20"/>
                <w:lang w:val="ga"/>
              </w:rPr>
              <w:t>9.3%</w:t>
            </w:r>
          </w:p>
        </w:tc>
      </w:tr>
      <w:tr w:rsidR="00F31303" w14:paraId="7BC40393"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3FCB91CB" w14:textId="77777777" w:rsidR="00590BEF" w:rsidRPr="007202FA" w:rsidRDefault="000B4F21" w:rsidP="007202FA">
            <w:pPr>
              <w:rPr>
                <w:sz w:val="20"/>
                <w:szCs w:val="20"/>
              </w:rPr>
            </w:pPr>
            <w:r>
              <w:rPr>
                <w:rFonts w:cs="Calibri"/>
                <w:color w:val="000000"/>
                <w:sz w:val="20"/>
                <w:szCs w:val="20"/>
                <w:lang w:val="ga"/>
              </w:rPr>
              <w:t>Comhairle Cathrach agus Contae Phort Láirge</w:t>
            </w:r>
          </w:p>
        </w:tc>
        <w:tc>
          <w:tcPr>
            <w:tcW w:w="1559" w:type="dxa"/>
            <w:tcBorders>
              <w:top w:val="single" w:sz="4" w:space="0" w:color="auto"/>
              <w:left w:val="single" w:sz="4" w:space="0" w:color="auto"/>
              <w:bottom w:val="single" w:sz="4" w:space="0" w:color="auto"/>
              <w:right w:val="single" w:sz="4" w:space="0" w:color="auto"/>
            </w:tcBorders>
            <w:hideMark/>
          </w:tcPr>
          <w:p w14:paraId="7FA4F37B"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cs="Calibri"/>
                <w:b w:val="0"/>
                <w:color w:val="000000"/>
                <w:kern w:val="2"/>
                <w:sz w:val="20"/>
                <w:szCs w:val="20"/>
                <w:lang w:val="ga"/>
                <w14:ligatures w14:val="standardContextual"/>
              </w:rPr>
              <w:t>1,005</w:t>
            </w:r>
          </w:p>
        </w:tc>
        <w:tc>
          <w:tcPr>
            <w:tcW w:w="1559" w:type="dxa"/>
            <w:tcBorders>
              <w:top w:val="single" w:sz="4" w:space="0" w:color="auto"/>
              <w:left w:val="single" w:sz="4" w:space="0" w:color="auto"/>
              <w:bottom w:val="single" w:sz="4" w:space="0" w:color="auto"/>
              <w:right w:val="single" w:sz="4" w:space="0" w:color="auto"/>
            </w:tcBorders>
            <w:hideMark/>
          </w:tcPr>
          <w:p w14:paraId="761DB49C" w14:textId="77777777" w:rsidR="00590BEF" w:rsidRPr="007202FA" w:rsidRDefault="000B4F21" w:rsidP="007202FA">
            <w:pPr>
              <w:jc w:val="right"/>
              <w:rPr>
                <w:bCs/>
                <w:sz w:val="20"/>
                <w:szCs w:val="20"/>
              </w:rPr>
            </w:pPr>
            <w:r>
              <w:rPr>
                <w:rFonts w:cs="Calibri"/>
                <w:color w:val="000000"/>
                <w:sz w:val="20"/>
                <w:szCs w:val="20"/>
                <w:lang w:val="ga"/>
              </w:rPr>
              <w:t>54</w:t>
            </w:r>
          </w:p>
        </w:tc>
        <w:tc>
          <w:tcPr>
            <w:tcW w:w="1559" w:type="dxa"/>
            <w:tcBorders>
              <w:top w:val="single" w:sz="4" w:space="0" w:color="auto"/>
              <w:left w:val="single" w:sz="4" w:space="0" w:color="auto"/>
              <w:bottom w:val="single" w:sz="4" w:space="0" w:color="auto"/>
              <w:right w:val="single" w:sz="4" w:space="0" w:color="auto"/>
            </w:tcBorders>
            <w:hideMark/>
          </w:tcPr>
          <w:p w14:paraId="6CA6B97C"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cs="Calibri"/>
                <w:b w:val="0"/>
                <w:color w:val="000000"/>
                <w:kern w:val="2"/>
                <w:sz w:val="20"/>
                <w:szCs w:val="20"/>
                <w:lang w:val="ga"/>
                <w14:ligatures w14:val="standardContextual"/>
              </w:rPr>
              <w:t>5.4%</w:t>
            </w:r>
          </w:p>
        </w:tc>
        <w:tc>
          <w:tcPr>
            <w:tcW w:w="1430" w:type="dxa"/>
            <w:tcBorders>
              <w:top w:val="single" w:sz="4" w:space="0" w:color="auto"/>
              <w:left w:val="single" w:sz="4" w:space="0" w:color="auto"/>
              <w:bottom w:val="single" w:sz="4" w:space="0" w:color="auto"/>
              <w:right w:val="single" w:sz="4" w:space="0" w:color="auto"/>
            </w:tcBorders>
            <w:hideMark/>
          </w:tcPr>
          <w:p w14:paraId="5326AAC7" w14:textId="77777777" w:rsidR="00590BEF" w:rsidRPr="007202FA" w:rsidRDefault="000B4F21" w:rsidP="007202FA">
            <w:pPr>
              <w:jc w:val="right"/>
              <w:rPr>
                <w:sz w:val="20"/>
                <w:szCs w:val="20"/>
              </w:rPr>
            </w:pPr>
            <w:r>
              <w:rPr>
                <w:rFonts w:cs="Calibri"/>
                <w:color w:val="000000"/>
                <w:sz w:val="20"/>
                <w:szCs w:val="20"/>
                <w:lang w:val="ga"/>
              </w:rPr>
              <w:t>1,005</w:t>
            </w:r>
          </w:p>
        </w:tc>
        <w:tc>
          <w:tcPr>
            <w:tcW w:w="1547" w:type="dxa"/>
            <w:tcBorders>
              <w:top w:val="single" w:sz="4" w:space="0" w:color="auto"/>
              <w:left w:val="single" w:sz="4" w:space="0" w:color="auto"/>
              <w:bottom w:val="single" w:sz="4" w:space="0" w:color="auto"/>
              <w:right w:val="single" w:sz="4" w:space="0" w:color="auto"/>
            </w:tcBorders>
            <w:hideMark/>
          </w:tcPr>
          <w:p w14:paraId="0D728151" w14:textId="77777777" w:rsidR="00590BEF" w:rsidRPr="007202FA" w:rsidRDefault="000B4F21" w:rsidP="007202FA">
            <w:pPr>
              <w:jc w:val="right"/>
              <w:rPr>
                <w:sz w:val="20"/>
                <w:szCs w:val="20"/>
              </w:rPr>
            </w:pPr>
            <w:r>
              <w:rPr>
                <w:rFonts w:cs="Calibri"/>
                <w:color w:val="000000"/>
                <w:sz w:val="20"/>
                <w:szCs w:val="20"/>
                <w:lang w:val="ga"/>
              </w:rPr>
              <w:t>56</w:t>
            </w:r>
          </w:p>
        </w:tc>
        <w:tc>
          <w:tcPr>
            <w:tcW w:w="1429" w:type="dxa"/>
            <w:tcBorders>
              <w:top w:val="single" w:sz="4" w:space="0" w:color="auto"/>
              <w:left w:val="single" w:sz="4" w:space="0" w:color="auto"/>
              <w:bottom w:val="single" w:sz="4" w:space="0" w:color="auto"/>
              <w:right w:val="single" w:sz="4" w:space="0" w:color="auto"/>
            </w:tcBorders>
            <w:hideMark/>
          </w:tcPr>
          <w:p w14:paraId="7CD7BEEA" w14:textId="77777777" w:rsidR="00590BEF" w:rsidRPr="007202FA" w:rsidRDefault="000B4F21" w:rsidP="007202FA">
            <w:pPr>
              <w:jc w:val="right"/>
              <w:rPr>
                <w:sz w:val="20"/>
                <w:szCs w:val="20"/>
              </w:rPr>
            </w:pPr>
            <w:r>
              <w:rPr>
                <w:rFonts w:cs="Calibri"/>
                <w:color w:val="000000"/>
                <w:sz w:val="20"/>
                <w:szCs w:val="20"/>
                <w:lang w:val="ga"/>
              </w:rPr>
              <w:t>5.6%</w:t>
            </w:r>
          </w:p>
        </w:tc>
      </w:tr>
      <w:tr w:rsidR="00F31303" w14:paraId="2ACA2B6F"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604C06BC" w14:textId="77777777" w:rsidR="00590BEF" w:rsidRPr="007202FA" w:rsidRDefault="000B4F21" w:rsidP="007202FA">
            <w:pPr>
              <w:rPr>
                <w:rFonts w:cs="Calibri"/>
                <w:color w:val="000000"/>
                <w:sz w:val="20"/>
                <w:szCs w:val="20"/>
              </w:rPr>
            </w:pPr>
            <w:r>
              <w:rPr>
                <w:rFonts w:cs="Calibri"/>
                <w:color w:val="000000"/>
                <w:sz w:val="20"/>
                <w:szCs w:val="20"/>
                <w:lang w:val="ga"/>
              </w:rPr>
              <w:t>Uiscebhealaí Éireann</w:t>
            </w:r>
          </w:p>
          <w:p w14:paraId="29CA2640" w14:textId="77777777" w:rsidR="00BE7D53" w:rsidRPr="007202FA" w:rsidRDefault="00BE7D53" w:rsidP="007202FA">
            <w:pPr>
              <w:rP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4B2A24DD" w14:textId="77777777" w:rsidR="00590BEF" w:rsidRPr="007202FA" w:rsidRDefault="000B4F21" w:rsidP="007202FA">
            <w:pPr>
              <w:jc w:val="right"/>
              <w:rPr>
                <w:sz w:val="20"/>
                <w:szCs w:val="20"/>
              </w:rPr>
            </w:pPr>
            <w:r>
              <w:rPr>
                <w:rFonts w:cs="Calibri"/>
                <w:color w:val="000000"/>
                <w:sz w:val="20"/>
                <w:szCs w:val="20"/>
                <w:lang w:val="ga"/>
              </w:rPr>
              <w:t>281</w:t>
            </w:r>
          </w:p>
        </w:tc>
        <w:tc>
          <w:tcPr>
            <w:tcW w:w="1559" w:type="dxa"/>
            <w:tcBorders>
              <w:top w:val="single" w:sz="4" w:space="0" w:color="auto"/>
              <w:left w:val="single" w:sz="4" w:space="0" w:color="auto"/>
              <w:bottom w:val="single" w:sz="4" w:space="0" w:color="auto"/>
              <w:right w:val="single" w:sz="4" w:space="0" w:color="auto"/>
            </w:tcBorders>
            <w:hideMark/>
          </w:tcPr>
          <w:p w14:paraId="2AD5144B" w14:textId="77777777" w:rsidR="00590BEF" w:rsidRPr="007202FA" w:rsidRDefault="000B4F21" w:rsidP="007202FA">
            <w:pPr>
              <w:jc w:val="right"/>
              <w:rPr>
                <w:sz w:val="20"/>
                <w:szCs w:val="20"/>
              </w:rPr>
            </w:pPr>
            <w:r>
              <w:rPr>
                <w:rFonts w:cs="Calibri"/>
                <w:color w:val="000000"/>
                <w:sz w:val="20"/>
                <w:szCs w:val="20"/>
                <w:lang w:val="ga"/>
              </w:rPr>
              <w:t>16</w:t>
            </w:r>
          </w:p>
        </w:tc>
        <w:tc>
          <w:tcPr>
            <w:tcW w:w="1559" w:type="dxa"/>
            <w:tcBorders>
              <w:top w:val="single" w:sz="4" w:space="0" w:color="auto"/>
              <w:left w:val="single" w:sz="4" w:space="0" w:color="auto"/>
              <w:bottom w:val="single" w:sz="4" w:space="0" w:color="auto"/>
              <w:right w:val="single" w:sz="4" w:space="0" w:color="auto"/>
            </w:tcBorders>
            <w:hideMark/>
          </w:tcPr>
          <w:p w14:paraId="4B784B33" w14:textId="77777777" w:rsidR="00590BEF" w:rsidRPr="007202FA" w:rsidRDefault="000B4F21" w:rsidP="007202FA">
            <w:pPr>
              <w:jc w:val="right"/>
              <w:rPr>
                <w:sz w:val="20"/>
                <w:szCs w:val="20"/>
              </w:rPr>
            </w:pPr>
            <w:r>
              <w:rPr>
                <w:rFonts w:cs="Calibri"/>
                <w:color w:val="000000"/>
                <w:sz w:val="20"/>
                <w:szCs w:val="20"/>
                <w:lang w:val="ga"/>
              </w:rPr>
              <w:t>5.7%</w:t>
            </w:r>
          </w:p>
        </w:tc>
        <w:tc>
          <w:tcPr>
            <w:tcW w:w="1430" w:type="dxa"/>
            <w:tcBorders>
              <w:top w:val="single" w:sz="4" w:space="0" w:color="auto"/>
              <w:left w:val="single" w:sz="4" w:space="0" w:color="auto"/>
              <w:bottom w:val="single" w:sz="4" w:space="0" w:color="auto"/>
              <w:right w:val="single" w:sz="4" w:space="0" w:color="auto"/>
            </w:tcBorders>
            <w:hideMark/>
          </w:tcPr>
          <w:p w14:paraId="60E9C814" w14:textId="77777777" w:rsidR="00590BEF" w:rsidRPr="007202FA" w:rsidRDefault="000B4F21" w:rsidP="007202FA">
            <w:pPr>
              <w:jc w:val="right"/>
              <w:rPr>
                <w:sz w:val="20"/>
                <w:szCs w:val="20"/>
              </w:rPr>
            </w:pPr>
            <w:r>
              <w:rPr>
                <w:rFonts w:cs="Calibri"/>
                <w:color w:val="000000"/>
                <w:sz w:val="20"/>
                <w:szCs w:val="20"/>
                <w:lang w:val="ga"/>
              </w:rPr>
              <w:t>286</w:t>
            </w:r>
          </w:p>
        </w:tc>
        <w:tc>
          <w:tcPr>
            <w:tcW w:w="1547" w:type="dxa"/>
            <w:tcBorders>
              <w:top w:val="single" w:sz="4" w:space="0" w:color="auto"/>
              <w:left w:val="single" w:sz="4" w:space="0" w:color="auto"/>
              <w:bottom w:val="single" w:sz="4" w:space="0" w:color="auto"/>
              <w:right w:val="single" w:sz="4" w:space="0" w:color="auto"/>
            </w:tcBorders>
            <w:hideMark/>
          </w:tcPr>
          <w:p w14:paraId="03AD9E55" w14:textId="77777777" w:rsidR="00590BEF" w:rsidRPr="007202FA" w:rsidRDefault="000B4F21" w:rsidP="007202FA">
            <w:pPr>
              <w:jc w:val="right"/>
              <w:rPr>
                <w:sz w:val="20"/>
                <w:szCs w:val="20"/>
              </w:rPr>
            </w:pPr>
            <w:r>
              <w:rPr>
                <w:rFonts w:cs="Calibri"/>
                <w:color w:val="000000"/>
                <w:sz w:val="20"/>
                <w:szCs w:val="20"/>
                <w:lang w:val="ga"/>
              </w:rPr>
              <w:t>18</w:t>
            </w:r>
          </w:p>
        </w:tc>
        <w:tc>
          <w:tcPr>
            <w:tcW w:w="1429" w:type="dxa"/>
            <w:tcBorders>
              <w:top w:val="single" w:sz="4" w:space="0" w:color="auto"/>
              <w:left w:val="single" w:sz="4" w:space="0" w:color="auto"/>
              <w:bottom w:val="single" w:sz="4" w:space="0" w:color="auto"/>
              <w:right w:val="single" w:sz="4" w:space="0" w:color="auto"/>
            </w:tcBorders>
            <w:hideMark/>
          </w:tcPr>
          <w:p w14:paraId="369FC80B" w14:textId="77777777" w:rsidR="00590BEF" w:rsidRPr="007202FA" w:rsidRDefault="000B4F21" w:rsidP="007202FA">
            <w:pPr>
              <w:jc w:val="right"/>
              <w:rPr>
                <w:sz w:val="20"/>
                <w:szCs w:val="20"/>
              </w:rPr>
            </w:pPr>
            <w:r>
              <w:rPr>
                <w:rFonts w:cs="Calibri"/>
                <w:color w:val="000000"/>
                <w:sz w:val="20"/>
                <w:szCs w:val="20"/>
                <w:lang w:val="ga"/>
              </w:rPr>
              <w:t>6.3%</w:t>
            </w:r>
          </w:p>
        </w:tc>
      </w:tr>
      <w:tr w:rsidR="00F31303" w14:paraId="3D9E582D"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28F10835" w14:textId="77777777" w:rsidR="00590BEF" w:rsidRPr="007202FA" w:rsidRDefault="000B4F21" w:rsidP="007202FA">
            <w:pPr>
              <w:rPr>
                <w:sz w:val="20"/>
                <w:szCs w:val="20"/>
              </w:rPr>
            </w:pPr>
            <w:r>
              <w:rPr>
                <w:rFonts w:cs="Calibri"/>
                <w:color w:val="000000"/>
                <w:sz w:val="20"/>
                <w:szCs w:val="20"/>
                <w:lang w:val="ga"/>
              </w:rPr>
              <w:t>Comhairle Contae na hIarmhí</w:t>
            </w:r>
          </w:p>
        </w:tc>
        <w:tc>
          <w:tcPr>
            <w:tcW w:w="1559" w:type="dxa"/>
            <w:tcBorders>
              <w:top w:val="single" w:sz="4" w:space="0" w:color="auto"/>
              <w:left w:val="single" w:sz="4" w:space="0" w:color="auto"/>
              <w:bottom w:val="single" w:sz="4" w:space="0" w:color="auto"/>
              <w:right w:val="single" w:sz="4" w:space="0" w:color="auto"/>
            </w:tcBorders>
            <w:hideMark/>
          </w:tcPr>
          <w:p w14:paraId="41D4ACA6" w14:textId="77777777" w:rsidR="00590BEF" w:rsidRPr="007202FA" w:rsidRDefault="000B4F21" w:rsidP="007202FA">
            <w:pPr>
              <w:jc w:val="right"/>
              <w:rPr>
                <w:sz w:val="20"/>
                <w:szCs w:val="20"/>
              </w:rPr>
            </w:pPr>
            <w:r>
              <w:rPr>
                <w:rFonts w:cs="Calibri"/>
                <w:color w:val="000000"/>
                <w:sz w:val="20"/>
                <w:szCs w:val="20"/>
                <w:lang w:val="ga"/>
              </w:rPr>
              <w:t>521</w:t>
            </w:r>
          </w:p>
        </w:tc>
        <w:tc>
          <w:tcPr>
            <w:tcW w:w="1559" w:type="dxa"/>
            <w:tcBorders>
              <w:top w:val="single" w:sz="4" w:space="0" w:color="auto"/>
              <w:left w:val="single" w:sz="4" w:space="0" w:color="auto"/>
              <w:bottom w:val="single" w:sz="4" w:space="0" w:color="auto"/>
              <w:right w:val="single" w:sz="4" w:space="0" w:color="auto"/>
            </w:tcBorders>
            <w:hideMark/>
          </w:tcPr>
          <w:p w14:paraId="16F03C84" w14:textId="77777777" w:rsidR="00590BEF" w:rsidRPr="007202FA" w:rsidRDefault="000B4F21" w:rsidP="007202FA">
            <w:pPr>
              <w:jc w:val="right"/>
              <w:rPr>
                <w:sz w:val="20"/>
                <w:szCs w:val="20"/>
              </w:rPr>
            </w:pPr>
            <w:r>
              <w:rPr>
                <w:rFonts w:cs="Calibri"/>
                <w:color w:val="000000"/>
                <w:sz w:val="20"/>
                <w:szCs w:val="20"/>
                <w:lang w:val="ga"/>
              </w:rPr>
              <w:t>33</w:t>
            </w:r>
          </w:p>
        </w:tc>
        <w:tc>
          <w:tcPr>
            <w:tcW w:w="1559" w:type="dxa"/>
            <w:tcBorders>
              <w:top w:val="single" w:sz="4" w:space="0" w:color="auto"/>
              <w:left w:val="single" w:sz="4" w:space="0" w:color="auto"/>
              <w:bottom w:val="single" w:sz="4" w:space="0" w:color="auto"/>
              <w:right w:val="single" w:sz="4" w:space="0" w:color="auto"/>
            </w:tcBorders>
            <w:hideMark/>
          </w:tcPr>
          <w:p w14:paraId="194E5020" w14:textId="77777777" w:rsidR="00590BEF" w:rsidRPr="007202FA" w:rsidRDefault="000B4F21" w:rsidP="007202FA">
            <w:pPr>
              <w:jc w:val="right"/>
              <w:rPr>
                <w:sz w:val="20"/>
                <w:szCs w:val="20"/>
              </w:rPr>
            </w:pPr>
            <w:r>
              <w:rPr>
                <w:rFonts w:cs="Calibri"/>
                <w:color w:val="000000"/>
                <w:sz w:val="20"/>
                <w:szCs w:val="20"/>
                <w:lang w:val="ga"/>
              </w:rPr>
              <w:t>6.3%</w:t>
            </w:r>
          </w:p>
        </w:tc>
        <w:tc>
          <w:tcPr>
            <w:tcW w:w="1430" w:type="dxa"/>
            <w:tcBorders>
              <w:top w:val="single" w:sz="4" w:space="0" w:color="auto"/>
              <w:left w:val="single" w:sz="4" w:space="0" w:color="auto"/>
              <w:bottom w:val="single" w:sz="4" w:space="0" w:color="auto"/>
              <w:right w:val="single" w:sz="4" w:space="0" w:color="auto"/>
            </w:tcBorders>
            <w:hideMark/>
          </w:tcPr>
          <w:p w14:paraId="6C6489A1" w14:textId="77777777" w:rsidR="00590BEF" w:rsidRPr="007202FA" w:rsidRDefault="000B4F21" w:rsidP="007202FA">
            <w:pPr>
              <w:jc w:val="right"/>
              <w:rPr>
                <w:sz w:val="20"/>
                <w:szCs w:val="20"/>
              </w:rPr>
            </w:pPr>
            <w:r>
              <w:rPr>
                <w:rFonts w:cs="Calibri"/>
                <w:color w:val="000000"/>
                <w:sz w:val="20"/>
                <w:szCs w:val="20"/>
                <w:lang w:val="ga"/>
              </w:rPr>
              <w:t>528</w:t>
            </w:r>
          </w:p>
        </w:tc>
        <w:tc>
          <w:tcPr>
            <w:tcW w:w="1547" w:type="dxa"/>
            <w:tcBorders>
              <w:top w:val="single" w:sz="4" w:space="0" w:color="auto"/>
              <w:left w:val="single" w:sz="4" w:space="0" w:color="auto"/>
              <w:bottom w:val="single" w:sz="4" w:space="0" w:color="auto"/>
              <w:right w:val="single" w:sz="4" w:space="0" w:color="auto"/>
            </w:tcBorders>
            <w:hideMark/>
          </w:tcPr>
          <w:p w14:paraId="6800D38E" w14:textId="77777777" w:rsidR="00590BEF" w:rsidRPr="007202FA" w:rsidRDefault="000B4F21" w:rsidP="007202FA">
            <w:pPr>
              <w:jc w:val="right"/>
              <w:rPr>
                <w:sz w:val="20"/>
                <w:szCs w:val="20"/>
              </w:rPr>
            </w:pPr>
            <w:r>
              <w:rPr>
                <w:rFonts w:cs="Calibri"/>
                <w:color w:val="000000"/>
                <w:sz w:val="20"/>
                <w:szCs w:val="20"/>
                <w:lang w:val="ga"/>
              </w:rPr>
              <w:t>24</w:t>
            </w:r>
          </w:p>
        </w:tc>
        <w:tc>
          <w:tcPr>
            <w:tcW w:w="1429" w:type="dxa"/>
            <w:tcBorders>
              <w:top w:val="single" w:sz="4" w:space="0" w:color="auto"/>
              <w:left w:val="single" w:sz="4" w:space="0" w:color="auto"/>
              <w:bottom w:val="single" w:sz="4" w:space="0" w:color="auto"/>
              <w:right w:val="single" w:sz="4" w:space="0" w:color="auto"/>
            </w:tcBorders>
            <w:hideMark/>
          </w:tcPr>
          <w:p w14:paraId="02C0E859" w14:textId="77777777" w:rsidR="00590BEF" w:rsidRPr="007202FA" w:rsidRDefault="000B4F21" w:rsidP="007202FA">
            <w:pPr>
              <w:jc w:val="right"/>
              <w:rPr>
                <w:sz w:val="20"/>
                <w:szCs w:val="20"/>
              </w:rPr>
            </w:pPr>
            <w:r>
              <w:rPr>
                <w:rFonts w:cs="Calibri"/>
                <w:color w:val="000000"/>
                <w:sz w:val="20"/>
                <w:szCs w:val="20"/>
                <w:lang w:val="ga"/>
              </w:rPr>
              <w:t>4.5%</w:t>
            </w:r>
          </w:p>
        </w:tc>
      </w:tr>
      <w:tr w:rsidR="00F31303" w14:paraId="3EBADEC0" w14:textId="77777777" w:rsidTr="0050231C">
        <w:trPr>
          <w:jc w:val="center"/>
        </w:trPr>
        <w:tc>
          <w:tcPr>
            <w:tcW w:w="2122" w:type="dxa"/>
            <w:tcBorders>
              <w:top w:val="single" w:sz="4" w:space="0" w:color="auto"/>
              <w:left w:val="single" w:sz="4" w:space="0" w:color="auto"/>
              <w:bottom w:val="single" w:sz="4" w:space="0" w:color="auto"/>
              <w:right w:val="single" w:sz="4" w:space="0" w:color="auto"/>
            </w:tcBorders>
            <w:hideMark/>
          </w:tcPr>
          <w:p w14:paraId="7EA998E1" w14:textId="77777777" w:rsidR="00590BEF" w:rsidRPr="007202FA" w:rsidRDefault="000B4F21" w:rsidP="007202FA">
            <w:pPr>
              <w:rPr>
                <w:sz w:val="20"/>
                <w:szCs w:val="20"/>
              </w:rPr>
            </w:pPr>
            <w:r>
              <w:rPr>
                <w:rFonts w:cs="Calibri"/>
                <w:color w:val="000000"/>
                <w:sz w:val="20"/>
                <w:szCs w:val="20"/>
                <w:lang w:val="ga"/>
              </w:rPr>
              <w:t>Comhairle Contae Loch Garman</w:t>
            </w:r>
          </w:p>
        </w:tc>
        <w:tc>
          <w:tcPr>
            <w:tcW w:w="1559" w:type="dxa"/>
            <w:tcBorders>
              <w:top w:val="single" w:sz="4" w:space="0" w:color="auto"/>
              <w:left w:val="single" w:sz="4" w:space="0" w:color="auto"/>
              <w:bottom w:val="single" w:sz="4" w:space="0" w:color="auto"/>
              <w:right w:val="single" w:sz="4" w:space="0" w:color="auto"/>
            </w:tcBorders>
            <w:hideMark/>
          </w:tcPr>
          <w:p w14:paraId="4B5ADB1C" w14:textId="77777777" w:rsidR="00590BEF" w:rsidRPr="007202FA" w:rsidRDefault="000B4F21" w:rsidP="007202FA">
            <w:pPr>
              <w:jc w:val="right"/>
              <w:rPr>
                <w:sz w:val="20"/>
                <w:szCs w:val="20"/>
              </w:rPr>
            </w:pPr>
            <w:r>
              <w:rPr>
                <w:rFonts w:cs="Calibri"/>
                <w:color w:val="000000"/>
                <w:sz w:val="20"/>
                <w:szCs w:val="20"/>
                <w:lang w:val="ga"/>
              </w:rPr>
              <w:t>970</w:t>
            </w:r>
          </w:p>
        </w:tc>
        <w:tc>
          <w:tcPr>
            <w:tcW w:w="1559" w:type="dxa"/>
            <w:tcBorders>
              <w:top w:val="single" w:sz="4" w:space="0" w:color="auto"/>
              <w:left w:val="single" w:sz="4" w:space="0" w:color="auto"/>
              <w:bottom w:val="single" w:sz="4" w:space="0" w:color="auto"/>
              <w:right w:val="single" w:sz="4" w:space="0" w:color="auto"/>
            </w:tcBorders>
            <w:hideMark/>
          </w:tcPr>
          <w:p w14:paraId="7794A63F" w14:textId="77777777" w:rsidR="00590BEF" w:rsidRPr="007202FA" w:rsidRDefault="000B4F21" w:rsidP="007202FA">
            <w:pPr>
              <w:jc w:val="right"/>
              <w:rPr>
                <w:sz w:val="20"/>
                <w:szCs w:val="20"/>
              </w:rPr>
            </w:pPr>
            <w:r>
              <w:rPr>
                <w:rFonts w:cs="Calibri"/>
                <w:color w:val="000000"/>
                <w:sz w:val="20"/>
                <w:szCs w:val="20"/>
                <w:lang w:val="ga"/>
              </w:rPr>
              <w:t>90</w:t>
            </w:r>
          </w:p>
        </w:tc>
        <w:tc>
          <w:tcPr>
            <w:tcW w:w="1559" w:type="dxa"/>
            <w:tcBorders>
              <w:top w:val="single" w:sz="4" w:space="0" w:color="auto"/>
              <w:left w:val="single" w:sz="4" w:space="0" w:color="auto"/>
              <w:bottom w:val="single" w:sz="4" w:space="0" w:color="auto"/>
              <w:right w:val="single" w:sz="4" w:space="0" w:color="auto"/>
            </w:tcBorders>
            <w:hideMark/>
          </w:tcPr>
          <w:p w14:paraId="1CBAC05E" w14:textId="77777777" w:rsidR="00590BEF" w:rsidRPr="007202FA" w:rsidRDefault="000B4F21" w:rsidP="007202FA">
            <w:pPr>
              <w:jc w:val="right"/>
              <w:rPr>
                <w:sz w:val="20"/>
                <w:szCs w:val="20"/>
              </w:rPr>
            </w:pPr>
            <w:r>
              <w:rPr>
                <w:rFonts w:cs="Calibri"/>
                <w:color w:val="000000"/>
                <w:sz w:val="20"/>
                <w:szCs w:val="20"/>
                <w:lang w:val="ga"/>
              </w:rPr>
              <w:t>9.3%</w:t>
            </w:r>
          </w:p>
        </w:tc>
        <w:tc>
          <w:tcPr>
            <w:tcW w:w="1430" w:type="dxa"/>
            <w:tcBorders>
              <w:top w:val="single" w:sz="4" w:space="0" w:color="auto"/>
              <w:left w:val="single" w:sz="4" w:space="0" w:color="auto"/>
              <w:bottom w:val="single" w:sz="4" w:space="0" w:color="auto"/>
              <w:right w:val="single" w:sz="4" w:space="0" w:color="auto"/>
            </w:tcBorders>
            <w:hideMark/>
          </w:tcPr>
          <w:p w14:paraId="437284D4" w14:textId="77777777" w:rsidR="00590BEF" w:rsidRPr="007202FA" w:rsidRDefault="000B4F21" w:rsidP="007202FA">
            <w:pPr>
              <w:jc w:val="right"/>
              <w:rPr>
                <w:sz w:val="20"/>
                <w:szCs w:val="20"/>
              </w:rPr>
            </w:pPr>
            <w:r>
              <w:rPr>
                <w:rFonts w:cs="Calibri"/>
                <w:color w:val="000000"/>
                <w:sz w:val="20"/>
                <w:szCs w:val="20"/>
                <w:lang w:val="ga"/>
              </w:rPr>
              <w:t>979</w:t>
            </w:r>
          </w:p>
        </w:tc>
        <w:tc>
          <w:tcPr>
            <w:tcW w:w="1547" w:type="dxa"/>
            <w:tcBorders>
              <w:top w:val="single" w:sz="4" w:space="0" w:color="auto"/>
              <w:left w:val="single" w:sz="4" w:space="0" w:color="auto"/>
              <w:bottom w:val="single" w:sz="4" w:space="0" w:color="auto"/>
              <w:right w:val="single" w:sz="4" w:space="0" w:color="auto"/>
            </w:tcBorders>
            <w:hideMark/>
          </w:tcPr>
          <w:p w14:paraId="1B5E9914" w14:textId="77777777" w:rsidR="00590BEF" w:rsidRPr="007202FA" w:rsidRDefault="000B4F21" w:rsidP="007202FA">
            <w:pPr>
              <w:jc w:val="right"/>
              <w:rPr>
                <w:sz w:val="20"/>
                <w:szCs w:val="20"/>
              </w:rPr>
            </w:pPr>
            <w:r>
              <w:rPr>
                <w:rFonts w:cs="Calibri"/>
                <w:color w:val="000000"/>
                <w:sz w:val="20"/>
                <w:szCs w:val="20"/>
                <w:lang w:val="ga"/>
              </w:rPr>
              <w:t>123</w:t>
            </w:r>
          </w:p>
        </w:tc>
        <w:tc>
          <w:tcPr>
            <w:tcW w:w="1429" w:type="dxa"/>
            <w:tcBorders>
              <w:top w:val="single" w:sz="4" w:space="0" w:color="auto"/>
              <w:left w:val="single" w:sz="4" w:space="0" w:color="auto"/>
              <w:bottom w:val="single" w:sz="4" w:space="0" w:color="auto"/>
              <w:right w:val="single" w:sz="4" w:space="0" w:color="auto"/>
            </w:tcBorders>
            <w:hideMark/>
          </w:tcPr>
          <w:p w14:paraId="17234280" w14:textId="77777777" w:rsidR="00590BEF" w:rsidRPr="007202FA" w:rsidRDefault="000B4F21" w:rsidP="007202FA">
            <w:pPr>
              <w:jc w:val="right"/>
              <w:rPr>
                <w:sz w:val="20"/>
                <w:szCs w:val="20"/>
              </w:rPr>
            </w:pPr>
            <w:r>
              <w:rPr>
                <w:rFonts w:cs="Calibri"/>
                <w:color w:val="000000"/>
                <w:sz w:val="20"/>
                <w:szCs w:val="20"/>
                <w:lang w:val="ga"/>
              </w:rPr>
              <w:t>12.6%</w:t>
            </w:r>
          </w:p>
        </w:tc>
      </w:tr>
      <w:tr w:rsidR="00F31303" w14:paraId="57221A8A" w14:textId="77777777" w:rsidTr="0050231C">
        <w:trPr>
          <w:trHeight w:val="413"/>
          <w:jc w:val="center"/>
        </w:trPr>
        <w:tc>
          <w:tcPr>
            <w:tcW w:w="2122" w:type="dxa"/>
            <w:tcBorders>
              <w:top w:val="single" w:sz="4" w:space="0" w:color="auto"/>
              <w:left w:val="single" w:sz="4" w:space="0" w:color="auto"/>
              <w:bottom w:val="single" w:sz="4" w:space="0" w:color="auto"/>
              <w:right w:val="single" w:sz="4" w:space="0" w:color="auto"/>
            </w:tcBorders>
            <w:hideMark/>
          </w:tcPr>
          <w:p w14:paraId="220032B6" w14:textId="77777777" w:rsidR="00590BEF" w:rsidRPr="007202FA" w:rsidRDefault="000B4F21" w:rsidP="007202FA">
            <w:pPr>
              <w:rPr>
                <w:sz w:val="20"/>
                <w:szCs w:val="20"/>
              </w:rPr>
            </w:pPr>
            <w:r>
              <w:rPr>
                <w:rFonts w:cs="Calibri"/>
                <w:color w:val="000000"/>
                <w:sz w:val="20"/>
                <w:szCs w:val="20"/>
                <w:lang w:val="ga"/>
              </w:rPr>
              <w:t>Comhairle Contae Chill Mhantáin</w:t>
            </w:r>
          </w:p>
        </w:tc>
        <w:tc>
          <w:tcPr>
            <w:tcW w:w="1559" w:type="dxa"/>
            <w:tcBorders>
              <w:top w:val="single" w:sz="4" w:space="0" w:color="auto"/>
              <w:left w:val="single" w:sz="4" w:space="0" w:color="auto"/>
              <w:bottom w:val="single" w:sz="4" w:space="0" w:color="auto"/>
              <w:right w:val="single" w:sz="4" w:space="0" w:color="auto"/>
            </w:tcBorders>
            <w:hideMark/>
          </w:tcPr>
          <w:p w14:paraId="7CA6241D"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cs="Calibri"/>
                <w:b w:val="0"/>
                <w:color w:val="000000"/>
                <w:kern w:val="2"/>
                <w:sz w:val="20"/>
                <w:szCs w:val="20"/>
                <w:lang w:val="ga"/>
                <w14:ligatures w14:val="standardContextual"/>
              </w:rPr>
              <w:t>893</w:t>
            </w:r>
          </w:p>
        </w:tc>
        <w:tc>
          <w:tcPr>
            <w:tcW w:w="1559" w:type="dxa"/>
            <w:tcBorders>
              <w:top w:val="single" w:sz="4" w:space="0" w:color="auto"/>
              <w:left w:val="single" w:sz="4" w:space="0" w:color="auto"/>
              <w:bottom w:val="single" w:sz="4" w:space="0" w:color="auto"/>
              <w:right w:val="single" w:sz="4" w:space="0" w:color="auto"/>
            </w:tcBorders>
            <w:hideMark/>
          </w:tcPr>
          <w:p w14:paraId="0CC46EFD"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cs="Calibri"/>
                <w:b w:val="0"/>
                <w:color w:val="000000"/>
                <w:kern w:val="2"/>
                <w:sz w:val="20"/>
                <w:szCs w:val="20"/>
                <w:lang w:val="ga"/>
                <w14:ligatures w14:val="standardContextual"/>
              </w:rPr>
              <w:t>49</w:t>
            </w:r>
          </w:p>
        </w:tc>
        <w:tc>
          <w:tcPr>
            <w:tcW w:w="1559" w:type="dxa"/>
            <w:tcBorders>
              <w:top w:val="single" w:sz="4" w:space="0" w:color="auto"/>
              <w:left w:val="single" w:sz="4" w:space="0" w:color="auto"/>
              <w:bottom w:val="single" w:sz="4" w:space="0" w:color="auto"/>
              <w:right w:val="single" w:sz="4" w:space="0" w:color="auto"/>
            </w:tcBorders>
            <w:hideMark/>
          </w:tcPr>
          <w:p w14:paraId="66E29C86"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cs="Calibri"/>
                <w:b w:val="0"/>
                <w:color w:val="000000"/>
                <w:kern w:val="2"/>
                <w:sz w:val="20"/>
                <w:szCs w:val="20"/>
                <w:lang w:val="ga"/>
                <w14:ligatures w14:val="standardContextual"/>
              </w:rPr>
              <w:t>5.5%</w:t>
            </w:r>
          </w:p>
        </w:tc>
        <w:tc>
          <w:tcPr>
            <w:tcW w:w="1430" w:type="dxa"/>
            <w:tcBorders>
              <w:top w:val="single" w:sz="4" w:space="0" w:color="auto"/>
              <w:left w:val="single" w:sz="4" w:space="0" w:color="auto"/>
              <w:bottom w:val="single" w:sz="4" w:space="0" w:color="auto"/>
              <w:right w:val="single" w:sz="4" w:space="0" w:color="auto"/>
            </w:tcBorders>
            <w:hideMark/>
          </w:tcPr>
          <w:p w14:paraId="1E9BBEDC"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cs="Calibri"/>
                <w:b w:val="0"/>
                <w:color w:val="000000"/>
                <w:kern w:val="2"/>
                <w:sz w:val="20"/>
                <w:szCs w:val="20"/>
                <w:lang w:val="ga"/>
                <w14:ligatures w14:val="standardContextual"/>
              </w:rPr>
              <w:t>989</w:t>
            </w:r>
          </w:p>
        </w:tc>
        <w:tc>
          <w:tcPr>
            <w:tcW w:w="1547" w:type="dxa"/>
            <w:tcBorders>
              <w:top w:val="single" w:sz="4" w:space="0" w:color="auto"/>
              <w:left w:val="single" w:sz="4" w:space="0" w:color="auto"/>
              <w:bottom w:val="single" w:sz="4" w:space="0" w:color="auto"/>
              <w:right w:val="single" w:sz="4" w:space="0" w:color="auto"/>
            </w:tcBorders>
            <w:hideMark/>
          </w:tcPr>
          <w:p w14:paraId="57F5D344"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cs="Calibri"/>
                <w:b w:val="0"/>
                <w:color w:val="000000"/>
                <w:kern w:val="2"/>
                <w:sz w:val="20"/>
                <w:szCs w:val="20"/>
                <w:lang w:val="ga"/>
                <w14:ligatures w14:val="standardContextual"/>
              </w:rPr>
              <w:t>45</w:t>
            </w:r>
          </w:p>
        </w:tc>
        <w:tc>
          <w:tcPr>
            <w:tcW w:w="1429" w:type="dxa"/>
            <w:tcBorders>
              <w:top w:val="single" w:sz="4" w:space="0" w:color="auto"/>
              <w:left w:val="single" w:sz="4" w:space="0" w:color="auto"/>
              <w:bottom w:val="single" w:sz="4" w:space="0" w:color="auto"/>
              <w:right w:val="single" w:sz="4" w:space="0" w:color="auto"/>
            </w:tcBorders>
            <w:hideMark/>
          </w:tcPr>
          <w:p w14:paraId="0CB6AD46" w14:textId="77777777"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cs="Calibri"/>
                <w:b w:val="0"/>
                <w:color w:val="000000"/>
                <w:kern w:val="2"/>
                <w:sz w:val="20"/>
                <w:szCs w:val="20"/>
                <w:lang w:val="ga"/>
                <w14:ligatures w14:val="standardContextual"/>
              </w:rPr>
              <w:t>4.6%</w:t>
            </w:r>
          </w:p>
        </w:tc>
      </w:tr>
      <w:tr w:rsidR="00F31303" w14:paraId="3CA5204B" w14:textId="77777777" w:rsidTr="0050231C">
        <w:trPr>
          <w:trHeight w:val="58"/>
          <w:jc w:val="center"/>
        </w:trPr>
        <w:tc>
          <w:tcPr>
            <w:tcW w:w="2122" w:type="dxa"/>
            <w:tcBorders>
              <w:top w:val="single" w:sz="4" w:space="0" w:color="auto"/>
              <w:left w:val="single" w:sz="4" w:space="0" w:color="auto"/>
              <w:bottom w:val="single" w:sz="4" w:space="0" w:color="auto"/>
              <w:right w:val="single" w:sz="4" w:space="0" w:color="auto"/>
            </w:tcBorders>
            <w:hideMark/>
          </w:tcPr>
          <w:p w14:paraId="5260FE3E"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Mór-Iomlán </w:t>
            </w:r>
          </w:p>
        </w:tc>
        <w:tc>
          <w:tcPr>
            <w:tcW w:w="1559" w:type="dxa"/>
            <w:tcBorders>
              <w:top w:val="single" w:sz="4" w:space="0" w:color="auto"/>
              <w:left w:val="single" w:sz="4" w:space="0" w:color="auto"/>
              <w:bottom w:val="single" w:sz="4" w:space="0" w:color="auto"/>
              <w:right w:val="single" w:sz="4" w:space="0" w:color="auto"/>
            </w:tcBorders>
          </w:tcPr>
          <w:p w14:paraId="6E066FC1" w14:textId="77777777" w:rsidR="00590BEF" w:rsidRPr="007202FA" w:rsidRDefault="000B4F21" w:rsidP="007202FA">
            <w:pPr>
              <w:jc w:val="right"/>
              <w:rPr>
                <w:rFonts w:cs="Calibri"/>
                <w:b/>
                <w:bCs/>
                <w:color w:val="000000"/>
                <w:sz w:val="20"/>
                <w:szCs w:val="20"/>
              </w:rPr>
            </w:pPr>
            <w:r>
              <w:rPr>
                <w:rFonts w:cs="Calibri"/>
                <w:b/>
                <w:bCs/>
                <w:color w:val="000000"/>
                <w:sz w:val="20"/>
                <w:szCs w:val="20"/>
                <w:lang w:val="ga"/>
              </w:rPr>
              <w:t>38,076</w:t>
            </w:r>
          </w:p>
          <w:p w14:paraId="07FA3A26" w14:textId="77777777" w:rsidR="00590BEF" w:rsidRPr="007202FA" w:rsidRDefault="00590BEF" w:rsidP="007202FA">
            <w:pPr>
              <w:pStyle w:val="TableHead"/>
              <w:jc w:val="right"/>
              <w:rPr>
                <w:rFonts w:ascii="Verdana" w:hAnsi="Verdana"/>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hideMark/>
          </w:tcPr>
          <w:p w14:paraId="2595812C"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2,000</w:t>
            </w:r>
          </w:p>
        </w:tc>
        <w:tc>
          <w:tcPr>
            <w:tcW w:w="1559" w:type="dxa"/>
            <w:tcBorders>
              <w:top w:val="single" w:sz="4" w:space="0" w:color="auto"/>
              <w:left w:val="single" w:sz="4" w:space="0" w:color="auto"/>
              <w:bottom w:val="single" w:sz="4" w:space="0" w:color="auto"/>
              <w:right w:val="single" w:sz="4" w:space="0" w:color="auto"/>
            </w:tcBorders>
            <w:hideMark/>
          </w:tcPr>
          <w:p w14:paraId="738945C1"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5.3%</w:t>
            </w:r>
          </w:p>
        </w:tc>
        <w:tc>
          <w:tcPr>
            <w:tcW w:w="1430" w:type="dxa"/>
            <w:tcBorders>
              <w:top w:val="single" w:sz="4" w:space="0" w:color="auto"/>
              <w:left w:val="single" w:sz="4" w:space="0" w:color="auto"/>
              <w:bottom w:val="single" w:sz="4" w:space="0" w:color="auto"/>
              <w:right w:val="single" w:sz="4" w:space="0" w:color="auto"/>
            </w:tcBorders>
          </w:tcPr>
          <w:p w14:paraId="7445F5F8" w14:textId="77777777" w:rsidR="00590BEF" w:rsidRPr="007202FA" w:rsidRDefault="000B4F21" w:rsidP="007202FA">
            <w:pPr>
              <w:jc w:val="right"/>
              <w:rPr>
                <w:rFonts w:cs="Calibri"/>
                <w:b/>
                <w:bCs/>
                <w:color w:val="000000"/>
                <w:sz w:val="20"/>
                <w:szCs w:val="20"/>
              </w:rPr>
            </w:pPr>
            <w:r>
              <w:rPr>
                <w:rFonts w:cs="Calibri"/>
                <w:b/>
                <w:bCs/>
                <w:color w:val="000000"/>
                <w:sz w:val="20"/>
                <w:szCs w:val="20"/>
                <w:lang w:val="ga"/>
              </w:rPr>
              <w:t>39,794</w:t>
            </w:r>
          </w:p>
          <w:p w14:paraId="3AFA2AD9" w14:textId="77777777" w:rsidR="00590BEF" w:rsidRPr="007202FA" w:rsidRDefault="00590BEF" w:rsidP="007202FA">
            <w:pPr>
              <w:pStyle w:val="TableHead"/>
              <w:jc w:val="right"/>
              <w:rPr>
                <w:rFonts w:ascii="Verdana" w:hAnsi="Verdana"/>
                <w:kern w:val="2"/>
                <w:sz w:val="20"/>
                <w:szCs w:val="20"/>
                <w14:ligatures w14:val="standardContextual"/>
              </w:rPr>
            </w:pPr>
          </w:p>
        </w:tc>
        <w:tc>
          <w:tcPr>
            <w:tcW w:w="1547" w:type="dxa"/>
            <w:tcBorders>
              <w:top w:val="single" w:sz="4" w:space="0" w:color="auto"/>
              <w:left w:val="single" w:sz="4" w:space="0" w:color="auto"/>
              <w:bottom w:val="single" w:sz="4" w:space="0" w:color="auto"/>
              <w:right w:val="single" w:sz="4" w:space="0" w:color="auto"/>
            </w:tcBorders>
          </w:tcPr>
          <w:p w14:paraId="2A4A9522" w14:textId="77777777" w:rsidR="00590BEF" w:rsidRPr="007202FA" w:rsidRDefault="000B4F21" w:rsidP="007202FA">
            <w:pPr>
              <w:jc w:val="right"/>
              <w:rPr>
                <w:rFonts w:cs="Calibri"/>
                <w:b/>
                <w:bCs/>
                <w:color w:val="000000"/>
                <w:sz w:val="20"/>
                <w:szCs w:val="20"/>
              </w:rPr>
            </w:pPr>
            <w:r>
              <w:rPr>
                <w:rFonts w:cs="Calibri"/>
                <w:b/>
                <w:bCs/>
                <w:color w:val="000000"/>
                <w:sz w:val="20"/>
                <w:szCs w:val="20"/>
                <w:lang w:val="ga"/>
              </w:rPr>
              <w:t>2,383</w:t>
            </w:r>
          </w:p>
          <w:p w14:paraId="0A480C13" w14:textId="77777777" w:rsidR="00590BEF" w:rsidRPr="007202FA" w:rsidRDefault="00590BEF" w:rsidP="007202FA">
            <w:pPr>
              <w:pStyle w:val="TableHead"/>
              <w:jc w:val="right"/>
              <w:rPr>
                <w:rFonts w:ascii="Verdana" w:hAnsi="Verdana"/>
                <w:kern w:val="2"/>
                <w:sz w:val="20"/>
                <w:szCs w:val="20"/>
                <w14:ligatures w14:val="standardContextual"/>
              </w:rPr>
            </w:pPr>
          </w:p>
        </w:tc>
        <w:tc>
          <w:tcPr>
            <w:tcW w:w="1429" w:type="dxa"/>
            <w:tcBorders>
              <w:top w:val="single" w:sz="4" w:space="0" w:color="auto"/>
              <w:left w:val="single" w:sz="4" w:space="0" w:color="auto"/>
              <w:bottom w:val="single" w:sz="4" w:space="0" w:color="auto"/>
              <w:right w:val="single" w:sz="4" w:space="0" w:color="auto"/>
            </w:tcBorders>
          </w:tcPr>
          <w:p w14:paraId="0903FCC3" w14:textId="77777777" w:rsidR="00590BEF" w:rsidRPr="007202FA" w:rsidRDefault="000B4F21" w:rsidP="007202FA">
            <w:pPr>
              <w:jc w:val="right"/>
              <w:rPr>
                <w:rFonts w:cs="Calibri"/>
                <w:b/>
                <w:bCs/>
                <w:color w:val="000000"/>
                <w:sz w:val="20"/>
                <w:szCs w:val="20"/>
              </w:rPr>
            </w:pPr>
            <w:r>
              <w:rPr>
                <w:rFonts w:cs="Calibri"/>
                <w:b/>
                <w:bCs/>
                <w:color w:val="000000"/>
                <w:sz w:val="20"/>
                <w:szCs w:val="20"/>
                <w:lang w:val="ga"/>
              </w:rPr>
              <w:t>6.0%</w:t>
            </w:r>
          </w:p>
          <w:p w14:paraId="79047FBB" w14:textId="77777777" w:rsidR="00590BEF" w:rsidRPr="007202FA" w:rsidRDefault="00590BEF" w:rsidP="007202FA">
            <w:pPr>
              <w:pStyle w:val="TableHead"/>
              <w:jc w:val="right"/>
              <w:rPr>
                <w:rFonts w:ascii="Verdana" w:hAnsi="Verdana"/>
                <w:kern w:val="2"/>
                <w:sz w:val="20"/>
                <w:szCs w:val="20"/>
                <w14:ligatures w14:val="standardContextual"/>
              </w:rPr>
            </w:pPr>
          </w:p>
        </w:tc>
      </w:tr>
    </w:tbl>
    <w:p w14:paraId="42E43393" w14:textId="77777777" w:rsidR="00C913FB" w:rsidRPr="007202FA" w:rsidRDefault="00C913FB" w:rsidP="007202FA">
      <w:pPr>
        <w:spacing w:after="0"/>
        <w:jc w:val="center"/>
        <w:rPr>
          <w:b/>
          <w:sz w:val="28"/>
          <w:szCs w:val="28"/>
        </w:rPr>
      </w:pPr>
    </w:p>
    <w:p w14:paraId="2D09C615" w14:textId="77777777" w:rsidR="00C913FB" w:rsidRPr="007202FA" w:rsidRDefault="00C913FB" w:rsidP="007202FA">
      <w:pPr>
        <w:spacing w:after="0"/>
        <w:jc w:val="center"/>
        <w:rPr>
          <w:b/>
          <w:sz w:val="28"/>
          <w:szCs w:val="28"/>
        </w:rPr>
      </w:pPr>
    </w:p>
    <w:p w14:paraId="54F7BC41" w14:textId="77777777" w:rsidR="00E44AC4" w:rsidRDefault="00E44AC4">
      <w:pPr>
        <w:rPr>
          <w:b/>
          <w:bCs/>
          <w:sz w:val="28"/>
          <w:szCs w:val="28"/>
          <w:lang w:val="ga"/>
        </w:rPr>
      </w:pPr>
      <w:r>
        <w:rPr>
          <w:b/>
          <w:bCs/>
          <w:sz w:val="28"/>
          <w:szCs w:val="28"/>
          <w:lang w:val="ga"/>
        </w:rPr>
        <w:br w:type="page"/>
      </w:r>
    </w:p>
    <w:p w14:paraId="25D4C4B9" w14:textId="068FC7FC" w:rsidR="00590BEF" w:rsidRPr="00E44AC4" w:rsidRDefault="000B4F21" w:rsidP="007202FA">
      <w:pPr>
        <w:spacing w:after="0"/>
        <w:jc w:val="center"/>
        <w:rPr>
          <w:b/>
          <w:sz w:val="28"/>
          <w:szCs w:val="28"/>
          <w:lang w:val="ga"/>
        </w:rPr>
      </w:pPr>
      <w:bookmarkStart w:id="222" w:name="_Hlk214531846"/>
      <w:r>
        <w:rPr>
          <w:b/>
          <w:bCs/>
          <w:sz w:val="28"/>
          <w:szCs w:val="28"/>
          <w:lang w:val="ga"/>
        </w:rPr>
        <w:lastRenderedPageBreak/>
        <w:t>An Roinn Caiteachais Phoiblí, Seachadta ar an bPlean Forbartha Náisiúnta, agus Athchóirithe</w:t>
      </w:r>
    </w:p>
    <w:bookmarkEnd w:id="222"/>
    <w:p w14:paraId="6E8BC120" w14:textId="77777777" w:rsidR="00590BEF" w:rsidRPr="007202FA" w:rsidRDefault="000B4F21" w:rsidP="007202FA">
      <w:pPr>
        <w:rPr>
          <w:b/>
          <w:sz w:val="20"/>
          <w:szCs w:val="20"/>
        </w:rPr>
      </w:pPr>
      <w:r>
        <w:rPr>
          <w:rFonts w:ascii="Gill Sans" w:hAnsi="Gill Sans"/>
          <w:b/>
          <w:bCs/>
          <w:lang w:val="ga"/>
        </w:rPr>
        <w:t>*</w:t>
      </w:r>
      <w:r>
        <w:rPr>
          <w:b/>
          <w:bCs/>
          <w:sz w:val="20"/>
          <w:szCs w:val="20"/>
          <w:lang w:val="ga"/>
        </w:rPr>
        <w:t>Maidir le comhlachtaí poiblí iomchuí sa Roinn Dlí agus Cirt a thuairiscíonn faoin Roinn sin chun críocha Chuid 5</w:t>
      </w:r>
    </w:p>
    <w:tbl>
      <w:tblPr>
        <w:tblStyle w:val="TableGrid"/>
        <w:tblW w:w="11487" w:type="dxa"/>
        <w:jc w:val="center"/>
        <w:tblLayout w:type="fixed"/>
        <w:tblLook w:val="04A0" w:firstRow="1" w:lastRow="0" w:firstColumn="1" w:lastColumn="0" w:noHBand="0" w:noVBand="1"/>
      </w:tblPr>
      <w:tblGrid>
        <w:gridCol w:w="1838"/>
        <w:gridCol w:w="1565"/>
        <w:gridCol w:w="1559"/>
        <w:gridCol w:w="1567"/>
        <w:gridCol w:w="1700"/>
        <w:gridCol w:w="1558"/>
        <w:gridCol w:w="1700"/>
      </w:tblGrid>
      <w:tr w:rsidR="00F31303" w14:paraId="4E4B6C23" w14:textId="77777777" w:rsidTr="0050231C">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027CD341"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65" w:type="dxa"/>
            <w:tcBorders>
              <w:top w:val="single" w:sz="4" w:space="0" w:color="auto"/>
              <w:left w:val="single" w:sz="4" w:space="0" w:color="auto"/>
              <w:bottom w:val="single" w:sz="4" w:space="0" w:color="auto"/>
              <w:right w:val="single" w:sz="4" w:space="0" w:color="auto"/>
            </w:tcBorders>
            <w:hideMark/>
          </w:tcPr>
          <w:p w14:paraId="09C10403"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w:t>
            </w:r>
          </w:p>
          <w:p w14:paraId="4CC39EB0"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iomlán </w:t>
            </w:r>
          </w:p>
          <w:p w14:paraId="07ABAE3B"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fostaithe </w:t>
            </w:r>
          </w:p>
          <w:p w14:paraId="6047D1FE" w14:textId="42B85352"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59" w:type="dxa"/>
            <w:tcBorders>
              <w:top w:val="single" w:sz="4" w:space="0" w:color="auto"/>
              <w:left w:val="single" w:sz="4" w:space="0" w:color="auto"/>
              <w:bottom w:val="single" w:sz="4" w:space="0" w:color="auto"/>
              <w:right w:val="single" w:sz="4" w:space="0" w:color="auto"/>
            </w:tcBorders>
            <w:hideMark/>
          </w:tcPr>
          <w:p w14:paraId="3E4FDED5"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192457E4"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67" w:type="dxa"/>
            <w:tcBorders>
              <w:top w:val="single" w:sz="4" w:space="0" w:color="auto"/>
              <w:left w:val="single" w:sz="4" w:space="0" w:color="auto"/>
              <w:bottom w:val="single" w:sz="4" w:space="0" w:color="auto"/>
              <w:right w:val="single" w:sz="4" w:space="0" w:color="auto"/>
            </w:tcBorders>
            <w:hideMark/>
          </w:tcPr>
          <w:p w14:paraId="224C766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6A665C0D"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 2023</w:t>
            </w:r>
          </w:p>
        </w:tc>
        <w:tc>
          <w:tcPr>
            <w:tcW w:w="1700" w:type="dxa"/>
            <w:tcBorders>
              <w:top w:val="single" w:sz="4" w:space="0" w:color="auto"/>
              <w:left w:val="single" w:sz="4" w:space="0" w:color="auto"/>
              <w:bottom w:val="single" w:sz="4" w:space="0" w:color="auto"/>
              <w:right w:val="single" w:sz="4" w:space="0" w:color="auto"/>
            </w:tcBorders>
            <w:hideMark/>
          </w:tcPr>
          <w:p w14:paraId="73E63F61"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w:t>
            </w:r>
          </w:p>
          <w:p w14:paraId="631A5237"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iomlán </w:t>
            </w:r>
          </w:p>
          <w:p w14:paraId="03D0EA11"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fostaithe </w:t>
            </w:r>
          </w:p>
          <w:p w14:paraId="00B038BD" w14:textId="1558DE91"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558" w:type="dxa"/>
            <w:tcBorders>
              <w:top w:val="single" w:sz="4" w:space="0" w:color="auto"/>
              <w:left w:val="single" w:sz="4" w:space="0" w:color="auto"/>
              <w:bottom w:val="single" w:sz="4" w:space="0" w:color="auto"/>
              <w:right w:val="single" w:sz="4" w:space="0" w:color="auto"/>
            </w:tcBorders>
            <w:hideMark/>
          </w:tcPr>
          <w:p w14:paraId="037D64BC" w14:textId="13DCCA9C"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7C8E2B01"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700" w:type="dxa"/>
            <w:tcBorders>
              <w:top w:val="single" w:sz="4" w:space="0" w:color="auto"/>
              <w:left w:val="single" w:sz="4" w:space="0" w:color="auto"/>
              <w:bottom w:val="single" w:sz="4" w:space="0" w:color="auto"/>
              <w:right w:val="single" w:sz="4" w:space="0" w:color="auto"/>
            </w:tcBorders>
            <w:hideMark/>
          </w:tcPr>
          <w:p w14:paraId="7514BF3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37F90A6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w:t>
            </w:r>
          </w:p>
          <w:p w14:paraId="6810243F"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 2024</w:t>
            </w:r>
          </w:p>
        </w:tc>
      </w:tr>
      <w:tr w:rsidR="00F31303" w14:paraId="40FCF536"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3E806018" w14:textId="77777777" w:rsidR="00590BEF" w:rsidRPr="007202FA" w:rsidRDefault="000B4F21" w:rsidP="007202FA">
            <w:pPr>
              <w:rPr>
                <w:sz w:val="20"/>
                <w:szCs w:val="20"/>
              </w:rPr>
            </w:pPr>
            <w:r>
              <w:rPr>
                <w:sz w:val="20"/>
                <w:szCs w:val="20"/>
                <w:lang w:val="ga"/>
              </w:rPr>
              <w:t>An Chomhairle um Oideachas Gaeltachta agus Gaelscolaíochta</w:t>
            </w:r>
          </w:p>
        </w:tc>
        <w:tc>
          <w:tcPr>
            <w:tcW w:w="1565" w:type="dxa"/>
            <w:tcBorders>
              <w:top w:val="single" w:sz="4" w:space="0" w:color="auto"/>
              <w:left w:val="single" w:sz="4" w:space="0" w:color="auto"/>
              <w:bottom w:val="single" w:sz="4" w:space="0" w:color="auto"/>
              <w:right w:val="single" w:sz="4" w:space="0" w:color="auto"/>
            </w:tcBorders>
            <w:hideMark/>
          </w:tcPr>
          <w:p w14:paraId="5DF34957" w14:textId="77777777" w:rsidR="00590BEF" w:rsidRPr="007202FA" w:rsidRDefault="000B4F21" w:rsidP="007202FA">
            <w:pPr>
              <w:jc w:val="right"/>
              <w:rPr>
                <w:sz w:val="20"/>
                <w:szCs w:val="20"/>
              </w:rPr>
            </w:pPr>
            <w:r>
              <w:rPr>
                <w:sz w:val="20"/>
                <w:szCs w:val="20"/>
                <w:lang w:val="ga"/>
              </w:rPr>
              <w:t>12</w:t>
            </w:r>
          </w:p>
        </w:tc>
        <w:tc>
          <w:tcPr>
            <w:tcW w:w="1559" w:type="dxa"/>
            <w:tcBorders>
              <w:top w:val="single" w:sz="4" w:space="0" w:color="auto"/>
              <w:left w:val="single" w:sz="4" w:space="0" w:color="auto"/>
              <w:bottom w:val="single" w:sz="4" w:space="0" w:color="auto"/>
              <w:right w:val="single" w:sz="4" w:space="0" w:color="auto"/>
            </w:tcBorders>
            <w:hideMark/>
          </w:tcPr>
          <w:p w14:paraId="59517987" w14:textId="77777777" w:rsidR="00590BEF" w:rsidRPr="007202FA" w:rsidRDefault="000B4F21" w:rsidP="007202FA">
            <w:pPr>
              <w:jc w:val="right"/>
              <w:rPr>
                <w:sz w:val="20"/>
                <w:szCs w:val="20"/>
              </w:rPr>
            </w:pPr>
            <w:r>
              <w:rPr>
                <w:sz w:val="20"/>
                <w:szCs w:val="20"/>
                <w:lang w:val="ga"/>
              </w:rPr>
              <w:t>0</w:t>
            </w:r>
          </w:p>
        </w:tc>
        <w:tc>
          <w:tcPr>
            <w:tcW w:w="1567" w:type="dxa"/>
            <w:tcBorders>
              <w:top w:val="single" w:sz="4" w:space="0" w:color="auto"/>
              <w:left w:val="single" w:sz="4" w:space="0" w:color="auto"/>
              <w:bottom w:val="single" w:sz="4" w:space="0" w:color="auto"/>
              <w:right w:val="single" w:sz="4" w:space="0" w:color="auto"/>
            </w:tcBorders>
            <w:hideMark/>
          </w:tcPr>
          <w:p w14:paraId="25B0119A" w14:textId="77777777" w:rsidR="00590BEF" w:rsidRPr="007202FA" w:rsidRDefault="000B4F21" w:rsidP="007202FA">
            <w:pPr>
              <w:jc w:val="right"/>
              <w:rPr>
                <w:sz w:val="20"/>
                <w:szCs w:val="20"/>
              </w:rPr>
            </w:pPr>
            <w:r>
              <w:rPr>
                <w:sz w:val="20"/>
                <w:szCs w:val="20"/>
                <w:lang w:val="ga"/>
              </w:rPr>
              <w:t>0.0%</w:t>
            </w:r>
          </w:p>
        </w:tc>
        <w:tc>
          <w:tcPr>
            <w:tcW w:w="1700" w:type="dxa"/>
            <w:tcBorders>
              <w:top w:val="single" w:sz="4" w:space="0" w:color="auto"/>
              <w:left w:val="single" w:sz="4" w:space="0" w:color="auto"/>
              <w:bottom w:val="single" w:sz="4" w:space="0" w:color="auto"/>
              <w:right w:val="single" w:sz="4" w:space="0" w:color="auto"/>
            </w:tcBorders>
            <w:hideMark/>
          </w:tcPr>
          <w:p w14:paraId="6EA00773" w14:textId="77777777" w:rsidR="00590BEF" w:rsidRPr="007202FA" w:rsidRDefault="000B4F21" w:rsidP="007202FA">
            <w:pPr>
              <w:jc w:val="right"/>
              <w:rPr>
                <w:sz w:val="20"/>
                <w:szCs w:val="20"/>
              </w:rPr>
            </w:pPr>
            <w:r>
              <w:rPr>
                <w:rFonts w:cs="Calibri"/>
                <w:color w:val="000000"/>
                <w:sz w:val="20"/>
                <w:szCs w:val="20"/>
                <w:lang w:val="ga"/>
              </w:rPr>
              <w:t>14</w:t>
            </w:r>
          </w:p>
        </w:tc>
        <w:tc>
          <w:tcPr>
            <w:tcW w:w="1558" w:type="dxa"/>
            <w:tcBorders>
              <w:top w:val="single" w:sz="4" w:space="0" w:color="auto"/>
              <w:left w:val="single" w:sz="4" w:space="0" w:color="auto"/>
              <w:bottom w:val="single" w:sz="4" w:space="0" w:color="auto"/>
              <w:right w:val="single" w:sz="4" w:space="0" w:color="auto"/>
            </w:tcBorders>
            <w:hideMark/>
          </w:tcPr>
          <w:p w14:paraId="0C4AC410" w14:textId="77777777" w:rsidR="00590BEF" w:rsidRPr="007202FA" w:rsidRDefault="000B4F21" w:rsidP="007202FA">
            <w:pPr>
              <w:jc w:val="right"/>
              <w:rPr>
                <w:sz w:val="20"/>
                <w:szCs w:val="20"/>
              </w:rPr>
            </w:pPr>
            <w:r>
              <w:rPr>
                <w:rFonts w:cs="Calibri"/>
                <w:color w:val="000000"/>
                <w:sz w:val="20"/>
                <w:szCs w:val="20"/>
                <w:lang w:val="ga"/>
              </w:rPr>
              <w:t>0</w:t>
            </w:r>
          </w:p>
        </w:tc>
        <w:tc>
          <w:tcPr>
            <w:tcW w:w="1700" w:type="dxa"/>
            <w:tcBorders>
              <w:top w:val="single" w:sz="4" w:space="0" w:color="auto"/>
              <w:left w:val="single" w:sz="4" w:space="0" w:color="auto"/>
              <w:bottom w:val="single" w:sz="4" w:space="0" w:color="auto"/>
              <w:right w:val="single" w:sz="4" w:space="0" w:color="auto"/>
            </w:tcBorders>
            <w:hideMark/>
          </w:tcPr>
          <w:p w14:paraId="2B5041E7" w14:textId="77777777" w:rsidR="00590BEF" w:rsidRPr="007202FA" w:rsidRDefault="000B4F21" w:rsidP="007202FA">
            <w:pPr>
              <w:jc w:val="right"/>
              <w:rPr>
                <w:sz w:val="20"/>
                <w:szCs w:val="20"/>
              </w:rPr>
            </w:pPr>
            <w:r>
              <w:rPr>
                <w:rFonts w:cs="Calibri"/>
                <w:color w:val="000000"/>
                <w:sz w:val="20"/>
                <w:szCs w:val="20"/>
                <w:lang w:val="ga"/>
              </w:rPr>
              <w:t>0.0%</w:t>
            </w:r>
          </w:p>
        </w:tc>
      </w:tr>
      <w:tr w:rsidR="00F31303" w14:paraId="7B64998B"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4357FE98" w14:textId="77777777" w:rsidR="00590BEF" w:rsidRPr="007202FA" w:rsidRDefault="000B4F21" w:rsidP="007202FA">
            <w:pPr>
              <w:rPr>
                <w:sz w:val="20"/>
                <w:szCs w:val="20"/>
              </w:rPr>
            </w:pPr>
            <w:r>
              <w:rPr>
                <w:rFonts w:cs="Calibri"/>
                <w:color w:val="000000"/>
                <w:sz w:val="20"/>
                <w:szCs w:val="20"/>
                <w:lang w:val="ga"/>
              </w:rPr>
              <w:t>An Coimisinéir Teanga</w:t>
            </w:r>
          </w:p>
        </w:tc>
        <w:tc>
          <w:tcPr>
            <w:tcW w:w="1565" w:type="dxa"/>
            <w:tcBorders>
              <w:top w:val="single" w:sz="4" w:space="0" w:color="auto"/>
              <w:left w:val="single" w:sz="4" w:space="0" w:color="auto"/>
              <w:bottom w:val="single" w:sz="4" w:space="0" w:color="auto"/>
              <w:right w:val="single" w:sz="4" w:space="0" w:color="auto"/>
            </w:tcBorders>
            <w:hideMark/>
          </w:tcPr>
          <w:p w14:paraId="21CEEF3A" w14:textId="77777777" w:rsidR="00590BEF" w:rsidRPr="007202FA" w:rsidRDefault="000B4F21" w:rsidP="007202FA">
            <w:pPr>
              <w:jc w:val="right"/>
              <w:rPr>
                <w:sz w:val="20"/>
                <w:szCs w:val="20"/>
              </w:rPr>
            </w:pPr>
            <w:r>
              <w:rPr>
                <w:sz w:val="20"/>
                <w:szCs w:val="20"/>
                <w:lang w:val="ga"/>
              </w:rPr>
              <w:t>10</w:t>
            </w:r>
          </w:p>
        </w:tc>
        <w:tc>
          <w:tcPr>
            <w:tcW w:w="1559" w:type="dxa"/>
            <w:tcBorders>
              <w:top w:val="single" w:sz="4" w:space="0" w:color="auto"/>
              <w:left w:val="single" w:sz="4" w:space="0" w:color="auto"/>
              <w:bottom w:val="single" w:sz="4" w:space="0" w:color="auto"/>
              <w:right w:val="single" w:sz="4" w:space="0" w:color="auto"/>
            </w:tcBorders>
            <w:hideMark/>
          </w:tcPr>
          <w:p w14:paraId="1ABC4E07" w14:textId="77777777" w:rsidR="00590BEF" w:rsidRPr="007202FA" w:rsidRDefault="000B4F21" w:rsidP="007202FA">
            <w:pPr>
              <w:jc w:val="right"/>
              <w:rPr>
                <w:sz w:val="20"/>
                <w:szCs w:val="20"/>
              </w:rPr>
            </w:pPr>
            <w:r>
              <w:rPr>
                <w:sz w:val="20"/>
                <w:szCs w:val="20"/>
                <w:lang w:val="ga"/>
              </w:rPr>
              <w:t>0</w:t>
            </w:r>
          </w:p>
        </w:tc>
        <w:tc>
          <w:tcPr>
            <w:tcW w:w="1567" w:type="dxa"/>
            <w:tcBorders>
              <w:top w:val="single" w:sz="4" w:space="0" w:color="auto"/>
              <w:left w:val="single" w:sz="4" w:space="0" w:color="auto"/>
              <w:bottom w:val="single" w:sz="4" w:space="0" w:color="auto"/>
              <w:right w:val="single" w:sz="4" w:space="0" w:color="auto"/>
            </w:tcBorders>
            <w:hideMark/>
          </w:tcPr>
          <w:p w14:paraId="450A20BC" w14:textId="77777777" w:rsidR="00590BEF" w:rsidRPr="007202FA" w:rsidRDefault="000B4F21" w:rsidP="007202FA">
            <w:pPr>
              <w:jc w:val="right"/>
              <w:rPr>
                <w:sz w:val="20"/>
                <w:szCs w:val="20"/>
              </w:rPr>
            </w:pPr>
            <w:r>
              <w:rPr>
                <w:sz w:val="20"/>
                <w:szCs w:val="20"/>
                <w:lang w:val="ga"/>
              </w:rPr>
              <w:t>0.0%</w:t>
            </w:r>
          </w:p>
        </w:tc>
        <w:tc>
          <w:tcPr>
            <w:tcW w:w="1700" w:type="dxa"/>
            <w:tcBorders>
              <w:top w:val="single" w:sz="4" w:space="0" w:color="auto"/>
              <w:left w:val="single" w:sz="4" w:space="0" w:color="auto"/>
              <w:bottom w:val="single" w:sz="4" w:space="0" w:color="auto"/>
              <w:right w:val="single" w:sz="4" w:space="0" w:color="auto"/>
            </w:tcBorders>
            <w:hideMark/>
          </w:tcPr>
          <w:p w14:paraId="30969CFF" w14:textId="77777777" w:rsidR="00590BEF" w:rsidRPr="007202FA" w:rsidRDefault="000B4F21" w:rsidP="007202FA">
            <w:pPr>
              <w:jc w:val="right"/>
              <w:rPr>
                <w:sz w:val="20"/>
                <w:szCs w:val="20"/>
              </w:rPr>
            </w:pPr>
            <w:r>
              <w:rPr>
                <w:rFonts w:cs="Calibri"/>
                <w:color w:val="000000"/>
                <w:sz w:val="20"/>
                <w:szCs w:val="20"/>
                <w:lang w:val="ga"/>
              </w:rPr>
              <w:t>11</w:t>
            </w:r>
          </w:p>
        </w:tc>
        <w:tc>
          <w:tcPr>
            <w:tcW w:w="1558" w:type="dxa"/>
            <w:tcBorders>
              <w:top w:val="single" w:sz="4" w:space="0" w:color="auto"/>
              <w:left w:val="single" w:sz="4" w:space="0" w:color="auto"/>
              <w:bottom w:val="single" w:sz="4" w:space="0" w:color="auto"/>
              <w:right w:val="single" w:sz="4" w:space="0" w:color="auto"/>
            </w:tcBorders>
            <w:hideMark/>
          </w:tcPr>
          <w:p w14:paraId="1D11AE2B" w14:textId="77777777" w:rsidR="00590BEF" w:rsidRPr="007202FA" w:rsidRDefault="000B4F21" w:rsidP="007202FA">
            <w:pPr>
              <w:jc w:val="right"/>
              <w:rPr>
                <w:sz w:val="20"/>
                <w:szCs w:val="20"/>
              </w:rPr>
            </w:pPr>
            <w:r>
              <w:rPr>
                <w:rFonts w:cs="Calibri"/>
                <w:color w:val="000000"/>
                <w:sz w:val="20"/>
                <w:szCs w:val="20"/>
                <w:lang w:val="ga"/>
              </w:rPr>
              <w:t>0</w:t>
            </w:r>
          </w:p>
        </w:tc>
        <w:tc>
          <w:tcPr>
            <w:tcW w:w="1700" w:type="dxa"/>
            <w:tcBorders>
              <w:top w:val="single" w:sz="4" w:space="0" w:color="auto"/>
              <w:left w:val="single" w:sz="4" w:space="0" w:color="auto"/>
              <w:bottom w:val="single" w:sz="4" w:space="0" w:color="auto"/>
              <w:right w:val="single" w:sz="4" w:space="0" w:color="auto"/>
            </w:tcBorders>
            <w:hideMark/>
          </w:tcPr>
          <w:p w14:paraId="4A535EB1" w14:textId="77777777" w:rsidR="00590BEF" w:rsidRPr="007202FA" w:rsidRDefault="000B4F21" w:rsidP="007202FA">
            <w:pPr>
              <w:jc w:val="right"/>
              <w:rPr>
                <w:sz w:val="20"/>
                <w:szCs w:val="20"/>
              </w:rPr>
            </w:pPr>
            <w:r>
              <w:rPr>
                <w:rFonts w:cs="Calibri"/>
                <w:color w:val="000000"/>
                <w:sz w:val="20"/>
                <w:szCs w:val="20"/>
                <w:lang w:val="ga"/>
              </w:rPr>
              <w:t>0.0%</w:t>
            </w:r>
          </w:p>
        </w:tc>
      </w:tr>
      <w:tr w:rsidR="00F31303" w14:paraId="79099EB9"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5D636341" w14:textId="77777777" w:rsidR="00590BEF" w:rsidRPr="007202FA" w:rsidRDefault="000B4F21" w:rsidP="007202FA">
            <w:pPr>
              <w:rPr>
                <w:rFonts w:cs="Calibri"/>
                <w:color w:val="000000"/>
                <w:sz w:val="20"/>
                <w:szCs w:val="20"/>
              </w:rPr>
            </w:pPr>
            <w:r>
              <w:rPr>
                <w:rFonts w:cs="Calibri"/>
                <w:color w:val="000000"/>
                <w:sz w:val="20"/>
                <w:szCs w:val="20"/>
                <w:lang w:val="ga"/>
              </w:rPr>
              <w:t>An Coimisiún Toghcháin</w:t>
            </w:r>
          </w:p>
        </w:tc>
        <w:tc>
          <w:tcPr>
            <w:tcW w:w="1565" w:type="dxa"/>
            <w:tcBorders>
              <w:top w:val="single" w:sz="4" w:space="0" w:color="auto"/>
              <w:left w:val="single" w:sz="4" w:space="0" w:color="auto"/>
              <w:bottom w:val="single" w:sz="4" w:space="0" w:color="auto"/>
              <w:right w:val="single" w:sz="4" w:space="0" w:color="auto"/>
            </w:tcBorders>
            <w:hideMark/>
          </w:tcPr>
          <w:p w14:paraId="48E394E5" w14:textId="77777777" w:rsidR="00590BEF" w:rsidRPr="007202FA" w:rsidRDefault="000B4F21" w:rsidP="007202FA">
            <w:pPr>
              <w:jc w:val="right"/>
              <w:rPr>
                <w:rFonts w:cs="Calibri"/>
                <w:color w:val="000000"/>
                <w:sz w:val="20"/>
                <w:szCs w:val="20"/>
              </w:rPr>
            </w:pPr>
            <w:r>
              <w:rPr>
                <w:sz w:val="20"/>
                <w:szCs w:val="20"/>
                <w:lang w:val="ga"/>
              </w:rPr>
              <w:t>20</w:t>
            </w:r>
          </w:p>
        </w:tc>
        <w:tc>
          <w:tcPr>
            <w:tcW w:w="1559" w:type="dxa"/>
            <w:tcBorders>
              <w:top w:val="single" w:sz="4" w:space="0" w:color="auto"/>
              <w:left w:val="single" w:sz="4" w:space="0" w:color="auto"/>
              <w:bottom w:val="single" w:sz="4" w:space="0" w:color="auto"/>
              <w:right w:val="single" w:sz="4" w:space="0" w:color="auto"/>
            </w:tcBorders>
            <w:hideMark/>
          </w:tcPr>
          <w:p w14:paraId="5DD3FEB0" w14:textId="77777777" w:rsidR="00590BEF" w:rsidRPr="007202FA" w:rsidRDefault="000B4F21" w:rsidP="007202FA">
            <w:pPr>
              <w:jc w:val="right"/>
              <w:rPr>
                <w:rFonts w:cs="Calibri"/>
                <w:color w:val="000000"/>
                <w:sz w:val="20"/>
                <w:szCs w:val="20"/>
              </w:rPr>
            </w:pPr>
            <w:r>
              <w:rPr>
                <w:sz w:val="20"/>
                <w:szCs w:val="20"/>
                <w:lang w:val="ga"/>
              </w:rPr>
              <w:t>4</w:t>
            </w:r>
          </w:p>
        </w:tc>
        <w:tc>
          <w:tcPr>
            <w:tcW w:w="1567" w:type="dxa"/>
            <w:tcBorders>
              <w:top w:val="single" w:sz="4" w:space="0" w:color="auto"/>
              <w:left w:val="single" w:sz="4" w:space="0" w:color="auto"/>
              <w:bottom w:val="single" w:sz="4" w:space="0" w:color="auto"/>
              <w:right w:val="single" w:sz="4" w:space="0" w:color="auto"/>
            </w:tcBorders>
            <w:hideMark/>
          </w:tcPr>
          <w:p w14:paraId="28DE9C8D" w14:textId="77777777" w:rsidR="00590BEF" w:rsidRPr="007202FA" w:rsidRDefault="000B4F21" w:rsidP="007202FA">
            <w:pPr>
              <w:jc w:val="right"/>
              <w:rPr>
                <w:rFonts w:cs="Calibri"/>
                <w:color w:val="000000"/>
                <w:sz w:val="20"/>
                <w:szCs w:val="20"/>
              </w:rPr>
            </w:pPr>
            <w:r>
              <w:rPr>
                <w:sz w:val="20"/>
                <w:szCs w:val="20"/>
                <w:lang w:val="ga"/>
              </w:rPr>
              <w:t>20.0%</w:t>
            </w:r>
          </w:p>
        </w:tc>
        <w:tc>
          <w:tcPr>
            <w:tcW w:w="1700" w:type="dxa"/>
            <w:tcBorders>
              <w:top w:val="single" w:sz="4" w:space="0" w:color="auto"/>
              <w:left w:val="single" w:sz="4" w:space="0" w:color="auto"/>
              <w:bottom w:val="single" w:sz="4" w:space="0" w:color="auto"/>
              <w:right w:val="single" w:sz="4" w:space="0" w:color="auto"/>
            </w:tcBorders>
            <w:hideMark/>
          </w:tcPr>
          <w:p w14:paraId="7F28954D" w14:textId="77777777" w:rsidR="00590BEF" w:rsidRPr="007202FA" w:rsidRDefault="000B4F21" w:rsidP="007202FA">
            <w:pPr>
              <w:jc w:val="right"/>
              <w:rPr>
                <w:sz w:val="20"/>
                <w:szCs w:val="20"/>
              </w:rPr>
            </w:pPr>
            <w:r>
              <w:rPr>
                <w:rFonts w:cs="Calibri"/>
                <w:color w:val="000000"/>
                <w:sz w:val="20"/>
                <w:szCs w:val="20"/>
                <w:lang w:val="ga"/>
              </w:rPr>
              <w:t>30</w:t>
            </w:r>
          </w:p>
        </w:tc>
        <w:tc>
          <w:tcPr>
            <w:tcW w:w="1558" w:type="dxa"/>
            <w:tcBorders>
              <w:top w:val="single" w:sz="4" w:space="0" w:color="auto"/>
              <w:left w:val="single" w:sz="4" w:space="0" w:color="auto"/>
              <w:bottom w:val="single" w:sz="4" w:space="0" w:color="auto"/>
              <w:right w:val="single" w:sz="4" w:space="0" w:color="auto"/>
            </w:tcBorders>
            <w:hideMark/>
          </w:tcPr>
          <w:p w14:paraId="52F4A122" w14:textId="77777777" w:rsidR="00590BEF" w:rsidRPr="007202FA" w:rsidRDefault="000B4F21" w:rsidP="007202FA">
            <w:pPr>
              <w:jc w:val="right"/>
              <w:rPr>
                <w:sz w:val="20"/>
                <w:szCs w:val="20"/>
              </w:rPr>
            </w:pPr>
            <w:r>
              <w:rPr>
                <w:rFonts w:cs="Calibri"/>
                <w:color w:val="000000"/>
                <w:sz w:val="20"/>
                <w:szCs w:val="20"/>
                <w:lang w:val="ga"/>
              </w:rPr>
              <w:t>3</w:t>
            </w:r>
          </w:p>
        </w:tc>
        <w:tc>
          <w:tcPr>
            <w:tcW w:w="1700" w:type="dxa"/>
            <w:tcBorders>
              <w:top w:val="single" w:sz="4" w:space="0" w:color="auto"/>
              <w:left w:val="single" w:sz="4" w:space="0" w:color="auto"/>
              <w:bottom w:val="single" w:sz="4" w:space="0" w:color="auto"/>
              <w:right w:val="single" w:sz="4" w:space="0" w:color="auto"/>
            </w:tcBorders>
            <w:hideMark/>
          </w:tcPr>
          <w:p w14:paraId="0DD6806D" w14:textId="77777777" w:rsidR="00590BEF" w:rsidRPr="007202FA" w:rsidRDefault="000B4F21" w:rsidP="007202FA">
            <w:pPr>
              <w:jc w:val="right"/>
              <w:rPr>
                <w:sz w:val="20"/>
                <w:szCs w:val="20"/>
              </w:rPr>
            </w:pPr>
            <w:r>
              <w:rPr>
                <w:rFonts w:cs="Calibri"/>
                <w:color w:val="000000"/>
                <w:sz w:val="20"/>
                <w:szCs w:val="20"/>
                <w:lang w:val="ga"/>
              </w:rPr>
              <w:t>10.0%</w:t>
            </w:r>
          </w:p>
        </w:tc>
      </w:tr>
      <w:tr w:rsidR="00F31303" w14:paraId="44587858"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011B2A34" w14:textId="235FED6F" w:rsidR="00590BEF" w:rsidRPr="007202FA" w:rsidRDefault="000B4F21" w:rsidP="007202FA">
            <w:pPr>
              <w:rPr>
                <w:rFonts w:cs="Calibri"/>
                <w:b/>
                <w:bCs/>
                <w:color w:val="000000"/>
                <w:sz w:val="20"/>
                <w:szCs w:val="20"/>
              </w:rPr>
            </w:pPr>
            <w:r>
              <w:rPr>
                <w:rFonts w:cs="Calibri"/>
                <w:color w:val="000000"/>
                <w:sz w:val="20"/>
                <w:szCs w:val="20"/>
                <w:lang w:val="ga"/>
              </w:rPr>
              <w:t>*An Garda Síochána (Fostaithe is Sibhialtaigh)</w:t>
            </w:r>
            <w:r>
              <w:rPr>
                <w:rStyle w:val="FootnoteReference"/>
                <w:rFonts w:cs="Calibri"/>
                <w:b/>
                <w:bCs/>
                <w:color w:val="000000"/>
                <w:sz w:val="20"/>
                <w:szCs w:val="20"/>
                <w:lang w:val="ga"/>
              </w:rPr>
              <w:footnoteReference w:id="14"/>
            </w:r>
          </w:p>
        </w:tc>
        <w:tc>
          <w:tcPr>
            <w:tcW w:w="1565" w:type="dxa"/>
            <w:tcBorders>
              <w:top w:val="single" w:sz="4" w:space="0" w:color="auto"/>
              <w:left w:val="single" w:sz="4" w:space="0" w:color="auto"/>
              <w:bottom w:val="single" w:sz="4" w:space="0" w:color="auto"/>
              <w:right w:val="single" w:sz="4" w:space="0" w:color="auto"/>
            </w:tcBorders>
          </w:tcPr>
          <w:p w14:paraId="0A2EBE46" w14:textId="68ADD4FB" w:rsidR="00590BEF" w:rsidRPr="007202FA" w:rsidRDefault="000B4F21" w:rsidP="007202FA">
            <w:pPr>
              <w:jc w:val="right"/>
              <w:rPr>
                <w:sz w:val="20"/>
                <w:szCs w:val="20"/>
              </w:rPr>
            </w:pPr>
            <w:r>
              <w:rPr>
                <w:sz w:val="20"/>
                <w:szCs w:val="20"/>
                <w:lang w:val="ga"/>
              </w:rPr>
              <w:t>-</w:t>
            </w:r>
          </w:p>
        </w:tc>
        <w:tc>
          <w:tcPr>
            <w:tcW w:w="1559" w:type="dxa"/>
            <w:tcBorders>
              <w:top w:val="single" w:sz="4" w:space="0" w:color="auto"/>
              <w:left w:val="single" w:sz="4" w:space="0" w:color="auto"/>
              <w:bottom w:val="single" w:sz="4" w:space="0" w:color="auto"/>
              <w:right w:val="single" w:sz="4" w:space="0" w:color="auto"/>
            </w:tcBorders>
          </w:tcPr>
          <w:p w14:paraId="3E462B71" w14:textId="6FD09565" w:rsidR="00590BEF" w:rsidRPr="007202FA" w:rsidRDefault="000B4F21" w:rsidP="007202FA">
            <w:pPr>
              <w:jc w:val="right"/>
              <w:rPr>
                <w:sz w:val="20"/>
                <w:szCs w:val="20"/>
              </w:rPr>
            </w:pPr>
            <w:r>
              <w:rPr>
                <w:sz w:val="20"/>
                <w:szCs w:val="20"/>
                <w:lang w:val="ga"/>
              </w:rPr>
              <w:t>-</w:t>
            </w:r>
          </w:p>
        </w:tc>
        <w:tc>
          <w:tcPr>
            <w:tcW w:w="1567" w:type="dxa"/>
            <w:tcBorders>
              <w:top w:val="single" w:sz="4" w:space="0" w:color="auto"/>
              <w:left w:val="single" w:sz="4" w:space="0" w:color="auto"/>
              <w:bottom w:val="single" w:sz="4" w:space="0" w:color="auto"/>
              <w:right w:val="single" w:sz="4" w:space="0" w:color="auto"/>
            </w:tcBorders>
          </w:tcPr>
          <w:p w14:paraId="24FD733E" w14:textId="30003955" w:rsidR="00590BEF" w:rsidRPr="007202FA" w:rsidRDefault="000B4F21" w:rsidP="007202FA">
            <w:pPr>
              <w:jc w:val="right"/>
              <w:rPr>
                <w:sz w:val="20"/>
                <w:szCs w:val="20"/>
              </w:rPr>
            </w:pPr>
            <w:r>
              <w:rPr>
                <w:sz w:val="20"/>
                <w:szCs w:val="20"/>
                <w:lang w:val="ga"/>
              </w:rPr>
              <w:t>-</w:t>
            </w:r>
          </w:p>
        </w:tc>
        <w:tc>
          <w:tcPr>
            <w:tcW w:w="1700" w:type="dxa"/>
            <w:tcBorders>
              <w:top w:val="single" w:sz="4" w:space="0" w:color="auto"/>
              <w:left w:val="single" w:sz="4" w:space="0" w:color="auto"/>
              <w:bottom w:val="single" w:sz="4" w:space="0" w:color="auto"/>
              <w:right w:val="single" w:sz="4" w:space="0" w:color="auto"/>
            </w:tcBorders>
            <w:hideMark/>
          </w:tcPr>
          <w:p w14:paraId="2A3AE3F2" w14:textId="13A42C40" w:rsidR="00590BEF" w:rsidRPr="007202FA" w:rsidRDefault="000B4F21" w:rsidP="007202FA">
            <w:pPr>
              <w:jc w:val="right"/>
              <w:rPr>
                <w:sz w:val="20"/>
                <w:szCs w:val="20"/>
              </w:rPr>
            </w:pPr>
            <w:r>
              <w:rPr>
                <w:rFonts w:cs="Calibri"/>
                <w:color w:val="000000"/>
                <w:sz w:val="20"/>
                <w:szCs w:val="20"/>
                <w:lang w:val="ga"/>
              </w:rPr>
              <w:t>3,679</w:t>
            </w:r>
          </w:p>
        </w:tc>
        <w:tc>
          <w:tcPr>
            <w:tcW w:w="1558" w:type="dxa"/>
            <w:tcBorders>
              <w:top w:val="single" w:sz="4" w:space="0" w:color="auto"/>
              <w:left w:val="single" w:sz="4" w:space="0" w:color="auto"/>
              <w:bottom w:val="single" w:sz="4" w:space="0" w:color="auto"/>
              <w:right w:val="single" w:sz="4" w:space="0" w:color="auto"/>
            </w:tcBorders>
            <w:hideMark/>
          </w:tcPr>
          <w:p w14:paraId="30478D43" w14:textId="77777777" w:rsidR="00590BEF" w:rsidRPr="007202FA" w:rsidRDefault="000B4F21" w:rsidP="007202FA">
            <w:pPr>
              <w:jc w:val="right"/>
              <w:rPr>
                <w:sz w:val="20"/>
                <w:szCs w:val="20"/>
              </w:rPr>
            </w:pPr>
            <w:r>
              <w:rPr>
                <w:rFonts w:cs="Calibri"/>
                <w:color w:val="000000"/>
                <w:sz w:val="20"/>
                <w:szCs w:val="20"/>
                <w:lang w:val="ga"/>
              </w:rPr>
              <w:t>264</w:t>
            </w:r>
          </w:p>
        </w:tc>
        <w:tc>
          <w:tcPr>
            <w:tcW w:w="1700" w:type="dxa"/>
            <w:tcBorders>
              <w:top w:val="single" w:sz="4" w:space="0" w:color="auto"/>
              <w:left w:val="single" w:sz="4" w:space="0" w:color="auto"/>
              <w:bottom w:val="single" w:sz="4" w:space="0" w:color="auto"/>
              <w:right w:val="single" w:sz="4" w:space="0" w:color="auto"/>
            </w:tcBorders>
            <w:hideMark/>
          </w:tcPr>
          <w:p w14:paraId="44030EB8" w14:textId="77777777" w:rsidR="00590BEF" w:rsidRPr="007202FA" w:rsidRDefault="000B4F21" w:rsidP="007202FA">
            <w:pPr>
              <w:jc w:val="right"/>
              <w:rPr>
                <w:sz w:val="20"/>
                <w:szCs w:val="20"/>
              </w:rPr>
            </w:pPr>
            <w:r>
              <w:rPr>
                <w:rFonts w:cs="Calibri"/>
                <w:color w:val="000000"/>
                <w:sz w:val="20"/>
                <w:szCs w:val="20"/>
                <w:lang w:val="ga"/>
              </w:rPr>
              <w:t>7.2%</w:t>
            </w:r>
          </w:p>
        </w:tc>
      </w:tr>
      <w:tr w:rsidR="00F31303" w14:paraId="19080C97"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110D9719" w14:textId="77777777" w:rsidR="00590BEF" w:rsidRPr="007202FA" w:rsidRDefault="000B4F21" w:rsidP="007202FA">
            <w:pPr>
              <w:rPr>
                <w:sz w:val="20"/>
                <w:szCs w:val="20"/>
              </w:rPr>
            </w:pPr>
            <w:r>
              <w:rPr>
                <w:rFonts w:cs="Calibri"/>
                <w:color w:val="000000"/>
                <w:sz w:val="20"/>
                <w:szCs w:val="20"/>
                <w:lang w:val="ga"/>
              </w:rPr>
              <w:t>An Phríomh-Oifig Staidrimh</w:t>
            </w:r>
          </w:p>
        </w:tc>
        <w:tc>
          <w:tcPr>
            <w:tcW w:w="1565" w:type="dxa"/>
            <w:tcBorders>
              <w:top w:val="single" w:sz="4" w:space="0" w:color="auto"/>
              <w:left w:val="single" w:sz="4" w:space="0" w:color="auto"/>
              <w:bottom w:val="single" w:sz="4" w:space="0" w:color="auto"/>
              <w:right w:val="single" w:sz="4" w:space="0" w:color="auto"/>
            </w:tcBorders>
            <w:hideMark/>
          </w:tcPr>
          <w:p w14:paraId="516A465D" w14:textId="77777777" w:rsidR="00590BEF" w:rsidRPr="007202FA" w:rsidRDefault="000B4F21" w:rsidP="007202FA">
            <w:pPr>
              <w:jc w:val="right"/>
              <w:rPr>
                <w:sz w:val="20"/>
                <w:szCs w:val="20"/>
              </w:rPr>
            </w:pPr>
            <w:r>
              <w:rPr>
                <w:sz w:val="20"/>
                <w:szCs w:val="20"/>
                <w:lang w:val="ga"/>
              </w:rPr>
              <w:t>1,021</w:t>
            </w:r>
          </w:p>
        </w:tc>
        <w:tc>
          <w:tcPr>
            <w:tcW w:w="1559" w:type="dxa"/>
            <w:tcBorders>
              <w:top w:val="single" w:sz="4" w:space="0" w:color="auto"/>
              <w:left w:val="single" w:sz="4" w:space="0" w:color="auto"/>
              <w:bottom w:val="single" w:sz="4" w:space="0" w:color="auto"/>
              <w:right w:val="single" w:sz="4" w:space="0" w:color="auto"/>
            </w:tcBorders>
            <w:hideMark/>
          </w:tcPr>
          <w:p w14:paraId="751A4509" w14:textId="77777777" w:rsidR="00590BEF" w:rsidRPr="007202FA" w:rsidRDefault="000B4F21" w:rsidP="007202FA">
            <w:pPr>
              <w:jc w:val="right"/>
              <w:rPr>
                <w:sz w:val="20"/>
                <w:szCs w:val="20"/>
              </w:rPr>
            </w:pPr>
            <w:r>
              <w:rPr>
                <w:sz w:val="20"/>
                <w:szCs w:val="20"/>
                <w:lang w:val="ga"/>
              </w:rPr>
              <w:t>104</w:t>
            </w:r>
          </w:p>
        </w:tc>
        <w:tc>
          <w:tcPr>
            <w:tcW w:w="1567" w:type="dxa"/>
            <w:tcBorders>
              <w:top w:val="single" w:sz="4" w:space="0" w:color="auto"/>
              <w:left w:val="single" w:sz="4" w:space="0" w:color="auto"/>
              <w:bottom w:val="single" w:sz="4" w:space="0" w:color="auto"/>
              <w:right w:val="single" w:sz="4" w:space="0" w:color="auto"/>
            </w:tcBorders>
            <w:hideMark/>
          </w:tcPr>
          <w:p w14:paraId="0BD74FA7" w14:textId="77777777" w:rsidR="00590BEF" w:rsidRPr="007202FA" w:rsidRDefault="000B4F21" w:rsidP="007202FA">
            <w:pPr>
              <w:jc w:val="right"/>
              <w:rPr>
                <w:sz w:val="20"/>
                <w:szCs w:val="20"/>
              </w:rPr>
            </w:pPr>
            <w:r>
              <w:rPr>
                <w:sz w:val="20"/>
                <w:szCs w:val="20"/>
                <w:lang w:val="ga"/>
              </w:rPr>
              <w:t>10.2%</w:t>
            </w:r>
          </w:p>
        </w:tc>
        <w:tc>
          <w:tcPr>
            <w:tcW w:w="1700" w:type="dxa"/>
            <w:tcBorders>
              <w:top w:val="single" w:sz="4" w:space="0" w:color="auto"/>
              <w:left w:val="single" w:sz="4" w:space="0" w:color="auto"/>
              <w:bottom w:val="single" w:sz="4" w:space="0" w:color="auto"/>
              <w:right w:val="single" w:sz="4" w:space="0" w:color="auto"/>
            </w:tcBorders>
            <w:hideMark/>
          </w:tcPr>
          <w:p w14:paraId="5E176400" w14:textId="77777777" w:rsidR="00590BEF" w:rsidRPr="007202FA" w:rsidRDefault="000B4F21" w:rsidP="007202FA">
            <w:pPr>
              <w:jc w:val="right"/>
              <w:rPr>
                <w:sz w:val="20"/>
                <w:szCs w:val="20"/>
              </w:rPr>
            </w:pPr>
            <w:r>
              <w:rPr>
                <w:rFonts w:cs="Calibri"/>
                <w:color w:val="000000"/>
                <w:sz w:val="20"/>
                <w:szCs w:val="20"/>
                <w:lang w:val="ga"/>
              </w:rPr>
              <w:t>1,166</w:t>
            </w:r>
          </w:p>
        </w:tc>
        <w:tc>
          <w:tcPr>
            <w:tcW w:w="1558" w:type="dxa"/>
            <w:tcBorders>
              <w:top w:val="single" w:sz="4" w:space="0" w:color="auto"/>
              <w:left w:val="single" w:sz="4" w:space="0" w:color="auto"/>
              <w:bottom w:val="single" w:sz="4" w:space="0" w:color="auto"/>
              <w:right w:val="single" w:sz="4" w:space="0" w:color="auto"/>
            </w:tcBorders>
            <w:hideMark/>
          </w:tcPr>
          <w:p w14:paraId="426445E4" w14:textId="77777777" w:rsidR="00590BEF" w:rsidRPr="007202FA" w:rsidRDefault="000B4F21" w:rsidP="007202FA">
            <w:pPr>
              <w:jc w:val="right"/>
              <w:rPr>
                <w:sz w:val="20"/>
                <w:szCs w:val="20"/>
              </w:rPr>
            </w:pPr>
            <w:r>
              <w:rPr>
                <w:rFonts w:cs="Calibri"/>
                <w:color w:val="000000"/>
                <w:sz w:val="20"/>
                <w:szCs w:val="20"/>
                <w:lang w:val="ga"/>
              </w:rPr>
              <w:t>139</w:t>
            </w:r>
          </w:p>
        </w:tc>
        <w:tc>
          <w:tcPr>
            <w:tcW w:w="1700" w:type="dxa"/>
            <w:tcBorders>
              <w:top w:val="single" w:sz="4" w:space="0" w:color="auto"/>
              <w:left w:val="single" w:sz="4" w:space="0" w:color="auto"/>
              <w:bottom w:val="single" w:sz="4" w:space="0" w:color="auto"/>
              <w:right w:val="single" w:sz="4" w:space="0" w:color="auto"/>
            </w:tcBorders>
            <w:hideMark/>
          </w:tcPr>
          <w:p w14:paraId="1BDA1944" w14:textId="77777777" w:rsidR="00590BEF" w:rsidRPr="007202FA" w:rsidRDefault="000B4F21" w:rsidP="007202FA">
            <w:pPr>
              <w:jc w:val="right"/>
              <w:rPr>
                <w:sz w:val="20"/>
                <w:szCs w:val="20"/>
              </w:rPr>
            </w:pPr>
            <w:r>
              <w:rPr>
                <w:rFonts w:cs="Calibri"/>
                <w:color w:val="000000"/>
                <w:sz w:val="20"/>
                <w:szCs w:val="20"/>
                <w:lang w:val="ga"/>
              </w:rPr>
              <w:t>11.9%</w:t>
            </w:r>
          </w:p>
        </w:tc>
      </w:tr>
      <w:tr w:rsidR="00F31303" w14:paraId="45E06866"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64D7A9E3" w14:textId="77777777" w:rsidR="00590BEF" w:rsidRPr="007202FA" w:rsidRDefault="000B4F21" w:rsidP="007202FA">
            <w:pPr>
              <w:rPr>
                <w:sz w:val="20"/>
                <w:szCs w:val="20"/>
              </w:rPr>
            </w:pPr>
            <w:r>
              <w:rPr>
                <w:rFonts w:cs="Calibri"/>
                <w:color w:val="000000"/>
                <w:sz w:val="20"/>
                <w:szCs w:val="20"/>
                <w:lang w:val="ga"/>
              </w:rPr>
              <w:t>Oifig an Phríomh-Aturnae Stáit</w:t>
            </w:r>
          </w:p>
        </w:tc>
        <w:tc>
          <w:tcPr>
            <w:tcW w:w="1565" w:type="dxa"/>
            <w:tcBorders>
              <w:top w:val="single" w:sz="4" w:space="0" w:color="auto"/>
              <w:left w:val="single" w:sz="4" w:space="0" w:color="auto"/>
              <w:bottom w:val="single" w:sz="4" w:space="0" w:color="auto"/>
              <w:right w:val="single" w:sz="4" w:space="0" w:color="auto"/>
            </w:tcBorders>
            <w:hideMark/>
          </w:tcPr>
          <w:p w14:paraId="409D49AC" w14:textId="77777777" w:rsidR="00590BEF" w:rsidRPr="007202FA" w:rsidRDefault="000B4F21" w:rsidP="007202FA">
            <w:pPr>
              <w:jc w:val="right"/>
              <w:rPr>
                <w:sz w:val="20"/>
                <w:szCs w:val="20"/>
              </w:rPr>
            </w:pPr>
            <w:r>
              <w:rPr>
                <w:sz w:val="20"/>
                <w:szCs w:val="20"/>
                <w:lang w:val="ga"/>
              </w:rPr>
              <w:t>358</w:t>
            </w:r>
          </w:p>
        </w:tc>
        <w:tc>
          <w:tcPr>
            <w:tcW w:w="1559" w:type="dxa"/>
            <w:tcBorders>
              <w:top w:val="single" w:sz="4" w:space="0" w:color="auto"/>
              <w:left w:val="single" w:sz="4" w:space="0" w:color="auto"/>
              <w:bottom w:val="single" w:sz="4" w:space="0" w:color="auto"/>
              <w:right w:val="single" w:sz="4" w:space="0" w:color="auto"/>
            </w:tcBorders>
            <w:hideMark/>
          </w:tcPr>
          <w:p w14:paraId="6D202E03" w14:textId="77777777" w:rsidR="00590BEF" w:rsidRPr="007202FA" w:rsidRDefault="000B4F21" w:rsidP="007202FA">
            <w:pPr>
              <w:jc w:val="right"/>
              <w:rPr>
                <w:sz w:val="20"/>
                <w:szCs w:val="20"/>
              </w:rPr>
            </w:pPr>
            <w:r>
              <w:rPr>
                <w:sz w:val="20"/>
                <w:szCs w:val="20"/>
                <w:lang w:val="ga"/>
              </w:rPr>
              <w:t>30</w:t>
            </w:r>
          </w:p>
        </w:tc>
        <w:tc>
          <w:tcPr>
            <w:tcW w:w="1567" w:type="dxa"/>
            <w:tcBorders>
              <w:top w:val="single" w:sz="4" w:space="0" w:color="auto"/>
              <w:left w:val="single" w:sz="4" w:space="0" w:color="auto"/>
              <w:bottom w:val="single" w:sz="4" w:space="0" w:color="auto"/>
              <w:right w:val="single" w:sz="4" w:space="0" w:color="auto"/>
            </w:tcBorders>
            <w:hideMark/>
          </w:tcPr>
          <w:p w14:paraId="069223D4" w14:textId="77777777" w:rsidR="00590BEF" w:rsidRPr="007202FA" w:rsidRDefault="000B4F21" w:rsidP="007202FA">
            <w:pPr>
              <w:jc w:val="right"/>
              <w:rPr>
                <w:sz w:val="20"/>
                <w:szCs w:val="20"/>
              </w:rPr>
            </w:pPr>
            <w:r>
              <w:rPr>
                <w:sz w:val="20"/>
                <w:szCs w:val="20"/>
                <w:lang w:val="ga"/>
              </w:rPr>
              <w:t>8.4%</w:t>
            </w:r>
          </w:p>
        </w:tc>
        <w:tc>
          <w:tcPr>
            <w:tcW w:w="1700" w:type="dxa"/>
            <w:tcBorders>
              <w:top w:val="single" w:sz="4" w:space="0" w:color="auto"/>
              <w:left w:val="single" w:sz="4" w:space="0" w:color="auto"/>
              <w:bottom w:val="single" w:sz="4" w:space="0" w:color="auto"/>
              <w:right w:val="single" w:sz="4" w:space="0" w:color="auto"/>
            </w:tcBorders>
            <w:hideMark/>
          </w:tcPr>
          <w:p w14:paraId="2F751D83" w14:textId="77777777" w:rsidR="00590BEF" w:rsidRPr="007202FA" w:rsidRDefault="000B4F21" w:rsidP="007202FA">
            <w:pPr>
              <w:jc w:val="right"/>
              <w:rPr>
                <w:sz w:val="20"/>
                <w:szCs w:val="20"/>
              </w:rPr>
            </w:pPr>
            <w:r>
              <w:rPr>
                <w:rFonts w:cs="Calibri"/>
                <w:color w:val="000000"/>
                <w:sz w:val="20"/>
                <w:szCs w:val="20"/>
                <w:lang w:val="ga"/>
              </w:rPr>
              <w:t>387</w:t>
            </w:r>
          </w:p>
        </w:tc>
        <w:tc>
          <w:tcPr>
            <w:tcW w:w="1558" w:type="dxa"/>
            <w:tcBorders>
              <w:top w:val="single" w:sz="4" w:space="0" w:color="auto"/>
              <w:left w:val="single" w:sz="4" w:space="0" w:color="auto"/>
              <w:bottom w:val="single" w:sz="4" w:space="0" w:color="auto"/>
              <w:right w:val="single" w:sz="4" w:space="0" w:color="auto"/>
            </w:tcBorders>
            <w:hideMark/>
          </w:tcPr>
          <w:p w14:paraId="3AF9E57C" w14:textId="77777777" w:rsidR="00590BEF" w:rsidRPr="007202FA" w:rsidRDefault="000B4F21" w:rsidP="007202FA">
            <w:pPr>
              <w:jc w:val="right"/>
              <w:rPr>
                <w:sz w:val="20"/>
                <w:szCs w:val="20"/>
              </w:rPr>
            </w:pPr>
            <w:r>
              <w:rPr>
                <w:rFonts w:cs="Calibri"/>
                <w:color w:val="000000"/>
                <w:sz w:val="20"/>
                <w:szCs w:val="20"/>
                <w:lang w:val="ga"/>
              </w:rPr>
              <w:t>29</w:t>
            </w:r>
          </w:p>
        </w:tc>
        <w:tc>
          <w:tcPr>
            <w:tcW w:w="1700" w:type="dxa"/>
            <w:tcBorders>
              <w:top w:val="single" w:sz="4" w:space="0" w:color="auto"/>
              <w:left w:val="single" w:sz="4" w:space="0" w:color="auto"/>
              <w:bottom w:val="single" w:sz="4" w:space="0" w:color="auto"/>
              <w:right w:val="single" w:sz="4" w:space="0" w:color="auto"/>
            </w:tcBorders>
            <w:hideMark/>
          </w:tcPr>
          <w:p w14:paraId="1FE5970C" w14:textId="77777777" w:rsidR="00590BEF" w:rsidRPr="007202FA" w:rsidRDefault="000B4F21" w:rsidP="007202FA">
            <w:pPr>
              <w:jc w:val="right"/>
              <w:rPr>
                <w:sz w:val="20"/>
                <w:szCs w:val="20"/>
              </w:rPr>
            </w:pPr>
            <w:r>
              <w:rPr>
                <w:rFonts w:cs="Calibri"/>
                <w:color w:val="000000"/>
                <w:sz w:val="20"/>
                <w:szCs w:val="20"/>
                <w:lang w:val="ga"/>
              </w:rPr>
              <w:t>7.5%</w:t>
            </w:r>
          </w:p>
        </w:tc>
      </w:tr>
      <w:tr w:rsidR="00F31303" w14:paraId="5323584F"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4D11DE01" w14:textId="77777777" w:rsidR="00590BEF" w:rsidRPr="007202FA" w:rsidRDefault="000B4F21" w:rsidP="007202FA">
            <w:pPr>
              <w:rPr>
                <w:sz w:val="20"/>
                <w:szCs w:val="20"/>
              </w:rPr>
            </w:pPr>
            <w:r>
              <w:rPr>
                <w:sz w:val="20"/>
                <w:szCs w:val="20"/>
                <w:lang w:val="ga"/>
              </w:rPr>
              <w:t xml:space="preserve">An tÚdarás um Fhorfheidhmiú Corparáideach </w:t>
            </w:r>
          </w:p>
        </w:tc>
        <w:tc>
          <w:tcPr>
            <w:tcW w:w="1565" w:type="dxa"/>
            <w:tcBorders>
              <w:top w:val="single" w:sz="4" w:space="0" w:color="auto"/>
              <w:left w:val="single" w:sz="4" w:space="0" w:color="auto"/>
              <w:bottom w:val="single" w:sz="4" w:space="0" w:color="auto"/>
              <w:right w:val="single" w:sz="4" w:space="0" w:color="auto"/>
            </w:tcBorders>
            <w:hideMark/>
          </w:tcPr>
          <w:p w14:paraId="417EBB1C" w14:textId="77777777" w:rsidR="00590BEF" w:rsidRPr="007202FA" w:rsidRDefault="000B4F21" w:rsidP="007202FA">
            <w:pPr>
              <w:jc w:val="right"/>
              <w:rPr>
                <w:sz w:val="20"/>
                <w:szCs w:val="20"/>
              </w:rPr>
            </w:pPr>
            <w:r>
              <w:rPr>
                <w:sz w:val="20"/>
                <w:szCs w:val="20"/>
                <w:lang w:val="ga"/>
              </w:rPr>
              <w:t>70</w:t>
            </w:r>
          </w:p>
        </w:tc>
        <w:tc>
          <w:tcPr>
            <w:tcW w:w="1559" w:type="dxa"/>
            <w:tcBorders>
              <w:top w:val="single" w:sz="4" w:space="0" w:color="auto"/>
              <w:left w:val="single" w:sz="4" w:space="0" w:color="auto"/>
              <w:bottom w:val="single" w:sz="4" w:space="0" w:color="auto"/>
              <w:right w:val="single" w:sz="4" w:space="0" w:color="auto"/>
            </w:tcBorders>
            <w:hideMark/>
          </w:tcPr>
          <w:p w14:paraId="35DCE67B" w14:textId="77777777" w:rsidR="00590BEF" w:rsidRPr="007202FA" w:rsidRDefault="000B4F21" w:rsidP="007202FA">
            <w:pPr>
              <w:jc w:val="right"/>
              <w:rPr>
                <w:sz w:val="20"/>
                <w:szCs w:val="20"/>
              </w:rPr>
            </w:pPr>
            <w:r>
              <w:rPr>
                <w:sz w:val="20"/>
                <w:szCs w:val="20"/>
                <w:lang w:val="ga"/>
              </w:rPr>
              <w:t>4</w:t>
            </w:r>
          </w:p>
        </w:tc>
        <w:tc>
          <w:tcPr>
            <w:tcW w:w="1567" w:type="dxa"/>
            <w:tcBorders>
              <w:top w:val="single" w:sz="4" w:space="0" w:color="auto"/>
              <w:left w:val="single" w:sz="4" w:space="0" w:color="auto"/>
              <w:bottom w:val="single" w:sz="4" w:space="0" w:color="auto"/>
              <w:right w:val="single" w:sz="4" w:space="0" w:color="auto"/>
            </w:tcBorders>
            <w:hideMark/>
          </w:tcPr>
          <w:p w14:paraId="7682D732" w14:textId="77777777" w:rsidR="00590BEF" w:rsidRPr="007202FA" w:rsidRDefault="000B4F21" w:rsidP="007202FA">
            <w:pPr>
              <w:jc w:val="right"/>
              <w:rPr>
                <w:sz w:val="20"/>
                <w:szCs w:val="20"/>
              </w:rPr>
            </w:pPr>
            <w:r>
              <w:rPr>
                <w:sz w:val="20"/>
                <w:szCs w:val="20"/>
                <w:lang w:val="ga"/>
              </w:rPr>
              <w:t>5.7%</w:t>
            </w:r>
          </w:p>
        </w:tc>
        <w:tc>
          <w:tcPr>
            <w:tcW w:w="1700" w:type="dxa"/>
            <w:tcBorders>
              <w:top w:val="single" w:sz="4" w:space="0" w:color="auto"/>
              <w:left w:val="single" w:sz="4" w:space="0" w:color="auto"/>
              <w:bottom w:val="single" w:sz="4" w:space="0" w:color="auto"/>
              <w:right w:val="single" w:sz="4" w:space="0" w:color="auto"/>
            </w:tcBorders>
            <w:hideMark/>
          </w:tcPr>
          <w:p w14:paraId="14868331" w14:textId="77777777" w:rsidR="00590BEF" w:rsidRPr="007202FA" w:rsidRDefault="000B4F21" w:rsidP="007202FA">
            <w:pPr>
              <w:jc w:val="right"/>
              <w:rPr>
                <w:sz w:val="20"/>
                <w:szCs w:val="20"/>
              </w:rPr>
            </w:pPr>
            <w:r>
              <w:rPr>
                <w:rFonts w:cs="Calibri"/>
                <w:color w:val="000000"/>
                <w:sz w:val="20"/>
                <w:szCs w:val="20"/>
                <w:lang w:val="ga"/>
              </w:rPr>
              <w:t>72</w:t>
            </w:r>
          </w:p>
        </w:tc>
        <w:tc>
          <w:tcPr>
            <w:tcW w:w="1558" w:type="dxa"/>
            <w:tcBorders>
              <w:top w:val="single" w:sz="4" w:space="0" w:color="auto"/>
              <w:left w:val="single" w:sz="4" w:space="0" w:color="auto"/>
              <w:bottom w:val="single" w:sz="4" w:space="0" w:color="auto"/>
              <w:right w:val="single" w:sz="4" w:space="0" w:color="auto"/>
            </w:tcBorders>
            <w:hideMark/>
          </w:tcPr>
          <w:p w14:paraId="0763A32E" w14:textId="77777777" w:rsidR="00590BEF" w:rsidRPr="007202FA" w:rsidRDefault="000B4F21" w:rsidP="007202FA">
            <w:pPr>
              <w:jc w:val="right"/>
              <w:rPr>
                <w:sz w:val="20"/>
                <w:szCs w:val="20"/>
              </w:rPr>
            </w:pPr>
            <w:r>
              <w:rPr>
                <w:rFonts w:cs="Calibri"/>
                <w:color w:val="000000"/>
                <w:sz w:val="20"/>
                <w:szCs w:val="20"/>
                <w:lang w:val="ga"/>
              </w:rPr>
              <w:t>6</w:t>
            </w:r>
          </w:p>
        </w:tc>
        <w:tc>
          <w:tcPr>
            <w:tcW w:w="1700" w:type="dxa"/>
            <w:tcBorders>
              <w:top w:val="single" w:sz="4" w:space="0" w:color="auto"/>
              <w:left w:val="single" w:sz="4" w:space="0" w:color="auto"/>
              <w:bottom w:val="single" w:sz="4" w:space="0" w:color="auto"/>
              <w:right w:val="single" w:sz="4" w:space="0" w:color="auto"/>
            </w:tcBorders>
            <w:hideMark/>
          </w:tcPr>
          <w:p w14:paraId="1477CDEA" w14:textId="77777777" w:rsidR="00590BEF" w:rsidRPr="007202FA" w:rsidRDefault="000B4F21" w:rsidP="007202FA">
            <w:pPr>
              <w:jc w:val="right"/>
              <w:rPr>
                <w:sz w:val="20"/>
                <w:szCs w:val="20"/>
              </w:rPr>
            </w:pPr>
            <w:r>
              <w:rPr>
                <w:rFonts w:cs="Calibri"/>
                <w:color w:val="000000"/>
                <w:sz w:val="20"/>
                <w:szCs w:val="20"/>
                <w:lang w:val="ga"/>
              </w:rPr>
              <w:t>8.3%</w:t>
            </w:r>
          </w:p>
        </w:tc>
      </w:tr>
      <w:tr w:rsidR="00F31303" w14:paraId="6B425233"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DFFA16C" w14:textId="4B48F0CA" w:rsidR="004403D9" w:rsidRPr="007202FA" w:rsidRDefault="000B4F21" w:rsidP="007202FA">
            <w:pPr>
              <w:rPr>
                <w:rFonts w:cs="Calibri"/>
                <w:color w:val="000000"/>
                <w:sz w:val="20"/>
                <w:szCs w:val="20"/>
              </w:rPr>
            </w:pPr>
            <w:r>
              <w:rPr>
                <w:rFonts w:cs="Calibri"/>
                <w:color w:val="000000"/>
                <w:sz w:val="20"/>
                <w:szCs w:val="20"/>
                <w:lang w:val="ga"/>
              </w:rPr>
              <w:t>Cuan</w:t>
            </w:r>
            <w:r>
              <w:rPr>
                <w:rStyle w:val="FootnoteReference"/>
                <w:rFonts w:cs="Calibri"/>
                <w:color w:val="000000"/>
                <w:sz w:val="20"/>
                <w:szCs w:val="20"/>
                <w:lang w:val="ga"/>
              </w:rPr>
              <w:footnoteReference w:id="15"/>
            </w:r>
            <w:r>
              <w:rPr>
                <w:rFonts w:cs="Calibri"/>
                <w:color w:val="000000"/>
                <w:sz w:val="20"/>
                <w:szCs w:val="20"/>
                <w:lang w:val="ga"/>
              </w:rPr>
              <w:t xml:space="preserve"> </w:t>
            </w:r>
          </w:p>
        </w:tc>
        <w:tc>
          <w:tcPr>
            <w:tcW w:w="1565" w:type="dxa"/>
            <w:tcBorders>
              <w:top w:val="single" w:sz="4" w:space="0" w:color="auto"/>
              <w:left w:val="single" w:sz="4" w:space="0" w:color="auto"/>
              <w:bottom w:val="single" w:sz="4" w:space="0" w:color="auto"/>
              <w:right w:val="single" w:sz="4" w:space="0" w:color="auto"/>
            </w:tcBorders>
          </w:tcPr>
          <w:p w14:paraId="22E07418" w14:textId="1C4259D6" w:rsidR="00590BEF" w:rsidRPr="007202FA" w:rsidRDefault="000B4F21" w:rsidP="007202FA">
            <w:pPr>
              <w:jc w:val="right"/>
              <w:rPr>
                <w:rFonts w:cs="Calibri"/>
                <w:color w:val="000000"/>
                <w:sz w:val="20"/>
                <w:szCs w:val="20"/>
              </w:rPr>
            </w:pPr>
            <w:r>
              <w:rPr>
                <w:rFonts w:cs="Calibri"/>
                <w:color w:val="000000"/>
                <w:sz w:val="20"/>
                <w:szCs w:val="20"/>
                <w:lang w:val="ga"/>
              </w:rPr>
              <w:t>-</w:t>
            </w:r>
          </w:p>
        </w:tc>
        <w:tc>
          <w:tcPr>
            <w:tcW w:w="1559" w:type="dxa"/>
            <w:tcBorders>
              <w:top w:val="single" w:sz="4" w:space="0" w:color="auto"/>
              <w:left w:val="single" w:sz="4" w:space="0" w:color="auto"/>
              <w:bottom w:val="single" w:sz="4" w:space="0" w:color="auto"/>
              <w:right w:val="single" w:sz="4" w:space="0" w:color="auto"/>
            </w:tcBorders>
          </w:tcPr>
          <w:p w14:paraId="17D2779D" w14:textId="387D1E44" w:rsidR="00590BEF" w:rsidRPr="007202FA" w:rsidRDefault="000B4F21" w:rsidP="007202FA">
            <w:pPr>
              <w:jc w:val="right"/>
              <w:rPr>
                <w:rFonts w:cs="Calibri"/>
                <w:color w:val="000000"/>
                <w:sz w:val="20"/>
                <w:szCs w:val="20"/>
              </w:rPr>
            </w:pPr>
            <w:r>
              <w:rPr>
                <w:rFonts w:cs="Calibri"/>
                <w:color w:val="000000"/>
                <w:sz w:val="20"/>
                <w:szCs w:val="20"/>
                <w:lang w:val="ga"/>
              </w:rPr>
              <w:t>-</w:t>
            </w:r>
          </w:p>
        </w:tc>
        <w:tc>
          <w:tcPr>
            <w:tcW w:w="1567" w:type="dxa"/>
            <w:tcBorders>
              <w:top w:val="single" w:sz="4" w:space="0" w:color="auto"/>
              <w:left w:val="single" w:sz="4" w:space="0" w:color="auto"/>
              <w:bottom w:val="single" w:sz="4" w:space="0" w:color="auto"/>
              <w:right w:val="single" w:sz="4" w:space="0" w:color="auto"/>
            </w:tcBorders>
          </w:tcPr>
          <w:p w14:paraId="00439309" w14:textId="32FEE108" w:rsidR="00590BEF" w:rsidRPr="007202FA" w:rsidRDefault="000B4F21" w:rsidP="007202FA">
            <w:pPr>
              <w:jc w:val="right"/>
              <w:rPr>
                <w:rFonts w:cs="Calibri"/>
                <w:color w:val="000000"/>
                <w:sz w:val="20"/>
                <w:szCs w:val="20"/>
              </w:rPr>
            </w:pPr>
            <w:r>
              <w:rPr>
                <w:rFonts w:cs="Calibri"/>
                <w:color w:val="000000"/>
                <w:sz w:val="20"/>
                <w:szCs w:val="20"/>
                <w:lang w:val="ga"/>
              </w:rPr>
              <w:t>-</w:t>
            </w:r>
          </w:p>
        </w:tc>
        <w:tc>
          <w:tcPr>
            <w:tcW w:w="1700" w:type="dxa"/>
            <w:tcBorders>
              <w:top w:val="single" w:sz="4" w:space="0" w:color="auto"/>
              <w:left w:val="single" w:sz="4" w:space="0" w:color="auto"/>
              <w:bottom w:val="single" w:sz="4" w:space="0" w:color="auto"/>
              <w:right w:val="single" w:sz="4" w:space="0" w:color="auto"/>
            </w:tcBorders>
            <w:hideMark/>
          </w:tcPr>
          <w:p w14:paraId="3B6C814F" w14:textId="77777777" w:rsidR="00590BEF" w:rsidRPr="007202FA" w:rsidRDefault="000B4F21" w:rsidP="007202FA">
            <w:pPr>
              <w:jc w:val="right"/>
              <w:rPr>
                <w:rFonts w:cs="Calibri"/>
                <w:color w:val="000000"/>
                <w:sz w:val="20"/>
                <w:szCs w:val="20"/>
              </w:rPr>
            </w:pPr>
            <w:r>
              <w:rPr>
                <w:rFonts w:cs="Calibri"/>
                <w:color w:val="000000"/>
                <w:sz w:val="20"/>
                <w:szCs w:val="20"/>
                <w:lang w:val="ga"/>
              </w:rPr>
              <w:t>1,299</w:t>
            </w:r>
          </w:p>
        </w:tc>
        <w:tc>
          <w:tcPr>
            <w:tcW w:w="1558" w:type="dxa"/>
            <w:tcBorders>
              <w:top w:val="single" w:sz="4" w:space="0" w:color="auto"/>
              <w:left w:val="single" w:sz="4" w:space="0" w:color="auto"/>
              <w:bottom w:val="single" w:sz="4" w:space="0" w:color="auto"/>
              <w:right w:val="single" w:sz="4" w:space="0" w:color="auto"/>
            </w:tcBorders>
            <w:hideMark/>
          </w:tcPr>
          <w:p w14:paraId="4CA980A7" w14:textId="77777777" w:rsidR="00590BEF" w:rsidRPr="007202FA" w:rsidRDefault="000B4F21" w:rsidP="007202FA">
            <w:pPr>
              <w:jc w:val="right"/>
              <w:rPr>
                <w:rFonts w:cs="Calibri"/>
                <w:color w:val="000000"/>
                <w:sz w:val="20"/>
                <w:szCs w:val="20"/>
              </w:rPr>
            </w:pPr>
            <w:r>
              <w:rPr>
                <w:rFonts w:cs="Calibri"/>
                <w:color w:val="000000"/>
                <w:sz w:val="20"/>
                <w:szCs w:val="20"/>
                <w:lang w:val="ga"/>
              </w:rPr>
              <w:t>180</w:t>
            </w:r>
          </w:p>
        </w:tc>
        <w:tc>
          <w:tcPr>
            <w:tcW w:w="1700" w:type="dxa"/>
            <w:tcBorders>
              <w:top w:val="single" w:sz="4" w:space="0" w:color="auto"/>
              <w:left w:val="single" w:sz="4" w:space="0" w:color="auto"/>
              <w:bottom w:val="single" w:sz="4" w:space="0" w:color="auto"/>
              <w:right w:val="single" w:sz="4" w:space="0" w:color="auto"/>
            </w:tcBorders>
            <w:hideMark/>
          </w:tcPr>
          <w:p w14:paraId="1DB95D70" w14:textId="77777777" w:rsidR="00590BEF" w:rsidRPr="007202FA" w:rsidRDefault="000B4F21" w:rsidP="007202FA">
            <w:pPr>
              <w:jc w:val="right"/>
              <w:rPr>
                <w:rFonts w:cs="Calibri"/>
                <w:color w:val="000000"/>
                <w:sz w:val="20"/>
                <w:szCs w:val="20"/>
              </w:rPr>
            </w:pPr>
            <w:r>
              <w:rPr>
                <w:rFonts w:cs="Calibri"/>
                <w:color w:val="000000"/>
                <w:sz w:val="20"/>
                <w:szCs w:val="20"/>
                <w:lang w:val="ga"/>
              </w:rPr>
              <w:t>13.9%</w:t>
            </w:r>
          </w:p>
        </w:tc>
      </w:tr>
      <w:tr w:rsidR="00F31303" w14:paraId="011E34D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A58576D" w14:textId="77777777" w:rsidR="00590BEF" w:rsidRPr="007202FA" w:rsidRDefault="000B4F21" w:rsidP="007202FA">
            <w:pPr>
              <w:rPr>
                <w:rFonts w:cs="Calibri"/>
                <w:color w:val="000000"/>
                <w:sz w:val="20"/>
                <w:szCs w:val="20"/>
              </w:rPr>
            </w:pPr>
            <w:bookmarkStart w:id="223" w:name="_Hlk145921203"/>
            <w:r>
              <w:rPr>
                <w:rFonts w:cs="Calibri"/>
                <w:color w:val="000000"/>
                <w:sz w:val="20"/>
                <w:szCs w:val="20"/>
                <w:lang w:val="ga"/>
              </w:rPr>
              <w:t>Seirbhís Chúirteanna na hÉireann</w:t>
            </w:r>
          </w:p>
        </w:tc>
        <w:tc>
          <w:tcPr>
            <w:tcW w:w="1565" w:type="dxa"/>
            <w:tcBorders>
              <w:top w:val="single" w:sz="4" w:space="0" w:color="auto"/>
              <w:left w:val="single" w:sz="4" w:space="0" w:color="auto"/>
              <w:bottom w:val="single" w:sz="4" w:space="0" w:color="auto"/>
              <w:right w:val="single" w:sz="4" w:space="0" w:color="auto"/>
            </w:tcBorders>
            <w:hideMark/>
          </w:tcPr>
          <w:p w14:paraId="5A1ED5D3" w14:textId="77777777" w:rsidR="00590BEF" w:rsidRPr="007202FA" w:rsidRDefault="000B4F21" w:rsidP="007202FA">
            <w:pPr>
              <w:jc w:val="right"/>
              <w:rPr>
                <w:rFonts w:cs="Calibri"/>
                <w:color w:val="000000"/>
                <w:sz w:val="20"/>
                <w:szCs w:val="20"/>
              </w:rPr>
            </w:pPr>
            <w:r>
              <w:rPr>
                <w:rFonts w:cs="Calibri"/>
                <w:color w:val="000000"/>
                <w:sz w:val="20"/>
                <w:szCs w:val="20"/>
                <w:lang w:val="ga"/>
              </w:rPr>
              <w:t>1,269</w:t>
            </w:r>
          </w:p>
        </w:tc>
        <w:tc>
          <w:tcPr>
            <w:tcW w:w="1559" w:type="dxa"/>
            <w:tcBorders>
              <w:top w:val="single" w:sz="4" w:space="0" w:color="auto"/>
              <w:left w:val="single" w:sz="4" w:space="0" w:color="auto"/>
              <w:bottom w:val="single" w:sz="4" w:space="0" w:color="auto"/>
              <w:right w:val="single" w:sz="4" w:space="0" w:color="auto"/>
            </w:tcBorders>
            <w:hideMark/>
          </w:tcPr>
          <w:p w14:paraId="6BFDE8B3" w14:textId="77777777" w:rsidR="00590BEF" w:rsidRPr="007202FA" w:rsidRDefault="000B4F21" w:rsidP="007202FA">
            <w:pPr>
              <w:jc w:val="right"/>
              <w:rPr>
                <w:rFonts w:cs="Calibri"/>
                <w:color w:val="000000"/>
                <w:sz w:val="20"/>
                <w:szCs w:val="20"/>
              </w:rPr>
            </w:pPr>
            <w:r>
              <w:rPr>
                <w:rFonts w:cs="Calibri"/>
                <w:color w:val="000000"/>
                <w:sz w:val="20"/>
                <w:szCs w:val="20"/>
                <w:lang w:val="ga"/>
              </w:rPr>
              <w:t>94</w:t>
            </w:r>
          </w:p>
        </w:tc>
        <w:tc>
          <w:tcPr>
            <w:tcW w:w="1567" w:type="dxa"/>
            <w:tcBorders>
              <w:top w:val="single" w:sz="4" w:space="0" w:color="auto"/>
              <w:left w:val="single" w:sz="4" w:space="0" w:color="auto"/>
              <w:bottom w:val="single" w:sz="4" w:space="0" w:color="auto"/>
              <w:right w:val="single" w:sz="4" w:space="0" w:color="auto"/>
            </w:tcBorders>
            <w:hideMark/>
          </w:tcPr>
          <w:p w14:paraId="06D50E32" w14:textId="77777777" w:rsidR="00590BEF" w:rsidRPr="007202FA" w:rsidRDefault="000B4F21" w:rsidP="007202FA">
            <w:pPr>
              <w:jc w:val="right"/>
              <w:rPr>
                <w:rFonts w:cs="Calibri"/>
                <w:color w:val="000000"/>
                <w:sz w:val="20"/>
                <w:szCs w:val="20"/>
              </w:rPr>
            </w:pPr>
            <w:r>
              <w:rPr>
                <w:rFonts w:cs="Calibri"/>
                <w:color w:val="000000"/>
                <w:sz w:val="20"/>
                <w:szCs w:val="20"/>
                <w:lang w:val="ga"/>
              </w:rPr>
              <w:t>7.4%</w:t>
            </w:r>
          </w:p>
        </w:tc>
        <w:tc>
          <w:tcPr>
            <w:tcW w:w="1700" w:type="dxa"/>
            <w:tcBorders>
              <w:top w:val="single" w:sz="4" w:space="0" w:color="auto"/>
              <w:left w:val="single" w:sz="4" w:space="0" w:color="auto"/>
              <w:bottom w:val="single" w:sz="4" w:space="0" w:color="auto"/>
              <w:right w:val="single" w:sz="4" w:space="0" w:color="auto"/>
            </w:tcBorders>
            <w:hideMark/>
          </w:tcPr>
          <w:p w14:paraId="368E4EAF" w14:textId="77777777" w:rsidR="00590BEF" w:rsidRPr="007202FA" w:rsidRDefault="000B4F21" w:rsidP="007202FA">
            <w:pPr>
              <w:jc w:val="right"/>
              <w:rPr>
                <w:rFonts w:cs="Calibri"/>
                <w:color w:val="000000"/>
                <w:sz w:val="20"/>
                <w:szCs w:val="20"/>
              </w:rPr>
            </w:pPr>
            <w:r>
              <w:rPr>
                <w:rFonts w:cs="Calibri"/>
                <w:color w:val="000000"/>
                <w:sz w:val="20"/>
                <w:szCs w:val="20"/>
                <w:lang w:val="ga"/>
              </w:rPr>
              <w:t>26</w:t>
            </w:r>
          </w:p>
        </w:tc>
        <w:tc>
          <w:tcPr>
            <w:tcW w:w="1558" w:type="dxa"/>
            <w:tcBorders>
              <w:top w:val="single" w:sz="4" w:space="0" w:color="auto"/>
              <w:left w:val="single" w:sz="4" w:space="0" w:color="auto"/>
              <w:bottom w:val="single" w:sz="4" w:space="0" w:color="auto"/>
              <w:right w:val="single" w:sz="4" w:space="0" w:color="auto"/>
            </w:tcBorders>
            <w:hideMark/>
          </w:tcPr>
          <w:p w14:paraId="0C6D6419" w14:textId="77777777" w:rsidR="00590BEF" w:rsidRPr="007202FA" w:rsidRDefault="000B4F21" w:rsidP="007202FA">
            <w:pPr>
              <w:jc w:val="right"/>
              <w:rPr>
                <w:rFonts w:cs="Calibri"/>
                <w:color w:val="000000"/>
                <w:sz w:val="20"/>
                <w:szCs w:val="20"/>
              </w:rPr>
            </w:pPr>
            <w:r>
              <w:rPr>
                <w:rFonts w:cs="Calibri"/>
                <w:color w:val="000000"/>
                <w:sz w:val="20"/>
                <w:szCs w:val="20"/>
                <w:lang w:val="ga"/>
              </w:rPr>
              <w:t>4</w:t>
            </w:r>
          </w:p>
        </w:tc>
        <w:tc>
          <w:tcPr>
            <w:tcW w:w="1700" w:type="dxa"/>
            <w:tcBorders>
              <w:top w:val="single" w:sz="4" w:space="0" w:color="auto"/>
              <w:left w:val="single" w:sz="4" w:space="0" w:color="auto"/>
              <w:bottom w:val="single" w:sz="4" w:space="0" w:color="auto"/>
              <w:right w:val="single" w:sz="4" w:space="0" w:color="auto"/>
            </w:tcBorders>
            <w:hideMark/>
          </w:tcPr>
          <w:p w14:paraId="5BA5C25C" w14:textId="77777777" w:rsidR="00590BEF" w:rsidRPr="007202FA" w:rsidRDefault="000B4F21" w:rsidP="007202FA">
            <w:pPr>
              <w:jc w:val="right"/>
              <w:rPr>
                <w:rFonts w:cs="Calibri"/>
                <w:color w:val="000000"/>
                <w:sz w:val="20"/>
                <w:szCs w:val="20"/>
              </w:rPr>
            </w:pPr>
            <w:r>
              <w:rPr>
                <w:rFonts w:cs="Calibri"/>
                <w:color w:val="000000"/>
                <w:sz w:val="20"/>
                <w:szCs w:val="20"/>
                <w:lang w:val="ga"/>
              </w:rPr>
              <w:t>15.4%</w:t>
            </w:r>
          </w:p>
        </w:tc>
        <w:bookmarkEnd w:id="223"/>
      </w:tr>
      <w:tr w:rsidR="00F31303" w14:paraId="5BC9B578"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7EDEDC45" w14:textId="77777777" w:rsidR="00590BEF" w:rsidRPr="007202FA" w:rsidRDefault="000B4F21" w:rsidP="007202FA">
            <w:pPr>
              <w:rPr>
                <w:sz w:val="20"/>
                <w:szCs w:val="20"/>
              </w:rPr>
            </w:pPr>
            <w:r>
              <w:rPr>
                <w:rFonts w:cs="Calibri"/>
                <w:color w:val="000000"/>
                <w:sz w:val="20"/>
                <w:szCs w:val="20"/>
                <w:lang w:val="ga"/>
              </w:rPr>
              <w:t xml:space="preserve">*Cigireacht an Gharda Síochána </w:t>
            </w:r>
          </w:p>
        </w:tc>
        <w:tc>
          <w:tcPr>
            <w:tcW w:w="1565" w:type="dxa"/>
            <w:tcBorders>
              <w:top w:val="single" w:sz="4" w:space="0" w:color="auto"/>
              <w:left w:val="single" w:sz="4" w:space="0" w:color="auto"/>
              <w:bottom w:val="single" w:sz="4" w:space="0" w:color="auto"/>
              <w:right w:val="single" w:sz="4" w:space="0" w:color="auto"/>
            </w:tcBorders>
            <w:hideMark/>
          </w:tcPr>
          <w:p w14:paraId="46B5490A" w14:textId="77777777" w:rsidR="00590BEF" w:rsidRPr="007202FA" w:rsidRDefault="000B4F21" w:rsidP="007202FA">
            <w:pPr>
              <w:jc w:val="right"/>
              <w:rPr>
                <w:rFonts w:cs="Arial"/>
                <w:sz w:val="20"/>
                <w:szCs w:val="20"/>
              </w:rPr>
            </w:pPr>
            <w:r>
              <w:rPr>
                <w:rFonts w:cs="Calibri"/>
                <w:color w:val="000000"/>
                <w:sz w:val="20"/>
                <w:szCs w:val="20"/>
                <w:lang w:val="ga"/>
              </w:rPr>
              <w:t>12</w:t>
            </w:r>
          </w:p>
        </w:tc>
        <w:tc>
          <w:tcPr>
            <w:tcW w:w="1559" w:type="dxa"/>
            <w:tcBorders>
              <w:top w:val="single" w:sz="4" w:space="0" w:color="auto"/>
              <w:left w:val="single" w:sz="4" w:space="0" w:color="auto"/>
              <w:bottom w:val="single" w:sz="4" w:space="0" w:color="auto"/>
              <w:right w:val="single" w:sz="4" w:space="0" w:color="auto"/>
            </w:tcBorders>
            <w:hideMark/>
          </w:tcPr>
          <w:p w14:paraId="33BFE152" w14:textId="77777777" w:rsidR="00590BEF" w:rsidRPr="007202FA" w:rsidRDefault="000B4F21" w:rsidP="007202FA">
            <w:pPr>
              <w:jc w:val="right"/>
              <w:rPr>
                <w:rFonts w:cs="Arial"/>
                <w:sz w:val="20"/>
                <w:szCs w:val="20"/>
              </w:rPr>
            </w:pPr>
            <w:r>
              <w:rPr>
                <w:rFonts w:cs="Calibri"/>
                <w:color w:val="000000"/>
                <w:sz w:val="20"/>
                <w:szCs w:val="20"/>
                <w:lang w:val="ga"/>
              </w:rPr>
              <w:t>0</w:t>
            </w:r>
          </w:p>
        </w:tc>
        <w:tc>
          <w:tcPr>
            <w:tcW w:w="1567" w:type="dxa"/>
            <w:tcBorders>
              <w:top w:val="single" w:sz="4" w:space="0" w:color="auto"/>
              <w:left w:val="single" w:sz="4" w:space="0" w:color="auto"/>
              <w:bottom w:val="single" w:sz="4" w:space="0" w:color="auto"/>
              <w:right w:val="single" w:sz="4" w:space="0" w:color="auto"/>
            </w:tcBorders>
            <w:hideMark/>
          </w:tcPr>
          <w:p w14:paraId="6333D4B6" w14:textId="77777777" w:rsidR="00590BEF" w:rsidRPr="007202FA" w:rsidRDefault="000B4F21" w:rsidP="007202FA">
            <w:pPr>
              <w:jc w:val="right"/>
              <w:rPr>
                <w:rFonts w:cs="Arial"/>
                <w:sz w:val="20"/>
                <w:szCs w:val="20"/>
              </w:rPr>
            </w:pPr>
            <w:r>
              <w:rPr>
                <w:rFonts w:cs="Calibri"/>
                <w:color w:val="000000"/>
                <w:sz w:val="20"/>
                <w:szCs w:val="20"/>
                <w:lang w:val="ga"/>
              </w:rPr>
              <w:t>0.0%</w:t>
            </w:r>
          </w:p>
        </w:tc>
        <w:tc>
          <w:tcPr>
            <w:tcW w:w="1700" w:type="dxa"/>
            <w:tcBorders>
              <w:top w:val="single" w:sz="4" w:space="0" w:color="auto"/>
              <w:left w:val="single" w:sz="4" w:space="0" w:color="auto"/>
              <w:bottom w:val="single" w:sz="4" w:space="0" w:color="auto"/>
              <w:right w:val="single" w:sz="4" w:space="0" w:color="auto"/>
            </w:tcBorders>
            <w:hideMark/>
          </w:tcPr>
          <w:p w14:paraId="567446B9" w14:textId="77777777" w:rsidR="00590BEF" w:rsidRPr="007202FA" w:rsidRDefault="000B4F21" w:rsidP="007202FA">
            <w:pPr>
              <w:jc w:val="right"/>
              <w:rPr>
                <w:rFonts w:cs="Arial"/>
                <w:sz w:val="20"/>
                <w:szCs w:val="20"/>
              </w:rPr>
            </w:pPr>
            <w:r>
              <w:rPr>
                <w:rFonts w:cs="Calibri"/>
                <w:color w:val="000000"/>
                <w:sz w:val="20"/>
                <w:szCs w:val="20"/>
                <w:lang w:val="ga"/>
              </w:rPr>
              <w:t>10</w:t>
            </w:r>
          </w:p>
        </w:tc>
        <w:tc>
          <w:tcPr>
            <w:tcW w:w="1558" w:type="dxa"/>
            <w:tcBorders>
              <w:top w:val="single" w:sz="4" w:space="0" w:color="auto"/>
              <w:left w:val="single" w:sz="4" w:space="0" w:color="auto"/>
              <w:bottom w:val="single" w:sz="4" w:space="0" w:color="auto"/>
              <w:right w:val="single" w:sz="4" w:space="0" w:color="auto"/>
            </w:tcBorders>
            <w:hideMark/>
          </w:tcPr>
          <w:p w14:paraId="45CA03AB" w14:textId="77777777" w:rsidR="00590BEF" w:rsidRPr="007202FA" w:rsidRDefault="000B4F21" w:rsidP="007202FA">
            <w:pPr>
              <w:jc w:val="right"/>
              <w:rPr>
                <w:rFonts w:cs="Arial"/>
                <w:sz w:val="20"/>
                <w:szCs w:val="20"/>
              </w:rPr>
            </w:pPr>
            <w:r>
              <w:rPr>
                <w:rFonts w:cs="Calibri"/>
                <w:color w:val="000000"/>
                <w:sz w:val="20"/>
                <w:szCs w:val="20"/>
                <w:lang w:val="ga"/>
              </w:rPr>
              <w:t>1</w:t>
            </w:r>
          </w:p>
        </w:tc>
        <w:tc>
          <w:tcPr>
            <w:tcW w:w="1700" w:type="dxa"/>
            <w:tcBorders>
              <w:top w:val="single" w:sz="4" w:space="0" w:color="auto"/>
              <w:left w:val="single" w:sz="4" w:space="0" w:color="auto"/>
              <w:bottom w:val="single" w:sz="4" w:space="0" w:color="auto"/>
              <w:right w:val="single" w:sz="4" w:space="0" w:color="auto"/>
            </w:tcBorders>
            <w:hideMark/>
          </w:tcPr>
          <w:p w14:paraId="71FB9681" w14:textId="77777777" w:rsidR="00590BEF" w:rsidRPr="007202FA" w:rsidRDefault="000B4F21" w:rsidP="007202FA">
            <w:pPr>
              <w:jc w:val="right"/>
              <w:rPr>
                <w:rFonts w:cs="Arial"/>
                <w:sz w:val="20"/>
                <w:szCs w:val="20"/>
              </w:rPr>
            </w:pPr>
            <w:r>
              <w:rPr>
                <w:rFonts w:cs="Calibri"/>
                <w:color w:val="000000"/>
                <w:sz w:val="20"/>
                <w:szCs w:val="20"/>
                <w:lang w:val="ga"/>
              </w:rPr>
              <w:t>10.0%</w:t>
            </w:r>
          </w:p>
        </w:tc>
      </w:tr>
      <w:tr w:rsidR="00F31303" w14:paraId="4AA147F9"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44397EE" w14:textId="77777777" w:rsidR="00590BEF" w:rsidRPr="007202FA" w:rsidRDefault="000B4F21" w:rsidP="007202FA">
            <w:pPr>
              <w:rPr>
                <w:sz w:val="20"/>
                <w:szCs w:val="20"/>
              </w:rPr>
            </w:pPr>
            <w:r>
              <w:rPr>
                <w:rFonts w:cs="Calibri"/>
                <w:color w:val="000000"/>
                <w:sz w:val="20"/>
                <w:szCs w:val="20"/>
                <w:lang w:val="ga"/>
              </w:rPr>
              <w:t>*Coimisiún Ombudsman an Gharda Síochána</w:t>
            </w:r>
          </w:p>
        </w:tc>
        <w:tc>
          <w:tcPr>
            <w:tcW w:w="1565" w:type="dxa"/>
            <w:tcBorders>
              <w:top w:val="single" w:sz="4" w:space="0" w:color="auto"/>
              <w:left w:val="single" w:sz="4" w:space="0" w:color="auto"/>
              <w:bottom w:val="single" w:sz="4" w:space="0" w:color="auto"/>
              <w:right w:val="single" w:sz="4" w:space="0" w:color="auto"/>
            </w:tcBorders>
            <w:hideMark/>
          </w:tcPr>
          <w:p w14:paraId="10286F6A" w14:textId="77777777" w:rsidR="00590BEF" w:rsidRPr="007202FA" w:rsidRDefault="000B4F21" w:rsidP="007202FA">
            <w:pPr>
              <w:jc w:val="right"/>
              <w:rPr>
                <w:rFonts w:cs="Arial"/>
                <w:sz w:val="20"/>
                <w:szCs w:val="20"/>
              </w:rPr>
            </w:pPr>
            <w:r>
              <w:rPr>
                <w:rFonts w:cs="Calibri"/>
                <w:color w:val="000000"/>
                <w:sz w:val="20"/>
                <w:szCs w:val="20"/>
                <w:lang w:val="ga"/>
              </w:rPr>
              <w:t>157</w:t>
            </w:r>
          </w:p>
        </w:tc>
        <w:tc>
          <w:tcPr>
            <w:tcW w:w="1559" w:type="dxa"/>
            <w:tcBorders>
              <w:top w:val="single" w:sz="4" w:space="0" w:color="auto"/>
              <w:left w:val="single" w:sz="4" w:space="0" w:color="auto"/>
              <w:bottom w:val="single" w:sz="4" w:space="0" w:color="auto"/>
              <w:right w:val="single" w:sz="4" w:space="0" w:color="auto"/>
            </w:tcBorders>
            <w:hideMark/>
          </w:tcPr>
          <w:p w14:paraId="7A46E2D6" w14:textId="77777777" w:rsidR="00590BEF" w:rsidRPr="007202FA" w:rsidRDefault="000B4F21" w:rsidP="007202FA">
            <w:pPr>
              <w:jc w:val="right"/>
              <w:rPr>
                <w:rFonts w:cs="Arial"/>
                <w:sz w:val="20"/>
                <w:szCs w:val="20"/>
              </w:rPr>
            </w:pPr>
            <w:r>
              <w:rPr>
                <w:rFonts w:cs="Calibri"/>
                <w:color w:val="000000"/>
                <w:sz w:val="20"/>
                <w:szCs w:val="20"/>
                <w:lang w:val="ga"/>
              </w:rPr>
              <w:t>14</w:t>
            </w:r>
          </w:p>
        </w:tc>
        <w:tc>
          <w:tcPr>
            <w:tcW w:w="1567" w:type="dxa"/>
            <w:tcBorders>
              <w:top w:val="single" w:sz="4" w:space="0" w:color="auto"/>
              <w:left w:val="single" w:sz="4" w:space="0" w:color="auto"/>
              <w:bottom w:val="single" w:sz="4" w:space="0" w:color="auto"/>
              <w:right w:val="single" w:sz="4" w:space="0" w:color="auto"/>
            </w:tcBorders>
            <w:hideMark/>
          </w:tcPr>
          <w:p w14:paraId="0C7927D4" w14:textId="77777777" w:rsidR="00590BEF" w:rsidRPr="007202FA" w:rsidRDefault="000B4F21" w:rsidP="007202FA">
            <w:pPr>
              <w:jc w:val="right"/>
              <w:rPr>
                <w:rFonts w:cs="Arial"/>
                <w:sz w:val="20"/>
                <w:szCs w:val="20"/>
              </w:rPr>
            </w:pPr>
            <w:r>
              <w:rPr>
                <w:rFonts w:cs="Calibri"/>
                <w:color w:val="000000"/>
                <w:sz w:val="20"/>
                <w:szCs w:val="20"/>
                <w:lang w:val="ga"/>
              </w:rPr>
              <w:t>8.9%</w:t>
            </w:r>
          </w:p>
        </w:tc>
        <w:tc>
          <w:tcPr>
            <w:tcW w:w="1700" w:type="dxa"/>
            <w:tcBorders>
              <w:top w:val="single" w:sz="4" w:space="0" w:color="auto"/>
              <w:left w:val="single" w:sz="4" w:space="0" w:color="auto"/>
              <w:bottom w:val="single" w:sz="4" w:space="0" w:color="auto"/>
              <w:right w:val="single" w:sz="4" w:space="0" w:color="auto"/>
            </w:tcBorders>
            <w:hideMark/>
          </w:tcPr>
          <w:p w14:paraId="1EF99BB3" w14:textId="77777777" w:rsidR="00590BEF" w:rsidRPr="007202FA" w:rsidRDefault="000B4F21" w:rsidP="007202FA">
            <w:pPr>
              <w:jc w:val="right"/>
              <w:rPr>
                <w:rFonts w:cs="Arial"/>
                <w:sz w:val="20"/>
                <w:szCs w:val="20"/>
              </w:rPr>
            </w:pPr>
            <w:r>
              <w:rPr>
                <w:rFonts w:cs="Calibri"/>
                <w:color w:val="000000"/>
                <w:sz w:val="20"/>
                <w:szCs w:val="20"/>
                <w:lang w:val="ga"/>
              </w:rPr>
              <w:t>171</w:t>
            </w:r>
          </w:p>
        </w:tc>
        <w:tc>
          <w:tcPr>
            <w:tcW w:w="1558" w:type="dxa"/>
            <w:tcBorders>
              <w:top w:val="single" w:sz="4" w:space="0" w:color="auto"/>
              <w:left w:val="single" w:sz="4" w:space="0" w:color="auto"/>
              <w:bottom w:val="single" w:sz="4" w:space="0" w:color="auto"/>
              <w:right w:val="single" w:sz="4" w:space="0" w:color="auto"/>
            </w:tcBorders>
            <w:hideMark/>
          </w:tcPr>
          <w:p w14:paraId="68D6F7E5" w14:textId="77777777" w:rsidR="00590BEF" w:rsidRPr="007202FA" w:rsidRDefault="000B4F21" w:rsidP="007202FA">
            <w:pPr>
              <w:jc w:val="right"/>
              <w:rPr>
                <w:rFonts w:cs="Arial"/>
                <w:sz w:val="20"/>
                <w:szCs w:val="20"/>
              </w:rPr>
            </w:pPr>
            <w:r>
              <w:rPr>
                <w:rFonts w:cs="Calibri"/>
                <w:color w:val="000000"/>
                <w:sz w:val="20"/>
                <w:szCs w:val="20"/>
                <w:lang w:val="ga"/>
              </w:rPr>
              <w:t>16</w:t>
            </w:r>
          </w:p>
        </w:tc>
        <w:tc>
          <w:tcPr>
            <w:tcW w:w="1700" w:type="dxa"/>
            <w:tcBorders>
              <w:top w:val="single" w:sz="4" w:space="0" w:color="auto"/>
              <w:left w:val="single" w:sz="4" w:space="0" w:color="auto"/>
              <w:bottom w:val="single" w:sz="4" w:space="0" w:color="auto"/>
              <w:right w:val="single" w:sz="4" w:space="0" w:color="auto"/>
            </w:tcBorders>
            <w:hideMark/>
          </w:tcPr>
          <w:p w14:paraId="19F0EC2D" w14:textId="77777777" w:rsidR="00590BEF" w:rsidRPr="007202FA" w:rsidRDefault="000B4F21" w:rsidP="007202FA">
            <w:pPr>
              <w:jc w:val="right"/>
              <w:rPr>
                <w:rFonts w:cs="Arial"/>
                <w:sz w:val="20"/>
                <w:szCs w:val="20"/>
              </w:rPr>
            </w:pPr>
            <w:r>
              <w:rPr>
                <w:rFonts w:cs="Calibri"/>
                <w:color w:val="000000"/>
                <w:sz w:val="20"/>
                <w:szCs w:val="20"/>
                <w:lang w:val="ga"/>
              </w:rPr>
              <w:t>9.4%</w:t>
            </w:r>
          </w:p>
        </w:tc>
      </w:tr>
      <w:tr w:rsidR="00F31303" w14:paraId="0E12E592"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2852FC31" w14:textId="77777777" w:rsidR="00590BEF" w:rsidRPr="007202FA" w:rsidRDefault="000B4F21" w:rsidP="007202FA">
            <w:pPr>
              <w:rPr>
                <w:rFonts w:cs="Arial"/>
                <w:sz w:val="20"/>
                <w:szCs w:val="20"/>
              </w:rPr>
            </w:pPr>
            <w:r>
              <w:rPr>
                <w:rFonts w:cs="Calibri"/>
                <w:color w:val="000000"/>
                <w:sz w:val="20"/>
                <w:szCs w:val="20"/>
                <w:lang w:val="ga"/>
              </w:rPr>
              <w:t>Tithe an Oireachtais</w:t>
            </w:r>
          </w:p>
        </w:tc>
        <w:tc>
          <w:tcPr>
            <w:tcW w:w="1565" w:type="dxa"/>
            <w:tcBorders>
              <w:top w:val="single" w:sz="4" w:space="0" w:color="auto"/>
              <w:left w:val="single" w:sz="4" w:space="0" w:color="auto"/>
              <w:bottom w:val="single" w:sz="4" w:space="0" w:color="auto"/>
              <w:right w:val="single" w:sz="4" w:space="0" w:color="auto"/>
            </w:tcBorders>
            <w:hideMark/>
          </w:tcPr>
          <w:p w14:paraId="12A1AA63" w14:textId="77777777" w:rsidR="00590BEF" w:rsidRPr="007202FA" w:rsidRDefault="000B4F21" w:rsidP="007202FA">
            <w:pPr>
              <w:jc w:val="right"/>
              <w:rPr>
                <w:rFonts w:cs="Arial"/>
                <w:sz w:val="20"/>
                <w:szCs w:val="20"/>
              </w:rPr>
            </w:pPr>
            <w:r>
              <w:rPr>
                <w:rFonts w:cs="Calibri"/>
                <w:color w:val="000000"/>
                <w:sz w:val="20"/>
                <w:szCs w:val="20"/>
                <w:lang w:val="ga"/>
              </w:rPr>
              <w:t>723</w:t>
            </w:r>
          </w:p>
        </w:tc>
        <w:tc>
          <w:tcPr>
            <w:tcW w:w="1559" w:type="dxa"/>
            <w:tcBorders>
              <w:top w:val="single" w:sz="4" w:space="0" w:color="auto"/>
              <w:left w:val="single" w:sz="4" w:space="0" w:color="auto"/>
              <w:bottom w:val="single" w:sz="4" w:space="0" w:color="auto"/>
              <w:right w:val="single" w:sz="4" w:space="0" w:color="auto"/>
            </w:tcBorders>
            <w:hideMark/>
          </w:tcPr>
          <w:p w14:paraId="5F124F7C" w14:textId="77777777" w:rsidR="00590BEF" w:rsidRPr="007202FA" w:rsidRDefault="000B4F21" w:rsidP="007202FA">
            <w:pPr>
              <w:jc w:val="right"/>
              <w:rPr>
                <w:rFonts w:cs="Arial"/>
                <w:sz w:val="20"/>
                <w:szCs w:val="20"/>
              </w:rPr>
            </w:pPr>
            <w:r>
              <w:rPr>
                <w:rFonts w:cs="Calibri"/>
                <w:color w:val="000000"/>
                <w:sz w:val="20"/>
                <w:szCs w:val="20"/>
                <w:lang w:val="ga"/>
              </w:rPr>
              <w:t>42</w:t>
            </w:r>
          </w:p>
        </w:tc>
        <w:tc>
          <w:tcPr>
            <w:tcW w:w="1567" w:type="dxa"/>
            <w:tcBorders>
              <w:top w:val="single" w:sz="4" w:space="0" w:color="auto"/>
              <w:left w:val="single" w:sz="4" w:space="0" w:color="auto"/>
              <w:bottom w:val="single" w:sz="4" w:space="0" w:color="auto"/>
              <w:right w:val="single" w:sz="4" w:space="0" w:color="auto"/>
            </w:tcBorders>
            <w:hideMark/>
          </w:tcPr>
          <w:p w14:paraId="5C8038BD" w14:textId="77777777" w:rsidR="00590BEF" w:rsidRPr="007202FA" w:rsidRDefault="000B4F21" w:rsidP="007202FA">
            <w:pPr>
              <w:jc w:val="right"/>
              <w:rPr>
                <w:rFonts w:cs="Arial"/>
                <w:sz w:val="20"/>
                <w:szCs w:val="20"/>
              </w:rPr>
            </w:pPr>
            <w:r>
              <w:rPr>
                <w:rFonts w:cs="Calibri"/>
                <w:color w:val="000000"/>
                <w:sz w:val="20"/>
                <w:szCs w:val="20"/>
                <w:lang w:val="ga"/>
              </w:rPr>
              <w:t>5.8%</w:t>
            </w:r>
          </w:p>
        </w:tc>
        <w:tc>
          <w:tcPr>
            <w:tcW w:w="1700" w:type="dxa"/>
            <w:tcBorders>
              <w:top w:val="single" w:sz="4" w:space="0" w:color="auto"/>
              <w:left w:val="single" w:sz="4" w:space="0" w:color="auto"/>
              <w:bottom w:val="single" w:sz="4" w:space="0" w:color="auto"/>
              <w:right w:val="single" w:sz="4" w:space="0" w:color="auto"/>
            </w:tcBorders>
            <w:hideMark/>
          </w:tcPr>
          <w:p w14:paraId="3E0D8BB1" w14:textId="77777777" w:rsidR="00590BEF" w:rsidRPr="007202FA" w:rsidRDefault="000B4F21" w:rsidP="007202FA">
            <w:pPr>
              <w:jc w:val="right"/>
              <w:rPr>
                <w:rFonts w:cs="Calibri"/>
                <w:color w:val="000000"/>
                <w:sz w:val="20"/>
                <w:szCs w:val="20"/>
              </w:rPr>
            </w:pPr>
            <w:r>
              <w:rPr>
                <w:rFonts w:cs="Calibri"/>
                <w:color w:val="000000"/>
                <w:sz w:val="20"/>
                <w:szCs w:val="20"/>
                <w:lang w:val="ga"/>
              </w:rPr>
              <w:t>760</w:t>
            </w:r>
          </w:p>
        </w:tc>
        <w:tc>
          <w:tcPr>
            <w:tcW w:w="1558" w:type="dxa"/>
            <w:tcBorders>
              <w:top w:val="single" w:sz="4" w:space="0" w:color="auto"/>
              <w:left w:val="single" w:sz="4" w:space="0" w:color="auto"/>
              <w:bottom w:val="single" w:sz="4" w:space="0" w:color="auto"/>
              <w:right w:val="single" w:sz="4" w:space="0" w:color="auto"/>
            </w:tcBorders>
            <w:hideMark/>
          </w:tcPr>
          <w:p w14:paraId="28B4E7C2" w14:textId="77777777" w:rsidR="00590BEF" w:rsidRPr="007202FA" w:rsidRDefault="000B4F21" w:rsidP="007202FA">
            <w:pPr>
              <w:jc w:val="right"/>
              <w:rPr>
                <w:rFonts w:cs="Calibri"/>
                <w:color w:val="000000"/>
                <w:sz w:val="20"/>
                <w:szCs w:val="20"/>
              </w:rPr>
            </w:pPr>
            <w:r>
              <w:rPr>
                <w:rFonts w:cs="Calibri"/>
                <w:color w:val="000000"/>
                <w:sz w:val="20"/>
                <w:szCs w:val="20"/>
                <w:lang w:val="ga"/>
              </w:rPr>
              <w:t>41</w:t>
            </w:r>
          </w:p>
        </w:tc>
        <w:tc>
          <w:tcPr>
            <w:tcW w:w="1700" w:type="dxa"/>
            <w:tcBorders>
              <w:top w:val="single" w:sz="4" w:space="0" w:color="auto"/>
              <w:left w:val="single" w:sz="4" w:space="0" w:color="auto"/>
              <w:bottom w:val="single" w:sz="4" w:space="0" w:color="auto"/>
              <w:right w:val="single" w:sz="4" w:space="0" w:color="auto"/>
            </w:tcBorders>
            <w:hideMark/>
          </w:tcPr>
          <w:p w14:paraId="3F2BCAE1" w14:textId="77777777" w:rsidR="00590BEF" w:rsidRPr="007202FA" w:rsidRDefault="000B4F21" w:rsidP="007202FA">
            <w:pPr>
              <w:jc w:val="right"/>
              <w:rPr>
                <w:rFonts w:cs="Calibri"/>
                <w:color w:val="000000"/>
                <w:sz w:val="20"/>
                <w:szCs w:val="20"/>
              </w:rPr>
            </w:pPr>
            <w:r>
              <w:rPr>
                <w:rFonts w:cs="Calibri"/>
                <w:color w:val="000000"/>
                <w:sz w:val="20"/>
                <w:szCs w:val="20"/>
                <w:lang w:val="ga"/>
              </w:rPr>
              <w:t>5.4%</w:t>
            </w:r>
          </w:p>
        </w:tc>
      </w:tr>
      <w:tr w:rsidR="00F31303" w14:paraId="1E26480D"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5FDBEA0" w14:textId="77777777" w:rsidR="00590BEF" w:rsidRPr="007202FA" w:rsidRDefault="000B4F21" w:rsidP="007202FA">
            <w:pPr>
              <w:rPr>
                <w:sz w:val="20"/>
                <w:szCs w:val="20"/>
              </w:rPr>
            </w:pPr>
            <w:r>
              <w:rPr>
                <w:rFonts w:cs="Calibri"/>
                <w:b/>
                <w:bCs/>
                <w:color w:val="000000"/>
                <w:sz w:val="20"/>
                <w:szCs w:val="20"/>
                <w:lang w:val="ga"/>
              </w:rPr>
              <w:t>*</w:t>
            </w:r>
            <w:r>
              <w:rPr>
                <w:rFonts w:cs="Calibri"/>
                <w:color w:val="000000"/>
                <w:sz w:val="20"/>
                <w:szCs w:val="20"/>
                <w:lang w:val="ga"/>
              </w:rPr>
              <w:t>Seirbhís Dócmhainneachta na hÉireann</w:t>
            </w:r>
          </w:p>
        </w:tc>
        <w:tc>
          <w:tcPr>
            <w:tcW w:w="1565" w:type="dxa"/>
            <w:tcBorders>
              <w:top w:val="single" w:sz="4" w:space="0" w:color="auto"/>
              <w:left w:val="single" w:sz="4" w:space="0" w:color="auto"/>
              <w:bottom w:val="single" w:sz="4" w:space="0" w:color="auto"/>
              <w:right w:val="single" w:sz="4" w:space="0" w:color="auto"/>
            </w:tcBorders>
            <w:hideMark/>
          </w:tcPr>
          <w:p w14:paraId="7286B685" w14:textId="77777777" w:rsidR="00590BEF" w:rsidRPr="007202FA" w:rsidRDefault="000B4F21" w:rsidP="007202FA">
            <w:pPr>
              <w:jc w:val="right"/>
              <w:rPr>
                <w:sz w:val="20"/>
                <w:szCs w:val="20"/>
              </w:rPr>
            </w:pPr>
            <w:r>
              <w:rPr>
                <w:rFonts w:cs="Calibri"/>
                <w:color w:val="000000"/>
                <w:sz w:val="20"/>
                <w:szCs w:val="20"/>
                <w:lang w:val="ga"/>
              </w:rPr>
              <w:t>85</w:t>
            </w:r>
          </w:p>
        </w:tc>
        <w:tc>
          <w:tcPr>
            <w:tcW w:w="1559" w:type="dxa"/>
            <w:tcBorders>
              <w:top w:val="single" w:sz="4" w:space="0" w:color="auto"/>
              <w:left w:val="single" w:sz="4" w:space="0" w:color="auto"/>
              <w:bottom w:val="single" w:sz="4" w:space="0" w:color="auto"/>
              <w:right w:val="single" w:sz="4" w:space="0" w:color="auto"/>
            </w:tcBorders>
            <w:hideMark/>
          </w:tcPr>
          <w:p w14:paraId="35150793" w14:textId="77777777" w:rsidR="00590BEF" w:rsidRPr="007202FA" w:rsidRDefault="000B4F21" w:rsidP="007202FA">
            <w:pPr>
              <w:jc w:val="right"/>
              <w:rPr>
                <w:sz w:val="20"/>
                <w:szCs w:val="20"/>
              </w:rPr>
            </w:pPr>
            <w:r>
              <w:rPr>
                <w:rFonts w:cs="Calibri"/>
                <w:color w:val="000000"/>
                <w:sz w:val="20"/>
                <w:szCs w:val="20"/>
                <w:lang w:val="ga"/>
              </w:rPr>
              <w:t>7</w:t>
            </w:r>
          </w:p>
        </w:tc>
        <w:tc>
          <w:tcPr>
            <w:tcW w:w="1567" w:type="dxa"/>
            <w:tcBorders>
              <w:top w:val="single" w:sz="4" w:space="0" w:color="auto"/>
              <w:left w:val="single" w:sz="4" w:space="0" w:color="auto"/>
              <w:bottom w:val="single" w:sz="4" w:space="0" w:color="auto"/>
              <w:right w:val="single" w:sz="4" w:space="0" w:color="auto"/>
            </w:tcBorders>
            <w:hideMark/>
          </w:tcPr>
          <w:p w14:paraId="02D0649A" w14:textId="77777777" w:rsidR="00590BEF" w:rsidRPr="007202FA" w:rsidRDefault="000B4F21" w:rsidP="007202FA">
            <w:pPr>
              <w:jc w:val="right"/>
              <w:rPr>
                <w:sz w:val="20"/>
                <w:szCs w:val="20"/>
              </w:rPr>
            </w:pPr>
            <w:r>
              <w:rPr>
                <w:rFonts w:cs="Calibri"/>
                <w:color w:val="000000"/>
                <w:sz w:val="20"/>
                <w:szCs w:val="20"/>
                <w:lang w:val="ga"/>
              </w:rPr>
              <w:t>8.2%</w:t>
            </w:r>
          </w:p>
        </w:tc>
        <w:tc>
          <w:tcPr>
            <w:tcW w:w="1700" w:type="dxa"/>
            <w:tcBorders>
              <w:top w:val="single" w:sz="4" w:space="0" w:color="auto"/>
              <w:left w:val="single" w:sz="4" w:space="0" w:color="auto"/>
              <w:bottom w:val="single" w:sz="4" w:space="0" w:color="auto"/>
              <w:right w:val="single" w:sz="4" w:space="0" w:color="auto"/>
            </w:tcBorders>
            <w:hideMark/>
          </w:tcPr>
          <w:p w14:paraId="0FB02564" w14:textId="77777777" w:rsidR="00590BEF" w:rsidRPr="007202FA" w:rsidRDefault="000B4F21" w:rsidP="007202FA">
            <w:pPr>
              <w:jc w:val="right"/>
              <w:rPr>
                <w:rFonts w:cs="Calibri"/>
                <w:color w:val="000000"/>
                <w:sz w:val="20"/>
                <w:szCs w:val="20"/>
              </w:rPr>
            </w:pPr>
            <w:r>
              <w:rPr>
                <w:rFonts w:cs="Calibri"/>
                <w:color w:val="000000"/>
                <w:sz w:val="20"/>
                <w:szCs w:val="20"/>
                <w:lang w:val="ga"/>
              </w:rPr>
              <w:t>85</w:t>
            </w:r>
          </w:p>
        </w:tc>
        <w:tc>
          <w:tcPr>
            <w:tcW w:w="1558" w:type="dxa"/>
            <w:tcBorders>
              <w:top w:val="single" w:sz="4" w:space="0" w:color="auto"/>
              <w:left w:val="single" w:sz="4" w:space="0" w:color="auto"/>
              <w:bottom w:val="single" w:sz="4" w:space="0" w:color="auto"/>
              <w:right w:val="single" w:sz="4" w:space="0" w:color="auto"/>
            </w:tcBorders>
            <w:hideMark/>
          </w:tcPr>
          <w:p w14:paraId="73971EB5" w14:textId="77777777" w:rsidR="00590BEF" w:rsidRPr="007202FA" w:rsidRDefault="000B4F21" w:rsidP="007202FA">
            <w:pPr>
              <w:jc w:val="right"/>
              <w:rPr>
                <w:rFonts w:cs="Calibri"/>
                <w:color w:val="000000"/>
                <w:sz w:val="20"/>
                <w:szCs w:val="20"/>
              </w:rPr>
            </w:pPr>
            <w:r>
              <w:rPr>
                <w:rFonts w:cs="Calibri"/>
                <w:color w:val="000000"/>
                <w:sz w:val="20"/>
                <w:szCs w:val="20"/>
                <w:lang w:val="ga"/>
              </w:rPr>
              <w:t>6</w:t>
            </w:r>
          </w:p>
        </w:tc>
        <w:tc>
          <w:tcPr>
            <w:tcW w:w="1700" w:type="dxa"/>
            <w:tcBorders>
              <w:top w:val="single" w:sz="4" w:space="0" w:color="auto"/>
              <w:left w:val="single" w:sz="4" w:space="0" w:color="auto"/>
              <w:bottom w:val="single" w:sz="4" w:space="0" w:color="auto"/>
              <w:right w:val="single" w:sz="4" w:space="0" w:color="auto"/>
            </w:tcBorders>
            <w:hideMark/>
          </w:tcPr>
          <w:p w14:paraId="0781EB23" w14:textId="77777777" w:rsidR="00590BEF" w:rsidRPr="007202FA" w:rsidRDefault="000B4F21" w:rsidP="007202FA">
            <w:pPr>
              <w:jc w:val="right"/>
              <w:rPr>
                <w:rFonts w:cs="Calibri"/>
                <w:color w:val="000000"/>
                <w:sz w:val="20"/>
                <w:szCs w:val="20"/>
              </w:rPr>
            </w:pPr>
            <w:r>
              <w:rPr>
                <w:rFonts w:cs="Calibri"/>
                <w:color w:val="000000"/>
                <w:sz w:val="20"/>
                <w:szCs w:val="20"/>
                <w:lang w:val="ga"/>
              </w:rPr>
              <w:t>7.1%</w:t>
            </w:r>
          </w:p>
        </w:tc>
      </w:tr>
      <w:tr w:rsidR="00F31303" w14:paraId="2D7DF22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DA6E640" w14:textId="77777777" w:rsidR="00590BEF" w:rsidRPr="007202FA" w:rsidRDefault="000B4F21" w:rsidP="007202FA">
            <w:pPr>
              <w:rPr>
                <w:sz w:val="20"/>
                <w:szCs w:val="20"/>
              </w:rPr>
            </w:pPr>
            <w:r>
              <w:rPr>
                <w:rFonts w:cs="Calibri"/>
                <w:b/>
                <w:bCs/>
                <w:color w:val="000000"/>
                <w:sz w:val="20"/>
                <w:szCs w:val="20"/>
                <w:lang w:val="ga"/>
              </w:rPr>
              <w:t>*</w:t>
            </w:r>
            <w:r>
              <w:rPr>
                <w:rFonts w:cs="Calibri"/>
                <w:color w:val="000000"/>
                <w:sz w:val="20"/>
                <w:szCs w:val="20"/>
                <w:lang w:val="ga"/>
              </w:rPr>
              <w:t xml:space="preserve">An Binse um Achomhairc i </w:t>
            </w:r>
            <w:r>
              <w:rPr>
                <w:rFonts w:cs="Calibri"/>
                <w:color w:val="000000"/>
                <w:sz w:val="20"/>
                <w:szCs w:val="20"/>
                <w:lang w:val="ga"/>
              </w:rPr>
              <w:lastRenderedPageBreak/>
              <w:t>dtaobh Cosaint Idirnáisiúnta</w:t>
            </w:r>
          </w:p>
        </w:tc>
        <w:tc>
          <w:tcPr>
            <w:tcW w:w="1565" w:type="dxa"/>
            <w:tcBorders>
              <w:top w:val="single" w:sz="4" w:space="0" w:color="auto"/>
              <w:left w:val="single" w:sz="4" w:space="0" w:color="auto"/>
              <w:bottom w:val="single" w:sz="4" w:space="0" w:color="auto"/>
              <w:right w:val="single" w:sz="4" w:space="0" w:color="auto"/>
            </w:tcBorders>
            <w:hideMark/>
          </w:tcPr>
          <w:p w14:paraId="46DC02AF" w14:textId="77777777" w:rsidR="00590BEF" w:rsidRPr="007202FA" w:rsidRDefault="000B4F21" w:rsidP="007202FA">
            <w:pPr>
              <w:jc w:val="right"/>
              <w:rPr>
                <w:sz w:val="20"/>
                <w:szCs w:val="20"/>
              </w:rPr>
            </w:pPr>
            <w:r>
              <w:rPr>
                <w:rFonts w:cs="Calibri"/>
                <w:color w:val="000000"/>
                <w:sz w:val="20"/>
                <w:szCs w:val="20"/>
                <w:lang w:val="ga"/>
              </w:rPr>
              <w:lastRenderedPageBreak/>
              <w:t>65</w:t>
            </w:r>
          </w:p>
        </w:tc>
        <w:tc>
          <w:tcPr>
            <w:tcW w:w="1559" w:type="dxa"/>
            <w:tcBorders>
              <w:top w:val="single" w:sz="4" w:space="0" w:color="auto"/>
              <w:left w:val="single" w:sz="4" w:space="0" w:color="auto"/>
              <w:bottom w:val="single" w:sz="4" w:space="0" w:color="auto"/>
              <w:right w:val="single" w:sz="4" w:space="0" w:color="auto"/>
            </w:tcBorders>
            <w:hideMark/>
          </w:tcPr>
          <w:p w14:paraId="015FE0D3" w14:textId="77777777" w:rsidR="00590BEF" w:rsidRPr="007202FA" w:rsidRDefault="000B4F21" w:rsidP="007202FA">
            <w:pPr>
              <w:jc w:val="right"/>
              <w:rPr>
                <w:sz w:val="20"/>
                <w:szCs w:val="20"/>
              </w:rPr>
            </w:pPr>
            <w:r>
              <w:rPr>
                <w:rFonts w:cs="Calibri"/>
                <w:color w:val="000000"/>
                <w:sz w:val="20"/>
                <w:szCs w:val="20"/>
                <w:lang w:val="ga"/>
              </w:rPr>
              <w:t>3</w:t>
            </w:r>
          </w:p>
        </w:tc>
        <w:tc>
          <w:tcPr>
            <w:tcW w:w="1567" w:type="dxa"/>
            <w:tcBorders>
              <w:top w:val="single" w:sz="4" w:space="0" w:color="auto"/>
              <w:left w:val="single" w:sz="4" w:space="0" w:color="auto"/>
              <w:bottom w:val="single" w:sz="4" w:space="0" w:color="auto"/>
              <w:right w:val="single" w:sz="4" w:space="0" w:color="auto"/>
            </w:tcBorders>
            <w:hideMark/>
          </w:tcPr>
          <w:p w14:paraId="5640ABAF" w14:textId="77777777" w:rsidR="00590BEF" w:rsidRPr="007202FA" w:rsidRDefault="000B4F21" w:rsidP="007202FA">
            <w:pPr>
              <w:jc w:val="right"/>
              <w:rPr>
                <w:sz w:val="20"/>
                <w:szCs w:val="20"/>
              </w:rPr>
            </w:pPr>
            <w:r>
              <w:rPr>
                <w:rFonts w:cs="Calibri"/>
                <w:color w:val="000000"/>
                <w:sz w:val="20"/>
                <w:szCs w:val="20"/>
                <w:lang w:val="ga"/>
              </w:rPr>
              <w:t>4.6%</w:t>
            </w:r>
          </w:p>
        </w:tc>
        <w:tc>
          <w:tcPr>
            <w:tcW w:w="1700" w:type="dxa"/>
            <w:tcBorders>
              <w:top w:val="single" w:sz="4" w:space="0" w:color="auto"/>
              <w:left w:val="single" w:sz="4" w:space="0" w:color="auto"/>
              <w:bottom w:val="single" w:sz="4" w:space="0" w:color="auto"/>
              <w:right w:val="single" w:sz="4" w:space="0" w:color="auto"/>
            </w:tcBorders>
            <w:hideMark/>
          </w:tcPr>
          <w:p w14:paraId="0A0738C9" w14:textId="77777777" w:rsidR="00590BEF" w:rsidRPr="007202FA" w:rsidRDefault="000B4F21" w:rsidP="007202FA">
            <w:pPr>
              <w:jc w:val="right"/>
              <w:rPr>
                <w:rFonts w:cs="Calibri"/>
                <w:color w:val="000000"/>
                <w:sz w:val="20"/>
                <w:szCs w:val="20"/>
              </w:rPr>
            </w:pPr>
            <w:r>
              <w:rPr>
                <w:rFonts w:cs="Calibri"/>
                <w:color w:val="000000"/>
                <w:sz w:val="20"/>
                <w:szCs w:val="20"/>
                <w:lang w:val="ga"/>
              </w:rPr>
              <w:t>85</w:t>
            </w:r>
          </w:p>
        </w:tc>
        <w:tc>
          <w:tcPr>
            <w:tcW w:w="1558" w:type="dxa"/>
            <w:tcBorders>
              <w:top w:val="single" w:sz="4" w:space="0" w:color="auto"/>
              <w:left w:val="single" w:sz="4" w:space="0" w:color="auto"/>
              <w:bottom w:val="single" w:sz="4" w:space="0" w:color="auto"/>
              <w:right w:val="single" w:sz="4" w:space="0" w:color="auto"/>
            </w:tcBorders>
            <w:hideMark/>
          </w:tcPr>
          <w:p w14:paraId="521A3EA6" w14:textId="77777777" w:rsidR="00590BEF" w:rsidRPr="007202FA" w:rsidRDefault="000B4F21" w:rsidP="007202FA">
            <w:pPr>
              <w:jc w:val="right"/>
              <w:rPr>
                <w:rFonts w:cs="Calibri"/>
                <w:color w:val="000000"/>
                <w:sz w:val="20"/>
                <w:szCs w:val="20"/>
              </w:rPr>
            </w:pPr>
            <w:r>
              <w:rPr>
                <w:rFonts w:cs="Calibri"/>
                <w:color w:val="000000"/>
                <w:sz w:val="20"/>
                <w:szCs w:val="20"/>
                <w:lang w:val="ga"/>
              </w:rPr>
              <w:t>5</w:t>
            </w:r>
          </w:p>
        </w:tc>
        <w:tc>
          <w:tcPr>
            <w:tcW w:w="1700" w:type="dxa"/>
            <w:tcBorders>
              <w:top w:val="single" w:sz="4" w:space="0" w:color="auto"/>
              <w:left w:val="single" w:sz="4" w:space="0" w:color="auto"/>
              <w:bottom w:val="single" w:sz="4" w:space="0" w:color="auto"/>
              <w:right w:val="single" w:sz="4" w:space="0" w:color="auto"/>
            </w:tcBorders>
            <w:hideMark/>
          </w:tcPr>
          <w:p w14:paraId="53E25905" w14:textId="77777777" w:rsidR="00590BEF" w:rsidRPr="007202FA" w:rsidRDefault="000B4F21" w:rsidP="007202FA">
            <w:pPr>
              <w:jc w:val="right"/>
              <w:rPr>
                <w:rFonts w:cs="Calibri"/>
                <w:color w:val="000000"/>
                <w:sz w:val="20"/>
                <w:szCs w:val="20"/>
              </w:rPr>
            </w:pPr>
            <w:r>
              <w:rPr>
                <w:rFonts w:cs="Calibri"/>
                <w:color w:val="000000"/>
                <w:sz w:val="20"/>
                <w:szCs w:val="20"/>
                <w:lang w:val="ga"/>
              </w:rPr>
              <w:t>5.9%</w:t>
            </w:r>
          </w:p>
        </w:tc>
      </w:tr>
      <w:tr w:rsidR="00F31303" w14:paraId="1511CC95"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3C08EA0" w14:textId="77777777" w:rsidR="00590BEF" w:rsidRPr="007202FA" w:rsidRDefault="000B4F21" w:rsidP="007202FA">
            <w:pPr>
              <w:rPr>
                <w:sz w:val="20"/>
                <w:szCs w:val="20"/>
              </w:rPr>
            </w:pPr>
            <w:r>
              <w:rPr>
                <w:rFonts w:cs="Calibri"/>
                <w:b/>
                <w:bCs/>
                <w:color w:val="000000"/>
                <w:sz w:val="20"/>
                <w:szCs w:val="20"/>
                <w:lang w:val="ga"/>
              </w:rPr>
              <w:t>*</w:t>
            </w:r>
            <w:r>
              <w:rPr>
                <w:rFonts w:cs="Calibri"/>
                <w:color w:val="000000"/>
                <w:sz w:val="20"/>
                <w:szCs w:val="20"/>
                <w:lang w:val="ga"/>
              </w:rPr>
              <w:t>Oifig Aicmithe Scannán na hÉireann</w:t>
            </w:r>
          </w:p>
        </w:tc>
        <w:tc>
          <w:tcPr>
            <w:tcW w:w="1565" w:type="dxa"/>
            <w:tcBorders>
              <w:top w:val="single" w:sz="4" w:space="0" w:color="auto"/>
              <w:left w:val="single" w:sz="4" w:space="0" w:color="auto"/>
              <w:bottom w:val="single" w:sz="4" w:space="0" w:color="auto"/>
              <w:right w:val="single" w:sz="4" w:space="0" w:color="auto"/>
            </w:tcBorders>
            <w:hideMark/>
          </w:tcPr>
          <w:p w14:paraId="1D2C67A5" w14:textId="77777777" w:rsidR="00590BEF" w:rsidRPr="007202FA" w:rsidRDefault="000B4F21" w:rsidP="007202FA">
            <w:pPr>
              <w:jc w:val="right"/>
              <w:rPr>
                <w:sz w:val="20"/>
                <w:szCs w:val="20"/>
              </w:rPr>
            </w:pPr>
            <w:r>
              <w:rPr>
                <w:rFonts w:cs="Calibri"/>
                <w:color w:val="000000"/>
                <w:sz w:val="20"/>
                <w:szCs w:val="20"/>
                <w:lang w:val="ga"/>
              </w:rPr>
              <w:t>5</w:t>
            </w:r>
          </w:p>
        </w:tc>
        <w:tc>
          <w:tcPr>
            <w:tcW w:w="1559" w:type="dxa"/>
            <w:tcBorders>
              <w:top w:val="single" w:sz="4" w:space="0" w:color="auto"/>
              <w:left w:val="single" w:sz="4" w:space="0" w:color="auto"/>
              <w:bottom w:val="single" w:sz="4" w:space="0" w:color="auto"/>
              <w:right w:val="single" w:sz="4" w:space="0" w:color="auto"/>
            </w:tcBorders>
            <w:hideMark/>
          </w:tcPr>
          <w:p w14:paraId="4B90DE69" w14:textId="77777777" w:rsidR="00590BEF" w:rsidRPr="007202FA" w:rsidRDefault="000B4F21" w:rsidP="007202FA">
            <w:pPr>
              <w:jc w:val="right"/>
              <w:rPr>
                <w:sz w:val="20"/>
                <w:szCs w:val="20"/>
              </w:rPr>
            </w:pPr>
            <w:r>
              <w:rPr>
                <w:rFonts w:cs="Calibri"/>
                <w:color w:val="000000"/>
                <w:sz w:val="20"/>
                <w:szCs w:val="20"/>
                <w:lang w:val="ga"/>
              </w:rPr>
              <w:t>0</w:t>
            </w:r>
          </w:p>
        </w:tc>
        <w:tc>
          <w:tcPr>
            <w:tcW w:w="1567" w:type="dxa"/>
            <w:tcBorders>
              <w:top w:val="single" w:sz="4" w:space="0" w:color="auto"/>
              <w:left w:val="single" w:sz="4" w:space="0" w:color="auto"/>
              <w:bottom w:val="single" w:sz="4" w:space="0" w:color="auto"/>
              <w:right w:val="single" w:sz="4" w:space="0" w:color="auto"/>
            </w:tcBorders>
            <w:hideMark/>
          </w:tcPr>
          <w:p w14:paraId="0FB14833" w14:textId="77777777" w:rsidR="00590BEF" w:rsidRPr="007202FA" w:rsidRDefault="000B4F21" w:rsidP="007202FA">
            <w:pPr>
              <w:jc w:val="right"/>
              <w:rPr>
                <w:sz w:val="20"/>
                <w:szCs w:val="20"/>
              </w:rPr>
            </w:pPr>
            <w:r>
              <w:rPr>
                <w:rFonts w:cs="Calibri"/>
                <w:color w:val="000000"/>
                <w:sz w:val="20"/>
                <w:szCs w:val="20"/>
                <w:lang w:val="ga"/>
              </w:rPr>
              <w:t>0.0%</w:t>
            </w:r>
          </w:p>
        </w:tc>
        <w:tc>
          <w:tcPr>
            <w:tcW w:w="1700" w:type="dxa"/>
            <w:tcBorders>
              <w:top w:val="single" w:sz="4" w:space="0" w:color="auto"/>
              <w:left w:val="single" w:sz="4" w:space="0" w:color="auto"/>
              <w:bottom w:val="single" w:sz="4" w:space="0" w:color="auto"/>
              <w:right w:val="single" w:sz="4" w:space="0" w:color="auto"/>
            </w:tcBorders>
            <w:hideMark/>
          </w:tcPr>
          <w:p w14:paraId="1F2B8F24" w14:textId="77777777" w:rsidR="00590BEF" w:rsidRPr="007202FA" w:rsidRDefault="000B4F21" w:rsidP="007202FA">
            <w:pPr>
              <w:jc w:val="right"/>
              <w:rPr>
                <w:sz w:val="20"/>
                <w:szCs w:val="20"/>
              </w:rPr>
            </w:pPr>
            <w:r>
              <w:rPr>
                <w:rFonts w:cs="Calibri"/>
                <w:color w:val="000000"/>
                <w:sz w:val="20"/>
                <w:szCs w:val="20"/>
                <w:lang w:val="ga"/>
              </w:rPr>
              <w:t>5</w:t>
            </w:r>
          </w:p>
        </w:tc>
        <w:tc>
          <w:tcPr>
            <w:tcW w:w="1558" w:type="dxa"/>
            <w:tcBorders>
              <w:top w:val="single" w:sz="4" w:space="0" w:color="auto"/>
              <w:left w:val="single" w:sz="4" w:space="0" w:color="auto"/>
              <w:bottom w:val="single" w:sz="4" w:space="0" w:color="auto"/>
              <w:right w:val="single" w:sz="4" w:space="0" w:color="auto"/>
            </w:tcBorders>
            <w:hideMark/>
          </w:tcPr>
          <w:p w14:paraId="651F1DE9" w14:textId="77777777" w:rsidR="00590BEF" w:rsidRPr="007202FA" w:rsidRDefault="000B4F21" w:rsidP="007202FA">
            <w:pPr>
              <w:jc w:val="right"/>
              <w:rPr>
                <w:sz w:val="20"/>
                <w:szCs w:val="20"/>
              </w:rPr>
            </w:pPr>
            <w:r>
              <w:rPr>
                <w:rFonts w:cs="Calibri"/>
                <w:color w:val="000000"/>
                <w:sz w:val="20"/>
                <w:szCs w:val="20"/>
                <w:lang w:val="ga"/>
              </w:rPr>
              <w:t>0</w:t>
            </w:r>
          </w:p>
        </w:tc>
        <w:tc>
          <w:tcPr>
            <w:tcW w:w="1700" w:type="dxa"/>
            <w:tcBorders>
              <w:top w:val="single" w:sz="4" w:space="0" w:color="auto"/>
              <w:left w:val="single" w:sz="4" w:space="0" w:color="auto"/>
              <w:bottom w:val="single" w:sz="4" w:space="0" w:color="auto"/>
              <w:right w:val="single" w:sz="4" w:space="0" w:color="auto"/>
            </w:tcBorders>
            <w:hideMark/>
          </w:tcPr>
          <w:p w14:paraId="75CB5892" w14:textId="77777777" w:rsidR="00590BEF" w:rsidRPr="007202FA" w:rsidRDefault="000B4F21" w:rsidP="007202FA">
            <w:pPr>
              <w:jc w:val="right"/>
              <w:rPr>
                <w:sz w:val="20"/>
                <w:szCs w:val="20"/>
              </w:rPr>
            </w:pPr>
            <w:r>
              <w:rPr>
                <w:rFonts w:cs="Calibri"/>
                <w:color w:val="000000"/>
                <w:sz w:val="20"/>
                <w:szCs w:val="20"/>
                <w:lang w:val="ga"/>
              </w:rPr>
              <w:t>0.0%</w:t>
            </w:r>
          </w:p>
        </w:tc>
      </w:tr>
      <w:tr w:rsidR="00F31303" w14:paraId="46EA5A6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6E22733" w14:textId="77777777" w:rsidR="00590BEF" w:rsidRPr="007202FA" w:rsidRDefault="000B4F21" w:rsidP="007202FA">
            <w:pPr>
              <w:rPr>
                <w:sz w:val="20"/>
                <w:szCs w:val="20"/>
              </w:rPr>
            </w:pPr>
            <w:r>
              <w:rPr>
                <w:rFonts w:cs="Calibri"/>
                <w:color w:val="000000"/>
                <w:sz w:val="20"/>
                <w:szCs w:val="20"/>
                <w:lang w:val="ga"/>
              </w:rPr>
              <w:t>Coimisiún na hÉireann um Chearta an Duine agus Comhionannas</w:t>
            </w:r>
          </w:p>
        </w:tc>
        <w:tc>
          <w:tcPr>
            <w:tcW w:w="1565" w:type="dxa"/>
            <w:tcBorders>
              <w:top w:val="single" w:sz="4" w:space="0" w:color="auto"/>
              <w:left w:val="single" w:sz="4" w:space="0" w:color="auto"/>
              <w:bottom w:val="single" w:sz="4" w:space="0" w:color="auto"/>
              <w:right w:val="single" w:sz="4" w:space="0" w:color="auto"/>
            </w:tcBorders>
            <w:hideMark/>
          </w:tcPr>
          <w:p w14:paraId="0D06BCC7" w14:textId="77777777" w:rsidR="00590BEF" w:rsidRPr="007202FA" w:rsidRDefault="000B4F21" w:rsidP="007202FA">
            <w:pPr>
              <w:jc w:val="right"/>
              <w:rPr>
                <w:sz w:val="20"/>
                <w:szCs w:val="20"/>
              </w:rPr>
            </w:pPr>
            <w:r>
              <w:rPr>
                <w:rFonts w:cs="Calibri"/>
                <w:color w:val="000000"/>
                <w:sz w:val="20"/>
                <w:szCs w:val="20"/>
                <w:lang w:val="ga"/>
              </w:rPr>
              <w:t>89</w:t>
            </w:r>
          </w:p>
        </w:tc>
        <w:tc>
          <w:tcPr>
            <w:tcW w:w="1559" w:type="dxa"/>
            <w:tcBorders>
              <w:top w:val="single" w:sz="4" w:space="0" w:color="auto"/>
              <w:left w:val="single" w:sz="4" w:space="0" w:color="auto"/>
              <w:bottom w:val="single" w:sz="4" w:space="0" w:color="auto"/>
              <w:right w:val="single" w:sz="4" w:space="0" w:color="auto"/>
            </w:tcBorders>
            <w:hideMark/>
          </w:tcPr>
          <w:p w14:paraId="5684CB53" w14:textId="77777777" w:rsidR="00590BEF" w:rsidRPr="007202FA" w:rsidRDefault="000B4F21" w:rsidP="007202FA">
            <w:pPr>
              <w:jc w:val="right"/>
              <w:rPr>
                <w:sz w:val="20"/>
                <w:szCs w:val="20"/>
              </w:rPr>
            </w:pPr>
            <w:r>
              <w:rPr>
                <w:rFonts w:cs="Calibri"/>
                <w:color w:val="000000"/>
                <w:sz w:val="20"/>
                <w:szCs w:val="20"/>
                <w:lang w:val="ga"/>
              </w:rPr>
              <w:t>8</w:t>
            </w:r>
          </w:p>
        </w:tc>
        <w:tc>
          <w:tcPr>
            <w:tcW w:w="1567" w:type="dxa"/>
            <w:tcBorders>
              <w:top w:val="single" w:sz="4" w:space="0" w:color="auto"/>
              <w:left w:val="single" w:sz="4" w:space="0" w:color="auto"/>
              <w:bottom w:val="single" w:sz="4" w:space="0" w:color="auto"/>
              <w:right w:val="single" w:sz="4" w:space="0" w:color="auto"/>
            </w:tcBorders>
            <w:hideMark/>
          </w:tcPr>
          <w:p w14:paraId="3F790F5C" w14:textId="77777777" w:rsidR="00590BEF" w:rsidRPr="007202FA" w:rsidRDefault="000B4F21" w:rsidP="007202FA">
            <w:pPr>
              <w:jc w:val="right"/>
              <w:rPr>
                <w:sz w:val="20"/>
                <w:szCs w:val="20"/>
              </w:rPr>
            </w:pPr>
            <w:r>
              <w:rPr>
                <w:rFonts w:cs="Calibri"/>
                <w:color w:val="000000"/>
                <w:sz w:val="20"/>
                <w:szCs w:val="20"/>
                <w:lang w:val="ga"/>
              </w:rPr>
              <w:t>9.0%</w:t>
            </w:r>
          </w:p>
        </w:tc>
        <w:tc>
          <w:tcPr>
            <w:tcW w:w="1700" w:type="dxa"/>
            <w:tcBorders>
              <w:top w:val="single" w:sz="4" w:space="0" w:color="auto"/>
              <w:left w:val="single" w:sz="4" w:space="0" w:color="auto"/>
              <w:bottom w:val="single" w:sz="4" w:space="0" w:color="auto"/>
              <w:right w:val="single" w:sz="4" w:space="0" w:color="auto"/>
            </w:tcBorders>
            <w:hideMark/>
          </w:tcPr>
          <w:p w14:paraId="224F1EF4" w14:textId="77777777" w:rsidR="00590BEF" w:rsidRPr="007202FA" w:rsidRDefault="000B4F21" w:rsidP="007202FA">
            <w:pPr>
              <w:jc w:val="right"/>
              <w:rPr>
                <w:sz w:val="20"/>
                <w:szCs w:val="20"/>
              </w:rPr>
            </w:pPr>
            <w:r>
              <w:rPr>
                <w:rFonts w:cs="Calibri"/>
                <w:color w:val="000000"/>
                <w:sz w:val="20"/>
                <w:szCs w:val="20"/>
                <w:lang w:val="ga"/>
              </w:rPr>
              <w:t>85</w:t>
            </w:r>
          </w:p>
        </w:tc>
        <w:tc>
          <w:tcPr>
            <w:tcW w:w="1558" w:type="dxa"/>
            <w:tcBorders>
              <w:top w:val="single" w:sz="4" w:space="0" w:color="auto"/>
              <w:left w:val="single" w:sz="4" w:space="0" w:color="auto"/>
              <w:bottom w:val="single" w:sz="4" w:space="0" w:color="auto"/>
              <w:right w:val="single" w:sz="4" w:space="0" w:color="auto"/>
            </w:tcBorders>
            <w:hideMark/>
          </w:tcPr>
          <w:p w14:paraId="50634B02" w14:textId="77777777" w:rsidR="00590BEF" w:rsidRPr="007202FA" w:rsidRDefault="000B4F21" w:rsidP="007202FA">
            <w:pPr>
              <w:jc w:val="right"/>
              <w:rPr>
                <w:sz w:val="20"/>
                <w:szCs w:val="20"/>
              </w:rPr>
            </w:pPr>
            <w:r>
              <w:rPr>
                <w:rFonts w:cs="Calibri"/>
                <w:color w:val="000000"/>
                <w:sz w:val="20"/>
                <w:szCs w:val="20"/>
                <w:lang w:val="ga"/>
              </w:rPr>
              <w:t>12</w:t>
            </w:r>
          </w:p>
        </w:tc>
        <w:tc>
          <w:tcPr>
            <w:tcW w:w="1700" w:type="dxa"/>
            <w:tcBorders>
              <w:top w:val="single" w:sz="4" w:space="0" w:color="auto"/>
              <w:left w:val="single" w:sz="4" w:space="0" w:color="auto"/>
              <w:bottom w:val="single" w:sz="4" w:space="0" w:color="auto"/>
              <w:right w:val="single" w:sz="4" w:space="0" w:color="auto"/>
            </w:tcBorders>
            <w:hideMark/>
          </w:tcPr>
          <w:p w14:paraId="0C4179CD" w14:textId="77777777" w:rsidR="00590BEF" w:rsidRPr="007202FA" w:rsidRDefault="000B4F21" w:rsidP="007202FA">
            <w:pPr>
              <w:jc w:val="right"/>
              <w:rPr>
                <w:sz w:val="20"/>
                <w:szCs w:val="20"/>
              </w:rPr>
            </w:pPr>
            <w:r>
              <w:rPr>
                <w:rFonts w:cs="Calibri"/>
                <w:color w:val="000000"/>
                <w:sz w:val="20"/>
                <w:szCs w:val="20"/>
                <w:lang w:val="ga"/>
              </w:rPr>
              <w:t>14.1%</w:t>
            </w:r>
          </w:p>
        </w:tc>
      </w:tr>
      <w:tr w:rsidR="00F31303" w14:paraId="6198A945"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279C0734" w14:textId="77777777" w:rsidR="00590BEF" w:rsidRPr="005524D6" w:rsidRDefault="000B4F21" w:rsidP="007202FA">
            <w:pPr>
              <w:rPr>
                <w:sz w:val="20"/>
                <w:szCs w:val="20"/>
                <w:lang w:val="de-DE"/>
              </w:rPr>
            </w:pPr>
            <w:r>
              <w:rPr>
                <w:rFonts w:cs="Calibri"/>
                <w:color w:val="000000"/>
                <w:sz w:val="20"/>
                <w:szCs w:val="20"/>
                <w:lang w:val="ga"/>
              </w:rPr>
              <w:t>An Coimisiún um Athchóiriú an Dlí</w:t>
            </w:r>
          </w:p>
        </w:tc>
        <w:tc>
          <w:tcPr>
            <w:tcW w:w="1565" w:type="dxa"/>
            <w:tcBorders>
              <w:top w:val="single" w:sz="4" w:space="0" w:color="auto"/>
              <w:left w:val="single" w:sz="4" w:space="0" w:color="auto"/>
              <w:bottom w:val="single" w:sz="4" w:space="0" w:color="auto"/>
              <w:right w:val="single" w:sz="4" w:space="0" w:color="auto"/>
            </w:tcBorders>
            <w:hideMark/>
          </w:tcPr>
          <w:p w14:paraId="27CD162E" w14:textId="77777777" w:rsidR="00590BEF" w:rsidRPr="007202FA" w:rsidRDefault="000B4F21" w:rsidP="007202FA">
            <w:pPr>
              <w:jc w:val="right"/>
              <w:rPr>
                <w:sz w:val="20"/>
                <w:szCs w:val="20"/>
              </w:rPr>
            </w:pPr>
            <w:r>
              <w:rPr>
                <w:rFonts w:cs="Calibri"/>
                <w:color w:val="000000"/>
                <w:sz w:val="20"/>
                <w:szCs w:val="20"/>
                <w:lang w:val="ga"/>
              </w:rPr>
              <w:t>22</w:t>
            </w:r>
          </w:p>
        </w:tc>
        <w:tc>
          <w:tcPr>
            <w:tcW w:w="1559" w:type="dxa"/>
            <w:tcBorders>
              <w:top w:val="single" w:sz="4" w:space="0" w:color="auto"/>
              <w:left w:val="single" w:sz="4" w:space="0" w:color="auto"/>
              <w:bottom w:val="single" w:sz="4" w:space="0" w:color="auto"/>
              <w:right w:val="single" w:sz="4" w:space="0" w:color="auto"/>
            </w:tcBorders>
            <w:hideMark/>
          </w:tcPr>
          <w:p w14:paraId="01D8B6B6" w14:textId="77777777" w:rsidR="00590BEF" w:rsidRPr="007202FA" w:rsidRDefault="000B4F21" w:rsidP="007202FA">
            <w:pPr>
              <w:jc w:val="right"/>
              <w:rPr>
                <w:sz w:val="20"/>
                <w:szCs w:val="20"/>
              </w:rPr>
            </w:pPr>
            <w:r>
              <w:rPr>
                <w:rFonts w:cs="Calibri"/>
                <w:color w:val="000000"/>
                <w:sz w:val="20"/>
                <w:szCs w:val="20"/>
                <w:lang w:val="ga"/>
              </w:rPr>
              <w:t>1</w:t>
            </w:r>
          </w:p>
        </w:tc>
        <w:tc>
          <w:tcPr>
            <w:tcW w:w="1567" w:type="dxa"/>
            <w:tcBorders>
              <w:top w:val="single" w:sz="4" w:space="0" w:color="auto"/>
              <w:left w:val="single" w:sz="4" w:space="0" w:color="auto"/>
              <w:bottom w:val="single" w:sz="4" w:space="0" w:color="auto"/>
              <w:right w:val="single" w:sz="4" w:space="0" w:color="auto"/>
            </w:tcBorders>
            <w:hideMark/>
          </w:tcPr>
          <w:p w14:paraId="71E608FB" w14:textId="77777777" w:rsidR="00590BEF" w:rsidRPr="007202FA" w:rsidRDefault="000B4F21" w:rsidP="007202FA">
            <w:pPr>
              <w:jc w:val="right"/>
              <w:rPr>
                <w:sz w:val="20"/>
                <w:szCs w:val="20"/>
              </w:rPr>
            </w:pPr>
            <w:r>
              <w:rPr>
                <w:rFonts w:cs="Calibri"/>
                <w:color w:val="000000"/>
                <w:sz w:val="20"/>
                <w:szCs w:val="20"/>
                <w:lang w:val="ga"/>
              </w:rPr>
              <w:t>4.5%</w:t>
            </w:r>
          </w:p>
        </w:tc>
        <w:tc>
          <w:tcPr>
            <w:tcW w:w="1700" w:type="dxa"/>
            <w:tcBorders>
              <w:top w:val="single" w:sz="4" w:space="0" w:color="auto"/>
              <w:left w:val="single" w:sz="4" w:space="0" w:color="auto"/>
              <w:bottom w:val="single" w:sz="4" w:space="0" w:color="auto"/>
              <w:right w:val="single" w:sz="4" w:space="0" w:color="auto"/>
            </w:tcBorders>
            <w:hideMark/>
          </w:tcPr>
          <w:p w14:paraId="20F36D1D" w14:textId="77777777" w:rsidR="00590BEF" w:rsidRPr="007202FA" w:rsidRDefault="000B4F21" w:rsidP="007202FA">
            <w:pPr>
              <w:jc w:val="right"/>
              <w:rPr>
                <w:sz w:val="20"/>
                <w:szCs w:val="20"/>
              </w:rPr>
            </w:pPr>
            <w:r>
              <w:rPr>
                <w:rFonts w:cs="Calibri"/>
                <w:color w:val="000000"/>
                <w:sz w:val="20"/>
                <w:szCs w:val="20"/>
                <w:lang w:val="ga"/>
              </w:rPr>
              <w:t>24</w:t>
            </w:r>
          </w:p>
        </w:tc>
        <w:tc>
          <w:tcPr>
            <w:tcW w:w="1558" w:type="dxa"/>
            <w:tcBorders>
              <w:top w:val="single" w:sz="4" w:space="0" w:color="auto"/>
              <w:left w:val="single" w:sz="4" w:space="0" w:color="auto"/>
              <w:bottom w:val="single" w:sz="4" w:space="0" w:color="auto"/>
              <w:right w:val="single" w:sz="4" w:space="0" w:color="auto"/>
            </w:tcBorders>
            <w:hideMark/>
          </w:tcPr>
          <w:p w14:paraId="35ADB98B" w14:textId="77777777" w:rsidR="00590BEF" w:rsidRPr="007202FA" w:rsidRDefault="000B4F21" w:rsidP="007202FA">
            <w:pPr>
              <w:jc w:val="right"/>
              <w:rPr>
                <w:sz w:val="20"/>
                <w:szCs w:val="20"/>
              </w:rPr>
            </w:pPr>
            <w:r>
              <w:rPr>
                <w:rFonts w:cs="Calibri"/>
                <w:color w:val="000000"/>
                <w:sz w:val="20"/>
                <w:szCs w:val="20"/>
                <w:lang w:val="ga"/>
              </w:rPr>
              <w:t>3</w:t>
            </w:r>
          </w:p>
        </w:tc>
        <w:tc>
          <w:tcPr>
            <w:tcW w:w="1700" w:type="dxa"/>
            <w:tcBorders>
              <w:top w:val="single" w:sz="4" w:space="0" w:color="auto"/>
              <w:left w:val="single" w:sz="4" w:space="0" w:color="auto"/>
              <w:bottom w:val="single" w:sz="4" w:space="0" w:color="auto"/>
              <w:right w:val="single" w:sz="4" w:space="0" w:color="auto"/>
            </w:tcBorders>
            <w:hideMark/>
          </w:tcPr>
          <w:p w14:paraId="64B3D253" w14:textId="77777777" w:rsidR="00590BEF" w:rsidRPr="007202FA" w:rsidRDefault="000B4F21" w:rsidP="007202FA">
            <w:pPr>
              <w:jc w:val="right"/>
              <w:rPr>
                <w:sz w:val="20"/>
                <w:szCs w:val="20"/>
              </w:rPr>
            </w:pPr>
            <w:r>
              <w:rPr>
                <w:rFonts w:cs="Calibri"/>
                <w:color w:val="000000"/>
                <w:sz w:val="20"/>
                <w:szCs w:val="20"/>
                <w:lang w:val="ga"/>
              </w:rPr>
              <w:t>12.5%</w:t>
            </w:r>
          </w:p>
        </w:tc>
      </w:tr>
      <w:tr w:rsidR="00F31303" w14:paraId="4B8765F4"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8A2A438" w14:textId="77777777" w:rsidR="00590BEF" w:rsidRPr="005524D6" w:rsidRDefault="000B4F21" w:rsidP="007202FA">
            <w:pPr>
              <w:rPr>
                <w:sz w:val="20"/>
                <w:szCs w:val="20"/>
                <w:lang w:val="de-DE"/>
              </w:rPr>
            </w:pPr>
            <w:r>
              <w:rPr>
                <w:rFonts w:cs="Calibri"/>
                <w:b/>
                <w:bCs/>
                <w:color w:val="000000"/>
                <w:sz w:val="20"/>
                <w:szCs w:val="20"/>
                <w:lang w:val="ga"/>
              </w:rPr>
              <w:t>*</w:t>
            </w:r>
            <w:r>
              <w:rPr>
                <w:rFonts w:cs="Calibri"/>
                <w:color w:val="000000"/>
                <w:sz w:val="20"/>
                <w:szCs w:val="20"/>
                <w:lang w:val="ga"/>
              </w:rPr>
              <w:t>An Bord um Chúnamh Dlíthiúil</w:t>
            </w:r>
          </w:p>
        </w:tc>
        <w:tc>
          <w:tcPr>
            <w:tcW w:w="1565" w:type="dxa"/>
            <w:tcBorders>
              <w:top w:val="single" w:sz="4" w:space="0" w:color="auto"/>
              <w:left w:val="single" w:sz="4" w:space="0" w:color="auto"/>
              <w:bottom w:val="single" w:sz="4" w:space="0" w:color="auto"/>
              <w:right w:val="single" w:sz="4" w:space="0" w:color="auto"/>
            </w:tcBorders>
            <w:hideMark/>
          </w:tcPr>
          <w:p w14:paraId="5282BE40" w14:textId="77777777" w:rsidR="00590BEF" w:rsidRPr="007202FA" w:rsidRDefault="000B4F21" w:rsidP="007202FA">
            <w:pPr>
              <w:jc w:val="right"/>
              <w:rPr>
                <w:sz w:val="20"/>
                <w:szCs w:val="20"/>
              </w:rPr>
            </w:pPr>
            <w:r>
              <w:rPr>
                <w:rFonts w:cs="Calibri"/>
                <w:color w:val="000000"/>
                <w:sz w:val="20"/>
                <w:szCs w:val="20"/>
                <w:lang w:val="ga"/>
              </w:rPr>
              <w:t>544</w:t>
            </w:r>
          </w:p>
        </w:tc>
        <w:tc>
          <w:tcPr>
            <w:tcW w:w="1559" w:type="dxa"/>
            <w:tcBorders>
              <w:top w:val="single" w:sz="4" w:space="0" w:color="auto"/>
              <w:left w:val="single" w:sz="4" w:space="0" w:color="auto"/>
              <w:bottom w:val="single" w:sz="4" w:space="0" w:color="auto"/>
              <w:right w:val="single" w:sz="4" w:space="0" w:color="auto"/>
            </w:tcBorders>
            <w:hideMark/>
          </w:tcPr>
          <w:p w14:paraId="7CC98925" w14:textId="77777777" w:rsidR="00590BEF" w:rsidRPr="007202FA" w:rsidRDefault="000B4F21" w:rsidP="007202FA">
            <w:pPr>
              <w:jc w:val="right"/>
              <w:rPr>
                <w:sz w:val="20"/>
                <w:szCs w:val="20"/>
              </w:rPr>
            </w:pPr>
            <w:r>
              <w:rPr>
                <w:rFonts w:cs="Calibri"/>
                <w:color w:val="000000"/>
                <w:sz w:val="20"/>
                <w:szCs w:val="20"/>
                <w:lang w:val="ga"/>
              </w:rPr>
              <w:t>33</w:t>
            </w:r>
          </w:p>
        </w:tc>
        <w:tc>
          <w:tcPr>
            <w:tcW w:w="1567" w:type="dxa"/>
            <w:tcBorders>
              <w:top w:val="single" w:sz="4" w:space="0" w:color="auto"/>
              <w:left w:val="single" w:sz="4" w:space="0" w:color="auto"/>
              <w:bottom w:val="single" w:sz="4" w:space="0" w:color="auto"/>
              <w:right w:val="single" w:sz="4" w:space="0" w:color="auto"/>
            </w:tcBorders>
            <w:hideMark/>
          </w:tcPr>
          <w:p w14:paraId="5A9F3FDC" w14:textId="77777777" w:rsidR="00590BEF" w:rsidRPr="007202FA" w:rsidRDefault="000B4F21" w:rsidP="007202FA">
            <w:pPr>
              <w:jc w:val="right"/>
              <w:rPr>
                <w:sz w:val="20"/>
                <w:szCs w:val="20"/>
              </w:rPr>
            </w:pPr>
            <w:r>
              <w:rPr>
                <w:rFonts w:cs="Calibri"/>
                <w:color w:val="000000"/>
                <w:sz w:val="20"/>
                <w:szCs w:val="20"/>
                <w:lang w:val="ga"/>
              </w:rPr>
              <w:t>6.1%</w:t>
            </w:r>
          </w:p>
        </w:tc>
        <w:tc>
          <w:tcPr>
            <w:tcW w:w="1700" w:type="dxa"/>
            <w:tcBorders>
              <w:top w:val="single" w:sz="4" w:space="0" w:color="auto"/>
              <w:left w:val="single" w:sz="4" w:space="0" w:color="auto"/>
              <w:bottom w:val="single" w:sz="4" w:space="0" w:color="auto"/>
              <w:right w:val="single" w:sz="4" w:space="0" w:color="auto"/>
            </w:tcBorders>
            <w:hideMark/>
          </w:tcPr>
          <w:p w14:paraId="2A61B8A9" w14:textId="77777777" w:rsidR="00590BEF" w:rsidRPr="007202FA" w:rsidRDefault="000B4F21" w:rsidP="007202FA">
            <w:pPr>
              <w:jc w:val="right"/>
              <w:rPr>
                <w:sz w:val="20"/>
                <w:szCs w:val="20"/>
              </w:rPr>
            </w:pPr>
            <w:r>
              <w:rPr>
                <w:rFonts w:cs="Calibri"/>
                <w:color w:val="000000"/>
                <w:sz w:val="20"/>
                <w:szCs w:val="20"/>
                <w:lang w:val="ga"/>
              </w:rPr>
              <w:t>571</w:t>
            </w:r>
          </w:p>
        </w:tc>
        <w:tc>
          <w:tcPr>
            <w:tcW w:w="1558" w:type="dxa"/>
            <w:tcBorders>
              <w:top w:val="single" w:sz="4" w:space="0" w:color="auto"/>
              <w:left w:val="single" w:sz="4" w:space="0" w:color="auto"/>
              <w:bottom w:val="single" w:sz="4" w:space="0" w:color="auto"/>
              <w:right w:val="single" w:sz="4" w:space="0" w:color="auto"/>
            </w:tcBorders>
            <w:hideMark/>
          </w:tcPr>
          <w:p w14:paraId="01F5E7CA" w14:textId="77777777" w:rsidR="00590BEF" w:rsidRPr="007202FA" w:rsidRDefault="000B4F21" w:rsidP="007202FA">
            <w:pPr>
              <w:jc w:val="right"/>
              <w:rPr>
                <w:sz w:val="20"/>
                <w:szCs w:val="20"/>
              </w:rPr>
            </w:pPr>
            <w:r>
              <w:rPr>
                <w:rFonts w:cs="Calibri"/>
                <w:color w:val="000000"/>
                <w:sz w:val="20"/>
                <w:szCs w:val="20"/>
                <w:lang w:val="ga"/>
              </w:rPr>
              <w:t>44</w:t>
            </w:r>
          </w:p>
        </w:tc>
        <w:tc>
          <w:tcPr>
            <w:tcW w:w="1700" w:type="dxa"/>
            <w:tcBorders>
              <w:top w:val="single" w:sz="4" w:space="0" w:color="auto"/>
              <w:left w:val="single" w:sz="4" w:space="0" w:color="auto"/>
              <w:bottom w:val="single" w:sz="4" w:space="0" w:color="auto"/>
              <w:right w:val="single" w:sz="4" w:space="0" w:color="auto"/>
            </w:tcBorders>
            <w:hideMark/>
          </w:tcPr>
          <w:p w14:paraId="51C9F34B" w14:textId="77777777" w:rsidR="00590BEF" w:rsidRPr="007202FA" w:rsidRDefault="000B4F21" w:rsidP="007202FA">
            <w:pPr>
              <w:jc w:val="right"/>
              <w:rPr>
                <w:sz w:val="20"/>
                <w:szCs w:val="20"/>
              </w:rPr>
            </w:pPr>
            <w:r>
              <w:rPr>
                <w:rFonts w:cs="Calibri"/>
                <w:color w:val="000000"/>
                <w:sz w:val="20"/>
                <w:szCs w:val="20"/>
                <w:lang w:val="ga"/>
              </w:rPr>
              <w:t>7.7%</w:t>
            </w:r>
          </w:p>
        </w:tc>
      </w:tr>
      <w:tr w:rsidR="00F31303" w14:paraId="071C206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245F2D17" w14:textId="77777777" w:rsidR="00590BEF" w:rsidRPr="007202FA" w:rsidRDefault="000B4F21" w:rsidP="007202FA">
            <w:pPr>
              <w:rPr>
                <w:rFonts w:cs="Calibri"/>
                <w:color w:val="000000"/>
                <w:sz w:val="20"/>
                <w:szCs w:val="20"/>
              </w:rPr>
            </w:pPr>
            <w:r>
              <w:rPr>
                <w:rFonts w:cs="Calibri"/>
                <w:color w:val="000000"/>
                <w:sz w:val="20"/>
                <w:szCs w:val="20"/>
                <w:lang w:val="ga"/>
              </w:rPr>
              <w:t>An tÚdarás Rialála Limistéir Mhuirí</w:t>
            </w:r>
            <w:r>
              <w:rPr>
                <w:rStyle w:val="FootnoteReference"/>
                <w:rFonts w:cs="Calibri"/>
                <w:color w:val="000000"/>
                <w:sz w:val="20"/>
                <w:szCs w:val="20"/>
                <w:lang w:val="ga"/>
              </w:rPr>
              <w:footnoteReference w:id="16"/>
            </w:r>
            <w:r>
              <w:rPr>
                <w:rFonts w:cs="Calibri"/>
                <w:color w:val="000000"/>
                <w:sz w:val="20"/>
                <w:szCs w:val="20"/>
                <w:lang w:val="ga"/>
              </w:rPr>
              <w:t xml:space="preserve"> </w:t>
            </w:r>
          </w:p>
        </w:tc>
        <w:tc>
          <w:tcPr>
            <w:tcW w:w="1565" w:type="dxa"/>
            <w:tcBorders>
              <w:top w:val="single" w:sz="4" w:space="0" w:color="auto"/>
              <w:left w:val="single" w:sz="4" w:space="0" w:color="auto"/>
              <w:bottom w:val="single" w:sz="4" w:space="0" w:color="auto"/>
              <w:right w:val="single" w:sz="4" w:space="0" w:color="auto"/>
            </w:tcBorders>
            <w:hideMark/>
          </w:tcPr>
          <w:p w14:paraId="725190F6" w14:textId="77777777" w:rsidR="00590BEF" w:rsidRPr="007202FA" w:rsidRDefault="000B4F21" w:rsidP="007202FA">
            <w:pPr>
              <w:jc w:val="right"/>
              <w:rPr>
                <w:rFonts w:cs="Calibri"/>
                <w:color w:val="000000"/>
                <w:sz w:val="20"/>
                <w:szCs w:val="20"/>
              </w:rPr>
            </w:pPr>
            <w:r>
              <w:rPr>
                <w:rFonts w:cs="Calibri"/>
                <w:color w:val="000000"/>
                <w:sz w:val="20"/>
                <w:szCs w:val="20"/>
                <w:lang w:val="ga"/>
              </w:rPr>
              <w:t>-</w:t>
            </w:r>
          </w:p>
        </w:tc>
        <w:tc>
          <w:tcPr>
            <w:tcW w:w="1559" w:type="dxa"/>
            <w:tcBorders>
              <w:top w:val="single" w:sz="4" w:space="0" w:color="auto"/>
              <w:left w:val="single" w:sz="4" w:space="0" w:color="auto"/>
              <w:bottom w:val="single" w:sz="4" w:space="0" w:color="auto"/>
              <w:right w:val="single" w:sz="4" w:space="0" w:color="auto"/>
            </w:tcBorders>
            <w:hideMark/>
          </w:tcPr>
          <w:p w14:paraId="3E3323C1" w14:textId="77777777" w:rsidR="00590BEF" w:rsidRPr="007202FA" w:rsidRDefault="000B4F21" w:rsidP="007202FA">
            <w:pPr>
              <w:jc w:val="right"/>
              <w:rPr>
                <w:rFonts w:cs="Calibri"/>
                <w:color w:val="000000"/>
                <w:sz w:val="20"/>
                <w:szCs w:val="20"/>
              </w:rPr>
            </w:pPr>
            <w:r>
              <w:rPr>
                <w:rFonts w:cs="Calibri"/>
                <w:color w:val="000000"/>
                <w:sz w:val="20"/>
                <w:szCs w:val="20"/>
                <w:lang w:val="ga"/>
              </w:rPr>
              <w:t>-</w:t>
            </w:r>
          </w:p>
        </w:tc>
        <w:tc>
          <w:tcPr>
            <w:tcW w:w="1567" w:type="dxa"/>
            <w:tcBorders>
              <w:top w:val="single" w:sz="4" w:space="0" w:color="auto"/>
              <w:left w:val="single" w:sz="4" w:space="0" w:color="auto"/>
              <w:bottom w:val="single" w:sz="4" w:space="0" w:color="auto"/>
              <w:right w:val="single" w:sz="4" w:space="0" w:color="auto"/>
            </w:tcBorders>
            <w:hideMark/>
          </w:tcPr>
          <w:p w14:paraId="4AEF7CA7" w14:textId="77777777" w:rsidR="00590BEF" w:rsidRPr="007202FA" w:rsidRDefault="000B4F21" w:rsidP="007202FA">
            <w:pPr>
              <w:jc w:val="right"/>
              <w:rPr>
                <w:rFonts w:cs="Calibri"/>
                <w:color w:val="000000"/>
                <w:sz w:val="20"/>
                <w:szCs w:val="20"/>
              </w:rPr>
            </w:pPr>
            <w:r>
              <w:rPr>
                <w:rFonts w:cs="Calibri"/>
                <w:color w:val="000000"/>
                <w:sz w:val="20"/>
                <w:szCs w:val="20"/>
                <w:lang w:val="ga"/>
              </w:rPr>
              <w:t>-</w:t>
            </w:r>
          </w:p>
        </w:tc>
        <w:tc>
          <w:tcPr>
            <w:tcW w:w="1700" w:type="dxa"/>
            <w:tcBorders>
              <w:top w:val="single" w:sz="4" w:space="0" w:color="auto"/>
              <w:left w:val="single" w:sz="4" w:space="0" w:color="auto"/>
              <w:bottom w:val="single" w:sz="4" w:space="0" w:color="auto"/>
              <w:right w:val="single" w:sz="4" w:space="0" w:color="auto"/>
            </w:tcBorders>
            <w:hideMark/>
          </w:tcPr>
          <w:p w14:paraId="608DEED4" w14:textId="77777777" w:rsidR="00590BEF" w:rsidRPr="007202FA" w:rsidRDefault="000B4F21" w:rsidP="007202FA">
            <w:pPr>
              <w:jc w:val="right"/>
              <w:rPr>
                <w:rFonts w:cs="Calibri"/>
                <w:color w:val="000000"/>
                <w:sz w:val="20"/>
                <w:szCs w:val="20"/>
              </w:rPr>
            </w:pPr>
            <w:r>
              <w:rPr>
                <w:rFonts w:cs="Calibri"/>
                <w:color w:val="000000"/>
                <w:sz w:val="20"/>
                <w:szCs w:val="20"/>
                <w:lang w:val="ga"/>
              </w:rPr>
              <w:t>51</w:t>
            </w:r>
          </w:p>
        </w:tc>
        <w:tc>
          <w:tcPr>
            <w:tcW w:w="1558" w:type="dxa"/>
            <w:tcBorders>
              <w:top w:val="single" w:sz="4" w:space="0" w:color="auto"/>
              <w:left w:val="single" w:sz="4" w:space="0" w:color="auto"/>
              <w:bottom w:val="single" w:sz="4" w:space="0" w:color="auto"/>
              <w:right w:val="single" w:sz="4" w:space="0" w:color="auto"/>
            </w:tcBorders>
            <w:hideMark/>
          </w:tcPr>
          <w:p w14:paraId="401024E4" w14:textId="77777777" w:rsidR="00590BEF" w:rsidRPr="007202FA" w:rsidRDefault="000B4F21" w:rsidP="007202FA">
            <w:pPr>
              <w:jc w:val="right"/>
              <w:rPr>
                <w:rFonts w:cs="Calibri"/>
                <w:color w:val="000000"/>
                <w:sz w:val="20"/>
                <w:szCs w:val="20"/>
              </w:rPr>
            </w:pPr>
            <w:r>
              <w:rPr>
                <w:rFonts w:cs="Calibri"/>
                <w:color w:val="000000"/>
                <w:sz w:val="20"/>
                <w:szCs w:val="20"/>
                <w:lang w:val="ga"/>
              </w:rPr>
              <w:t>9</w:t>
            </w:r>
          </w:p>
        </w:tc>
        <w:tc>
          <w:tcPr>
            <w:tcW w:w="1700" w:type="dxa"/>
            <w:tcBorders>
              <w:top w:val="single" w:sz="4" w:space="0" w:color="auto"/>
              <w:left w:val="single" w:sz="4" w:space="0" w:color="auto"/>
              <w:bottom w:val="single" w:sz="4" w:space="0" w:color="auto"/>
              <w:right w:val="single" w:sz="4" w:space="0" w:color="auto"/>
            </w:tcBorders>
            <w:hideMark/>
          </w:tcPr>
          <w:p w14:paraId="46640B8E" w14:textId="77777777" w:rsidR="00590BEF" w:rsidRPr="007202FA" w:rsidRDefault="000B4F21" w:rsidP="007202FA">
            <w:pPr>
              <w:jc w:val="right"/>
              <w:rPr>
                <w:rFonts w:cs="Calibri"/>
                <w:color w:val="000000"/>
                <w:sz w:val="20"/>
                <w:szCs w:val="20"/>
              </w:rPr>
            </w:pPr>
            <w:r>
              <w:rPr>
                <w:rFonts w:cs="Calibri"/>
                <w:color w:val="000000"/>
                <w:sz w:val="20"/>
                <w:szCs w:val="20"/>
                <w:lang w:val="ga"/>
              </w:rPr>
              <w:t>17.6%</w:t>
            </w:r>
          </w:p>
        </w:tc>
      </w:tr>
      <w:tr w:rsidR="00F31303" w14:paraId="13981014"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D14C745" w14:textId="77777777" w:rsidR="00590BEF" w:rsidRPr="007202FA" w:rsidRDefault="000B4F21" w:rsidP="007202FA">
            <w:pPr>
              <w:rPr>
                <w:sz w:val="20"/>
                <w:szCs w:val="20"/>
              </w:rPr>
            </w:pPr>
            <w:r>
              <w:rPr>
                <w:rFonts w:cs="Calibri"/>
                <w:color w:val="000000"/>
                <w:sz w:val="20"/>
                <w:szCs w:val="20"/>
                <w:lang w:val="ga"/>
              </w:rPr>
              <w:t>An Chomhairle Náisiúnta Curaclaim agus Measúnachta</w:t>
            </w:r>
          </w:p>
        </w:tc>
        <w:tc>
          <w:tcPr>
            <w:tcW w:w="1565" w:type="dxa"/>
            <w:tcBorders>
              <w:top w:val="single" w:sz="4" w:space="0" w:color="auto"/>
              <w:left w:val="single" w:sz="4" w:space="0" w:color="auto"/>
              <w:bottom w:val="single" w:sz="4" w:space="0" w:color="auto"/>
              <w:right w:val="single" w:sz="4" w:space="0" w:color="auto"/>
            </w:tcBorders>
            <w:hideMark/>
          </w:tcPr>
          <w:p w14:paraId="012D7B76" w14:textId="77777777" w:rsidR="00590BEF" w:rsidRPr="007202FA" w:rsidRDefault="000B4F21" w:rsidP="007202FA">
            <w:pPr>
              <w:jc w:val="right"/>
              <w:rPr>
                <w:sz w:val="20"/>
                <w:szCs w:val="20"/>
              </w:rPr>
            </w:pPr>
            <w:r>
              <w:rPr>
                <w:rFonts w:cs="Calibri"/>
                <w:color w:val="000000"/>
                <w:sz w:val="20"/>
                <w:szCs w:val="20"/>
                <w:lang w:val="ga"/>
              </w:rPr>
              <w:t>58</w:t>
            </w:r>
          </w:p>
        </w:tc>
        <w:tc>
          <w:tcPr>
            <w:tcW w:w="1559" w:type="dxa"/>
            <w:tcBorders>
              <w:top w:val="single" w:sz="4" w:space="0" w:color="auto"/>
              <w:left w:val="single" w:sz="4" w:space="0" w:color="auto"/>
              <w:bottom w:val="single" w:sz="4" w:space="0" w:color="auto"/>
              <w:right w:val="single" w:sz="4" w:space="0" w:color="auto"/>
            </w:tcBorders>
            <w:hideMark/>
          </w:tcPr>
          <w:p w14:paraId="48E605BB" w14:textId="77777777" w:rsidR="00590BEF" w:rsidRPr="007202FA" w:rsidRDefault="000B4F21" w:rsidP="007202FA">
            <w:pPr>
              <w:jc w:val="right"/>
              <w:rPr>
                <w:sz w:val="20"/>
                <w:szCs w:val="20"/>
              </w:rPr>
            </w:pPr>
            <w:r>
              <w:rPr>
                <w:rFonts w:cs="Calibri"/>
                <w:color w:val="000000"/>
                <w:sz w:val="20"/>
                <w:szCs w:val="20"/>
                <w:lang w:val="ga"/>
              </w:rPr>
              <w:t>3</w:t>
            </w:r>
          </w:p>
        </w:tc>
        <w:tc>
          <w:tcPr>
            <w:tcW w:w="1567" w:type="dxa"/>
            <w:tcBorders>
              <w:top w:val="single" w:sz="4" w:space="0" w:color="auto"/>
              <w:left w:val="single" w:sz="4" w:space="0" w:color="auto"/>
              <w:bottom w:val="single" w:sz="4" w:space="0" w:color="auto"/>
              <w:right w:val="single" w:sz="4" w:space="0" w:color="auto"/>
            </w:tcBorders>
            <w:hideMark/>
          </w:tcPr>
          <w:p w14:paraId="3B76A2B0" w14:textId="77777777" w:rsidR="00590BEF" w:rsidRPr="007202FA" w:rsidRDefault="000B4F21" w:rsidP="007202FA">
            <w:pPr>
              <w:jc w:val="right"/>
              <w:rPr>
                <w:sz w:val="20"/>
                <w:szCs w:val="20"/>
              </w:rPr>
            </w:pPr>
            <w:r>
              <w:rPr>
                <w:rFonts w:cs="Calibri"/>
                <w:color w:val="000000"/>
                <w:sz w:val="20"/>
                <w:szCs w:val="20"/>
                <w:lang w:val="ga"/>
              </w:rPr>
              <w:t>5.2%</w:t>
            </w:r>
          </w:p>
        </w:tc>
        <w:tc>
          <w:tcPr>
            <w:tcW w:w="1700" w:type="dxa"/>
            <w:tcBorders>
              <w:top w:val="single" w:sz="4" w:space="0" w:color="auto"/>
              <w:left w:val="single" w:sz="4" w:space="0" w:color="auto"/>
              <w:bottom w:val="single" w:sz="4" w:space="0" w:color="auto"/>
              <w:right w:val="single" w:sz="4" w:space="0" w:color="auto"/>
            </w:tcBorders>
            <w:hideMark/>
          </w:tcPr>
          <w:p w14:paraId="514C1161" w14:textId="77777777" w:rsidR="00590BEF" w:rsidRPr="007202FA" w:rsidRDefault="000B4F21" w:rsidP="007202FA">
            <w:pPr>
              <w:jc w:val="right"/>
              <w:rPr>
                <w:rFonts w:cs="Calibri"/>
                <w:color w:val="000000"/>
                <w:sz w:val="20"/>
                <w:szCs w:val="20"/>
              </w:rPr>
            </w:pPr>
            <w:r>
              <w:rPr>
                <w:rFonts w:cs="Calibri"/>
                <w:color w:val="000000"/>
                <w:sz w:val="20"/>
                <w:szCs w:val="20"/>
                <w:lang w:val="ga"/>
              </w:rPr>
              <w:t>70</w:t>
            </w:r>
          </w:p>
        </w:tc>
        <w:tc>
          <w:tcPr>
            <w:tcW w:w="1558" w:type="dxa"/>
            <w:tcBorders>
              <w:top w:val="single" w:sz="4" w:space="0" w:color="auto"/>
              <w:left w:val="single" w:sz="4" w:space="0" w:color="auto"/>
              <w:bottom w:val="single" w:sz="4" w:space="0" w:color="auto"/>
              <w:right w:val="single" w:sz="4" w:space="0" w:color="auto"/>
            </w:tcBorders>
            <w:hideMark/>
          </w:tcPr>
          <w:p w14:paraId="6E438F1A" w14:textId="77777777" w:rsidR="00590BEF" w:rsidRPr="007202FA" w:rsidRDefault="000B4F21" w:rsidP="007202FA">
            <w:pPr>
              <w:jc w:val="right"/>
              <w:rPr>
                <w:rFonts w:cs="Calibri"/>
                <w:color w:val="000000"/>
                <w:sz w:val="20"/>
                <w:szCs w:val="20"/>
              </w:rPr>
            </w:pPr>
            <w:r>
              <w:rPr>
                <w:rFonts w:cs="Calibri"/>
                <w:color w:val="000000"/>
                <w:sz w:val="20"/>
                <w:szCs w:val="20"/>
                <w:lang w:val="ga"/>
              </w:rPr>
              <w:t>4</w:t>
            </w:r>
          </w:p>
        </w:tc>
        <w:tc>
          <w:tcPr>
            <w:tcW w:w="1700" w:type="dxa"/>
            <w:tcBorders>
              <w:top w:val="single" w:sz="4" w:space="0" w:color="auto"/>
              <w:left w:val="single" w:sz="4" w:space="0" w:color="auto"/>
              <w:bottom w:val="single" w:sz="4" w:space="0" w:color="auto"/>
              <w:right w:val="single" w:sz="4" w:space="0" w:color="auto"/>
            </w:tcBorders>
            <w:hideMark/>
          </w:tcPr>
          <w:p w14:paraId="30D5C29F" w14:textId="77777777" w:rsidR="00590BEF" w:rsidRPr="007202FA" w:rsidRDefault="000B4F21" w:rsidP="007202FA">
            <w:pPr>
              <w:jc w:val="right"/>
              <w:rPr>
                <w:rFonts w:cs="Calibri"/>
                <w:color w:val="000000"/>
                <w:sz w:val="20"/>
                <w:szCs w:val="20"/>
              </w:rPr>
            </w:pPr>
            <w:r>
              <w:rPr>
                <w:rFonts w:cs="Calibri"/>
                <w:color w:val="000000"/>
                <w:sz w:val="20"/>
                <w:szCs w:val="20"/>
                <w:lang w:val="ga"/>
              </w:rPr>
              <w:t>5.7%</w:t>
            </w:r>
          </w:p>
        </w:tc>
      </w:tr>
      <w:tr w:rsidR="00F31303" w14:paraId="2AC09FA1"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4BAD793A" w14:textId="77777777" w:rsidR="00590BEF" w:rsidRPr="007202FA" w:rsidRDefault="000B4F21" w:rsidP="007202FA">
            <w:pPr>
              <w:rPr>
                <w:sz w:val="20"/>
                <w:szCs w:val="20"/>
              </w:rPr>
            </w:pPr>
            <w:r>
              <w:rPr>
                <w:rFonts w:cs="Calibri"/>
                <w:color w:val="000000"/>
                <w:sz w:val="20"/>
                <w:szCs w:val="20"/>
                <w:lang w:val="ga"/>
              </w:rPr>
              <w:t>An Chomhairle Náisiúnta um Oideachas Speisialta</w:t>
            </w:r>
          </w:p>
        </w:tc>
        <w:tc>
          <w:tcPr>
            <w:tcW w:w="1565" w:type="dxa"/>
            <w:tcBorders>
              <w:top w:val="single" w:sz="4" w:space="0" w:color="auto"/>
              <w:left w:val="single" w:sz="4" w:space="0" w:color="auto"/>
              <w:bottom w:val="single" w:sz="4" w:space="0" w:color="auto"/>
              <w:right w:val="single" w:sz="4" w:space="0" w:color="auto"/>
            </w:tcBorders>
            <w:hideMark/>
          </w:tcPr>
          <w:p w14:paraId="5910751E" w14:textId="77777777" w:rsidR="00590BEF" w:rsidRPr="007202FA" w:rsidRDefault="000B4F21" w:rsidP="007202FA">
            <w:pPr>
              <w:jc w:val="right"/>
              <w:rPr>
                <w:sz w:val="20"/>
                <w:szCs w:val="20"/>
              </w:rPr>
            </w:pPr>
            <w:r>
              <w:rPr>
                <w:rFonts w:cs="Calibri"/>
                <w:color w:val="000000"/>
                <w:sz w:val="20"/>
                <w:szCs w:val="20"/>
                <w:lang w:val="ga"/>
              </w:rPr>
              <w:t>279</w:t>
            </w:r>
          </w:p>
        </w:tc>
        <w:tc>
          <w:tcPr>
            <w:tcW w:w="1559" w:type="dxa"/>
            <w:tcBorders>
              <w:top w:val="single" w:sz="4" w:space="0" w:color="auto"/>
              <w:left w:val="single" w:sz="4" w:space="0" w:color="auto"/>
              <w:bottom w:val="single" w:sz="4" w:space="0" w:color="auto"/>
              <w:right w:val="single" w:sz="4" w:space="0" w:color="auto"/>
            </w:tcBorders>
            <w:hideMark/>
          </w:tcPr>
          <w:p w14:paraId="6769F1F0" w14:textId="77777777" w:rsidR="00590BEF" w:rsidRPr="007202FA" w:rsidRDefault="000B4F21" w:rsidP="007202FA">
            <w:pPr>
              <w:jc w:val="right"/>
              <w:rPr>
                <w:sz w:val="20"/>
                <w:szCs w:val="20"/>
              </w:rPr>
            </w:pPr>
            <w:r>
              <w:rPr>
                <w:rFonts w:cs="Calibri"/>
                <w:color w:val="000000"/>
                <w:sz w:val="20"/>
                <w:szCs w:val="20"/>
                <w:lang w:val="ga"/>
              </w:rPr>
              <w:t>32</w:t>
            </w:r>
          </w:p>
        </w:tc>
        <w:tc>
          <w:tcPr>
            <w:tcW w:w="1567" w:type="dxa"/>
            <w:tcBorders>
              <w:top w:val="single" w:sz="4" w:space="0" w:color="auto"/>
              <w:left w:val="single" w:sz="4" w:space="0" w:color="auto"/>
              <w:bottom w:val="single" w:sz="4" w:space="0" w:color="auto"/>
              <w:right w:val="single" w:sz="4" w:space="0" w:color="auto"/>
            </w:tcBorders>
            <w:hideMark/>
          </w:tcPr>
          <w:p w14:paraId="66736F8F" w14:textId="77777777" w:rsidR="00590BEF" w:rsidRPr="007202FA" w:rsidRDefault="000B4F21" w:rsidP="007202FA">
            <w:pPr>
              <w:jc w:val="right"/>
              <w:rPr>
                <w:sz w:val="20"/>
                <w:szCs w:val="20"/>
              </w:rPr>
            </w:pPr>
            <w:r>
              <w:rPr>
                <w:rFonts w:cs="Calibri"/>
                <w:color w:val="000000"/>
                <w:sz w:val="20"/>
                <w:szCs w:val="20"/>
                <w:lang w:val="ga"/>
              </w:rPr>
              <w:t>11.5%</w:t>
            </w:r>
          </w:p>
        </w:tc>
        <w:tc>
          <w:tcPr>
            <w:tcW w:w="1700" w:type="dxa"/>
            <w:tcBorders>
              <w:top w:val="single" w:sz="4" w:space="0" w:color="auto"/>
              <w:left w:val="single" w:sz="4" w:space="0" w:color="auto"/>
              <w:bottom w:val="single" w:sz="4" w:space="0" w:color="auto"/>
              <w:right w:val="single" w:sz="4" w:space="0" w:color="auto"/>
            </w:tcBorders>
            <w:hideMark/>
          </w:tcPr>
          <w:p w14:paraId="758BA5F3" w14:textId="77777777" w:rsidR="00590BEF" w:rsidRPr="007202FA" w:rsidRDefault="000B4F21" w:rsidP="007202FA">
            <w:pPr>
              <w:jc w:val="right"/>
              <w:rPr>
                <w:rFonts w:cs="Calibri"/>
                <w:color w:val="000000"/>
                <w:sz w:val="20"/>
                <w:szCs w:val="20"/>
              </w:rPr>
            </w:pPr>
            <w:r>
              <w:rPr>
                <w:rFonts w:cs="Calibri"/>
                <w:color w:val="000000"/>
                <w:sz w:val="20"/>
                <w:szCs w:val="20"/>
                <w:lang w:val="ga"/>
              </w:rPr>
              <w:t>413</w:t>
            </w:r>
          </w:p>
        </w:tc>
        <w:tc>
          <w:tcPr>
            <w:tcW w:w="1558" w:type="dxa"/>
            <w:tcBorders>
              <w:top w:val="single" w:sz="4" w:space="0" w:color="auto"/>
              <w:left w:val="single" w:sz="4" w:space="0" w:color="auto"/>
              <w:bottom w:val="single" w:sz="4" w:space="0" w:color="auto"/>
              <w:right w:val="single" w:sz="4" w:space="0" w:color="auto"/>
            </w:tcBorders>
            <w:hideMark/>
          </w:tcPr>
          <w:p w14:paraId="096A55CA" w14:textId="77777777" w:rsidR="00590BEF" w:rsidRPr="007202FA" w:rsidRDefault="000B4F21" w:rsidP="007202FA">
            <w:pPr>
              <w:jc w:val="right"/>
              <w:rPr>
                <w:rFonts w:cs="Calibri"/>
                <w:color w:val="000000"/>
                <w:sz w:val="20"/>
                <w:szCs w:val="20"/>
              </w:rPr>
            </w:pPr>
            <w:r>
              <w:rPr>
                <w:rFonts w:cs="Calibri"/>
                <w:color w:val="000000"/>
                <w:sz w:val="20"/>
                <w:szCs w:val="20"/>
                <w:lang w:val="ga"/>
              </w:rPr>
              <w:t>51</w:t>
            </w:r>
          </w:p>
        </w:tc>
        <w:tc>
          <w:tcPr>
            <w:tcW w:w="1700" w:type="dxa"/>
            <w:tcBorders>
              <w:top w:val="single" w:sz="4" w:space="0" w:color="auto"/>
              <w:left w:val="single" w:sz="4" w:space="0" w:color="auto"/>
              <w:bottom w:val="single" w:sz="4" w:space="0" w:color="auto"/>
              <w:right w:val="single" w:sz="4" w:space="0" w:color="auto"/>
            </w:tcBorders>
            <w:hideMark/>
          </w:tcPr>
          <w:p w14:paraId="4F69D942" w14:textId="77777777" w:rsidR="00590BEF" w:rsidRPr="007202FA" w:rsidRDefault="000B4F21" w:rsidP="007202FA">
            <w:pPr>
              <w:jc w:val="right"/>
              <w:rPr>
                <w:rFonts w:cs="Calibri"/>
                <w:color w:val="000000"/>
                <w:sz w:val="20"/>
                <w:szCs w:val="20"/>
              </w:rPr>
            </w:pPr>
            <w:r>
              <w:rPr>
                <w:rFonts w:cs="Calibri"/>
                <w:color w:val="000000"/>
                <w:sz w:val="20"/>
                <w:szCs w:val="20"/>
                <w:lang w:val="ga"/>
              </w:rPr>
              <w:t>12.3%</w:t>
            </w:r>
          </w:p>
        </w:tc>
      </w:tr>
      <w:tr w:rsidR="00F31303" w14:paraId="6CBDF14B"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AB8B77C" w14:textId="77777777" w:rsidR="00590BEF" w:rsidRPr="007202FA" w:rsidRDefault="000B4F21" w:rsidP="007202FA">
            <w:pPr>
              <w:rPr>
                <w:sz w:val="20"/>
                <w:szCs w:val="20"/>
              </w:rPr>
            </w:pPr>
            <w:r>
              <w:rPr>
                <w:rFonts w:cs="Calibri"/>
                <w:color w:val="000000"/>
                <w:sz w:val="20"/>
                <w:szCs w:val="20"/>
                <w:lang w:val="ga"/>
              </w:rPr>
              <w:t>An Oifig Náisiúnta um Sheirbhísí Comhroinnte</w:t>
            </w:r>
          </w:p>
        </w:tc>
        <w:tc>
          <w:tcPr>
            <w:tcW w:w="1565" w:type="dxa"/>
            <w:tcBorders>
              <w:top w:val="single" w:sz="4" w:space="0" w:color="auto"/>
              <w:left w:val="single" w:sz="4" w:space="0" w:color="auto"/>
              <w:bottom w:val="single" w:sz="4" w:space="0" w:color="auto"/>
              <w:right w:val="single" w:sz="4" w:space="0" w:color="auto"/>
            </w:tcBorders>
            <w:hideMark/>
          </w:tcPr>
          <w:p w14:paraId="5B63DB46" w14:textId="77777777" w:rsidR="00590BEF" w:rsidRPr="007202FA" w:rsidRDefault="000B4F21" w:rsidP="007202FA">
            <w:pPr>
              <w:jc w:val="right"/>
              <w:rPr>
                <w:sz w:val="20"/>
                <w:szCs w:val="20"/>
              </w:rPr>
            </w:pPr>
            <w:r>
              <w:rPr>
                <w:rFonts w:cs="Calibri"/>
                <w:color w:val="000000"/>
                <w:sz w:val="20"/>
                <w:szCs w:val="20"/>
                <w:lang w:val="ga"/>
              </w:rPr>
              <w:t>809</w:t>
            </w:r>
          </w:p>
        </w:tc>
        <w:tc>
          <w:tcPr>
            <w:tcW w:w="1559" w:type="dxa"/>
            <w:tcBorders>
              <w:top w:val="single" w:sz="4" w:space="0" w:color="auto"/>
              <w:left w:val="single" w:sz="4" w:space="0" w:color="auto"/>
              <w:bottom w:val="single" w:sz="4" w:space="0" w:color="auto"/>
              <w:right w:val="single" w:sz="4" w:space="0" w:color="auto"/>
            </w:tcBorders>
            <w:hideMark/>
          </w:tcPr>
          <w:p w14:paraId="20DFF45C" w14:textId="77777777" w:rsidR="00590BEF" w:rsidRPr="007202FA" w:rsidRDefault="000B4F21" w:rsidP="007202FA">
            <w:pPr>
              <w:jc w:val="right"/>
              <w:rPr>
                <w:sz w:val="20"/>
                <w:szCs w:val="20"/>
              </w:rPr>
            </w:pPr>
            <w:r>
              <w:rPr>
                <w:rFonts w:cs="Calibri"/>
                <w:color w:val="000000"/>
                <w:sz w:val="20"/>
                <w:szCs w:val="20"/>
                <w:lang w:val="ga"/>
              </w:rPr>
              <w:t>68</w:t>
            </w:r>
          </w:p>
        </w:tc>
        <w:tc>
          <w:tcPr>
            <w:tcW w:w="1567" w:type="dxa"/>
            <w:tcBorders>
              <w:top w:val="single" w:sz="4" w:space="0" w:color="auto"/>
              <w:left w:val="single" w:sz="4" w:space="0" w:color="auto"/>
              <w:bottom w:val="single" w:sz="4" w:space="0" w:color="auto"/>
              <w:right w:val="single" w:sz="4" w:space="0" w:color="auto"/>
            </w:tcBorders>
            <w:hideMark/>
          </w:tcPr>
          <w:p w14:paraId="4AAE1E6D" w14:textId="77777777" w:rsidR="00590BEF" w:rsidRPr="007202FA" w:rsidRDefault="000B4F21" w:rsidP="007202FA">
            <w:pPr>
              <w:jc w:val="right"/>
              <w:rPr>
                <w:sz w:val="20"/>
                <w:szCs w:val="20"/>
              </w:rPr>
            </w:pPr>
            <w:r>
              <w:rPr>
                <w:rFonts w:cs="Calibri"/>
                <w:color w:val="000000"/>
                <w:sz w:val="20"/>
                <w:szCs w:val="20"/>
                <w:lang w:val="ga"/>
              </w:rPr>
              <w:t>8.4%</w:t>
            </w:r>
          </w:p>
        </w:tc>
        <w:tc>
          <w:tcPr>
            <w:tcW w:w="1700" w:type="dxa"/>
            <w:tcBorders>
              <w:top w:val="single" w:sz="4" w:space="0" w:color="auto"/>
              <w:left w:val="single" w:sz="4" w:space="0" w:color="auto"/>
              <w:bottom w:val="single" w:sz="4" w:space="0" w:color="auto"/>
              <w:right w:val="single" w:sz="4" w:space="0" w:color="auto"/>
            </w:tcBorders>
            <w:hideMark/>
          </w:tcPr>
          <w:p w14:paraId="14D20D7F" w14:textId="77777777" w:rsidR="00590BEF" w:rsidRPr="007202FA" w:rsidRDefault="000B4F21" w:rsidP="007202FA">
            <w:pPr>
              <w:jc w:val="right"/>
              <w:rPr>
                <w:rFonts w:cs="Calibri"/>
                <w:color w:val="000000"/>
                <w:sz w:val="20"/>
                <w:szCs w:val="20"/>
              </w:rPr>
            </w:pPr>
            <w:r>
              <w:rPr>
                <w:rFonts w:cs="Calibri"/>
                <w:color w:val="000000"/>
                <w:sz w:val="20"/>
                <w:szCs w:val="20"/>
                <w:lang w:val="ga"/>
              </w:rPr>
              <w:t>891</w:t>
            </w:r>
          </w:p>
        </w:tc>
        <w:tc>
          <w:tcPr>
            <w:tcW w:w="1558" w:type="dxa"/>
            <w:tcBorders>
              <w:top w:val="single" w:sz="4" w:space="0" w:color="auto"/>
              <w:left w:val="single" w:sz="4" w:space="0" w:color="auto"/>
              <w:bottom w:val="single" w:sz="4" w:space="0" w:color="auto"/>
              <w:right w:val="single" w:sz="4" w:space="0" w:color="auto"/>
            </w:tcBorders>
            <w:hideMark/>
          </w:tcPr>
          <w:p w14:paraId="595C8911" w14:textId="77777777" w:rsidR="00590BEF" w:rsidRPr="007202FA" w:rsidRDefault="000B4F21" w:rsidP="007202FA">
            <w:pPr>
              <w:jc w:val="right"/>
              <w:rPr>
                <w:rFonts w:cs="Calibri"/>
                <w:color w:val="000000"/>
                <w:sz w:val="20"/>
                <w:szCs w:val="20"/>
              </w:rPr>
            </w:pPr>
            <w:r>
              <w:rPr>
                <w:rFonts w:cs="Calibri"/>
                <w:color w:val="000000"/>
                <w:sz w:val="20"/>
                <w:szCs w:val="20"/>
                <w:lang w:val="ga"/>
              </w:rPr>
              <w:t>92</w:t>
            </w:r>
          </w:p>
        </w:tc>
        <w:tc>
          <w:tcPr>
            <w:tcW w:w="1700" w:type="dxa"/>
            <w:tcBorders>
              <w:top w:val="single" w:sz="4" w:space="0" w:color="auto"/>
              <w:left w:val="single" w:sz="4" w:space="0" w:color="auto"/>
              <w:bottom w:val="single" w:sz="4" w:space="0" w:color="auto"/>
              <w:right w:val="single" w:sz="4" w:space="0" w:color="auto"/>
            </w:tcBorders>
            <w:hideMark/>
          </w:tcPr>
          <w:p w14:paraId="4E033967" w14:textId="77777777" w:rsidR="00590BEF" w:rsidRPr="007202FA" w:rsidRDefault="000B4F21" w:rsidP="007202FA">
            <w:pPr>
              <w:jc w:val="right"/>
              <w:rPr>
                <w:rFonts w:cs="Calibri"/>
                <w:color w:val="000000"/>
                <w:sz w:val="20"/>
                <w:szCs w:val="20"/>
              </w:rPr>
            </w:pPr>
            <w:r>
              <w:rPr>
                <w:rFonts w:cs="Calibri"/>
                <w:color w:val="000000"/>
                <w:sz w:val="20"/>
                <w:szCs w:val="20"/>
                <w:lang w:val="ga"/>
              </w:rPr>
              <w:t>10.3%</w:t>
            </w:r>
          </w:p>
        </w:tc>
      </w:tr>
      <w:tr w:rsidR="00F31303" w14:paraId="074ED111"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4DDEB205" w14:textId="77777777" w:rsidR="00590BEF" w:rsidRPr="007202FA" w:rsidRDefault="000B4F21" w:rsidP="007202FA">
            <w:pPr>
              <w:rPr>
                <w:sz w:val="20"/>
                <w:szCs w:val="20"/>
              </w:rPr>
            </w:pPr>
            <w:r>
              <w:rPr>
                <w:rFonts w:cs="Calibri"/>
                <w:color w:val="000000"/>
                <w:sz w:val="20"/>
                <w:szCs w:val="20"/>
                <w:lang w:val="ga"/>
              </w:rPr>
              <w:t>An Oifig um Sholáthar Rialtais</w:t>
            </w:r>
          </w:p>
        </w:tc>
        <w:tc>
          <w:tcPr>
            <w:tcW w:w="1565" w:type="dxa"/>
            <w:tcBorders>
              <w:top w:val="single" w:sz="4" w:space="0" w:color="auto"/>
              <w:left w:val="single" w:sz="4" w:space="0" w:color="auto"/>
              <w:bottom w:val="single" w:sz="4" w:space="0" w:color="auto"/>
              <w:right w:val="single" w:sz="4" w:space="0" w:color="auto"/>
            </w:tcBorders>
            <w:hideMark/>
          </w:tcPr>
          <w:p w14:paraId="736059AE" w14:textId="77777777" w:rsidR="00590BEF" w:rsidRPr="007202FA" w:rsidRDefault="000B4F21" w:rsidP="007202FA">
            <w:pPr>
              <w:jc w:val="right"/>
              <w:rPr>
                <w:sz w:val="20"/>
                <w:szCs w:val="20"/>
              </w:rPr>
            </w:pPr>
            <w:r>
              <w:rPr>
                <w:rFonts w:cs="Calibri"/>
                <w:color w:val="000000"/>
                <w:sz w:val="20"/>
                <w:szCs w:val="20"/>
                <w:lang w:val="ga"/>
              </w:rPr>
              <w:t>232</w:t>
            </w:r>
          </w:p>
        </w:tc>
        <w:tc>
          <w:tcPr>
            <w:tcW w:w="1559" w:type="dxa"/>
            <w:tcBorders>
              <w:top w:val="single" w:sz="4" w:space="0" w:color="auto"/>
              <w:left w:val="single" w:sz="4" w:space="0" w:color="auto"/>
              <w:bottom w:val="single" w:sz="4" w:space="0" w:color="auto"/>
              <w:right w:val="single" w:sz="4" w:space="0" w:color="auto"/>
            </w:tcBorders>
            <w:hideMark/>
          </w:tcPr>
          <w:p w14:paraId="525D6FAE" w14:textId="77777777" w:rsidR="00590BEF" w:rsidRPr="007202FA" w:rsidRDefault="000B4F21" w:rsidP="007202FA">
            <w:pPr>
              <w:jc w:val="right"/>
              <w:rPr>
                <w:sz w:val="20"/>
                <w:szCs w:val="20"/>
              </w:rPr>
            </w:pPr>
            <w:r>
              <w:rPr>
                <w:rFonts w:cs="Calibri"/>
                <w:color w:val="000000"/>
                <w:sz w:val="20"/>
                <w:szCs w:val="20"/>
                <w:lang w:val="ga"/>
              </w:rPr>
              <w:t>18</w:t>
            </w:r>
          </w:p>
        </w:tc>
        <w:tc>
          <w:tcPr>
            <w:tcW w:w="1567" w:type="dxa"/>
            <w:tcBorders>
              <w:top w:val="single" w:sz="4" w:space="0" w:color="auto"/>
              <w:left w:val="single" w:sz="4" w:space="0" w:color="auto"/>
              <w:bottom w:val="single" w:sz="4" w:space="0" w:color="auto"/>
              <w:right w:val="single" w:sz="4" w:space="0" w:color="auto"/>
            </w:tcBorders>
            <w:hideMark/>
          </w:tcPr>
          <w:p w14:paraId="65924FA2" w14:textId="77777777" w:rsidR="00590BEF" w:rsidRPr="007202FA" w:rsidRDefault="000B4F21" w:rsidP="007202FA">
            <w:pPr>
              <w:jc w:val="right"/>
              <w:rPr>
                <w:sz w:val="20"/>
                <w:szCs w:val="20"/>
              </w:rPr>
            </w:pPr>
            <w:r>
              <w:rPr>
                <w:rFonts w:cs="Calibri"/>
                <w:color w:val="000000"/>
                <w:sz w:val="20"/>
                <w:szCs w:val="20"/>
                <w:lang w:val="ga"/>
              </w:rPr>
              <w:t>7.8%</w:t>
            </w:r>
          </w:p>
        </w:tc>
        <w:tc>
          <w:tcPr>
            <w:tcW w:w="1700" w:type="dxa"/>
            <w:tcBorders>
              <w:top w:val="single" w:sz="4" w:space="0" w:color="auto"/>
              <w:left w:val="single" w:sz="4" w:space="0" w:color="auto"/>
              <w:bottom w:val="single" w:sz="4" w:space="0" w:color="auto"/>
              <w:right w:val="single" w:sz="4" w:space="0" w:color="auto"/>
            </w:tcBorders>
            <w:hideMark/>
          </w:tcPr>
          <w:p w14:paraId="3905E97F" w14:textId="77777777" w:rsidR="00590BEF" w:rsidRPr="007202FA" w:rsidRDefault="000B4F21" w:rsidP="007202FA">
            <w:pPr>
              <w:jc w:val="right"/>
              <w:rPr>
                <w:rFonts w:cs="Calibri"/>
                <w:color w:val="000000"/>
                <w:sz w:val="20"/>
                <w:szCs w:val="20"/>
              </w:rPr>
            </w:pPr>
            <w:r>
              <w:rPr>
                <w:rFonts w:cs="Calibri"/>
                <w:color w:val="000000"/>
                <w:sz w:val="20"/>
                <w:szCs w:val="20"/>
                <w:lang w:val="ga"/>
              </w:rPr>
              <w:t>241</w:t>
            </w:r>
          </w:p>
        </w:tc>
        <w:tc>
          <w:tcPr>
            <w:tcW w:w="1558" w:type="dxa"/>
            <w:tcBorders>
              <w:top w:val="single" w:sz="4" w:space="0" w:color="auto"/>
              <w:left w:val="single" w:sz="4" w:space="0" w:color="auto"/>
              <w:bottom w:val="single" w:sz="4" w:space="0" w:color="auto"/>
              <w:right w:val="single" w:sz="4" w:space="0" w:color="auto"/>
            </w:tcBorders>
            <w:hideMark/>
          </w:tcPr>
          <w:p w14:paraId="32DB7957" w14:textId="77777777" w:rsidR="00590BEF" w:rsidRPr="007202FA" w:rsidRDefault="000B4F21" w:rsidP="007202FA">
            <w:pPr>
              <w:jc w:val="right"/>
              <w:rPr>
                <w:rFonts w:cs="Calibri"/>
                <w:color w:val="000000"/>
                <w:sz w:val="20"/>
                <w:szCs w:val="20"/>
              </w:rPr>
            </w:pPr>
            <w:r>
              <w:rPr>
                <w:rFonts w:cs="Calibri"/>
                <w:color w:val="000000"/>
                <w:sz w:val="20"/>
                <w:szCs w:val="20"/>
                <w:lang w:val="ga"/>
              </w:rPr>
              <w:t>25</w:t>
            </w:r>
          </w:p>
        </w:tc>
        <w:tc>
          <w:tcPr>
            <w:tcW w:w="1700" w:type="dxa"/>
            <w:tcBorders>
              <w:top w:val="single" w:sz="4" w:space="0" w:color="auto"/>
              <w:left w:val="single" w:sz="4" w:space="0" w:color="auto"/>
              <w:bottom w:val="single" w:sz="4" w:space="0" w:color="auto"/>
              <w:right w:val="single" w:sz="4" w:space="0" w:color="auto"/>
            </w:tcBorders>
            <w:hideMark/>
          </w:tcPr>
          <w:p w14:paraId="28CACE08" w14:textId="77777777" w:rsidR="00590BEF" w:rsidRPr="007202FA" w:rsidRDefault="000B4F21" w:rsidP="007202FA">
            <w:pPr>
              <w:jc w:val="right"/>
              <w:rPr>
                <w:rFonts w:cs="Calibri"/>
                <w:color w:val="000000"/>
                <w:sz w:val="20"/>
                <w:szCs w:val="20"/>
              </w:rPr>
            </w:pPr>
            <w:r>
              <w:rPr>
                <w:rFonts w:cs="Calibri"/>
                <w:color w:val="000000"/>
                <w:sz w:val="20"/>
                <w:szCs w:val="20"/>
                <w:lang w:val="ga"/>
              </w:rPr>
              <w:t>10.4%</w:t>
            </w:r>
          </w:p>
        </w:tc>
      </w:tr>
      <w:tr w:rsidR="00F31303" w14:paraId="5E21F12A"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75B72994" w14:textId="77777777" w:rsidR="00590BEF" w:rsidRPr="007202FA" w:rsidRDefault="000B4F21" w:rsidP="007202FA">
            <w:pPr>
              <w:rPr>
                <w:sz w:val="20"/>
                <w:szCs w:val="20"/>
              </w:rPr>
            </w:pPr>
            <w:r>
              <w:rPr>
                <w:rFonts w:cs="Calibri"/>
                <w:color w:val="000000"/>
                <w:sz w:val="20"/>
                <w:szCs w:val="20"/>
                <w:lang w:val="ga"/>
              </w:rPr>
              <w:t>Oifig na nOibreacha Poiblí</w:t>
            </w:r>
          </w:p>
        </w:tc>
        <w:tc>
          <w:tcPr>
            <w:tcW w:w="1565" w:type="dxa"/>
            <w:tcBorders>
              <w:top w:val="single" w:sz="4" w:space="0" w:color="auto"/>
              <w:left w:val="single" w:sz="4" w:space="0" w:color="auto"/>
              <w:bottom w:val="single" w:sz="4" w:space="0" w:color="auto"/>
              <w:right w:val="single" w:sz="4" w:space="0" w:color="auto"/>
            </w:tcBorders>
            <w:hideMark/>
          </w:tcPr>
          <w:p w14:paraId="0EC2F9A5" w14:textId="77777777" w:rsidR="00590BEF" w:rsidRPr="007202FA" w:rsidRDefault="000B4F21" w:rsidP="007202FA">
            <w:pPr>
              <w:jc w:val="right"/>
              <w:rPr>
                <w:sz w:val="20"/>
                <w:szCs w:val="20"/>
              </w:rPr>
            </w:pPr>
            <w:r>
              <w:rPr>
                <w:rFonts w:cs="Calibri"/>
                <w:color w:val="000000"/>
                <w:sz w:val="20"/>
                <w:szCs w:val="20"/>
                <w:lang w:val="ga"/>
              </w:rPr>
              <w:t>2,252</w:t>
            </w:r>
          </w:p>
        </w:tc>
        <w:tc>
          <w:tcPr>
            <w:tcW w:w="1559" w:type="dxa"/>
            <w:tcBorders>
              <w:top w:val="single" w:sz="4" w:space="0" w:color="auto"/>
              <w:left w:val="single" w:sz="4" w:space="0" w:color="auto"/>
              <w:bottom w:val="single" w:sz="4" w:space="0" w:color="auto"/>
              <w:right w:val="single" w:sz="4" w:space="0" w:color="auto"/>
            </w:tcBorders>
            <w:hideMark/>
          </w:tcPr>
          <w:p w14:paraId="68EFF18D" w14:textId="77777777" w:rsidR="00590BEF" w:rsidRPr="007202FA" w:rsidRDefault="000B4F21" w:rsidP="007202FA">
            <w:pPr>
              <w:jc w:val="right"/>
              <w:rPr>
                <w:sz w:val="20"/>
                <w:szCs w:val="20"/>
              </w:rPr>
            </w:pPr>
            <w:r>
              <w:rPr>
                <w:rFonts w:cs="Calibri"/>
                <w:color w:val="000000"/>
                <w:sz w:val="20"/>
                <w:szCs w:val="20"/>
                <w:lang w:val="ga"/>
              </w:rPr>
              <w:t>81</w:t>
            </w:r>
          </w:p>
        </w:tc>
        <w:tc>
          <w:tcPr>
            <w:tcW w:w="1567" w:type="dxa"/>
            <w:tcBorders>
              <w:top w:val="single" w:sz="4" w:space="0" w:color="auto"/>
              <w:left w:val="single" w:sz="4" w:space="0" w:color="auto"/>
              <w:bottom w:val="single" w:sz="4" w:space="0" w:color="auto"/>
              <w:right w:val="single" w:sz="4" w:space="0" w:color="auto"/>
            </w:tcBorders>
            <w:hideMark/>
          </w:tcPr>
          <w:p w14:paraId="58129A6B" w14:textId="77777777" w:rsidR="00590BEF" w:rsidRPr="007202FA" w:rsidRDefault="000B4F21" w:rsidP="007202FA">
            <w:pPr>
              <w:jc w:val="right"/>
              <w:rPr>
                <w:sz w:val="20"/>
                <w:szCs w:val="20"/>
              </w:rPr>
            </w:pPr>
            <w:r>
              <w:rPr>
                <w:rFonts w:cs="Calibri"/>
                <w:color w:val="000000"/>
                <w:sz w:val="20"/>
                <w:szCs w:val="20"/>
                <w:lang w:val="ga"/>
              </w:rPr>
              <w:t>3.6%</w:t>
            </w:r>
          </w:p>
        </w:tc>
        <w:tc>
          <w:tcPr>
            <w:tcW w:w="1700" w:type="dxa"/>
            <w:tcBorders>
              <w:top w:val="single" w:sz="4" w:space="0" w:color="auto"/>
              <w:left w:val="single" w:sz="4" w:space="0" w:color="auto"/>
              <w:bottom w:val="single" w:sz="4" w:space="0" w:color="auto"/>
              <w:right w:val="single" w:sz="4" w:space="0" w:color="auto"/>
            </w:tcBorders>
            <w:hideMark/>
          </w:tcPr>
          <w:p w14:paraId="5CBADFCC" w14:textId="77777777" w:rsidR="00590BEF" w:rsidRPr="007202FA" w:rsidRDefault="000B4F21" w:rsidP="007202FA">
            <w:pPr>
              <w:jc w:val="right"/>
              <w:rPr>
                <w:rFonts w:cs="Calibri"/>
                <w:color w:val="000000"/>
                <w:sz w:val="20"/>
                <w:szCs w:val="20"/>
              </w:rPr>
            </w:pPr>
            <w:r>
              <w:rPr>
                <w:rFonts w:cs="Calibri"/>
                <w:color w:val="000000"/>
                <w:sz w:val="20"/>
                <w:szCs w:val="20"/>
                <w:lang w:val="ga"/>
              </w:rPr>
              <w:t>2,390</w:t>
            </w:r>
          </w:p>
        </w:tc>
        <w:tc>
          <w:tcPr>
            <w:tcW w:w="1558" w:type="dxa"/>
            <w:tcBorders>
              <w:top w:val="single" w:sz="4" w:space="0" w:color="auto"/>
              <w:left w:val="single" w:sz="4" w:space="0" w:color="auto"/>
              <w:bottom w:val="single" w:sz="4" w:space="0" w:color="auto"/>
              <w:right w:val="single" w:sz="4" w:space="0" w:color="auto"/>
            </w:tcBorders>
            <w:hideMark/>
          </w:tcPr>
          <w:p w14:paraId="082888A7" w14:textId="77777777" w:rsidR="00590BEF" w:rsidRPr="007202FA" w:rsidRDefault="000B4F21" w:rsidP="007202FA">
            <w:pPr>
              <w:jc w:val="right"/>
              <w:rPr>
                <w:rFonts w:cs="Calibri"/>
                <w:color w:val="000000"/>
                <w:sz w:val="20"/>
                <w:szCs w:val="20"/>
              </w:rPr>
            </w:pPr>
            <w:r>
              <w:rPr>
                <w:rFonts w:cs="Calibri"/>
                <w:color w:val="000000"/>
                <w:sz w:val="20"/>
                <w:szCs w:val="20"/>
                <w:lang w:val="ga"/>
              </w:rPr>
              <w:t>109</w:t>
            </w:r>
          </w:p>
        </w:tc>
        <w:tc>
          <w:tcPr>
            <w:tcW w:w="1700" w:type="dxa"/>
            <w:tcBorders>
              <w:top w:val="single" w:sz="4" w:space="0" w:color="auto"/>
              <w:left w:val="single" w:sz="4" w:space="0" w:color="auto"/>
              <w:bottom w:val="single" w:sz="4" w:space="0" w:color="auto"/>
              <w:right w:val="single" w:sz="4" w:space="0" w:color="auto"/>
            </w:tcBorders>
            <w:hideMark/>
          </w:tcPr>
          <w:p w14:paraId="160F2598" w14:textId="77777777" w:rsidR="00590BEF" w:rsidRPr="007202FA" w:rsidRDefault="000B4F21" w:rsidP="007202FA">
            <w:pPr>
              <w:jc w:val="right"/>
              <w:rPr>
                <w:rFonts w:cs="Calibri"/>
                <w:color w:val="000000"/>
                <w:sz w:val="20"/>
                <w:szCs w:val="20"/>
              </w:rPr>
            </w:pPr>
            <w:r>
              <w:rPr>
                <w:rFonts w:cs="Calibri"/>
                <w:color w:val="000000"/>
                <w:sz w:val="20"/>
                <w:szCs w:val="20"/>
                <w:lang w:val="ga"/>
              </w:rPr>
              <w:t>4.6%</w:t>
            </w:r>
          </w:p>
        </w:tc>
      </w:tr>
      <w:tr w:rsidR="00F31303" w14:paraId="35130EC8"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72DB3E5" w14:textId="77777777" w:rsidR="00590BEF" w:rsidRPr="007202FA" w:rsidRDefault="000B4F21" w:rsidP="007202FA">
            <w:pPr>
              <w:rPr>
                <w:sz w:val="20"/>
                <w:szCs w:val="20"/>
              </w:rPr>
            </w:pPr>
            <w:r>
              <w:rPr>
                <w:rFonts w:cs="Calibri"/>
                <w:color w:val="000000"/>
                <w:sz w:val="20"/>
                <w:szCs w:val="20"/>
                <w:lang w:val="ga"/>
              </w:rPr>
              <w:t>Oifig an Ard-Aighne</w:t>
            </w:r>
          </w:p>
        </w:tc>
        <w:tc>
          <w:tcPr>
            <w:tcW w:w="1565" w:type="dxa"/>
            <w:tcBorders>
              <w:top w:val="single" w:sz="4" w:space="0" w:color="auto"/>
              <w:left w:val="single" w:sz="4" w:space="0" w:color="auto"/>
              <w:bottom w:val="single" w:sz="4" w:space="0" w:color="auto"/>
              <w:right w:val="single" w:sz="4" w:space="0" w:color="auto"/>
            </w:tcBorders>
            <w:hideMark/>
          </w:tcPr>
          <w:p w14:paraId="0F5B37A7" w14:textId="77777777" w:rsidR="00590BEF" w:rsidRPr="007202FA" w:rsidRDefault="000B4F21" w:rsidP="007202FA">
            <w:pPr>
              <w:jc w:val="right"/>
              <w:rPr>
                <w:sz w:val="20"/>
                <w:szCs w:val="20"/>
              </w:rPr>
            </w:pPr>
            <w:r>
              <w:rPr>
                <w:rFonts w:cs="Calibri"/>
                <w:color w:val="000000"/>
                <w:sz w:val="20"/>
                <w:szCs w:val="20"/>
                <w:lang w:val="ga"/>
              </w:rPr>
              <w:t>146</w:t>
            </w:r>
          </w:p>
        </w:tc>
        <w:tc>
          <w:tcPr>
            <w:tcW w:w="1559" w:type="dxa"/>
            <w:tcBorders>
              <w:top w:val="single" w:sz="4" w:space="0" w:color="auto"/>
              <w:left w:val="single" w:sz="4" w:space="0" w:color="auto"/>
              <w:bottom w:val="single" w:sz="4" w:space="0" w:color="auto"/>
              <w:right w:val="single" w:sz="4" w:space="0" w:color="auto"/>
            </w:tcBorders>
            <w:hideMark/>
          </w:tcPr>
          <w:p w14:paraId="3972C4E1" w14:textId="77777777" w:rsidR="00590BEF" w:rsidRPr="007202FA" w:rsidRDefault="000B4F21" w:rsidP="007202FA">
            <w:pPr>
              <w:jc w:val="right"/>
              <w:rPr>
                <w:sz w:val="20"/>
                <w:szCs w:val="20"/>
              </w:rPr>
            </w:pPr>
            <w:r>
              <w:rPr>
                <w:rFonts w:cs="Calibri"/>
                <w:color w:val="000000"/>
                <w:sz w:val="20"/>
                <w:szCs w:val="20"/>
                <w:lang w:val="ga"/>
              </w:rPr>
              <w:t>8</w:t>
            </w:r>
          </w:p>
        </w:tc>
        <w:tc>
          <w:tcPr>
            <w:tcW w:w="1567" w:type="dxa"/>
            <w:tcBorders>
              <w:top w:val="single" w:sz="4" w:space="0" w:color="auto"/>
              <w:left w:val="single" w:sz="4" w:space="0" w:color="auto"/>
              <w:bottom w:val="single" w:sz="4" w:space="0" w:color="auto"/>
              <w:right w:val="single" w:sz="4" w:space="0" w:color="auto"/>
            </w:tcBorders>
            <w:hideMark/>
          </w:tcPr>
          <w:p w14:paraId="02F7C2F5" w14:textId="77777777" w:rsidR="00590BEF" w:rsidRPr="007202FA" w:rsidRDefault="000B4F21" w:rsidP="007202FA">
            <w:pPr>
              <w:jc w:val="right"/>
              <w:rPr>
                <w:sz w:val="20"/>
                <w:szCs w:val="20"/>
              </w:rPr>
            </w:pPr>
            <w:r>
              <w:rPr>
                <w:rFonts w:cs="Calibri"/>
                <w:color w:val="000000"/>
                <w:sz w:val="20"/>
                <w:szCs w:val="20"/>
                <w:lang w:val="ga"/>
              </w:rPr>
              <w:t>5.5%</w:t>
            </w:r>
          </w:p>
        </w:tc>
        <w:tc>
          <w:tcPr>
            <w:tcW w:w="1700" w:type="dxa"/>
            <w:tcBorders>
              <w:top w:val="single" w:sz="4" w:space="0" w:color="auto"/>
              <w:left w:val="single" w:sz="4" w:space="0" w:color="auto"/>
              <w:bottom w:val="single" w:sz="4" w:space="0" w:color="auto"/>
              <w:right w:val="single" w:sz="4" w:space="0" w:color="auto"/>
            </w:tcBorders>
            <w:hideMark/>
          </w:tcPr>
          <w:p w14:paraId="75FEF4F6" w14:textId="77777777" w:rsidR="00590BEF" w:rsidRPr="007202FA" w:rsidRDefault="000B4F21" w:rsidP="007202FA">
            <w:pPr>
              <w:jc w:val="right"/>
              <w:rPr>
                <w:rFonts w:cs="Calibri"/>
                <w:color w:val="000000"/>
                <w:sz w:val="20"/>
                <w:szCs w:val="20"/>
              </w:rPr>
            </w:pPr>
            <w:r>
              <w:rPr>
                <w:rFonts w:cs="Calibri"/>
                <w:color w:val="000000"/>
                <w:sz w:val="20"/>
                <w:szCs w:val="20"/>
                <w:lang w:val="ga"/>
              </w:rPr>
              <w:t>163</w:t>
            </w:r>
          </w:p>
        </w:tc>
        <w:tc>
          <w:tcPr>
            <w:tcW w:w="1558" w:type="dxa"/>
            <w:tcBorders>
              <w:top w:val="single" w:sz="4" w:space="0" w:color="auto"/>
              <w:left w:val="single" w:sz="4" w:space="0" w:color="auto"/>
              <w:bottom w:val="single" w:sz="4" w:space="0" w:color="auto"/>
              <w:right w:val="single" w:sz="4" w:space="0" w:color="auto"/>
            </w:tcBorders>
            <w:hideMark/>
          </w:tcPr>
          <w:p w14:paraId="510877E8" w14:textId="77777777" w:rsidR="00590BEF" w:rsidRPr="007202FA" w:rsidRDefault="000B4F21" w:rsidP="007202FA">
            <w:pPr>
              <w:jc w:val="right"/>
              <w:rPr>
                <w:rFonts w:cs="Calibri"/>
                <w:color w:val="000000"/>
                <w:sz w:val="20"/>
                <w:szCs w:val="20"/>
              </w:rPr>
            </w:pPr>
            <w:r>
              <w:rPr>
                <w:rFonts w:cs="Calibri"/>
                <w:color w:val="000000"/>
                <w:sz w:val="20"/>
                <w:szCs w:val="20"/>
                <w:lang w:val="ga"/>
              </w:rPr>
              <w:t>15</w:t>
            </w:r>
          </w:p>
        </w:tc>
        <w:tc>
          <w:tcPr>
            <w:tcW w:w="1700" w:type="dxa"/>
            <w:tcBorders>
              <w:top w:val="single" w:sz="4" w:space="0" w:color="auto"/>
              <w:left w:val="single" w:sz="4" w:space="0" w:color="auto"/>
              <w:bottom w:val="single" w:sz="4" w:space="0" w:color="auto"/>
              <w:right w:val="single" w:sz="4" w:space="0" w:color="auto"/>
            </w:tcBorders>
            <w:hideMark/>
          </w:tcPr>
          <w:p w14:paraId="4CECD779" w14:textId="77777777" w:rsidR="00590BEF" w:rsidRPr="007202FA" w:rsidRDefault="000B4F21" w:rsidP="007202FA">
            <w:pPr>
              <w:jc w:val="right"/>
              <w:rPr>
                <w:rFonts w:cs="Calibri"/>
                <w:color w:val="000000"/>
                <w:sz w:val="20"/>
                <w:szCs w:val="20"/>
              </w:rPr>
            </w:pPr>
            <w:r>
              <w:rPr>
                <w:rFonts w:cs="Calibri"/>
                <w:color w:val="000000"/>
                <w:sz w:val="20"/>
                <w:szCs w:val="20"/>
                <w:lang w:val="ga"/>
              </w:rPr>
              <w:t>9.2%</w:t>
            </w:r>
          </w:p>
        </w:tc>
      </w:tr>
      <w:tr w:rsidR="00F31303" w14:paraId="54FC1D60"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72ACF9F" w14:textId="77777777" w:rsidR="00590BEF" w:rsidRPr="007202FA" w:rsidRDefault="000B4F21" w:rsidP="007202FA">
            <w:pPr>
              <w:rPr>
                <w:sz w:val="20"/>
                <w:szCs w:val="20"/>
              </w:rPr>
            </w:pPr>
            <w:r>
              <w:rPr>
                <w:rFonts w:cs="Calibri"/>
                <w:color w:val="000000"/>
                <w:sz w:val="20"/>
                <w:szCs w:val="20"/>
                <w:lang w:val="ga"/>
              </w:rPr>
              <w:t>Oifig an Ard-Reachtaire Cuntas agus Ciste</w:t>
            </w:r>
          </w:p>
        </w:tc>
        <w:tc>
          <w:tcPr>
            <w:tcW w:w="1565" w:type="dxa"/>
            <w:tcBorders>
              <w:top w:val="single" w:sz="4" w:space="0" w:color="auto"/>
              <w:left w:val="single" w:sz="4" w:space="0" w:color="auto"/>
              <w:bottom w:val="single" w:sz="4" w:space="0" w:color="auto"/>
              <w:right w:val="single" w:sz="4" w:space="0" w:color="auto"/>
            </w:tcBorders>
            <w:hideMark/>
          </w:tcPr>
          <w:p w14:paraId="006BCCC0" w14:textId="77777777" w:rsidR="00590BEF" w:rsidRPr="007202FA" w:rsidRDefault="000B4F21" w:rsidP="007202FA">
            <w:pPr>
              <w:jc w:val="right"/>
              <w:rPr>
                <w:sz w:val="20"/>
                <w:szCs w:val="20"/>
              </w:rPr>
            </w:pPr>
            <w:r>
              <w:rPr>
                <w:rFonts w:cs="Calibri"/>
                <w:color w:val="000000"/>
                <w:sz w:val="20"/>
                <w:szCs w:val="20"/>
                <w:lang w:val="ga"/>
              </w:rPr>
              <w:t>184</w:t>
            </w:r>
          </w:p>
        </w:tc>
        <w:tc>
          <w:tcPr>
            <w:tcW w:w="1559" w:type="dxa"/>
            <w:tcBorders>
              <w:top w:val="single" w:sz="4" w:space="0" w:color="auto"/>
              <w:left w:val="single" w:sz="4" w:space="0" w:color="auto"/>
              <w:bottom w:val="single" w:sz="4" w:space="0" w:color="auto"/>
              <w:right w:val="single" w:sz="4" w:space="0" w:color="auto"/>
            </w:tcBorders>
            <w:hideMark/>
          </w:tcPr>
          <w:p w14:paraId="429A87E4" w14:textId="77777777" w:rsidR="00590BEF" w:rsidRPr="007202FA" w:rsidRDefault="000B4F21" w:rsidP="007202FA">
            <w:pPr>
              <w:jc w:val="right"/>
              <w:rPr>
                <w:sz w:val="20"/>
                <w:szCs w:val="20"/>
              </w:rPr>
            </w:pPr>
            <w:r>
              <w:rPr>
                <w:rFonts w:cs="Calibri"/>
                <w:color w:val="000000"/>
                <w:sz w:val="20"/>
                <w:szCs w:val="20"/>
                <w:lang w:val="ga"/>
              </w:rPr>
              <w:t>13</w:t>
            </w:r>
          </w:p>
        </w:tc>
        <w:tc>
          <w:tcPr>
            <w:tcW w:w="1567" w:type="dxa"/>
            <w:tcBorders>
              <w:top w:val="single" w:sz="4" w:space="0" w:color="auto"/>
              <w:left w:val="single" w:sz="4" w:space="0" w:color="auto"/>
              <w:bottom w:val="single" w:sz="4" w:space="0" w:color="auto"/>
              <w:right w:val="single" w:sz="4" w:space="0" w:color="auto"/>
            </w:tcBorders>
            <w:hideMark/>
          </w:tcPr>
          <w:p w14:paraId="3D5BFAC4" w14:textId="77777777" w:rsidR="00590BEF" w:rsidRPr="007202FA" w:rsidRDefault="000B4F21" w:rsidP="007202FA">
            <w:pPr>
              <w:jc w:val="right"/>
              <w:rPr>
                <w:sz w:val="20"/>
                <w:szCs w:val="20"/>
              </w:rPr>
            </w:pPr>
            <w:r>
              <w:rPr>
                <w:rFonts w:cs="Calibri"/>
                <w:color w:val="000000"/>
                <w:sz w:val="20"/>
                <w:szCs w:val="20"/>
                <w:lang w:val="ga"/>
              </w:rPr>
              <w:t>7.1%</w:t>
            </w:r>
          </w:p>
        </w:tc>
        <w:tc>
          <w:tcPr>
            <w:tcW w:w="1700" w:type="dxa"/>
            <w:tcBorders>
              <w:top w:val="single" w:sz="4" w:space="0" w:color="auto"/>
              <w:left w:val="single" w:sz="4" w:space="0" w:color="auto"/>
              <w:bottom w:val="single" w:sz="4" w:space="0" w:color="auto"/>
              <w:right w:val="single" w:sz="4" w:space="0" w:color="auto"/>
            </w:tcBorders>
            <w:hideMark/>
          </w:tcPr>
          <w:p w14:paraId="0CAFF458" w14:textId="77777777" w:rsidR="00590BEF" w:rsidRPr="007202FA" w:rsidRDefault="000B4F21" w:rsidP="007202FA">
            <w:pPr>
              <w:jc w:val="right"/>
              <w:rPr>
                <w:rFonts w:cs="Calibri"/>
                <w:color w:val="000000"/>
                <w:sz w:val="20"/>
                <w:szCs w:val="20"/>
              </w:rPr>
            </w:pPr>
            <w:r>
              <w:rPr>
                <w:rFonts w:cs="Calibri"/>
                <w:color w:val="000000"/>
                <w:sz w:val="20"/>
                <w:szCs w:val="20"/>
                <w:lang w:val="ga"/>
              </w:rPr>
              <w:t>196</w:t>
            </w:r>
          </w:p>
        </w:tc>
        <w:tc>
          <w:tcPr>
            <w:tcW w:w="1558" w:type="dxa"/>
            <w:tcBorders>
              <w:top w:val="single" w:sz="4" w:space="0" w:color="auto"/>
              <w:left w:val="single" w:sz="4" w:space="0" w:color="auto"/>
              <w:bottom w:val="single" w:sz="4" w:space="0" w:color="auto"/>
              <w:right w:val="single" w:sz="4" w:space="0" w:color="auto"/>
            </w:tcBorders>
            <w:hideMark/>
          </w:tcPr>
          <w:p w14:paraId="553D7DDA" w14:textId="77777777" w:rsidR="00590BEF" w:rsidRPr="007202FA" w:rsidRDefault="000B4F21" w:rsidP="007202FA">
            <w:pPr>
              <w:jc w:val="right"/>
              <w:rPr>
                <w:rFonts w:cs="Calibri"/>
                <w:color w:val="000000"/>
                <w:sz w:val="20"/>
                <w:szCs w:val="20"/>
              </w:rPr>
            </w:pPr>
            <w:r>
              <w:rPr>
                <w:rFonts w:cs="Calibri"/>
                <w:color w:val="000000"/>
                <w:sz w:val="20"/>
                <w:szCs w:val="20"/>
                <w:lang w:val="ga"/>
              </w:rPr>
              <w:t>12</w:t>
            </w:r>
          </w:p>
        </w:tc>
        <w:tc>
          <w:tcPr>
            <w:tcW w:w="1700" w:type="dxa"/>
            <w:tcBorders>
              <w:top w:val="single" w:sz="4" w:space="0" w:color="auto"/>
              <w:left w:val="single" w:sz="4" w:space="0" w:color="auto"/>
              <w:bottom w:val="single" w:sz="4" w:space="0" w:color="auto"/>
              <w:right w:val="single" w:sz="4" w:space="0" w:color="auto"/>
            </w:tcBorders>
            <w:hideMark/>
          </w:tcPr>
          <w:p w14:paraId="331202A4" w14:textId="77777777" w:rsidR="00590BEF" w:rsidRPr="007202FA" w:rsidRDefault="000B4F21" w:rsidP="007202FA">
            <w:pPr>
              <w:jc w:val="right"/>
              <w:rPr>
                <w:rFonts w:cs="Calibri"/>
                <w:color w:val="000000"/>
                <w:sz w:val="20"/>
                <w:szCs w:val="20"/>
              </w:rPr>
            </w:pPr>
            <w:r>
              <w:rPr>
                <w:rFonts w:cs="Calibri"/>
                <w:color w:val="000000"/>
                <w:sz w:val="20"/>
                <w:szCs w:val="20"/>
                <w:lang w:val="ga"/>
              </w:rPr>
              <w:t>6.1%</w:t>
            </w:r>
          </w:p>
        </w:tc>
      </w:tr>
      <w:tr w:rsidR="00F31303" w14:paraId="17B63C8D"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6FFD6DF" w14:textId="77777777" w:rsidR="00590BEF" w:rsidRPr="007202FA" w:rsidRDefault="000B4F21" w:rsidP="007202FA">
            <w:pPr>
              <w:rPr>
                <w:sz w:val="20"/>
                <w:szCs w:val="20"/>
              </w:rPr>
            </w:pPr>
            <w:r>
              <w:rPr>
                <w:rFonts w:cs="Calibri"/>
                <w:color w:val="000000"/>
                <w:sz w:val="20"/>
                <w:szCs w:val="20"/>
                <w:lang w:val="ga"/>
              </w:rPr>
              <w:t xml:space="preserve">Oifig an Choimisinéara Cosanta Sonraí </w:t>
            </w:r>
          </w:p>
        </w:tc>
        <w:tc>
          <w:tcPr>
            <w:tcW w:w="1565" w:type="dxa"/>
            <w:tcBorders>
              <w:top w:val="single" w:sz="4" w:space="0" w:color="auto"/>
              <w:left w:val="single" w:sz="4" w:space="0" w:color="auto"/>
              <w:bottom w:val="single" w:sz="4" w:space="0" w:color="auto"/>
              <w:right w:val="single" w:sz="4" w:space="0" w:color="auto"/>
            </w:tcBorders>
            <w:hideMark/>
          </w:tcPr>
          <w:p w14:paraId="7FE31188" w14:textId="77777777" w:rsidR="00590BEF" w:rsidRPr="007202FA" w:rsidRDefault="000B4F21" w:rsidP="007202FA">
            <w:pPr>
              <w:jc w:val="right"/>
              <w:rPr>
                <w:sz w:val="20"/>
                <w:szCs w:val="20"/>
              </w:rPr>
            </w:pPr>
            <w:r>
              <w:rPr>
                <w:rFonts w:cs="Calibri"/>
                <w:color w:val="000000"/>
                <w:sz w:val="20"/>
                <w:szCs w:val="20"/>
                <w:lang w:val="ga"/>
              </w:rPr>
              <w:t>209</w:t>
            </w:r>
          </w:p>
        </w:tc>
        <w:tc>
          <w:tcPr>
            <w:tcW w:w="1559" w:type="dxa"/>
            <w:tcBorders>
              <w:top w:val="single" w:sz="4" w:space="0" w:color="auto"/>
              <w:left w:val="single" w:sz="4" w:space="0" w:color="auto"/>
              <w:bottom w:val="single" w:sz="4" w:space="0" w:color="auto"/>
              <w:right w:val="single" w:sz="4" w:space="0" w:color="auto"/>
            </w:tcBorders>
            <w:hideMark/>
          </w:tcPr>
          <w:p w14:paraId="45249D85" w14:textId="77777777" w:rsidR="00590BEF" w:rsidRPr="007202FA" w:rsidRDefault="000B4F21" w:rsidP="007202FA">
            <w:pPr>
              <w:jc w:val="right"/>
              <w:rPr>
                <w:sz w:val="20"/>
                <w:szCs w:val="20"/>
              </w:rPr>
            </w:pPr>
            <w:r>
              <w:rPr>
                <w:rFonts w:cs="Calibri"/>
                <w:color w:val="000000"/>
                <w:sz w:val="20"/>
                <w:szCs w:val="20"/>
                <w:lang w:val="ga"/>
              </w:rPr>
              <w:t>31</w:t>
            </w:r>
          </w:p>
        </w:tc>
        <w:tc>
          <w:tcPr>
            <w:tcW w:w="1567" w:type="dxa"/>
            <w:tcBorders>
              <w:top w:val="single" w:sz="4" w:space="0" w:color="auto"/>
              <w:left w:val="single" w:sz="4" w:space="0" w:color="auto"/>
              <w:bottom w:val="single" w:sz="4" w:space="0" w:color="auto"/>
              <w:right w:val="single" w:sz="4" w:space="0" w:color="auto"/>
            </w:tcBorders>
            <w:hideMark/>
          </w:tcPr>
          <w:p w14:paraId="28BBCEC2" w14:textId="77777777" w:rsidR="00590BEF" w:rsidRPr="007202FA" w:rsidRDefault="000B4F21" w:rsidP="007202FA">
            <w:pPr>
              <w:jc w:val="right"/>
              <w:rPr>
                <w:sz w:val="20"/>
                <w:szCs w:val="20"/>
              </w:rPr>
            </w:pPr>
            <w:r>
              <w:rPr>
                <w:rFonts w:cs="Calibri"/>
                <w:color w:val="000000"/>
                <w:sz w:val="20"/>
                <w:szCs w:val="20"/>
                <w:lang w:val="ga"/>
              </w:rPr>
              <w:t>14.8%</w:t>
            </w:r>
          </w:p>
        </w:tc>
        <w:tc>
          <w:tcPr>
            <w:tcW w:w="1700" w:type="dxa"/>
            <w:tcBorders>
              <w:top w:val="single" w:sz="4" w:space="0" w:color="auto"/>
              <w:left w:val="single" w:sz="4" w:space="0" w:color="auto"/>
              <w:bottom w:val="single" w:sz="4" w:space="0" w:color="auto"/>
              <w:right w:val="single" w:sz="4" w:space="0" w:color="auto"/>
            </w:tcBorders>
            <w:hideMark/>
          </w:tcPr>
          <w:p w14:paraId="47F7C157" w14:textId="77777777" w:rsidR="00590BEF" w:rsidRPr="007202FA" w:rsidRDefault="000B4F21" w:rsidP="007202FA">
            <w:pPr>
              <w:jc w:val="right"/>
              <w:rPr>
                <w:rFonts w:cs="Calibri"/>
                <w:color w:val="000000"/>
                <w:sz w:val="20"/>
                <w:szCs w:val="20"/>
              </w:rPr>
            </w:pPr>
            <w:r>
              <w:rPr>
                <w:rFonts w:cs="Calibri"/>
                <w:color w:val="000000"/>
                <w:sz w:val="20"/>
                <w:szCs w:val="20"/>
                <w:lang w:val="ga"/>
              </w:rPr>
              <w:t>251</w:t>
            </w:r>
          </w:p>
        </w:tc>
        <w:tc>
          <w:tcPr>
            <w:tcW w:w="1558" w:type="dxa"/>
            <w:tcBorders>
              <w:top w:val="single" w:sz="4" w:space="0" w:color="auto"/>
              <w:left w:val="single" w:sz="4" w:space="0" w:color="auto"/>
              <w:bottom w:val="single" w:sz="4" w:space="0" w:color="auto"/>
              <w:right w:val="single" w:sz="4" w:space="0" w:color="auto"/>
            </w:tcBorders>
            <w:hideMark/>
          </w:tcPr>
          <w:p w14:paraId="06C110C8" w14:textId="77777777" w:rsidR="00590BEF" w:rsidRPr="007202FA" w:rsidRDefault="000B4F21" w:rsidP="007202FA">
            <w:pPr>
              <w:jc w:val="right"/>
              <w:rPr>
                <w:rFonts w:cs="Calibri"/>
                <w:color w:val="000000"/>
                <w:sz w:val="20"/>
                <w:szCs w:val="20"/>
              </w:rPr>
            </w:pPr>
            <w:r>
              <w:rPr>
                <w:rFonts w:cs="Calibri"/>
                <w:color w:val="000000"/>
                <w:sz w:val="20"/>
                <w:szCs w:val="20"/>
                <w:lang w:val="ga"/>
              </w:rPr>
              <w:t>38</w:t>
            </w:r>
          </w:p>
        </w:tc>
        <w:tc>
          <w:tcPr>
            <w:tcW w:w="1700" w:type="dxa"/>
            <w:tcBorders>
              <w:top w:val="single" w:sz="4" w:space="0" w:color="auto"/>
              <w:left w:val="single" w:sz="4" w:space="0" w:color="auto"/>
              <w:bottom w:val="single" w:sz="4" w:space="0" w:color="auto"/>
              <w:right w:val="single" w:sz="4" w:space="0" w:color="auto"/>
            </w:tcBorders>
            <w:hideMark/>
          </w:tcPr>
          <w:p w14:paraId="37AD8AE5" w14:textId="77777777" w:rsidR="00590BEF" w:rsidRPr="007202FA" w:rsidRDefault="000B4F21" w:rsidP="007202FA">
            <w:pPr>
              <w:jc w:val="right"/>
              <w:rPr>
                <w:rFonts w:cs="Calibri"/>
                <w:color w:val="000000"/>
                <w:sz w:val="20"/>
                <w:szCs w:val="20"/>
              </w:rPr>
            </w:pPr>
            <w:r>
              <w:rPr>
                <w:rFonts w:cs="Calibri"/>
                <w:color w:val="000000"/>
                <w:sz w:val="20"/>
                <w:szCs w:val="20"/>
                <w:lang w:val="ga"/>
              </w:rPr>
              <w:t>15.1%</w:t>
            </w:r>
          </w:p>
        </w:tc>
      </w:tr>
      <w:tr w:rsidR="00F31303" w14:paraId="78A27AE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453D9A08" w14:textId="77777777" w:rsidR="00590BEF" w:rsidRPr="007202FA" w:rsidRDefault="000B4F21" w:rsidP="007202FA">
            <w:pPr>
              <w:rPr>
                <w:sz w:val="20"/>
                <w:szCs w:val="20"/>
              </w:rPr>
            </w:pPr>
            <w:r>
              <w:rPr>
                <w:rFonts w:cs="Calibri"/>
                <w:color w:val="000000"/>
                <w:sz w:val="20"/>
                <w:szCs w:val="20"/>
                <w:lang w:val="ga"/>
              </w:rPr>
              <w:t xml:space="preserve">Oifig an Stiúrthóra </w:t>
            </w:r>
            <w:r>
              <w:rPr>
                <w:rFonts w:cs="Calibri"/>
                <w:color w:val="000000"/>
                <w:sz w:val="20"/>
                <w:szCs w:val="20"/>
                <w:lang w:val="ga"/>
              </w:rPr>
              <w:lastRenderedPageBreak/>
              <w:t>Ionchúiseamh Poiblí</w:t>
            </w:r>
          </w:p>
        </w:tc>
        <w:tc>
          <w:tcPr>
            <w:tcW w:w="1565" w:type="dxa"/>
            <w:tcBorders>
              <w:top w:val="single" w:sz="4" w:space="0" w:color="auto"/>
              <w:left w:val="single" w:sz="4" w:space="0" w:color="auto"/>
              <w:bottom w:val="single" w:sz="4" w:space="0" w:color="auto"/>
              <w:right w:val="single" w:sz="4" w:space="0" w:color="auto"/>
            </w:tcBorders>
            <w:hideMark/>
          </w:tcPr>
          <w:p w14:paraId="674AF035" w14:textId="77777777" w:rsidR="00590BEF" w:rsidRPr="007202FA" w:rsidRDefault="000B4F21" w:rsidP="007202FA">
            <w:pPr>
              <w:jc w:val="right"/>
              <w:rPr>
                <w:sz w:val="20"/>
                <w:szCs w:val="20"/>
              </w:rPr>
            </w:pPr>
            <w:r>
              <w:rPr>
                <w:rFonts w:cs="Calibri"/>
                <w:color w:val="000000"/>
                <w:sz w:val="20"/>
                <w:szCs w:val="20"/>
                <w:lang w:val="ga"/>
              </w:rPr>
              <w:lastRenderedPageBreak/>
              <w:t>265</w:t>
            </w:r>
          </w:p>
        </w:tc>
        <w:tc>
          <w:tcPr>
            <w:tcW w:w="1559" w:type="dxa"/>
            <w:tcBorders>
              <w:top w:val="single" w:sz="4" w:space="0" w:color="auto"/>
              <w:left w:val="single" w:sz="4" w:space="0" w:color="auto"/>
              <w:bottom w:val="single" w:sz="4" w:space="0" w:color="auto"/>
              <w:right w:val="single" w:sz="4" w:space="0" w:color="auto"/>
            </w:tcBorders>
            <w:hideMark/>
          </w:tcPr>
          <w:p w14:paraId="40EE1026" w14:textId="77777777" w:rsidR="00590BEF" w:rsidRPr="007202FA" w:rsidRDefault="000B4F21" w:rsidP="007202FA">
            <w:pPr>
              <w:jc w:val="right"/>
              <w:rPr>
                <w:sz w:val="20"/>
                <w:szCs w:val="20"/>
              </w:rPr>
            </w:pPr>
            <w:r>
              <w:rPr>
                <w:rFonts w:cs="Calibri"/>
                <w:color w:val="000000"/>
                <w:sz w:val="20"/>
                <w:szCs w:val="20"/>
                <w:lang w:val="ga"/>
              </w:rPr>
              <w:t>15</w:t>
            </w:r>
          </w:p>
        </w:tc>
        <w:tc>
          <w:tcPr>
            <w:tcW w:w="1567" w:type="dxa"/>
            <w:tcBorders>
              <w:top w:val="single" w:sz="4" w:space="0" w:color="auto"/>
              <w:left w:val="single" w:sz="4" w:space="0" w:color="auto"/>
              <w:bottom w:val="single" w:sz="4" w:space="0" w:color="auto"/>
              <w:right w:val="single" w:sz="4" w:space="0" w:color="auto"/>
            </w:tcBorders>
            <w:hideMark/>
          </w:tcPr>
          <w:p w14:paraId="07EE550E" w14:textId="77777777" w:rsidR="00590BEF" w:rsidRPr="007202FA" w:rsidRDefault="000B4F21" w:rsidP="007202FA">
            <w:pPr>
              <w:jc w:val="right"/>
              <w:rPr>
                <w:sz w:val="20"/>
                <w:szCs w:val="20"/>
              </w:rPr>
            </w:pPr>
            <w:r>
              <w:rPr>
                <w:rFonts w:cs="Calibri"/>
                <w:color w:val="000000"/>
                <w:sz w:val="20"/>
                <w:szCs w:val="20"/>
                <w:lang w:val="ga"/>
              </w:rPr>
              <w:t>5.7%</w:t>
            </w:r>
          </w:p>
        </w:tc>
        <w:tc>
          <w:tcPr>
            <w:tcW w:w="1700" w:type="dxa"/>
            <w:tcBorders>
              <w:top w:val="single" w:sz="4" w:space="0" w:color="auto"/>
              <w:left w:val="single" w:sz="4" w:space="0" w:color="auto"/>
              <w:bottom w:val="single" w:sz="4" w:space="0" w:color="auto"/>
              <w:right w:val="single" w:sz="4" w:space="0" w:color="auto"/>
            </w:tcBorders>
            <w:hideMark/>
          </w:tcPr>
          <w:p w14:paraId="5D41A5FE" w14:textId="77777777" w:rsidR="00590BEF" w:rsidRPr="007202FA" w:rsidRDefault="000B4F21" w:rsidP="007202FA">
            <w:pPr>
              <w:jc w:val="right"/>
              <w:rPr>
                <w:rFonts w:cs="Calibri"/>
                <w:color w:val="000000"/>
                <w:sz w:val="20"/>
                <w:szCs w:val="20"/>
              </w:rPr>
            </w:pPr>
            <w:r>
              <w:rPr>
                <w:rFonts w:cs="Calibri"/>
                <w:color w:val="000000"/>
                <w:sz w:val="20"/>
                <w:szCs w:val="20"/>
                <w:lang w:val="ga"/>
              </w:rPr>
              <w:t>285</w:t>
            </w:r>
          </w:p>
        </w:tc>
        <w:tc>
          <w:tcPr>
            <w:tcW w:w="1558" w:type="dxa"/>
            <w:tcBorders>
              <w:top w:val="single" w:sz="4" w:space="0" w:color="auto"/>
              <w:left w:val="single" w:sz="4" w:space="0" w:color="auto"/>
              <w:bottom w:val="single" w:sz="4" w:space="0" w:color="auto"/>
              <w:right w:val="single" w:sz="4" w:space="0" w:color="auto"/>
            </w:tcBorders>
            <w:hideMark/>
          </w:tcPr>
          <w:p w14:paraId="3A89EC0C" w14:textId="77777777" w:rsidR="00590BEF" w:rsidRPr="007202FA" w:rsidRDefault="000B4F21" w:rsidP="007202FA">
            <w:pPr>
              <w:jc w:val="right"/>
              <w:rPr>
                <w:rFonts w:cs="Calibri"/>
                <w:color w:val="000000"/>
                <w:sz w:val="20"/>
                <w:szCs w:val="20"/>
              </w:rPr>
            </w:pPr>
            <w:r>
              <w:rPr>
                <w:rFonts w:cs="Calibri"/>
                <w:color w:val="000000"/>
                <w:sz w:val="20"/>
                <w:szCs w:val="20"/>
                <w:lang w:val="ga"/>
              </w:rPr>
              <w:t>14</w:t>
            </w:r>
          </w:p>
        </w:tc>
        <w:tc>
          <w:tcPr>
            <w:tcW w:w="1700" w:type="dxa"/>
            <w:tcBorders>
              <w:top w:val="single" w:sz="4" w:space="0" w:color="auto"/>
              <w:left w:val="single" w:sz="4" w:space="0" w:color="auto"/>
              <w:bottom w:val="single" w:sz="4" w:space="0" w:color="auto"/>
              <w:right w:val="single" w:sz="4" w:space="0" w:color="auto"/>
            </w:tcBorders>
            <w:hideMark/>
          </w:tcPr>
          <w:p w14:paraId="58315BFA" w14:textId="77777777" w:rsidR="00590BEF" w:rsidRPr="007202FA" w:rsidRDefault="000B4F21" w:rsidP="007202FA">
            <w:pPr>
              <w:jc w:val="right"/>
              <w:rPr>
                <w:rFonts w:cs="Calibri"/>
                <w:color w:val="000000"/>
                <w:sz w:val="20"/>
                <w:szCs w:val="20"/>
              </w:rPr>
            </w:pPr>
            <w:r>
              <w:rPr>
                <w:rFonts w:cs="Calibri"/>
                <w:color w:val="000000"/>
                <w:sz w:val="20"/>
                <w:szCs w:val="20"/>
                <w:lang w:val="ga"/>
              </w:rPr>
              <w:t>4.9%</w:t>
            </w:r>
          </w:p>
        </w:tc>
      </w:tr>
      <w:tr w:rsidR="00F31303" w14:paraId="07F60DB4"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C52F8FF" w14:textId="77777777" w:rsidR="00590BEF" w:rsidRPr="007202FA" w:rsidRDefault="000B4F21" w:rsidP="007202FA">
            <w:pPr>
              <w:rPr>
                <w:sz w:val="20"/>
                <w:szCs w:val="20"/>
              </w:rPr>
            </w:pPr>
            <w:r>
              <w:rPr>
                <w:rFonts w:cs="Calibri"/>
                <w:color w:val="000000"/>
                <w:sz w:val="20"/>
                <w:szCs w:val="20"/>
                <w:lang w:val="ga"/>
              </w:rPr>
              <w:t>Oifig an Ombudsman</w:t>
            </w:r>
          </w:p>
        </w:tc>
        <w:tc>
          <w:tcPr>
            <w:tcW w:w="1565" w:type="dxa"/>
            <w:tcBorders>
              <w:top w:val="single" w:sz="4" w:space="0" w:color="auto"/>
              <w:left w:val="single" w:sz="4" w:space="0" w:color="auto"/>
              <w:bottom w:val="single" w:sz="4" w:space="0" w:color="auto"/>
              <w:right w:val="single" w:sz="4" w:space="0" w:color="auto"/>
            </w:tcBorders>
            <w:hideMark/>
          </w:tcPr>
          <w:p w14:paraId="6626FDEA" w14:textId="77777777" w:rsidR="00590BEF" w:rsidRPr="007202FA" w:rsidRDefault="000B4F21" w:rsidP="007202FA">
            <w:pPr>
              <w:jc w:val="right"/>
              <w:rPr>
                <w:sz w:val="20"/>
                <w:szCs w:val="20"/>
              </w:rPr>
            </w:pPr>
            <w:r>
              <w:rPr>
                <w:rFonts w:cs="Calibri"/>
                <w:color w:val="000000"/>
                <w:sz w:val="20"/>
                <w:szCs w:val="20"/>
                <w:lang w:val="ga"/>
              </w:rPr>
              <w:t>148</w:t>
            </w:r>
          </w:p>
        </w:tc>
        <w:tc>
          <w:tcPr>
            <w:tcW w:w="1559" w:type="dxa"/>
            <w:tcBorders>
              <w:top w:val="single" w:sz="4" w:space="0" w:color="auto"/>
              <w:left w:val="single" w:sz="4" w:space="0" w:color="auto"/>
              <w:bottom w:val="single" w:sz="4" w:space="0" w:color="auto"/>
              <w:right w:val="single" w:sz="4" w:space="0" w:color="auto"/>
            </w:tcBorders>
            <w:hideMark/>
          </w:tcPr>
          <w:p w14:paraId="00E7EB74" w14:textId="77777777" w:rsidR="00590BEF" w:rsidRPr="007202FA" w:rsidRDefault="000B4F21" w:rsidP="007202FA">
            <w:pPr>
              <w:jc w:val="right"/>
              <w:rPr>
                <w:sz w:val="20"/>
                <w:szCs w:val="20"/>
              </w:rPr>
            </w:pPr>
            <w:r>
              <w:rPr>
                <w:rFonts w:cs="Calibri"/>
                <w:color w:val="000000"/>
                <w:sz w:val="20"/>
                <w:szCs w:val="20"/>
                <w:lang w:val="ga"/>
              </w:rPr>
              <w:t>13</w:t>
            </w:r>
          </w:p>
        </w:tc>
        <w:tc>
          <w:tcPr>
            <w:tcW w:w="1567" w:type="dxa"/>
            <w:tcBorders>
              <w:top w:val="single" w:sz="4" w:space="0" w:color="auto"/>
              <w:left w:val="single" w:sz="4" w:space="0" w:color="auto"/>
              <w:bottom w:val="single" w:sz="4" w:space="0" w:color="auto"/>
              <w:right w:val="single" w:sz="4" w:space="0" w:color="auto"/>
            </w:tcBorders>
            <w:hideMark/>
          </w:tcPr>
          <w:p w14:paraId="5C4074C4" w14:textId="77777777" w:rsidR="00590BEF" w:rsidRPr="007202FA" w:rsidRDefault="000B4F21" w:rsidP="007202FA">
            <w:pPr>
              <w:jc w:val="right"/>
              <w:rPr>
                <w:sz w:val="20"/>
                <w:szCs w:val="20"/>
              </w:rPr>
            </w:pPr>
            <w:r>
              <w:rPr>
                <w:rFonts w:cs="Calibri"/>
                <w:color w:val="000000"/>
                <w:sz w:val="20"/>
                <w:szCs w:val="20"/>
                <w:lang w:val="ga"/>
              </w:rPr>
              <w:t>8.8%</w:t>
            </w:r>
          </w:p>
        </w:tc>
        <w:tc>
          <w:tcPr>
            <w:tcW w:w="1700" w:type="dxa"/>
            <w:tcBorders>
              <w:top w:val="single" w:sz="4" w:space="0" w:color="auto"/>
              <w:left w:val="single" w:sz="4" w:space="0" w:color="auto"/>
              <w:bottom w:val="single" w:sz="4" w:space="0" w:color="auto"/>
              <w:right w:val="single" w:sz="4" w:space="0" w:color="auto"/>
            </w:tcBorders>
            <w:hideMark/>
          </w:tcPr>
          <w:p w14:paraId="2FCC62D0" w14:textId="77777777" w:rsidR="00590BEF" w:rsidRPr="007202FA" w:rsidRDefault="000B4F21" w:rsidP="007202FA">
            <w:pPr>
              <w:jc w:val="right"/>
              <w:rPr>
                <w:rFonts w:cs="Calibri"/>
                <w:color w:val="000000"/>
                <w:sz w:val="20"/>
                <w:szCs w:val="20"/>
              </w:rPr>
            </w:pPr>
            <w:r>
              <w:rPr>
                <w:rFonts w:cs="Calibri"/>
                <w:color w:val="000000"/>
                <w:sz w:val="20"/>
                <w:szCs w:val="20"/>
                <w:lang w:val="ga"/>
              </w:rPr>
              <w:t>153</w:t>
            </w:r>
          </w:p>
        </w:tc>
        <w:tc>
          <w:tcPr>
            <w:tcW w:w="1558" w:type="dxa"/>
            <w:tcBorders>
              <w:top w:val="single" w:sz="4" w:space="0" w:color="auto"/>
              <w:left w:val="single" w:sz="4" w:space="0" w:color="auto"/>
              <w:bottom w:val="single" w:sz="4" w:space="0" w:color="auto"/>
              <w:right w:val="single" w:sz="4" w:space="0" w:color="auto"/>
            </w:tcBorders>
            <w:hideMark/>
          </w:tcPr>
          <w:p w14:paraId="4EF7A22C" w14:textId="77777777" w:rsidR="00590BEF" w:rsidRPr="007202FA" w:rsidRDefault="000B4F21" w:rsidP="007202FA">
            <w:pPr>
              <w:jc w:val="right"/>
              <w:rPr>
                <w:rFonts w:cs="Calibri"/>
                <w:color w:val="000000"/>
                <w:sz w:val="20"/>
                <w:szCs w:val="20"/>
              </w:rPr>
            </w:pPr>
            <w:r>
              <w:rPr>
                <w:rFonts w:cs="Calibri"/>
                <w:color w:val="000000"/>
                <w:sz w:val="20"/>
                <w:szCs w:val="20"/>
                <w:lang w:val="ga"/>
              </w:rPr>
              <w:t>7</w:t>
            </w:r>
          </w:p>
        </w:tc>
        <w:tc>
          <w:tcPr>
            <w:tcW w:w="1700" w:type="dxa"/>
            <w:tcBorders>
              <w:top w:val="single" w:sz="4" w:space="0" w:color="auto"/>
              <w:left w:val="single" w:sz="4" w:space="0" w:color="auto"/>
              <w:bottom w:val="single" w:sz="4" w:space="0" w:color="auto"/>
              <w:right w:val="single" w:sz="4" w:space="0" w:color="auto"/>
            </w:tcBorders>
            <w:hideMark/>
          </w:tcPr>
          <w:p w14:paraId="0D155F4F" w14:textId="77777777" w:rsidR="00590BEF" w:rsidRPr="007202FA" w:rsidRDefault="000B4F21" w:rsidP="007202FA">
            <w:pPr>
              <w:jc w:val="right"/>
              <w:rPr>
                <w:rFonts w:cs="Calibri"/>
                <w:color w:val="000000"/>
                <w:sz w:val="20"/>
                <w:szCs w:val="20"/>
              </w:rPr>
            </w:pPr>
            <w:r>
              <w:rPr>
                <w:rFonts w:cs="Calibri"/>
                <w:color w:val="000000"/>
                <w:sz w:val="20"/>
                <w:szCs w:val="20"/>
                <w:lang w:val="ga"/>
              </w:rPr>
              <w:t>4.6%</w:t>
            </w:r>
          </w:p>
        </w:tc>
      </w:tr>
      <w:tr w:rsidR="00F31303" w14:paraId="43B725A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0578681E" w14:textId="77777777" w:rsidR="00590BEF" w:rsidRPr="007202FA" w:rsidRDefault="000B4F21" w:rsidP="007202FA">
            <w:pPr>
              <w:rPr>
                <w:sz w:val="20"/>
                <w:szCs w:val="20"/>
              </w:rPr>
            </w:pPr>
            <w:r>
              <w:rPr>
                <w:rFonts w:cs="Calibri"/>
                <w:color w:val="000000"/>
                <w:sz w:val="20"/>
                <w:szCs w:val="20"/>
                <w:lang w:val="ga"/>
              </w:rPr>
              <w:t>Oifig an Rialálaí Pleanála</w:t>
            </w:r>
          </w:p>
        </w:tc>
        <w:tc>
          <w:tcPr>
            <w:tcW w:w="1565" w:type="dxa"/>
            <w:tcBorders>
              <w:top w:val="single" w:sz="4" w:space="0" w:color="auto"/>
              <w:left w:val="single" w:sz="4" w:space="0" w:color="auto"/>
              <w:bottom w:val="single" w:sz="4" w:space="0" w:color="auto"/>
              <w:right w:val="single" w:sz="4" w:space="0" w:color="auto"/>
            </w:tcBorders>
            <w:hideMark/>
          </w:tcPr>
          <w:p w14:paraId="773F0370" w14:textId="77777777" w:rsidR="00590BEF" w:rsidRPr="007202FA" w:rsidRDefault="000B4F21" w:rsidP="007202FA">
            <w:pPr>
              <w:jc w:val="right"/>
              <w:rPr>
                <w:sz w:val="20"/>
                <w:szCs w:val="20"/>
              </w:rPr>
            </w:pPr>
            <w:r>
              <w:rPr>
                <w:rFonts w:cs="Calibri"/>
                <w:color w:val="000000"/>
                <w:sz w:val="20"/>
                <w:szCs w:val="20"/>
                <w:lang w:val="ga"/>
              </w:rPr>
              <w:t>44</w:t>
            </w:r>
          </w:p>
        </w:tc>
        <w:tc>
          <w:tcPr>
            <w:tcW w:w="1559" w:type="dxa"/>
            <w:tcBorders>
              <w:top w:val="single" w:sz="4" w:space="0" w:color="auto"/>
              <w:left w:val="single" w:sz="4" w:space="0" w:color="auto"/>
              <w:bottom w:val="single" w:sz="4" w:space="0" w:color="auto"/>
              <w:right w:val="single" w:sz="4" w:space="0" w:color="auto"/>
            </w:tcBorders>
            <w:hideMark/>
          </w:tcPr>
          <w:p w14:paraId="4773D6E6" w14:textId="77777777" w:rsidR="00590BEF" w:rsidRPr="007202FA" w:rsidRDefault="000B4F21" w:rsidP="007202FA">
            <w:pPr>
              <w:jc w:val="right"/>
              <w:rPr>
                <w:sz w:val="20"/>
                <w:szCs w:val="20"/>
              </w:rPr>
            </w:pPr>
            <w:r>
              <w:rPr>
                <w:rFonts w:cs="Calibri"/>
                <w:color w:val="000000"/>
                <w:sz w:val="20"/>
                <w:szCs w:val="20"/>
                <w:lang w:val="ga"/>
              </w:rPr>
              <w:t>0</w:t>
            </w:r>
          </w:p>
        </w:tc>
        <w:tc>
          <w:tcPr>
            <w:tcW w:w="1567" w:type="dxa"/>
            <w:tcBorders>
              <w:top w:val="single" w:sz="4" w:space="0" w:color="auto"/>
              <w:left w:val="single" w:sz="4" w:space="0" w:color="auto"/>
              <w:bottom w:val="single" w:sz="4" w:space="0" w:color="auto"/>
              <w:right w:val="single" w:sz="4" w:space="0" w:color="auto"/>
            </w:tcBorders>
            <w:hideMark/>
          </w:tcPr>
          <w:p w14:paraId="42080F18" w14:textId="77777777" w:rsidR="00590BEF" w:rsidRPr="007202FA" w:rsidRDefault="000B4F21" w:rsidP="007202FA">
            <w:pPr>
              <w:jc w:val="right"/>
              <w:rPr>
                <w:sz w:val="20"/>
                <w:szCs w:val="20"/>
              </w:rPr>
            </w:pPr>
            <w:r>
              <w:rPr>
                <w:rFonts w:cs="Calibri"/>
                <w:color w:val="000000"/>
                <w:sz w:val="20"/>
                <w:szCs w:val="20"/>
                <w:lang w:val="ga"/>
              </w:rPr>
              <w:t>0.0%</w:t>
            </w:r>
          </w:p>
        </w:tc>
        <w:tc>
          <w:tcPr>
            <w:tcW w:w="1700" w:type="dxa"/>
            <w:tcBorders>
              <w:top w:val="single" w:sz="4" w:space="0" w:color="auto"/>
              <w:left w:val="single" w:sz="4" w:space="0" w:color="auto"/>
              <w:bottom w:val="single" w:sz="4" w:space="0" w:color="auto"/>
              <w:right w:val="single" w:sz="4" w:space="0" w:color="auto"/>
            </w:tcBorders>
            <w:hideMark/>
          </w:tcPr>
          <w:p w14:paraId="4A37E7E1" w14:textId="77777777" w:rsidR="00590BEF" w:rsidRPr="007202FA" w:rsidRDefault="000B4F21" w:rsidP="007202FA">
            <w:pPr>
              <w:jc w:val="right"/>
              <w:rPr>
                <w:rFonts w:cs="Calibri"/>
                <w:color w:val="000000"/>
                <w:sz w:val="20"/>
                <w:szCs w:val="20"/>
              </w:rPr>
            </w:pPr>
            <w:r>
              <w:rPr>
                <w:rFonts w:cs="Calibri"/>
                <w:color w:val="000000"/>
                <w:sz w:val="20"/>
                <w:szCs w:val="20"/>
                <w:lang w:val="ga"/>
              </w:rPr>
              <w:t>46</w:t>
            </w:r>
          </w:p>
        </w:tc>
        <w:tc>
          <w:tcPr>
            <w:tcW w:w="1558" w:type="dxa"/>
            <w:tcBorders>
              <w:top w:val="single" w:sz="4" w:space="0" w:color="auto"/>
              <w:left w:val="single" w:sz="4" w:space="0" w:color="auto"/>
              <w:bottom w:val="single" w:sz="4" w:space="0" w:color="auto"/>
              <w:right w:val="single" w:sz="4" w:space="0" w:color="auto"/>
            </w:tcBorders>
            <w:hideMark/>
          </w:tcPr>
          <w:p w14:paraId="5DC78C9C" w14:textId="77777777" w:rsidR="00590BEF" w:rsidRPr="007202FA" w:rsidRDefault="000B4F21" w:rsidP="007202FA">
            <w:pPr>
              <w:jc w:val="right"/>
              <w:rPr>
                <w:rFonts w:cs="Calibri"/>
                <w:color w:val="000000"/>
                <w:sz w:val="20"/>
                <w:szCs w:val="20"/>
              </w:rPr>
            </w:pPr>
            <w:r>
              <w:rPr>
                <w:rFonts w:cs="Calibri"/>
                <w:color w:val="000000"/>
                <w:sz w:val="20"/>
                <w:szCs w:val="20"/>
                <w:lang w:val="ga"/>
              </w:rPr>
              <w:t>2</w:t>
            </w:r>
          </w:p>
        </w:tc>
        <w:tc>
          <w:tcPr>
            <w:tcW w:w="1700" w:type="dxa"/>
            <w:tcBorders>
              <w:top w:val="single" w:sz="4" w:space="0" w:color="auto"/>
              <w:left w:val="single" w:sz="4" w:space="0" w:color="auto"/>
              <w:bottom w:val="single" w:sz="4" w:space="0" w:color="auto"/>
              <w:right w:val="single" w:sz="4" w:space="0" w:color="auto"/>
            </w:tcBorders>
            <w:hideMark/>
          </w:tcPr>
          <w:p w14:paraId="4B6A2FC3" w14:textId="77777777" w:rsidR="00590BEF" w:rsidRPr="007202FA" w:rsidRDefault="000B4F21" w:rsidP="007202FA">
            <w:pPr>
              <w:jc w:val="right"/>
              <w:rPr>
                <w:rFonts w:cs="Calibri"/>
                <w:color w:val="000000"/>
                <w:sz w:val="20"/>
                <w:szCs w:val="20"/>
              </w:rPr>
            </w:pPr>
            <w:r>
              <w:rPr>
                <w:rFonts w:cs="Calibri"/>
                <w:color w:val="000000"/>
                <w:sz w:val="20"/>
                <w:szCs w:val="20"/>
                <w:lang w:val="ga"/>
              </w:rPr>
              <w:t>4.3%</w:t>
            </w:r>
          </w:p>
        </w:tc>
      </w:tr>
      <w:tr w:rsidR="00F31303" w14:paraId="291500F3"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42D55E2" w14:textId="77777777" w:rsidR="00590BEF" w:rsidRPr="007202FA" w:rsidRDefault="000B4F21" w:rsidP="007202FA">
            <w:pPr>
              <w:rPr>
                <w:sz w:val="20"/>
                <w:szCs w:val="20"/>
              </w:rPr>
            </w:pPr>
            <w:r>
              <w:rPr>
                <w:rFonts w:cs="Calibri"/>
                <w:color w:val="000000"/>
                <w:sz w:val="20"/>
                <w:szCs w:val="20"/>
                <w:lang w:val="ga"/>
              </w:rPr>
              <w:t>Oifig na gCoimisinéirí Ioncaim</w:t>
            </w:r>
          </w:p>
        </w:tc>
        <w:tc>
          <w:tcPr>
            <w:tcW w:w="1565" w:type="dxa"/>
            <w:tcBorders>
              <w:top w:val="single" w:sz="4" w:space="0" w:color="auto"/>
              <w:left w:val="single" w:sz="4" w:space="0" w:color="auto"/>
              <w:bottom w:val="single" w:sz="4" w:space="0" w:color="auto"/>
              <w:right w:val="single" w:sz="4" w:space="0" w:color="auto"/>
            </w:tcBorders>
            <w:hideMark/>
          </w:tcPr>
          <w:p w14:paraId="3A44987E" w14:textId="77777777" w:rsidR="00590BEF" w:rsidRPr="007202FA" w:rsidRDefault="000B4F21" w:rsidP="007202FA">
            <w:pPr>
              <w:jc w:val="right"/>
              <w:rPr>
                <w:sz w:val="20"/>
                <w:szCs w:val="20"/>
              </w:rPr>
            </w:pPr>
            <w:r>
              <w:rPr>
                <w:rFonts w:cs="Calibri"/>
                <w:color w:val="000000"/>
                <w:sz w:val="20"/>
                <w:szCs w:val="20"/>
                <w:lang w:val="ga"/>
              </w:rPr>
              <w:t>7,033</w:t>
            </w:r>
          </w:p>
        </w:tc>
        <w:tc>
          <w:tcPr>
            <w:tcW w:w="1559" w:type="dxa"/>
            <w:tcBorders>
              <w:top w:val="single" w:sz="4" w:space="0" w:color="auto"/>
              <w:left w:val="single" w:sz="4" w:space="0" w:color="auto"/>
              <w:bottom w:val="single" w:sz="4" w:space="0" w:color="auto"/>
              <w:right w:val="single" w:sz="4" w:space="0" w:color="auto"/>
            </w:tcBorders>
            <w:hideMark/>
          </w:tcPr>
          <w:p w14:paraId="749AE7FF" w14:textId="77777777" w:rsidR="00590BEF" w:rsidRPr="007202FA" w:rsidRDefault="000B4F21" w:rsidP="007202FA">
            <w:pPr>
              <w:jc w:val="right"/>
              <w:rPr>
                <w:sz w:val="20"/>
                <w:szCs w:val="20"/>
              </w:rPr>
            </w:pPr>
            <w:r>
              <w:rPr>
                <w:rFonts w:cs="Calibri"/>
                <w:color w:val="000000"/>
                <w:sz w:val="20"/>
                <w:szCs w:val="20"/>
                <w:lang w:val="ga"/>
              </w:rPr>
              <w:t>467</w:t>
            </w:r>
          </w:p>
        </w:tc>
        <w:tc>
          <w:tcPr>
            <w:tcW w:w="1567" w:type="dxa"/>
            <w:tcBorders>
              <w:top w:val="single" w:sz="4" w:space="0" w:color="auto"/>
              <w:left w:val="single" w:sz="4" w:space="0" w:color="auto"/>
              <w:bottom w:val="single" w:sz="4" w:space="0" w:color="auto"/>
              <w:right w:val="single" w:sz="4" w:space="0" w:color="auto"/>
            </w:tcBorders>
            <w:hideMark/>
          </w:tcPr>
          <w:p w14:paraId="75C313C0" w14:textId="77777777" w:rsidR="00590BEF" w:rsidRPr="007202FA" w:rsidRDefault="000B4F21" w:rsidP="007202FA">
            <w:pPr>
              <w:jc w:val="right"/>
              <w:rPr>
                <w:sz w:val="20"/>
                <w:szCs w:val="20"/>
              </w:rPr>
            </w:pPr>
            <w:r>
              <w:rPr>
                <w:rFonts w:cs="Calibri"/>
                <w:color w:val="000000"/>
                <w:sz w:val="20"/>
                <w:szCs w:val="20"/>
                <w:lang w:val="ga"/>
              </w:rPr>
              <w:t>6.6%</w:t>
            </w:r>
          </w:p>
        </w:tc>
        <w:tc>
          <w:tcPr>
            <w:tcW w:w="1700" w:type="dxa"/>
            <w:tcBorders>
              <w:top w:val="single" w:sz="4" w:space="0" w:color="auto"/>
              <w:left w:val="single" w:sz="4" w:space="0" w:color="auto"/>
              <w:bottom w:val="single" w:sz="4" w:space="0" w:color="auto"/>
              <w:right w:val="single" w:sz="4" w:space="0" w:color="auto"/>
            </w:tcBorders>
            <w:hideMark/>
          </w:tcPr>
          <w:p w14:paraId="57D99F2A" w14:textId="77777777" w:rsidR="00590BEF" w:rsidRPr="007202FA" w:rsidRDefault="000B4F21" w:rsidP="007202FA">
            <w:pPr>
              <w:jc w:val="right"/>
              <w:rPr>
                <w:sz w:val="20"/>
                <w:szCs w:val="20"/>
              </w:rPr>
            </w:pPr>
            <w:r>
              <w:rPr>
                <w:rFonts w:cs="Calibri"/>
                <w:color w:val="000000"/>
                <w:sz w:val="20"/>
                <w:szCs w:val="20"/>
                <w:lang w:val="ga"/>
              </w:rPr>
              <w:t>6,801</w:t>
            </w:r>
          </w:p>
        </w:tc>
        <w:tc>
          <w:tcPr>
            <w:tcW w:w="1558" w:type="dxa"/>
            <w:tcBorders>
              <w:top w:val="single" w:sz="4" w:space="0" w:color="auto"/>
              <w:left w:val="single" w:sz="4" w:space="0" w:color="auto"/>
              <w:bottom w:val="single" w:sz="4" w:space="0" w:color="auto"/>
              <w:right w:val="single" w:sz="4" w:space="0" w:color="auto"/>
            </w:tcBorders>
            <w:hideMark/>
          </w:tcPr>
          <w:p w14:paraId="52BBF62F" w14:textId="77777777" w:rsidR="00590BEF" w:rsidRPr="007202FA" w:rsidRDefault="000B4F21" w:rsidP="007202FA">
            <w:pPr>
              <w:jc w:val="right"/>
              <w:rPr>
                <w:sz w:val="20"/>
                <w:szCs w:val="20"/>
              </w:rPr>
            </w:pPr>
            <w:r>
              <w:rPr>
                <w:rFonts w:cs="Calibri"/>
                <w:color w:val="000000"/>
                <w:sz w:val="20"/>
                <w:szCs w:val="20"/>
                <w:lang w:val="ga"/>
              </w:rPr>
              <w:t>493</w:t>
            </w:r>
          </w:p>
        </w:tc>
        <w:tc>
          <w:tcPr>
            <w:tcW w:w="1700" w:type="dxa"/>
            <w:tcBorders>
              <w:top w:val="single" w:sz="4" w:space="0" w:color="auto"/>
              <w:left w:val="single" w:sz="4" w:space="0" w:color="auto"/>
              <w:bottom w:val="single" w:sz="4" w:space="0" w:color="auto"/>
              <w:right w:val="single" w:sz="4" w:space="0" w:color="auto"/>
            </w:tcBorders>
            <w:hideMark/>
          </w:tcPr>
          <w:p w14:paraId="0FE04072" w14:textId="77777777" w:rsidR="00590BEF" w:rsidRPr="007202FA" w:rsidRDefault="000B4F21" w:rsidP="007202FA">
            <w:pPr>
              <w:jc w:val="right"/>
              <w:rPr>
                <w:sz w:val="20"/>
                <w:szCs w:val="20"/>
              </w:rPr>
            </w:pPr>
            <w:r>
              <w:rPr>
                <w:rFonts w:cs="Calibri"/>
                <w:color w:val="000000"/>
                <w:sz w:val="20"/>
                <w:szCs w:val="20"/>
                <w:lang w:val="ga"/>
              </w:rPr>
              <w:t>7.2%</w:t>
            </w:r>
          </w:p>
        </w:tc>
      </w:tr>
      <w:tr w:rsidR="00F31303" w14:paraId="2092953F"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25D23236" w14:textId="77777777" w:rsidR="00590BEF" w:rsidRPr="007202FA" w:rsidRDefault="000B4F21" w:rsidP="007202FA">
            <w:pPr>
              <w:rPr>
                <w:sz w:val="20"/>
                <w:szCs w:val="20"/>
              </w:rPr>
            </w:pPr>
            <w:r>
              <w:rPr>
                <w:rFonts w:cs="Calibri"/>
                <w:color w:val="000000"/>
                <w:sz w:val="20"/>
                <w:szCs w:val="20"/>
                <w:lang w:val="ga"/>
              </w:rPr>
              <w:t>Oifig an Ombudsman do Leanaí</w:t>
            </w:r>
          </w:p>
        </w:tc>
        <w:tc>
          <w:tcPr>
            <w:tcW w:w="1565" w:type="dxa"/>
            <w:tcBorders>
              <w:top w:val="single" w:sz="4" w:space="0" w:color="auto"/>
              <w:left w:val="single" w:sz="4" w:space="0" w:color="auto"/>
              <w:bottom w:val="single" w:sz="4" w:space="0" w:color="auto"/>
              <w:right w:val="single" w:sz="4" w:space="0" w:color="auto"/>
            </w:tcBorders>
            <w:hideMark/>
          </w:tcPr>
          <w:p w14:paraId="0BDD037C" w14:textId="77777777" w:rsidR="00590BEF" w:rsidRPr="007202FA" w:rsidRDefault="000B4F21" w:rsidP="007202FA">
            <w:pPr>
              <w:jc w:val="right"/>
              <w:rPr>
                <w:sz w:val="20"/>
                <w:szCs w:val="20"/>
              </w:rPr>
            </w:pPr>
            <w:r>
              <w:rPr>
                <w:rFonts w:cs="Calibri"/>
                <w:color w:val="000000"/>
                <w:sz w:val="20"/>
                <w:szCs w:val="20"/>
                <w:lang w:val="ga"/>
              </w:rPr>
              <w:t>45</w:t>
            </w:r>
          </w:p>
        </w:tc>
        <w:tc>
          <w:tcPr>
            <w:tcW w:w="1559" w:type="dxa"/>
            <w:tcBorders>
              <w:top w:val="single" w:sz="4" w:space="0" w:color="auto"/>
              <w:left w:val="single" w:sz="4" w:space="0" w:color="auto"/>
              <w:bottom w:val="single" w:sz="4" w:space="0" w:color="auto"/>
              <w:right w:val="single" w:sz="4" w:space="0" w:color="auto"/>
            </w:tcBorders>
            <w:hideMark/>
          </w:tcPr>
          <w:p w14:paraId="38DB5290" w14:textId="77777777" w:rsidR="00590BEF" w:rsidRPr="007202FA" w:rsidRDefault="000B4F21" w:rsidP="007202FA">
            <w:pPr>
              <w:jc w:val="right"/>
              <w:rPr>
                <w:sz w:val="20"/>
                <w:szCs w:val="20"/>
              </w:rPr>
            </w:pPr>
            <w:r>
              <w:rPr>
                <w:rFonts w:cs="Calibri"/>
                <w:color w:val="000000"/>
                <w:sz w:val="20"/>
                <w:szCs w:val="20"/>
                <w:lang w:val="ga"/>
              </w:rPr>
              <w:t>4</w:t>
            </w:r>
          </w:p>
        </w:tc>
        <w:tc>
          <w:tcPr>
            <w:tcW w:w="1567" w:type="dxa"/>
            <w:tcBorders>
              <w:top w:val="single" w:sz="4" w:space="0" w:color="auto"/>
              <w:left w:val="single" w:sz="4" w:space="0" w:color="auto"/>
              <w:bottom w:val="single" w:sz="4" w:space="0" w:color="auto"/>
              <w:right w:val="single" w:sz="4" w:space="0" w:color="auto"/>
            </w:tcBorders>
            <w:hideMark/>
          </w:tcPr>
          <w:p w14:paraId="50FB1FB9" w14:textId="77777777" w:rsidR="00590BEF" w:rsidRPr="007202FA" w:rsidRDefault="000B4F21" w:rsidP="007202FA">
            <w:pPr>
              <w:jc w:val="right"/>
              <w:rPr>
                <w:sz w:val="20"/>
                <w:szCs w:val="20"/>
              </w:rPr>
            </w:pPr>
            <w:r>
              <w:rPr>
                <w:rFonts w:cs="Calibri"/>
                <w:color w:val="000000"/>
                <w:sz w:val="20"/>
                <w:szCs w:val="20"/>
                <w:lang w:val="ga"/>
              </w:rPr>
              <w:t>8.9%</w:t>
            </w:r>
          </w:p>
        </w:tc>
        <w:tc>
          <w:tcPr>
            <w:tcW w:w="1700" w:type="dxa"/>
            <w:tcBorders>
              <w:top w:val="single" w:sz="4" w:space="0" w:color="auto"/>
              <w:left w:val="single" w:sz="4" w:space="0" w:color="auto"/>
              <w:bottom w:val="single" w:sz="4" w:space="0" w:color="auto"/>
              <w:right w:val="single" w:sz="4" w:space="0" w:color="auto"/>
            </w:tcBorders>
            <w:hideMark/>
          </w:tcPr>
          <w:p w14:paraId="4CFCEC00" w14:textId="77777777" w:rsidR="00590BEF" w:rsidRPr="007202FA" w:rsidRDefault="000B4F21" w:rsidP="007202FA">
            <w:pPr>
              <w:jc w:val="right"/>
              <w:rPr>
                <w:sz w:val="20"/>
                <w:szCs w:val="20"/>
              </w:rPr>
            </w:pPr>
            <w:r>
              <w:rPr>
                <w:rFonts w:cs="Calibri"/>
                <w:color w:val="000000"/>
                <w:sz w:val="20"/>
                <w:szCs w:val="20"/>
                <w:lang w:val="ga"/>
              </w:rPr>
              <w:t>46</w:t>
            </w:r>
          </w:p>
        </w:tc>
        <w:tc>
          <w:tcPr>
            <w:tcW w:w="1558" w:type="dxa"/>
            <w:tcBorders>
              <w:top w:val="single" w:sz="4" w:space="0" w:color="auto"/>
              <w:left w:val="single" w:sz="4" w:space="0" w:color="auto"/>
              <w:bottom w:val="single" w:sz="4" w:space="0" w:color="auto"/>
              <w:right w:val="single" w:sz="4" w:space="0" w:color="auto"/>
            </w:tcBorders>
            <w:hideMark/>
          </w:tcPr>
          <w:p w14:paraId="1DF69624" w14:textId="77777777" w:rsidR="00590BEF" w:rsidRPr="007202FA" w:rsidRDefault="000B4F21" w:rsidP="007202FA">
            <w:pPr>
              <w:jc w:val="right"/>
              <w:rPr>
                <w:sz w:val="20"/>
                <w:szCs w:val="20"/>
              </w:rPr>
            </w:pPr>
            <w:r>
              <w:rPr>
                <w:rFonts w:cs="Calibri"/>
                <w:color w:val="000000"/>
                <w:sz w:val="20"/>
                <w:szCs w:val="20"/>
                <w:lang w:val="ga"/>
              </w:rPr>
              <w:t>3</w:t>
            </w:r>
          </w:p>
        </w:tc>
        <w:tc>
          <w:tcPr>
            <w:tcW w:w="1700" w:type="dxa"/>
            <w:tcBorders>
              <w:top w:val="single" w:sz="4" w:space="0" w:color="auto"/>
              <w:left w:val="single" w:sz="4" w:space="0" w:color="auto"/>
              <w:bottom w:val="single" w:sz="4" w:space="0" w:color="auto"/>
              <w:right w:val="single" w:sz="4" w:space="0" w:color="auto"/>
            </w:tcBorders>
            <w:hideMark/>
          </w:tcPr>
          <w:p w14:paraId="17EAAA43" w14:textId="77777777" w:rsidR="00590BEF" w:rsidRPr="007202FA" w:rsidRDefault="000B4F21" w:rsidP="007202FA">
            <w:pPr>
              <w:jc w:val="right"/>
              <w:rPr>
                <w:sz w:val="20"/>
                <w:szCs w:val="20"/>
              </w:rPr>
            </w:pPr>
            <w:r>
              <w:rPr>
                <w:rFonts w:cs="Calibri"/>
                <w:color w:val="000000"/>
                <w:sz w:val="20"/>
                <w:szCs w:val="20"/>
                <w:lang w:val="ga"/>
              </w:rPr>
              <w:t>6.5%</w:t>
            </w:r>
          </w:p>
        </w:tc>
      </w:tr>
      <w:tr w:rsidR="00F31303" w14:paraId="7C7A18E9"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487FD96E" w14:textId="14ECA13C" w:rsidR="005F5C07" w:rsidRPr="007202FA" w:rsidRDefault="000B4F21" w:rsidP="007202FA">
            <w:pPr>
              <w:rPr>
                <w:rFonts w:cs="Calibri"/>
                <w:color w:val="000000"/>
                <w:sz w:val="20"/>
                <w:szCs w:val="20"/>
              </w:rPr>
            </w:pPr>
            <w:r>
              <w:rPr>
                <w:rFonts w:cs="Calibri"/>
                <w:color w:val="000000"/>
                <w:sz w:val="20"/>
                <w:szCs w:val="20"/>
                <w:lang w:val="ga"/>
              </w:rPr>
              <w:t xml:space="preserve">An Bord Parúil </w:t>
            </w:r>
            <w:r>
              <w:rPr>
                <w:rStyle w:val="FootnoteReference"/>
                <w:rFonts w:cs="Calibri"/>
                <w:color w:val="000000"/>
                <w:sz w:val="20"/>
                <w:szCs w:val="20"/>
                <w:lang w:val="ga"/>
              </w:rPr>
              <w:footnoteReference w:id="17"/>
            </w:r>
          </w:p>
          <w:p w14:paraId="3274619D" w14:textId="77777777" w:rsidR="00AD1735" w:rsidRPr="007202FA" w:rsidRDefault="00AD1735" w:rsidP="007202FA">
            <w:pPr>
              <w:rPr>
                <w:rFonts w:cs="Calibri"/>
                <w:color w:val="000000"/>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14:paraId="35D181B4" w14:textId="77777777" w:rsidR="00590BEF" w:rsidRPr="007202FA" w:rsidRDefault="000B4F21" w:rsidP="007202FA">
            <w:pPr>
              <w:jc w:val="right"/>
              <w:rPr>
                <w:rFonts w:cs="Calibri"/>
                <w:color w:val="000000"/>
                <w:sz w:val="20"/>
                <w:szCs w:val="20"/>
              </w:rPr>
            </w:pPr>
            <w:r>
              <w:rPr>
                <w:rFonts w:cs="Calibri"/>
                <w:color w:val="000000"/>
                <w:sz w:val="20"/>
                <w:szCs w:val="20"/>
                <w:lang w:val="ga"/>
              </w:rPr>
              <w:t>-</w:t>
            </w:r>
          </w:p>
        </w:tc>
        <w:tc>
          <w:tcPr>
            <w:tcW w:w="1559" w:type="dxa"/>
            <w:tcBorders>
              <w:top w:val="single" w:sz="4" w:space="0" w:color="auto"/>
              <w:left w:val="single" w:sz="4" w:space="0" w:color="auto"/>
              <w:bottom w:val="single" w:sz="4" w:space="0" w:color="auto"/>
              <w:right w:val="single" w:sz="4" w:space="0" w:color="auto"/>
            </w:tcBorders>
            <w:hideMark/>
          </w:tcPr>
          <w:p w14:paraId="41699CAC" w14:textId="77777777" w:rsidR="00590BEF" w:rsidRPr="007202FA" w:rsidRDefault="000B4F21" w:rsidP="007202FA">
            <w:pPr>
              <w:jc w:val="right"/>
              <w:rPr>
                <w:rFonts w:cs="Calibri"/>
                <w:color w:val="000000"/>
                <w:sz w:val="20"/>
                <w:szCs w:val="20"/>
              </w:rPr>
            </w:pPr>
            <w:r>
              <w:rPr>
                <w:rFonts w:cs="Calibri"/>
                <w:color w:val="000000"/>
                <w:sz w:val="20"/>
                <w:szCs w:val="20"/>
                <w:lang w:val="ga"/>
              </w:rPr>
              <w:t>-</w:t>
            </w:r>
          </w:p>
        </w:tc>
        <w:tc>
          <w:tcPr>
            <w:tcW w:w="1567" w:type="dxa"/>
            <w:tcBorders>
              <w:top w:val="single" w:sz="4" w:space="0" w:color="auto"/>
              <w:left w:val="single" w:sz="4" w:space="0" w:color="auto"/>
              <w:bottom w:val="single" w:sz="4" w:space="0" w:color="auto"/>
              <w:right w:val="single" w:sz="4" w:space="0" w:color="auto"/>
            </w:tcBorders>
            <w:hideMark/>
          </w:tcPr>
          <w:p w14:paraId="0BAC5ADD" w14:textId="77777777" w:rsidR="00590BEF" w:rsidRPr="007202FA" w:rsidRDefault="000B4F21" w:rsidP="007202FA">
            <w:pPr>
              <w:jc w:val="right"/>
              <w:rPr>
                <w:rFonts w:cs="Calibri"/>
                <w:color w:val="000000"/>
                <w:sz w:val="20"/>
                <w:szCs w:val="20"/>
              </w:rPr>
            </w:pPr>
            <w:r>
              <w:rPr>
                <w:rFonts w:cs="Calibri"/>
                <w:color w:val="000000"/>
                <w:sz w:val="20"/>
                <w:szCs w:val="20"/>
                <w:lang w:val="ga"/>
              </w:rPr>
              <w:t>-</w:t>
            </w:r>
          </w:p>
        </w:tc>
        <w:tc>
          <w:tcPr>
            <w:tcW w:w="1700" w:type="dxa"/>
            <w:tcBorders>
              <w:top w:val="single" w:sz="4" w:space="0" w:color="auto"/>
              <w:left w:val="single" w:sz="4" w:space="0" w:color="auto"/>
              <w:bottom w:val="single" w:sz="4" w:space="0" w:color="auto"/>
              <w:right w:val="single" w:sz="4" w:space="0" w:color="auto"/>
            </w:tcBorders>
            <w:hideMark/>
          </w:tcPr>
          <w:p w14:paraId="6E2684BC" w14:textId="77777777" w:rsidR="00590BEF" w:rsidRPr="007202FA" w:rsidRDefault="000B4F21" w:rsidP="007202FA">
            <w:pPr>
              <w:jc w:val="right"/>
              <w:rPr>
                <w:sz w:val="20"/>
                <w:szCs w:val="20"/>
              </w:rPr>
            </w:pPr>
            <w:r>
              <w:rPr>
                <w:rFonts w:cs="Calibri"/>
                <w:color w:val="000000"/>
                <w:sz w:val="20"/>
                <w:szCs w:val="20"/>
                <w:lang w:val="ga"/>
              </w:rPr>
              <w:t>24</w:t>
            </w:r>
          </w:p>
        </w:tc>
        <w:tc>
          <w:tcPr>
            <w:tcW w:w="1558" w:type="dxa"/>
            <w:tcBorders>
              <w:top w:val="single" w:sz="4" w:space="0" w:color="auto"/>
              <w:left w:val="single" w:sz="4" w:space="0" w:color="auto"/>
              <w:bottom w:val="single" w:sz="4" w:space="0" w:color="auto"/>
              <w:right w:val="single" w:sz="4" w:space="0" w:color="auto"/>
            </w:tcBorders>
            <w:hideMark/>
          </w:tcPr>
          <w:p w14:paraId="56BEFFD4" w14:textId="77777777" w:rsidR="00590BEF" w:rsidRPr="007202FA" w:rsidRDefault="000B4F21" w:rsidP="007202FA">
            <w:pPr>
              <w:jc w:val="right"/>
              <w:rPr>
                <w:sz w:val="20"/>
                <w:szCs w:val="20"/>
              </w:rPr>
            </w:pPr>
            <w:r>
              <w:rPr>
                <w:rFonts w:cs="Calibri"/>
                <w:color w:val="000000"/>
                <w:sz w:val="20"/>
                <w:szCs w:val="20"/>
                <w:lang w:val="ga"/>
              </w:rPr>
              <w:t>2</w:t>
            </w:r>
          </w:p>
        </w:tc>
        <w:tc>
          <w:tcPr>
            <w:tcW w:w="1700" w:type="dxa"/>
            <w:tcBorders>
              <w:top w:val="single" w:sz="4" w:space="0" w:color="auto"/>
              <w:left w:val="single" w:sz="4" w:space="0" w:color="auto"/>
              <w:bottom w:val="single" w:sz="4" w:space="0" w:color="auto"/>
              <w:right w:val="single" w:sz="4" w:space="0" w:color="auto"/>
            </w:tcBorders>
            <w:hideMark/>
          </w:tcPr>
          <w:p w14:paraId="786958A1" w14:textId="77777777" w:rsidR="00590BEF" w:rsidRPr="007202FA" w:rsidRDefault="000B4F21" w:rsidP="007202FA">
            <w:pPr>
              <w:jc w:val="right"/>
              <w:rPr>
                <w:sz w:val="20"/>
                <w:szCs w:val="20"/>
              </w:rPr>
            </w:pPr>
            <w:r>
              <w:rPr>
                <w:rFonts w:cs="Calibri"/>
                <w:color w:val="000000"/>
                <w:sz w:val="20"/>
                <w:szCs w:val="20"/>
                <w:lang w:val="ga"/>
              </w:rPr>
              <w:t>8.3%</w:t>
            </w:r>
          </w:p>
        </w:tc>
      </w:tr>
      <w:tr w:rsidR="00F31303" w14:paraId="512A1BE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74843879" w14:textId="77777777" w:rsidR="00590BEF" w:rsidRPr="007202FA" w:rsidRDefault="000B4F21" w:rsidP="007202FA">
            <w:pPr>
              <w:rPr>
                <w:rFonts w:cs="Calibri"/>
                <w:color w:val="000000"/>
                <w:sz w:val="20"/>
                <w:szCs w:val="20"/>
              </w:rPr>
            </w:pPr>
            <w:r>
              <w:rPr>
                <w:rFonts w:cs="Calibri"/>
                <w:b/>
                <w:bCs/>
                <w:color w:val="000000"/>
                <w:sz w:val="20"/>
                <w:szCs w:val="20"/>
                <w:lang w:val="ga"/>
              </w:rPr>
              <w:t>*</w:t>
            </w:r>
            <w:r>
              <w:rPr>
                <w:rFonts w:cs="Calibri"/>
                <w:color w:val="000000"/>
                <w:sz w:val="20"/>
                <w:szCs w:val="20"/>
                <w:lang w:val="ga"/>
              </w:rPr>
              <w:t>An tÚdarás Póilíneachta</w:t>
            </w:r>
          </w:p>
          <w:p w14:paraId="731AAFBB" w14:textId="77777777" w:rsidR="00AD1735" w:rsidRPr="007202FA" w:rsidRDefault="00AD1735" w:rsidP="007202FA">
            <w:pPr>
              <w:rPr>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14:paraId="61D49A55" w14:textId="77777777" w:rsidR="00590BEF" w:rsidRPr="007202FA" w:rsidRDefault="000B4F21" w:rsidP="007202FA">
            <w:pPr>
              <w:jc w:val="right"/>
              <w:rPr>
                <w:sz w:val="20"/>
                <w:szCs w:val="20"/>
              </w:rPr>
            </w:pPr>
            <w:r>
              <w:rPr>
                <w:rFonts w:cs="Calibri"/>
                <w:color w:val="000000"/>
                <w:sz w:val="20"/>
                <w:szCs w:val="20"/>
                <w:lang w:val="ga"/>
              </w:rPr>
              <w:t>45</w:t>
            </w:r>
          </w:p>
        </w:tc>
        <w:tc>
          <w:tcPr>
            <w:tcW w:w="1559" w:type="dxa"/>
            <w:tcBorders>
              <w:top w:val="single" w:sz="4" w:space="0" w:color="auto"/>
              <w:left w:val="single" w:sz="4" w:space="0" w:color="auto"/>
              <w:bottom w:val="single" w:sz="4" w:space="0" w:color="auto"/>
              <w:right w:val="single" w:sz="4" w:space="0" w:color="auto"/>
            </w:tcBorders>
            <w:hideMark/>
          </w:tcPr>
          <w:p w14:paraId="3431A365" w14:textId="77777777" w:rsidR="00590BEF" w:rsidRPr="007202FA" w:rsidRDefault="000B4F21" w:rsidP="007202FA">
            <w:pPr>
              <w:jc w:val="right"/>
              <w:rPr>
                <w:sz w:val="20"/>
                <w:szCs w:val="20"/>
              </w:rPr>
            </w:pPr>
            <w:r>
              <w:rPr>
                <w:rFonts w:cs="Calibri"/>
                <w:color w:val="000000"/>
                <w:sz w:val="20"/>
                <w:szCs w:val="20"/>
                <w:lang w:val="ga"/>
              </w:rPr>
              <w:t>3</w:t>
            </w:r>
          </w:p>
        </w:tc>
        <w:tc>
          <w:tcPr>
            <w:tcW w:w="1567" w:type="dxa"/>
            <w:tcBorders>
              <w:top w:val="single" w:sz="4" w:space="0" w:color="auto"/>
              <w:left w:val="single" w:sz="4" w:space="0" w:color="auto"/>
              <w:bottom w:val="single" w:sz="4" w:space="0" w:color="auto"/>
              <w:right w:val="single" w:sz="4" w:space="0" w:color="auto"/>
            </w:tcBorders>
            <w:hideMark/>
          </w:tcPr>
          <w:p w14:paraId="6F561E79" w14:textId="77777777" w:rsidR="00590BEF" w:rsidRPr="007202FA" w:rsidRDefault="000B4F21" w:rsidP="007202FA">
            <w:pPr>
              <w:jc w:val="right"/>
              <w:rPr>
                <w:sz w:val="20"/>
                <w:szCs w:val="20"/>
              </w:rPr>
            </w:pPr>
            <w:r>
              <w:rPr>
                <w:rFonts w:cs="Calibri"/>
                <w:color w:val="000000"/>
                <w:sz w:val="20"/>
                <w:szCs w:val="20"/>
                <w:lang w:val="ga"/>
              </w:rPr>
              <w:t>6.7%</w:t>
            </w:r>
          </w:p>
        </w:tc>
        <w:tc>
          <w:tcPr>
            <w:tcW w:w="1700" w:type="dxa"/>
            <w:tcBorders>
              <w:top w:val="single" w:sz="4" w:space="0" w:color="auto"/>
              <w:left w:val="single" w:sz="4" w:space="0" w:color="auto"/>
              <w:bottom w:val="single" w:sz="4" w:space="0" w:color="auto"/>
              <w:right w:val="single" w:sz="4" w:space="0" w:color="auto"/>
            </w:tcBorders>
            <w:hideMark/>
          </w:tcPr>
          <w:p w14:paraId="55DBFE6B" w14:textId="77777777" w:rsidR="00590BEF" w:rsidRPr="007202FA" w:rsidRDefault="000B4F21" w:rsidP="007202FA">
            <w:pPr>
              <w:jc w:val="right"/>
              <w:rPr>
                <w:sz w:val="20"/>
                <w:szCs w:val="20"/>
              </w:rPr>
            </w:pPr>
            <w:r>
              <w:rPr>
                <w:rFonts w:cs="Calibri"/>
                <w:color w:val="000000"/>
                <w:sz w:val="20"/>
                <w:szCs w:val="20"/>
                <w:lang w:val="ga"/>
              </w:rPr>
              <w:t>38</w:t>
            </w:r>
          </w:p>
        </w:tc>
        <w:tc>
          <w:tcPr>
            <w:tcW w:w="1558" w:type="dxa"/>
            <w:tcBorders>
              <w:top w:val="single" w:sz="4" w:space="0" w:color="auto"/>
              <w:left w:val="single" w:sz="4" w:space="0" w:color="auto"/>
              <w:bottom w:val="single" w:sz="4" w:space="0" w:color="auto"/>
              <w:right w:val="single" w:sz="4" w:space="0" w:color="auto"/>
            </w:tcBorders>
            <w:hideMark/>
          </w:tcPr>
          <w:p w14:paraId="73BC2F73" w14:textId="77777777" w:rsidR="00590BEF" w:rsidRPr="007202FA" w:rsidRDefault="000B4F21" w:rsidP="007202FA">
            <w:pPr>
              <w:jc w:val="right"/>
              <w:rPr>
                <w:sz w:val="20"/>
                <w:szCs w:val="20"/>
              </w:rPr>
            </w:pPr>
            <w:r>
              <w:rPr>
                <w:rFonts w:cs="Calibri"/>
                <w:color w:val="000000"/>
                <w:sz w:val="20"/>
                <w:szCs w:val="20"/>
                <w:lang w:val="ga"/>
              </w:rPr>
              <w:t>3</w:t>
            </w:r>
          </w:p>
        </w:tc>
        <w:tc>
          <w:tcPr>
            <w:tcW w:w="1700" w:type="dxa"/>
            <w:tcBorders>
              <w:top w:val="single" w:sz="4" w:space="0" w:color="auto"/>
              <w:left w:val="single" w:sz="4" w:space="0" w:color="auto"/>
              <w:bottom w:val="single" w:sz="4" w:space="0" w:color="auto"/>
              <w:right w:val="single" w:sz="4" w:space="0" w:color="auto"/>
            </w:tcBorders>
            <w:hideMark/>
          </w:tcPr>
          <w:p w14:paraId="15755427" w14:textId="77777777" w:rsidR="00590BEF" w:rsidRPr="007202FA" w:rsidRDefault="000B4F21" w:rsidP="007202FA">
            <w:pPr>
              <w:jc w:val="right"/>
              <w:rPr>
                <w:sz w:val="20"/>
                <w:szCs w:val="20"/>
              </w:rPr>
            </w:pPr>
            <w:r>
              <w:rPr>
                <w:rFonts w:cs="Calibri"/>
                <w:color w:val="000000"/>
                <w:sz w:val="20"/>
                <w:szCs w:val="20"/>
                <w:lang w:val="ga"/>
              </w:rPr>
              <w:t>7.9%</w:t>
            </w:r>
          </w:p>
        </w:tc>
      </w:tr>
      <w:tr w:rsidR="00F31303" w14:paraId="6697EE35"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tcPr>
          <w:p w14:paraId="279E7C7F" w14:textId="5E399B4C" w:rsidR="00590BEF" w:rsidRPr="007202FA" w:rsidRDefault="000B4F21" w:rsidP="007202FA">
            <w:pPr>
              <w:rPr>
                <w:sz w:val="20"/>
                <w:szCs w:val="20"/>
              </w:rPr>
            </w:pPr>
            <w:r>
              <w:rPr>
                <w:color w:val="000000"/>
                <w:sz w:val="20"/>
                <w:szCs w:val="20"/>
                <w:lang w:val="ga"/>
              </w:rPr>
              <w:t>Teaghlachas an Uachtaráin</w:t>
            </w:r>
            <w:r>
              <w:rPr>
                <w:sz w:val="20"/>
                <w:szCs w:val="20"/>
                <w:lang w:val="ga"/>
              </w:rPr>
              <w:t xml:space="preserve"> </w:t>
            </w:r>
          </w:p>
        </w:tc>
        <w:tc>
          <w:tcPr>
            <w:tcW w:w="1565" w:type="dxa"/>
            <w:tcBorders>
              <w:top w:val="single" w:sz="4" w:space="0" w:color="auto"/>
              <w:left w:val="single" w:sz="4" w:space="0" w:color="auto"/>
              <w:bottom w:val="single" w:sz="4" w:space="0" w:color="auto"/>
              <w:right w:val="single" w:sz="4" w:space="0" w:color="auto"/>
            </w:tcBorders>
            <w:hideMark/>
          </w:tcPr>
          <w:p w14:paraId="061AD315" w14:textId="77777777" w:rsidR="00590BEF" w:rsidRPr="007202FA" w:rsidRDefault="000B4F21" w:rsidP="007202FA">
            <w:pPr>
              <w:jc w:val="right"/>
              <w:rPr>
                <w:sz w:val="20"/>
                <w:szCs w:val="20"/>
              </w:rPr>
            </w:pPr>
            <w:r>
              <w:rPr>
                <w:sz w:val="20"/>
                <w:szCs w:val="20"/>
                <w:lang w:val="ga"/>
              </w:rPr>
              <w:t>30</w:t>
            </w:r>
          </w:p>
        </w:tc>
        <w:tc>
          <w:tcPr>
            <w:tcW w:w="1559" w:type="dxa"/>
            <w:tcBorders>
              <w:top w:val="single" w:sz="4" w:space="0" w:color="auto"/>
              <w:left w:val="single" w:sz="4" w:space="0" w:color="auto"/>
              <w:bottom w:val="single" w:sz="4" w:space="0" w:color="auto"/>
              <w:right w:val="single" w:sz="4" w:space="0" w:color="auto"/>
            </w:tcBorders>
            <w:hideMark/>
          </w:tcPr>
          <w:p w14:paraId="4E206FEB" w14:textId="77777777" w:rsidR="00590BEF" w:rsidRPr="007202FA" w:rsidRDefault="000B4F21" w:rsidP="007202FA">
            <w:pPr>
              <w:jc w:val="right"/>
              <w:rPr>
                <w:sz w:val="20"/>
                <w:szCs w:val="20"/>
              </w:rPr>
            </w:pPr>
            <w:r>
              <w:rPr>
                <w:sz w:val="20"/>
                <w:szCs w:val="20"/>
                <w:lang w:val="ga"/>
              </w:rPr>
              <w:t>0</w:t>
            </w:r>
          </w:p>
        </w:tc>
        <w:tc>
          <w:tcPr>
            <w:tcW w:w="1567" w:type="dxa"/>
            <w:tcBorders>
              <w:top w:val="single" w:sz="4" w:space="0" w:color="auto"/>
              <w:left w:val="single" w:sz="4" w:space="0" w:color="auto"/>
              <w:bottom w:val="single" w:sz="4" w:space="0" w:color="auto"/>
              <w:right w:val="single" w:sz="4" w:space="0" w:color="auto"/>
            </w:tcBorders>
            <w:hideMark/>
          </w:tcPr>
          <w:p w14:paraId="4D72796A" w14:textId="77777777" w:rsidR="00590BEF" w:rsidRPr="007202FA" w:rsidRDefault="000B4F21" w:rsidP="007202FA">
            <w:pPr>
              <w:jc w:val="right"/>
              <w:rPr>
                <w:sz w:val="20"/>
                <w:szCs w:val="20"/>
              </w:rPr>
            </w:pPr>
            <w:r>
              <w:rPr>
                <w:sz w:val="20"/>
                <w:szCs w:val="20"/>
                <w:lang w:val="ga"/>
              </w:rPr>
              <w:t>0.0%</w:t>
            </w:r>
          </w:p>
        </w:tc>
        <w:tc>
          <w:tcPr>
            <w:tcW w:w="1700" w:type="dxa"/>
            <w:tcBorders>
              <w:top w:val="single" w:sz="4" w:space="0" w:color="auto"/>
              <w:left w:val="single" w:sz="4" w:space="0" w:color="auto"/>
              <w:bottom w:val="single" w:sz="4" w:space="0" w:color="auto"/>
              <w:right w:val="single" w:sz="4" w:space="0" w:color="auto"/>
            </w:tcBorders>
            <w:hideMark/>
          </w:tcPr>
          <w:p w14:paraId="3BA8B8B1" w14:textId="77777777" w:rsidR="00590BEF" w:rsidRPr="007202FA" w:rsidRDefault="000B4F21" w:rsidP="007202FA">
            <w:pPr>
              <w:jc w:val="right"/>
              <w:rPr>
                <w:sz w:val="20"/>
                <w:szCs w:val="20"/>
              </w:rPr>
            </w:pPr>
            <w:r>
              <w:rPr>
                <w:rFonts w:cs="Calibri"/>
                <w:color w:val="000000"/>
                <w:sz w:val="20"/>
                <w:szCs w:val="20"/>
                <w:lang w:val="ga"/>
              </w:rPr>
              <w:t>30</w:t>
            </w:r>
          </w:p>
        </w:tc>
        <w:tc>
          <w:tcPr>
            <w:tcW w:w="1558" w:type="dxa"/>
            <w:tcBorders>
              <w:top w:val="single" w:sz="4" w:space="0" w:color="auto"/>
              <w:left w:val="single" w:sz="4" w:space="0" w:color="auto"/>
              <w:bottom w:val="single" w:sz="4" w:space="0" w:color="auto"/>
              <w:right w:val="single" w:sz="4" w:space="0" w:color="auto"/>
            </w:tcBorders>
            <w:hideMark/>
          </w:tcPr>
          <w:p w14:paraId="52C22854" w14:textId="77777777" w:rsidR="00590BEF" w:rsidRPr="007202FA" w:rsidRDefault="000B4F21" w:rsidP="007202FA">
            <w:pPr>
              <w:jc w:val="right"/>
              <w:rPr>
                <w:sz w:val="20"/>
                <w:szCs w:val="20"/>
              </w:rPr>
            </w:pPr>
            <w:r>
              <w:rPr>
                <w:rFonts w:cs="Calibri"/>
                <w:color w:val="000000"/>
                <w:sz w:val="20"/>
                <w:szCs w:val="20"/>
                <w:lang w:val="ga"/>
              </w:rPr>
              <w:t>1</w:t>
            </w:r>
          </w:p>
        </w:tc>
        <w:tc>
          <w:tcPr>
            <w:tcW w:w="1700" w:type="dxa"/>
            <w:tcBorders>
              <w:top w:val="single" w:sz="4" w:space="0" w:color="auto"/>
              <w:left w:val="single" w:sz="4" w:space="0" w:color="auto"/>
              <w:bottom w:val="single" w:sz="4" w:space="0" w:color="auto"/>
              <w:right w:val="single" w:sz="4" w:space="0" w:color="auto"/>
            </w:tcBorders>
            <w:hideMark/>
          </w:tcPr>
          <w:p w14:paraId="7D920A09" w14:textId="77777777" w:rsidR="00590BEF" w:rsidRPr="007202FA" w:rsidRDefault="000B4F21" w:rsidP="007202FA">
            <w:pPr>
              <w:jc w:val="right"/>
              <w:rPr>
                <w:sz w:val="20"/>
                <w:szCs w:val="20"/>
              </w:rPr>
            </w:pPr>
            <w:r>
              <w:rPr>
                <w:rFonts w:cs="Calibri"/>
                <w:color w:val="000000"/>
                <w:sz w:val="20"/>
                <w:szCs w:val="20"/>
                <w:lang w:val="ga"/>
              </w:rPr>
              <w:t>3.3%</w:t>
            </w:r>
          </w:p>
        </w:tc>
      </w:tr>
      <w:tr w:rsidR="00F31303" w14:paraId="00D94ABB"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8163789" w14:textId="77777777" w:rsidR="00590BEF" w:rsidRPr="007202FA" w:rsidRDefault="000B4F21" w:rsidP="007202FA">
            <w:pPr>
              <w:rPr>
                <w:rFonts w:cs="Calibri"/>
                <w:color w:val="000000"/>
                <w:sz w:val="20"/>
                <w:szCs w:val="20"/>
              </w:rPr>
            </w:pPr>
            <w:r>
              <w:rPr>
                <w:rFonts w:cs="Calibri"/>
                <w:b/>
                <w:bCs/>
                <w:color w:val="000000"/>
                <w:sz w:val="20"/>
                <w:szCs w:val="20"/>
                <w:lang w:val="ga"/>
              </w:rPr>
              <w:t>*</w:t>
            </w:r>
            <w:r>
              <w:rPr>
                <w:rFonts w:cs="Calibri"/>
                <w:color w:val="000000"/>
                <w:sz w:val="20"/>
                <w:szCs w:val="20"/>
                <w:lang w:val="ga"/>
              </w:rPr>
              <w:t>An tÚdarás Rialála Seirbhísí Maoine</w:t>
            </w:r>
          </w:p>
          <w:p w14:paraId="6D9A59AB" w14:textId="77777777" w:rsidR="004403D9" w:rsidRPr="007202FA" w:rsidRDefault="004403D9" w:rsidP="007202FA">
            <w:pPr>
              <w:rPr>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14:paraId="556EDCF9" w14:textId="77777777" w:rsidR="00590BEF" w:rsidRPr="007202FA" w:rsidRDefault="000B4F21" w:rsidP="007202FA">
            <w:pPr>
              <w:jc w:val="right"/>
              <w:rPr>
                <w:sz w:val="20"/>
                <w:szCs w:val="20"/>
              </w:rPr>
            </w:pPr>
            <w:r>
              <w:rPr>
                <w:sz w:val="20"/>
                <w:szCs w:val="20"/>
                <w:lang w:val="ga"/>
              </w:rPr>
              <w:t>41</w:t>
            </w:r>
          </w:p>
        </w:tc>
        <w:tc>
          <w:tcPr>
            <w:tcW w:w="1559" w:type="dxa"/>
            <w:tcBorders>
              <w:top w:val="single" w:sz="4" w:space="0" w:color="auto"/>
              <w:left w:val="single" w:sz="4" w:space="0" w:color="auto"/>
              <w:bottom w:val="single" w:sz="4" w:space="0" w:color="auto"/>
              <w:right w:val="single" w:sz="4" w:space="0" w:color="auto"/>
            </w:tcBorders>
            <w:hideMark/>
          </w:tcPr>
          <w:p w14:paraId="19200D02" w14:textId="77777777" w:rsidR="00590BEF" w:rsidRPr="007202FA" w:rsidRDefault="000B4F21" w:rsidP="007202FA">
            <w:pPr>
              <w:jc w:val="right"/>
              <w:rPr>
                <w:sz w:val="20"/>
                <w:szCs w:val="20"/>
              </w:rPr>
            </w:pPr>
            <w:r>
              <w:rPr>
                <w:sz w:val="20"/>
                <w:szCs w:val="20"/>
                <w:lang w:val="ga"/>
              </w:rPr>
              <w:t>3</w:t>
            </w:r>
          </w:p>
        </w:tc>
        <w:tc>
          <w:tcPr>
            <w:tcW w:w="1567" w:type="dxa"/>
            <w:tcBorders>
              <w:top w:val="single" w:sz="4" w:space="0" w:color="auto"/>
              <w:left w:val="single" w:sz="4" w:space="0" w:color="auto"/>
              <w:bottom w:val="single" w:sz="4" w:space="0" w:color="auto"/>
              <w:right w:val="single" w:sz="4" w:space="0" w:color="auto"/>
            </w:tcBorders>
            <w:hideMark/>
          </w:tcPr>
          <w:p w14:paraId="7D9FC350" w14:textId="77777777" w:rsidR="00590BEF" w:rsidRPr="007202FA" w:rsidRDefault="000B4F21" w:rsidP="007202FA">
            <w:pPr>
              <w:jc w:val="right"/>
              <w:rPr>
                <w:sz w:val="20"/>
                <w:szCs w:val="20"/>
              </w:rPr>
            </w:pPr>
            <w:r>
              <w:rPr>
                <w:sz w:val="20"/>
                <w:szCs w:val="20"/>
                <w:lang w:val="ga"/>
              </w:rPr>
              <w:t>7.3%</w:t>
            </w:r>
          </w:p>
        </w:tc>
        <w:tc>
          <w:tcPr>
            <w:tcW w:w="1700" w:type="dxa"/>
            <w:tcBorders>
              <w:top w:val="single" w:sz="4" w:space="0" w:color="auto"/>
              <w:left w:val="single" w:sz="4" w:space="0" w:color="auto"/>
              <w:bottom w:val="single" w:sz="4" w:space="0" w:color="auto"/>
              <w:right w:val="single" w:sz="4" w:space="0" w:color="auto"/>
            </w:tcBorders>
            <w:hideMark/>
          </w:tcPr>
          <w:p w14:paraId="7514E01A" w14:textId="77777777" w:rsidR="00590BEF" w:rsidRPr="007202FA" w:rsidRDefault="000B4F21" w:rsidP="007202FA">
            <w:pPr>
              <w:jc w:val="right"/>
              <w:rPr>
                <w:sz w:val="20"/>
                <w:szCs w:val="20"/>
              </w:rPr>
            </w:pPr>
            <w:r>
              <w:rPr>
                <w:rFonts w:cs="Calibri"/>
                <w:color w:val="000000"/>
                <w:sz w:val="20"/>
                <w:szCs w:val="20"/>
                <w:lang w:val="ga"/>
              </w:rPr>
              <w:t>42</w:t>
            </w:r>
          </w:p>
        </w:tc>
        <w:tc>
          <w:tcPr>
            <w:tcW w:w="1558" w:type="dxa"/>
            <w:tcBorders>
              <w:top w:val="single" w:sz="4" w:space="0" w:color="auto"/>
              <w:left w:val="single" w:sz="4" w:space="0" w:color="auto"/>
              <w:bottom w:val="single" w:sz="4" w:space="0" w:color="auto"/>
              <w:right w:val="single" w:sz="4" w:space="0" w:color="auto"/>
            </w:tcBorders>
            <w:hideMark/>
          </w:tcPr>
          <w:p w14:paraId="3CE63204" w14:textId="77777777" w:rsidR="00590BEF" w:rsidRPr="007202FA" w:rsidRDefault="000B4F21" w:rsidP="007202FA">
            <w:pPr>
              <w:jc w:val="right"/>
              <w:rPr>
                <w:sz w:val="20"/>
                <w:szCs w:val="20"/>
              </w:rPr>
            </w:pPr>
            <w:r>
              <w:rPr>
                <w:rFonts w:cs="Calibri"/>
                <w:color w:val="000000"/>
                <w:sz w:val="20"/>
                <w:szCs w:val="20"/>
                <w:lang w:val="ga"/>
              </w:rPr>
              <w:t>6</w:t>
            </w:r>
          </w:p>
        </w:tc>
        <w:tc>
          <w:tcPr>
            <w:tcW w:w="1700" w:type="dxa"/>
            <w:tcBorders>
              <w:top w:val="single" w:sz="4" w:space="0" w:color="auto"/>
              <w:left w:val="single" w:sz="4" w:space="0" w:color="auto"/>
              <w:bottom w:val="single" w:sz="4" w:space="0" w:color="auto"/>
              <w:right w:val="single" w:sz="4" w:space="0" w:color="auto"/>
            </w:tcBorders>
            <w:hideMark/>
          </w:tcPr>
          <w:p w14:paraId="6619A4EF" w14:textId="77777777" w:rsidR="00590BEF" w:rsidRPr="007202FA" w:rsidRDefault="000B4F21" w:rsidP="007202FA">
            <w:pPr>
              <w:jc w:val="right"/>
              <w:rPr>
                <w:sz w:val="20"/>
                <w:szCs w:val="20"/>
              </w:rPr>
            </w:pPr>
            <w:r>
              <w:rPr>
                <w:rFonts w:cs="Calibri"/>
                <w:color w:val="000000"/>
                <w:sz w:val="20"/>
                <w:szCs w:val="20"/>
                <w:lang w:val="ga"/>
              </w:rPr>
              <w:t>14.3%</w:t>
            </w:r>
          </w:p>
        </w:tc>
      </w:tr>
      <w:tr w:rsidR="00F31303" w14:paraId="636BE8C2"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2B149C9C" w14:textId="77777777" w:rsidR="00590BEF" w:rsidRPr="007202FA" w:rsidRDefault="000B4F21" w:rsidP="007202FA">
            <w:pPr>
              <w:rPr>
                <w:sz w:val="20"/>
                <w:szCs w:val="20"/>
              </w:rPr>
            </w:pPr>
            <w:r>
              <w:rPr>
                <w:rFonts w:cs="Calibri"/>
                <w:color w:val="000000"/>
                <w:sz w:val="20"/>
                <w:szCs w:val="20"/>
                <w:lang w:val="ga"/>
              </w:rPr>
              <w:t>An tSeirbhís um Cheapacháin Phoiblí</w:t>
            </w:r>
          </w:p>
        </w:tc>
        <w:tc>
          <w:tcPr>
            <w:tcW w:w="1565" w:type="dxa"/>
            <w:tcBorders>
              <w:top w:val="single" w:sz="4" w:space="0" w:color="auto"/>
              <w:left w:val="single" w:sz="4" w:space="0" w:color="auto"/>
              <w:bottom w:val="single" w:sz="4" w:space="0" w:color="auto"/>
              <w:right w:val="single" w:sz="4" w:space="0" w:color="auto"/>
            </w:tcBorders>
            <w:hideMark/>
          </w:tcPr>
          <w:p w14:paraId="50C8DABF" w14:textId="77777777" w:rsidR="00590BEF" w:rsidRPr="007202FA" w:rsidRDefault="000B4F21" w:rsidP="007202FA">
            <w:pPr>
              <w:jc w:val="right"/>
              <w:rPr>
                <w:sz w:val="20"/>
                <w:szCs w:val="20"/>
              </w:rPr>
            </w:pPr>
            <w:r>
              <w:rPr>
                <w:rFonts w:cs="Calibri"/>
                <w:color w:val="000000"/>
                <w:sz w:val="20"/>
                <w:szCs w:val="20"/>
                <w:lang w:val="ga"/>
              </w:rPr>
              <w:t>311</w:t>
            </w:r>
          </w:p>
        </w:tc>
        <w:tc>
          <w:tcPr>
            <w:tcW w:w="1559" w:type="dxa"/>
            <w:tcBorders>
              <w:top w:val="single" w:sz="4" w:space="0" w:color="auto"/>
              <w:left w:val="single" w:sz="4" w:space="0" w:color="auto"/>
              <w:bottom w:val="single" w:sz="4" w:space="0" w:color="auto"/>
              <w:right w:val="single" w:sz="4" w:space="0" w:color="auto"/>
            </w:tcBorders>
            <w:hideMark/>
          </w:tcPr>
          <w:p w14:paraId="447CC111" w14:textId="77777777" w:rsidR="00590BEF" w:rsidRPr="007202FA" w:rsidRDefault="000B4F21" w:rsidP="007202FA">
            <w:pPr>
              <w:jc w:val="right"/>
              <w:rPr>
                <w:sz w:val="20"/>
                <w:szCs w:val="20"/>
              </w:rPr>
            </w:pPr>
            <w:r>
              <w:rPr>
                <w:rFonts w:cs="Calibri"/>
                <w:color w:val="000000"/>
                <w:sz w:val="20"/>
                <w:szCs w:val="20"/>
                <w:lang w:val="ga"/>
              </w:rPr>
              <w:t>29</w:t>
            </w:r>
          </w:p>
        </w:tc>
        <w:tc>
          <w:tcPr>
            <w:tcW w:w="1567" w:type="dxa"/>
            <w:tcBorders>
              <w:top w:val="single" w:sz="4" w:space="0" w:color="auto"/>
              <w:left w:val="single" w:sz="4" w:space="0" w:color="auto"/>
              <w:bottom w:val="single" w:sz="4" w:space="0" w:color="auto"/>
              <w:right w:val="single" w:sz="4" w:space="0" w:color="auto"/>
            </w:tcBorders>
            <w:hideMark/>
          </w:tcPr>
          <w:p w14:paraId="01078C16" w14:textId="77777777" w:rsidR="00590BEF" w:rsidRPr="007202FA" w:rsidRDefault="000B4F21" w:rsidP="007202FA">
            <w:pPr>
              <w:jc w:val="right"/>
              <w:rPr>
                <w:sz w:val="20"/>
                <w:szCs w:val="20"/>
              </w:rPr>
            </w:pPr>
            <w:r>
              <w:rPr>
                <w:rFonts w:cs="Calibri"/>
                <w:color w:val="000000"/>
                <w:sz w:val="20"/>
                <w:szCs w:val="20"/>
                <w:lang w:val="ga"/>
              </w:rPr>
              <w:t>9.3%</w:t>
            </w:r>
          </w:p>
        </w:tc>
        <w:tc>
          <w:tcPr>
            <w:tcW w:w="1700" w:type="dxa"/>
            <w:tcBorders>
              <w:top w:val="single" w:sz="4" w:space="0" w:color="auto"/>
              <w:left w:val="single" w:sz="4" w:space="0" w:color="auto"/>
              <w:bottom w:val="single" w:sz="4" w:space="0" w:color="auto"/>
              <w:right w:val="single" w:sz="4" w:space="0" w:color="auto"/>
            </w:tcBorders>
            <w:hideMark/>
          </w:tcPr>
          <w:p w14:paraId="1995D27B" w14:textId="77777777" w:rsidR="00590BEF" w:rsidRPr="007202FA" w:rsidRDefault="000B4F21" w:rsidP="007202FA">
            <w:pPr>
              <w:jc w:val="right"/>
              <w:rPr>
                <w:sz w:val="20"/>
                <w:szCs w:val="20"/>
              </w:rPr>
            </w:pPr>
            <w:r>
              <w:rPr>
                <w:rFonts w:cs="Calibri"/>
                <w:color w:val="000000"/>
                <w:sz w:val="20"/>
                <w:szCs w:val="20"/>
                <w:lang w:val="ga"/>
              </w:rPr>
              <w:t>309</w:t>
            </w:r>
          </w:p>
        </w:tc>
        <w:tc>
          <w:tcPr>
            <w:tcW w:w="1558" w:type="dxa"/>
            <w:tcBorders>
              <w:top w:val="single" w:sz="4" w:space="0" w:color="auto"/>
              <w:left w:val="single" w:sz="4" w:space="0" w:color="auto"/>
              <w:bottom w:val="single" w:sz="4" w:space="0" w:color="auto"/>
              <w:right w:val="single" w:sz="4" w:space="0" w:color="auto"/>
            </w:tcBorders>
            <w:hideMark/>
          </w:tcPr>
          <w:p w14:paraId="23B86BCA" w14:textId="77777777" w:rsidR="00590BEF" w:rsidRPr="007202FA" w:rsidRDefault="000B4F21" w:rsidP="007202FA">
            <w:pPr>
              <w:jc w:val="right"/>
              <w:rPr>
                <w:sz w:val="20"/>
                <w:szCs w:val="20"/>
              </w:rPr>
            </w:pPr>
            <w:r>
              <w:rPr>
                <w:rFonts w:cs="Calibri"/>
                <w:color w:val="000000"/>
                <w:sz w:val="20"/>
                <w:szCs w:val="20"/>
                <w:lang w:val="ga"/>
              </w:rPr>
              <w:t>45</w:t>
            </w:r>
          </w:p>
        </w:tc>
        <w:tc>
          <w:tcPr>
            <w:tcW w:w="1700" w:type="dxa"/>
            <w:tcBorders>
              <w:top w:val="single" w:sz="4" w:space="0" w:color="auto"/>
              <w:left w:val="single" w:sz="4" w:space="0" w:color="auto"/>
              <w:bottom w:val="single" w:sz="4" w:space="0" w:color="auto"/>
              <w:right w:val="single" w:sz="4" w:space="0" w:color="auto"/>
            </w:tcBorders>
            <w:hideMark/>
          </w:tcPr>
          <w:p w14:paraId="750BDEB6" w14:textId="77777777" w:rsidR="00590BEF" w:rsidRPr="007202FA" w:rsidRDefault="000B4F21" w:rsidP="007202FA">
            <w:pPr>
              <w:jc w:val="right"/>
              <w:rPr>
                <w:sz w:val="20"/>
                <w:szCs w:val="20"/>
              </w:rPr>
            </w:pPr>
            <w:r>
              <w:rPr>
                <w:rFonts w:cs="Calibri"/>
                <w:color w:val="000000"/>
                <w:sz w:val="20"/>
                <w:szCs w:val="20"/>
                <w:lang w:val="ga"/>
              </w:rPr>
              <w:t>14.6%</w:t>
            </w:r>
          </w:p>
        </w:tc>
      </w:tr>
      <w:tr w:rsidR="00F31303" w14:paraId="7B1CC722"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3DCD4DA4" w14:textId="77777777" w:rsidR="00590BEF" w:rsidRPr="007202FA" w:rsidRDefault="000B4F21" w:rsidP="007202FA">
            <w:pPr>
              <w:rPr>
                <w:sz w:val="20"/>
                <w:szCs w:val="20"/>
              </w:rPr>
            </w:pPr>
            <w:r>
              <w:rPr>
                <w:rFonts w:cs="Calibri"/>
                <w:color w:val="000000"/>
                <w:sz w:val="20"/>
                <w:szCs w:val="20"/>
                <w:lang w:val="ga"/>
              </w:rPr>
              <w:t>Coimisiún na Scrúduithe Stáit</w:t>
            </w:r>
          </w:p>
        </w:tc>
        <w:tc>
          <w:tcPr>
            <w:tcW w:w="1565" w:type="dxa"/>
            <w:tcBorders>
              <w:top w:val="single" w:sz="4" w:space="0" w:color="auto"/>
              <w:left w:val="single" w:sz="4" w:space="0" w:color="auto"/>
              <w:bottom w:val="single" w:sz="4" w:space="0" w:color="auto"/>
              <w:right w:val="single" w:sz="4" w:space="0" w:color="auto"/>
            </w:tcBorders>
            <w:hideMark/>
          </w:tcPr>
          <w:p w14:paraId="08286D64" w14:textId="77777777" w:rsidR="00590BEF" w:rsidRPr="007202FA" w:rsidRDefault="000B4F21" w:rsidP="007202FA">
            <w:pPr>
              <w:jc w:val="right"/>
              <w:rPr>
                <w:sz w:val="20"/>
                <w:szCs w:val="20"/>
              </w:rPr>
            </w:pPr>
            <w:r>
              <w:rPr>
                <w:rFonts w:cs="Calibri"/>
                <w:color w:val="000000"/>
                <w:sz w:val="20"/>
                <w:szCs w:val="20"/>
                <w:lang w:val="ga"/>
              </w:rPr>
              <w:t>195</w:t>
            </w:r>
          </w:p>
        </w:tc>
        <w:tc>
          <w:tcPr>
            <w:tcW w:w="1559" w:type="dxa"/>
            <w:tcBorders>
              <w:top w:val="single" w:sz="4" w:space="0" w:color="auto"/>
              <w:left w:val="single" w:sz="4" w:space="0" w:color="auto"/>
              <w:bottom w:val="single" w:sz="4" w:space="0" w:color="auto"/>
              <w:right w:val="single" w:sz="4" w:space="0" w:color="auto"/>
            </w:tcBorders>
            <w:hideMark/>
          </w:tcPr>
          <w:p w14:paraId="11F93C85" w14:textId="77777777" w:rsidR="00590BEF" w:rsidRPr="007202FA" w:rsidRDefault="000B4F21" w:rsidP="007202FA">
            <w:pPr>
              <w:jc w:val="right"/>
              <w:rPr>
                <w:sz w:val="20"/>
                <w:szCs w:val="20"/>
              </w:rPr>
            </w:pPr>
            <w:r>
              <w:rPr>
                <w:rFonts w:cs="Calibri"/>
                <w:color w:val="000000"/>
                <w:sz w:val="20"/>
                <w:szCs w:val="20"/>
                <w:lang w:val="ga"/>
              </w:rPr>
              <w:t>7</w:t>
            </w:r>
          </w:p>
        </w:tc>
        <w:tc>
          <w:tcPr>
            <w:tcW w:w="1567" w:type="dxa"/>
            <w:tcBorders>
              <w:top w:val="single" w:sz="4" w:space="0" w:color="auto"/>
              <w:left w:val="single" w:sz="4" w:space="0" w:color="auto"/>
              <w:bottom w:val="single" w:sz="4" w:space="0" w:color="auto"/>
              <w:right w:val="single" w:sz="4" w:space="0" w:color="auto"/>
            </w:tcBorders>
            <w:hideMark/>
          </w:tcPr>
          <w:p w14:paraId="21936DB8" w14:textId="77777777" w:rsidR="00590BEF" w:rsidRPr="007202FA" w:rsidRDefault="000B4F21" w:rsidP="007202FA">
            <w:pPr>
              <w:jc w:val="right"/>
              <w:rPr>
                <w:sz w:val="20"/>
                <w:szCs w:val="20"/>
              </w:rPr>
            </w:pPr>
            <w:r>
              <w:rPr>
                <w:rFonts w:cs="Calibri"/>
                <w:color w:val="000000"/>
                <w:sz w:val="20"/>
                <w:szCs w:val="20"/>
                <w:lang w:val="ga"/>
              </w:rPr>
              <w:t>3.6%</w:t>
            </w:r>
          </w:p>
        </w:tc>
        <w:tc>
          <w:tcPr>
            <w:tcW w:w="1700" w:type="dxa"/>
            <w:tcBorders>
              <w:top w:val="single" w:sz="4" w:space="0" w:color="auto"/>
              <w:left w:val="single" w:sz="4" w:space="0" w:color="auto"/>
              <w:bottom w:val="single" w:sz="4" w:space="0" w:color="auto"/>
              <w:right w:val="single" w:sz="4" w:space="0" w:color="auto"/>
            </w:tcBorders>
            <w:hideMark/>
          </w:tcPr>
          <w:p w14:paraId="2FE4F68C" w14:textId="77777777" w:rsidR="00590BEF" w:rsidRPr="007202FA" w:rsidRDefault="000B4F21" w:rsidP="007202FA">
            <w:pPr>
              <w:jc w:val="right"/>
              <w:rPr>
                <w:sz w:val="20"/>
                <w:szCs w:val="20"/>
              </w:rPr>
            </w:pPr>
            <w:r>
              <w:rPr>
                <w:rFonts w:cs="Calibri"/>
                <w:color w:val="000000"/>
                <w:sz w:val="20"/>
                <w:szCs w:val="20"/>
                <w:lang w:val="ga"/>
              </w:rPr>
              <w:t>231</w:t>
            </w:r>
          </w:p>
        </w:tc>
        <w:tc>
          <w:tcPr>
            <w:tcW w:w="1558" w:type="dxa"/>
            <w:tcBorders>
              <w:top w:val="single" w:sz="4" w:space="0" w:color="auto"/>
              <w:left w:val="single" w:sz="4" w:space="0" w:color="auto"/>
              <w:bottom w:val="single" w:sz="4" w:space="0" w:color="auto"/>
              <w:right w:val="single" w:sz="4" w:space="0" w:color="auto"/>
            </w:tcBorders>
            <w:hideMark/>
          </w:tcPr>
          <w:p w14:paraId="7DD3365E" w14:textId="77777777" w:rsidR="00590BEF" w:rsidRPr="007202FA" w:rsidRDefault="000B4F21" w:rsidP="007202FA">
            <w:pPr>
              <w:jc w:val="right"/>
              <w:rPr>
                <w:sz w:val="20"/>
                <w:szCs w:val="20"/>
              </w:rPr>
            </w:pPr>
            <w:r>
              <w:rPr>
                <w:rFonts w:cs="Calibri"/>
                <w:color w:val="000000"/>
                <w:sz w:val="20"/>
                <w:szCs w:val="20"/>
                <w:lang w:val="ga"/>
              </w:rPr>
              <w:t>13</w:t>
            </w:r>
          </w:p>
        </w:tc>
        <w:tc>
          <w:tcPr>
            <w:tcW w:w="1700" w:type="dxa"/>
            <w:tcBorders>
              <w:top w:val="single" w:sz="4" w:space="0" w:color="auto"/>
              <w:left w:val="single" w:sz="4" w:space="0" w:color="auto"/>
              <w:bottom w:val="single" w:sz="4" w:space="0" w:color="auto"/>
              <w:right w:val="single" w:sz="4" w:space="0" w:color="auto"/>
            </w:tcBorders>
            <w:hideMark/>
          </w:tcPr>
          <w:p w14:paraId="2AD9A85D" w14:textId="77777777" w:rsidR="00590BEF" w:rsidRPr="007202FA" w:rsidRDefault="000B4F21" w:rsidP="007202FA">
            <w:pPr>
              <w:jc w:val="right"/>
              <w:rPr>
                <w:sz w:val="20"/>
                <w:szCs w:val="20"/>
              </w:rPr>
            </w:pPr>
            <w:r>
              <w:rPr>
                <w:rFonts w:cs="Calibri"/>
                <w:color w:val="000000"/>
                <w:sz w:val="20"/>
                <w:szCs w:val="20"/>
                <w:lang w:val="ga"/>
              </w:rPr>
              <w:t>5.6%</w:t>
            </w:r>
          </w:p>
        </w:tc>
      </w:tr>
      <w:tr w:rsidR="00F31303" w14:paraId="79D3F12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416EBA41" w14:textId="77777777" w:rsidR="00590BEF" w:rsidRPr="007202FA" w:rsidRDefault="000B4F21" w:rsidP="007202FA">
            <w:pPr>
              <w:rPr>
                <w:rFonts w:cs="Calibri"/>
                <w:color w:val="000000"/>
                <w:sz w:val="20"/>
                <w:szCs w:val="20"/>
              </w:rPr>
            </w:pPr>
            <w:r>
              <w:rPr>
                <w:rFonts w:cs="Calibri"/>
                <w:color w:val="000000"/>
                <w:sz w:val="20"/>
                <w:szCs w:val="20"/>
                <w:lang w:val="ga"/>
              </w:rPr>
              <w:t xml:space="preserve">Tailte Éireann </w:t>
            </w:r>
          </w:p>
          <w:p w14:paraId="1A104AE8" w14:textId="77777777" w:rsidR="004403D9" w:rsidRPr="007202FA" w:rsidRDefault="004403D9" w:rsidP="007202FA">
            <w:pPr>
              <w:rPr>
                <w:rFonts w:cs="Calibri"/>
                <w:color w:val="000000"/>
                <w:sz w:val="20"/>
                <w:szCs w:val="20"/>
              </w:rPr>
            </w:pPr>
          </w:p>
        </w:tc>
        <w:tc>
          <w:tcPr>
            <w:tcW w:w="1565" w:type="dxa"/>
            <w:tcBorders>
              <w:top w:val="single" w:sz="4" w:space="0" w:color="auto"/>
              <w:left w:val="single" w:sz="4" w:space="0" w:color="auto"/>
              <w:bottom w:val="single" w:sz="4" w:space="0" w:color="auto"/>
              <w:right w:val="single" w:sz="4" w:space="0" w:color="auto"/>
            </w:tcBorders>
            <w:hideMark/>
          </w:tcPr>
          <w:p w14:paraId="7E165AF4" w14:textId="77777777" w:rsidR="00590BEF" w:rsidRPr="007202FA" w:rsidRDefault="000B4F21" w:rsidP="007202FA">
            <w:pPr>
              <w:jc w:val="right"/>
              <w:rPr>
                <w:rFonts w:cs="Calibri"/>
                <w:color w:val="000000"/>
                <w:sz w:val="20"/>
                <w:szCs w:val="20"/>
              </w:rPr>
            </w:pPr>
            <w:r>
              <w:rPr>
                <w:rFonts w:cs="Calibri"/>
                <w:color w:val="000000"/>
                <w:sz w:val="20"/>
                <w:szCs w:val="20"/>
                <w:lang w:val="ga"/>
              </w:rPr>
              <w:t>936</w:t>
            </w:r>
          </w:p>
        </w:tc>
        <w:tc>
          <w:tcPr>
            <w:tcW w:w="1559" w:type="dxa"/>
            <w:tcBorders>
              <w:top w:val="single" w:sz="4" w:space="0" w:color="auto"/>
              <w:left w:val="single" w:sz="4" w:space="0" w:color="auto"/>
              <w:bottom w:val="single" w:sz="4" w:space="0" w:color="auto"/>
              <w:right w:val="single" w:sz="4" w:space="0" w:color="auto"/>
            </w:tcBorders>
            <w:hideMark/>
          </w:tcPr>
          <w:p w14:paraId="3AAC3714" w14:textId="77777777" w:rsidR="00590BEF" w:rsidRPr="007202FA" w:rsidRDefault="000B4F21" w:rsidP="007202FA">
            <w:pPr>
              <w:jc w:val="right"/>
              <w:rPr>
                <w:rFonts w:cs="Calibri"/>
                <w:color w:val="000000"/>
                <w:sz w:val="20"/>
                <w:szCs w:val="20"/>
              </w:rPr>
            </w:pPr>
            <w:r>
              <w:rPr>
                <w:rFonts w:cs="Calibri"/>
                <w:color w:val="000000"/>
                <w:sz w:val="20"/>
                <w:szCs w:val="20"/>
                <w:lang w:val="ga"/>
              </w:rPr>
              <w:t>97</w:t>
            </w:r>
          </w:p>
        </w:tc>
        <w:tc>
          <w:tcPr>
            <w:tcW w:w="1567" w:type="dxa"/>
            <w:tcBorders>
              <w:top w:val="single" w:sz="4" w:space="0" w:color="auto"/>
              <w:left w:val="single" w:sz="4" w:space="0" w:color="auto"/>
              <w:bottom w:val="single" w:sz="4" w:space="0" w:color="auto"/>
              <w:right w:val="single" w:sz="4" w:space="0" w:color="auto"/>
            </w:tcBorders>
            <w:hideMark/>
          </w:tcPr>
          <w:p w14:paraId="7BC9DE97" w14:textId="77777777" w:rsidR="00590BEF" w:rsidRPr="007202FA" w:rsidRDefault="000B4F21" w:rsidP="007202FA">
            <w:pPr>
              <w:jc w:val="right"/>
              <w:rPr>
                <w:rFonts w:cs="Calibri"/>
                <w:color w:val="000000"/>
                <w:sz w:val="20"/>
                <w:szCs w:val="20"/>
              </w:rPr>
            </w:pPr>
            <w:r>
              <w:rPr>
                <w:rFonts w:cs="Calibri"/>
                <w:color w:val="000000"/>
                <w:sz w:val="20"/>
                <w:szCs w:val="20"/>
                <w:lang w:val="ga"/>
              </w:rPr>
              <w:t>10.4%</w:t>
            </w:r>
          </w:p>
        </w:tc>
        <w:tc>
          <w:tcPr>
            <w:tcW w:w="1700" w:type="dxa"/>
            <w:tcBorders>
              <w:top w:val="single" w:sz="4" w:space="0" w:color="auto"/>
              <w:left w:val="single" w:sz="4" w:space="0" w:color="auto"/>
              <w:bottom w:val="single" w:sz="4" w:space="0" w:color="auto"/>
              <w:right w:val="single" w:sz="4" w:space="0" w:color="auto"/>
            </w:tcBorders>
            <w:hideMark/>
          </w:tcPr>
          <w:p w14:paraId="0A6D4F61" w14:textId="77777777" w:rsidR="00590BEF" w:rsidRPr="007202FA" w:rsidRDefault="000B4F21" w:rsidP="007202FA">
            <w:pPr>
              <w:jc w:val="right"/>
              <w:rPr>
                <w:rFonts w:cs="Calibri"/>
                <w:color w:val="000000"/>
                <w:sz w:val="20"/>
                <w:szCs w:val="20"/>
              </w:rPr>
            </w:pPr>
            <w:r>
              <w:rPr>
                <w:rFonts w:cs="Calibri"/>
                <w:color w:val="000000"/>
                <w:sz w:val="20"/>
                <w:szCs w:val="20"/>
                <w:lang w:val="ga"/>
              </w:rPr>
              <w:t>966</w:t>
            </w:r>
          </w:p>
        </w:tc>
        <w:tc>
          <w:tcPr>
            <w:tcW w:w="1558" w:type="dxa"/>
            <w:tcBorders>
              <w:top w:val="single" w:sz="4" w:space="0" w:color="auto"/>
              <w:left w:val="single" w:sz="4" w:space="0" w:color="auto"/>
              <w:bottom w:val="single" w:sz="4" w:space="0" w:color="auto"/>
              <w:right w:val="single" w:sz="4" w:space="0" w:color="auto"/>
            </w:tcBorders>
            <w:hideMark/>
          </w:tcPr>
          <w:p w14:paraId="1E8AEDEB" w14:textId="77777777" w:rsidR="00590BEF" w:rsidRPr="007202FA" w:rsidRDefault="000B4F21" w:rsidP="007202FA">
            <w:pPr>
              <w:jc w:val="right"/>
              <w:rPr>
                <w:rFonts w:cs="Calibri"/>
                <w:color w:val="000000"/>
                <w:sz w:val="20"/>
                <w:szCs w:val="20"/>
              </w:rPr>
            </w:pPr>
            <w:r>
              <w:rPr>
                <w:rFonts w:cs="Calibri"/>
                <w:color w:val="000000"/>
                <w:sz w:val="20"/>
                <w:szCs w:val="20"/>
                <w:lang w:val="ga"/>
              </w:rPr>
              <w:t>101</w:t>
            </w:r>
          </w:p>
        </w:tc>
        <w:tc>
          <w:tcPr>
            <w:tcW w:w="1700" w:type="dxa"/>
            <w:tcBorders>
              <w:top w:val="single" w:sz="4" w:space="0" w:color="auto"/>
              <w:left w:val="single" w:sz="4" w:space="0" w:color="auto"/>
              <w:bottom w:val="single" w:sz="4" w:space="0" w:color="auto"/>
              <w:right w:val="single" w:sz="4" w:space="0" w:color="auto"/>
            </w:tcBorders>
            <w:hideMark/>
          </w:tcPr>
          <w:p w14:paraId="52D61441" w14:textId="77777777" w:rsidR="00590BEF" w:rsidRPr="007202FA" w:rsidRDefault="000B4F21" w:rsidP="007202FA">
            <w:pPr>
              <w:jc w:val="right"/>
              <w:rPr>
                <w:rFonts w:cs="Calibri"/>
                <w:color w:val="000000"/>
                <w:sz w:val="20"/>
                <w:szCs w:val="20"/>
              </w:rPr>
            </w:pPr>
            <w:r>
              <w:rPr>
                <w:rFonts w:cs="Calibri"/>
                <w:color w:val="000000"/>
                <w:sz w:val="20"/>
                <w:szCs w:val="20"/>
                <w:lang w:val="ga"/>
              </w:rPr>
              <w:t>10.5%</w:t>
            </w:r>
          </w:p>
        </w:tc>
      </w:tr>
      <w:tr w:rsidR="00F31303" w14:paraId="3E01F9C0"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2D85D4F" w14:textId="77777777" w:rsidR="00590BEF" w:rsidRPr="005524D6" w:rsidRDefault="000B4F21" w:rsidP="007202FA">
            <w:pPr>
              <w:rPr>
                <w:sz w:val="20"/>
                <w:szCs w:val="20"/>
                <w:lang w:val="de-DE"/>
              </w:rPr>
            </w:pPr>
            <w:r>
              <w:rPr>
                <w:rFonts w:cs="Calibri"/>
                <w:color w:val="000000"/>
                <w:sz w:val="20"/>
                <w:szCs w:val="20"/>
                <w:lang w:val="ga"/>
              </w:rPr>
              <w:t>An Coimisiún um Achomhairc Chánach</w:t>
            </w:r>
          </w:p>
        </w:tc>
        <w:tc>
          <w:tcPr>
            <w:tcW w:w="1565" w:type="dxa"/>
            <w:tcBorders>
              <w:top w:val="single" w:sz="4" w:space="0" w:color="auto"/>
              <w:left w:val="single" w:sz="4" w:space="0" w:color="auto"/>
              <w:bottom w:val="single" w:sz="4" w:space="0" w:color="auto"/>
              <w:right w:val="single" w:sz="4" w:space="0" w:color="auto"/>
            </w:tcBorders>
            <w:hideMark/>
          </w:tcPr>
          <w:p w14:paraId="5180733E" w14:textId="77777777" w:rsidR="00590BEF" w:rsidRPr="007202FA" w:rsidRDefault="000B4F21" w:rsidP="007202FA">
            <w:pPr>
              <w:jc w:val="right"/>
              <w:rPr>
                <w:sz w:val="20"/>
                <w:szCs w:val="20"/>
              </w:rPr>
            </w:pPr>
            <w:r>
              <w:rPr>
                <w:rFonts w:cs="Calibri"/>
                <w:color w:val="000000"/>
                <w:sz w:val="20"/>
                <w:szCs w:val="20"/>
                <w:lang w:val="ga"/>
              </w:rPr>
              <w:t>33</w:t>
            </w:r>
          </w:p>
        </w:tc>
        <w:tc>
          <w:tcPr>
            <w:tcW w:w="1559" w:type="dxa"/>
            <w:tcBorders>
              <w:top w:val="single" w:sz="4" w:space="0" w:color="auto"/>
              <w:left w:val="single" w:sz="4" w:space="0" w:color="auto"/>
              <w:bottom w:val="single" w:sz="4" w:space="0" w:color="auto"/>
              <w:right w:val="single" w:sz="4" w:space="0" w:color="auto"/>
            </w:tcBorders>
            <w:hideMark/>
          </w:tcPr>
          <w:p w14:paraId="47D1FFAB" w14:textId="77777777" w:rsidR="00590BEF" w:rsidRPr="007202FA" w:rsidRDefault="000B4F21" w:rsidP="007202FA">
            <w:pPr>
              <w:jc w:val="right"/>
              <w:rPr>
                <w:sz w:val="20"/>
                <w:szCs w:val="20"/>
              </w:rPr>
            </w:pPr>
            <w:r>
              <w:rPr>
                <w:rFonts w:cs="Calibri"/>
                <w:color w:val="000000"/>
                <w:sz w:val="20"/>
                <w:szCs w:val="20"/>
                <w:lang w:val="ga"/>
              </w:rPr>
              <w:t>2</w:t>
            </w:r>
          </w:p>
        </w:tc>
        <w:tc>
          <w:tcPr>
            <w:tcW w:w="1567" w:type="dxa"/>
            <w:tcBorders>
              <w:top w:val="single" w:sz="4" w:space="0" w:color="auto"/>
              <w:left w:val="single" w:sz="4" w:space="0" w:color="auto"/>
              <w:bottom w:val="single" w:sz="4" w:space="0" w:color="auto"/>
              <w:right w:val="single" w:sz="4" w:space="0" w:color="auto"/>
            </w:tcBorders>
            <w:hideMark/>
          </w:tcPr>
          <w:p w14:paraId="5E4A1D68" w14:textId="77777777" w:rsidR="00590BEF" w:rsidRPr="007202FA" w:rsidRDefault="000B4F21" w:rsidP="007202FA">
            <w:pPr>
              <w:jc w:val="right"/>
              <w:rPr>
                <w:sz w:val="20"/>
                <w:szCs w:val="20"/>
              </w:rPr>
            </w:pPr>
            <w:r>
              <w:rPr>
                <w:rFonts w:cs="Calibri"/>
                <w:color w:val="000000"/>
                <w:sz w:val="20"/>
                <w:szCs w:val="20"/>
                <w:lang w:val="ga"/>
              </w:rPr>
              <w:t>6.1%</w:t>
            </w:r>
          </w:p>
        </w:tc>
        <w:tc>
          <w:tcPr>
            <w:tcW w:w="1700" w:type="dxa"/>
            <w:tcBorders>
              <w:top w:val="single" w:sz="4" w:space="0" w:color="auto"/>
              <w:left w:val="single" w:sz="4" w:space="0" w:color="auto"/>
              <w:bottom w:val="single" w:sz="4" w:space="0" w:color="auto"/>
              <w:right w:val="single" w:sz="4" w:space="0" w:color="auto"/>
            </w:tcBorders>
            <w:hideMark/>
          </w:tcPr>
          <w:p w14:paraId="5C571A43" w14:textId="77777777" w:rsidR="00590BEF" w:rsidRPr="007202FA" w:rsidRDefault="000B4F21" w:rsidP="007202FA">
            <w:pPr>
              <w:jc w:val="right"/>
              <w:rPr>
                <w:sz w:val="20"/>
                <w:szCs w:val="20"/>
              </w:rPr>
            </w:pPr>
            <w:r>
              <w:rPr>
                <w:rFonts w:cs="Calibri"/>
                <w:color w:val="000000"/>
                <w:sz w:val="20"/>
                <w:szCs w:val="20"/>
                <w:lang w:val="ga"/>
              </w:rPr>
              <w:t>34</w:t>
            </w:r>
          </w:p>
        </w:tc>
        <w:tc>
          <w:tcPr>
            <w:tcW w:w="1558" w:type="dxa"/>
            <w:tcBorders>
              <w:top w:val="single" w:sz="4" w:space="0" w:color="auto"/>
              <w:left w:val="single" w:sz="4" w:space="0" w:color="auto"/>
              <w:bottom w:val="single" w:sz="4" w:space="0" w:color="auto"/>
              <w:right w:val="single" w:sz="4" w:space="0" w:color="auto"/>
            </w:tcBorders>
            <w:hideMark/>
          </w:tcPr>
          <w:p w14:paraId="1497635F" w14:textId="77777777" w:rsidR="00590BEF" w:rsidRPr="007202FA" w:rsidRDefault="000B4F21" w:rsidP="007202FA">
            <w:pPr>
              <w:jc w:val="right"/>
              <w:rPr>
                <w:sz w:val="20"/>
                <w:szCs w:val="20"/>
              </w:rPr>
            </w:pPr>
            <w:r>
              <w:rPr>
                <w:rFonts w:cs="Calibri"/>
                <w:color w:val="000000"/>
                <w:sz w:val="20"/>
                <w:szCs w:val="20"/>
                <w:lang w:val="ga"/>
              </w:rPr>
              <w:t>3</w:t>
            </w:r>
          </w:p>
        </w:tc>
        <w:tc>
          <w:tcPr>
            <w:tcW w:w="1700" w:type="dxa"/>
            <w:tcBorders>
              <w:top w:val="single" w:sz="4" w:space="0" w:color="auto"/>
              <w:left w:val="single" w:sz="4" w:space="0" w:color="auto"/>
              <w:bottom w:val="single" w:sz="4" w:space="0" w:color="auto"/>
              <w:right w:val="single" w:sz="4" w:space="0" w:color="auto"/>
            </w:tcBorders>
            <w:hideMark/>
          </w:tcPr>
          <w:p w14:paraId="0ECBDDA0" w14:textId="77777777" w:rsidR="00590BEF" w:rsidRPr="007202FA" w:rsidRDefault="000B4F21" w:rsidP="007202FA">
            <w:pPr>
              <w:jc w:val="right"/>
              <w:rPr>
                <w:sz w:val="20"/>
                <w:szCs w:val="20"/>
              </w:rPr>
            </w:pPr>
            <w:r>
              <w:rPr>
                <w:rFonts w:cs="Calibri"/>
                <w:color w:val="000000"/>
                <w:sz w:val="20"/>
                <w:szCs w:val="20"/>
                <w:lang w:val="ga"/>
              </w:rPr>
              <w:t>8.8%</w:t>
            </w:r>
          </w:p>
        </w:tc>
      </w:tr>
      <w:tr w:rsidR="00F31303" w14:paraId="3E86C1B1"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6CD6FE2F" w14:textId="77777777" w:rsidR="00590BEF" w:rsidRPr="007202FA" w:rsidRDefault="000B4F21" w:rsidP="007202FA">
            <w:pPr>
              <w:rPr>
                <w:sz w:val="20"/>
                <w:szCs w:val="20"/>
              </w:rPr>
            </w:pPr>
            <w:r>
              <w:rPr>
                <w:rFonts w:cs="Calibri"/>
                <w:b/>
                <w:bCs/>
                <w:color w:val="000000"/>
                <w:sz w:val="20"/>
                <w:szCs w:val="20"/>
                <w:lang w:val="ga"/>
              </w:rPr>
              <w:t>*</w:t>
            </w:r>
            <w:r>
              <w:rPr>
                <w:rFonts w:cs="Calibri"/>
                <w:color w:val="000000"/>
                <w:sz w:val="20"/>
                <w:szCs w:val="20"/>
                <w:lang w:val="ga"/>
              </w:rPr>
              <w:t>An tÚdarás Slándála Príobháidí</w:t>
            </w:r>
          </w:p>
        </w:tc>
        <w:tc>
          <w:tcPr>
            <w:tcW w:w="1565" w:type="dxa"/>
            <w:tcBorders>
              <w:top w:val="single" w:sz="4" w:space="0" w:color="auto"/>
              <w:left w:val="single" w:sz="4" w:space="0" w:color="auto"/>
              <w:bottom w:val="single" w:sz="4" w:space="0" w:color="auto"/>
              <w:right w:val="single" w:sz="4" w:space="0" w:color="auto"/>
            </w:tcBorders>
            <w:hideMark/>
          </w:tcPr>
          <w:p w14:paraId="0EE23D33" w14:textId="77777777" w:rsidR="00590BEF" w:rsidRPr="007202FA" w:rsidRDefault="000B4F21" w:rsidP="007202FA">
            <w:pPr>
              <w:jc w:val="right"/>
              <w:rPr>
                <w:sz w:val="20"/>
                <w:szCs w:val="20"/>
              </w:rPr>
            </w:pPr>
            <w:r>
              <w:rPr>
                <w:rFonts w:cs="Calibri"/>
                <w:color w:val="000000"/>
                <w:sz w:val="20"/>
                <w:szCs w:val="20"/>
                <w:lang w:val="ga"/>
              </w:rPr>
              <w:t>57</w:t>
            </w:r>
          </w:p>
        </w:tc>
        <w:tc>
          <w:tcPr>
            <w:tcW w:w="1559" w:type="dxa"/>
            <w:tcBorders>
              <w:top w:val="single" w:sz="4" w:space="0" w:color="auto"/>
              <w:left w:val="single" w:sz="4" w:space="0" w:color="auto"/>
              <w:bottom w:val="single" w:sz="4" w:space="0" w:color="auto"/>
              <w:right w:val="single" w:sz="4" w:space="0" w:color="auto"/>
            </w:tcBorders>
            <w:hideMark/>
          </w:tcPr>
          <w:p w14:paraId="18528534" w14:textId="77777777" w:rsidR="00590BEF" w:rsidRPr="007202FA" w:rsidRDefault="000B4F21" w:rsidP="007202FA">
            <w:pPr>
              <w:jc w:val="right"/>
              <w:rPr>
                <w:sz w:val="20"/>
                <w:szCs w:val="20"/>
              </w:rPr>
            </w:pPr>
            <w:r>
              <w:rPr>
                <w:rFonts w:cs="Calibri"/>
                <w:color w:val="000000"/>
                <w:sz w:val="20"/>
                <w:szCs w:val="20"/>
                <w:lang w:val="ga"/>
              </w:rPr>
              <w:t>1</w:t>
            </w:r>
          </w:p>
        </w:tc>
        <w:tc>
          <w:tcPr>
            <w:tcW w:w="1567" w:type="dxa"/>
            <w:tcBorders>
              <w:top w:val="single" w:sz="4" w:space="0" w:color="auto"/>
              <w:left w:val="single" w:sz="4" w:space="0" w:color="auto"/>
              <w:bottom w:val="single" w:sz="4" w:space="0" w:color="auto"/>
              <w:right w:val="single" w:sz="4" w:space="0" w:color="auto"/>
            </w:tcBorders>
            <w:hideMark/>
          </w:tcPr>
          <w:p w14:paraId="30CCCDCB" w14:textId="77777777" w:rsidR="00590BEF" w:rsidRPr="007202FA" w:rsidRDefault="000B4F21" w:rsidP="007202FA">
            <w:pPr>
              <w:jc w:val="right"/>
              <w:rPr>
                <w:sz w:val="20"/>
                <w:szCs w:val="20"/>
              </w:rPr>
            </w:pPr>
            <w:r>
              <w:rPr>
                <w:rFonts w:cs="Calibri"/>
                <w:color w:val="000000"/>
                <w:sz w:val="20"/>
                <w:szCs w:val="20"/>
                <w:lang w:val="ga"/>
              </w:rPr>
              <w:t>1.8%</w:t>
            </w:r>
          </w:p>
        </w:tc>
        <w:tc>
          <w:tcPr>
            <w:tcW w:w="1700" w:type="dxa"/>
            <w:tcBorders>
              <w:top w:val="single" w:sz="4" w:space="0" w:color="auto"/>
              <w:left w:val="single" w:sz="4" w:space="0" w:color="auto"/>
              <w:bottom w:val="single" w:sz="4" w:space="0" w:color="auto"/>
              <w:right w:val="single" w:sz="4" w:space="0" w:color="auto"/>
            </w:tcBorders>
            <w:hideMark/>
          </w:tcPr>
          <w:p w14:paraId="3BFFBD89" w14:textId="77777777" w:rsidR="00590BEF" w:rsidRPr="007202FA" w:rsidRDefault="000B4F21" w:rsidP="007202FA">
            <w:pPr>
              <w:jc w:val="right"/>
              <w:rPr>
                <w:sz w:val="20"/>
                <w:szCs w:val="20"/>
              </w:rPr>
            </w:pPr>
            <w:r>
              <w:rPr>
                <w:rFonts w:cs="Calibri"/>
                <w:color w:val="000000"/>
                <w:sz w:val="20"/>
                <w:szCs w:val="20"/>
                <w:lang w:val="ga"/>
              </w:rPr>
              <w:t>58</w:t>
            </w:r>
          </w:p>
        </w:tc>
        <w:tc>
          <w:tcPr>
            <w:tcW w:w="1558" w:type="dxa"/>
            <w:tcBorders>
              <w:top w:val="single" w:sz="4" w:space="0" w:color="auto"/>
              <w:left w:val="single" w:sz="4" w:space="0" w:color="auto"/>
              <w:bottom w:val="single" w:sz="4" w:space="0" w:color="auto"/>
              <w:right w:val="single" w:sz="4" w:space="0" w:color="auto"/>
            </w:tcBorders>
            <w:hideMark/>
          </w:tcPr>
          <w:p w14:paraId="5D1713F9" w14:textId="77777777" w:rsidR="00590BEF" w:rsidRPr="007202FA" w:rsidRDefault="000B4F21" w:rsidP="007202FA">
            <w:pPr>
              <w:jc w:val="right"/>
              <w:rPr>
                <w:sz w:val="20"/>
                <w:szCs w:val="20"/>
              </w:rPr>
            </w:pPr>
            <w:r>
              <w:rPr>
                <w:rFonts w:cs="Calibri"/>
                <w:color w:val="000000"/>
                <w:sz w:val="20"/>
                <w:szCs w:val="20"/>
                <w:lang w:val="ga"/>
              </w:rPr>
              <w:t>5</w:t>
            </w:r>
          </w:p>
        </w:tc>
        <w:tc>
          <w:tcPr>
            <w:tcW w:w="1700" w:type="dxa"/>
            <w:tcBorders>
              <w:top w:val="single" w:sz="4" w:space="0" w:color="auto"/>
              <w:left w:val="single" w:sz="4" w:space="0" w:color="auto"/>
              <w:bottom w:val="single" w:sz="4" w:space="0" w:color="auto"/>
              <w:right w:val="single" w:sz="4" w:space="0" w:color="auto"/>
            </w:tcBorders>
            <w:hideMark/>
          </w:tcPr>
          <w:p w14:paraId="5966242D" w14:textId="77777777" w:rsidR="00590BEF" w:rsidRPr="007202FA" w:rsidRDefault="000B4F21" w:rsidP="007202FA">
            <w:pPr>
              <w:jc w:val="right"/>
              <w:rPr>
                <w:sz w:val="20"/>
                <w:szCs w:val="20"/>
              </w:rPr>
            </w:pPr>
            <w:r>
              <w:rPr>
                <w:rFonts w:cs="Calibri"/>
                <w:color w:val="000000"/>
                <w:sz w:val="20"/>
                <w:szCs w:val="20"/>
                <w:lang w:val="ga"/>
              </w:rPr>
              <w:t>8.6%</w:t>
            </w:r>
          </w:p>
        </w:tc>
      </w:tr>
      <w:tr w:rsidR="00F31303" w14:paraId="5EDB2E96"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vAlign w:val="bottom"/>
            <w:hideMark/>
          </w:tcPr>
          <w:p w14:paraId="52C179FE" w14:textId="77777777" w:rsidR="00590BEF" w:rsidRPr="007202FA" w:rsidRDefault="000B4F21" w:rsidP="007202FA">
            <w:pPr>
              <w:rPr>
                <w:sz w:val="20"/>
                <w:szCs w:val="20"/>
              </w:rPr>
            </w:pPr>
            <w:r>
              <w:rPr>
                <w:rFonts w:cs="Calibri"/>
                <w:color w:val="000000"/>
                <w:sz w:val="20"/>
                <w:szCs w:val="20"/>
                <w:lang w:val="ga"/>
              </w:rPr>
              <w:t>An tSaotharlann Stáit</w:t>
            </w:r>
          </w:p>
        </w:tc>
        <w:tc>
          <w:tcPr>
            <w:tcW w:w="1565" w:type="dxa"/>
            <w:tcBorders>
              <w:top w:val="single" w:sz="4" w:space="0" w:color="auto"/>
              <w:left w:val="single" w:sz="4" w:space="0" w:color="auto"/>
              <w:bottom w:val="single" w:sz="4" w:space="0" w:color="auto"/>
              <w:right w:val="single" w:sz="4" w:space="0" w:color="auto"/>
            </w:tcBorders>
            <w:hideMark/>
          </w:tcPr>
          <w:p w14:paraId="6371E52E" w14:textId="77777777" w:rsidR="00590BEF" w:rsidRPr="007202FA" w:rsidRDefault="000B4F21" w:rsidP="007202FA">
            <w:pPr>
              <w:jc w:val="right"/>
              <w:rPr>
                <w:sz w:val="20"/>
                <w:szCs w:val="20"/>
              </w:rPr>
            </w:pPr>
            <w:r>
              <w:rPr>
                <w:rFonts w:cs="Calibri"/>
                <w:color w:val="000000"/>
                <w:sz w:val="20"/>
                <w:szCs w:val="20"/>
                <w:lang w:val="ga"/>
              </w:rPr>
              <w:t>125</w:t>
            </w:r>
          </w:p>
        </w:tc>
        <w:tc>
          <w:tcPr>
            <w:tcW w:w="1559" w:type="dxa"/>
            <w:tcBorders>
              <w:top w:val="single" w:sz="4" w:space="0" w:color="auto"/>
              <w:left w:val="single" w:sz="4" w:space="0" w:color="auto"/>
              <w:bottom w:val="single" w:sz="4" w:space="0" w:color="auto"/>
              <w:right w:val="single" w:sz="4" w:space="0" w:color="auto"/>
            </w:tcBorders>
            <w:hideMark/>
          </w:tcPr>
          <w:p w14:paraId="237202BC" w14:textId="77777777" w:rsidR="00590BEF" w:rsidRPr="007202FA" w:rsidRDefault="000B4F21" w:rsidP="007202FA">
            <w:pPr>
              <w:jc w:val="right"/>
              <w:rPr>
                <w:sz w:val="20"/>
                <w:szCs w:val="20"/>
              </w:rPr>
            </w:pPr>
            <w:r>
              <w:rPr>
                <w:rFonts w:cs="Calibri"/>
                <w:color w:val="000000"/>
                <w:sz w:val="20"/>
                <w:szCs w:val="20"/>
                <w:lang w:val="ga"/>
              </w:rPr>
              <w:t>7</w:t>
            </w:r>
          </w:p>
        </w:tc>
        <w:tc>
          <w:tcPr>
            <w:tcW w:w="1567" w:type="dxa"/>
            <w:tcBorders>
              <w:top w:val="single" w:sz="4" w:space="0" w:color="auto"/>
              <w:left w:val="single" w:sz="4" w:space="0" w:color="auto"/>
              <w:bottom w:val="single" w:sz="4" w:space="0" w:color="auto"/>
              <w:right w:val="single" w:sz="4" w:space="0" w:color="auto"/>
            </w:tcBorders>
            <w:hideMark/>
          </w:tcPr>
          <w:p w14:paraId="67DFA4C9" w14:textId="77777777" w:rsidR="00590BEF" w:rsidRPr="007202FA" w:rsidRDefault="000B4F21" w:rsidP="007202FA">
            <w:pPr>
              <w:jc w:val="right"/>
              <w:rPr>
                <w:sz w:val="20"/>
                <w:szCs w:val="20"/>
              </w:rPr>
            </w:pPr>
            <w:r>
              <w:rPr>
                <w:sz w:val="20"/>
                <w:szCs w:val="20"/>
                <w:lang w:val="ga"/>
              </w:rPr>
              <w:t>5.6%</w:t>
            </w:r>
          </w:p>
        </w:tc>
        <w:tc>
          <w:tcPr>
            <w:tcW w:w="1700" w:type="dxa"/>
            <w:tcBorders>
              <w:top w:val="single" w:sz="4" w:space="0" w:color="auto"/>
              <w:left w:val="single" w:sz="4" w:space="0" w:color="auto"/>
              <w:bottom w:val="single" w:sz="4" w:space="0" w:color="auto"/>
              <w:right w:val="single" w:sz="4" w:space="0" w:color="auto"/>
            </w:tcBorders>
            <w:hideMark/>
          </w:tcPr>
          <w:p w14:paraId="09C19F98" w14:textId="77777777" w:rsidR="00590BEF" w:rsidRPr="007202FA" w:rsidRDefault="000B4F21" w:rsidP="007202FA">
            <w:pPr>
              <w:jc w:val="right"/>
              <w:rPr>
                <w:sz w:val="20"/>
                <w:szCs w:val="20"/>
              </w:rPr>
            </w:pPr>
            <w:r>
              <w:rPr>
                <w:rFonts w:cs="Calibri"/>
                <w:color w:val="000000"/>
                <w:sz w:val="20"/>
                <w:szCs w:val="20"/>
                <w:lang w:val="ga"/>
              </w:rPr>
              <w:t>136</w:t>
            </w:r>
          </w:p>
        </w:tc>
        <w:tc>
          <w:tcPr>
            <w:tcW w:w="1558" w:type="dxa"/>
            <w:tcBorders>
              <w:top w:val="single" w:sz="4" w:space="0" w:color="auto"/>
              <w:left w:val="single" w:sz="4" w:space="0" w:color="auto"/>
              <w:bottom w:val="single" w:sz="4" w:space="0" w:color="auto"/>
              <w:right w:val="single" w:sz="4" w:space="0" w:color="auto"/>
            </w:tcBorders>
            <w:hideMark/>
          </w:tcPr>
          <w:p w14:paraId="64144543" w14:textId="77777777" w:rsidR="00590BEF" w:rsidRPr="007202FA" w:rsidRDefault="000B4F21" w:rsidP="007202FA">
            <w:pPr>
              <w:jc w:val="right"/>
              <w:rPr>
                <w:sz w:val="20"/>
                <w:szCs w:val="20"/>
              </w:rPr>
            </w:pPr>
            <w:r>
              <w:rPr>
                <w:rFonts w:cs="Calibri"/>
                <w:color w:val="000000"/>
                <w:sz w:val="20"/>
                <w:szCs w:val="20"/>
                <w:lang w:val="ga"/>
              </w:rPr>
              <w:t>8</w:t>
            </w:r>
          </w:p>
        </w:tc>
        <w:tc>
          <w:tcPr>
            <w:tcW w:w="1700" w:type="dxa"/>
            <w:tcBorders>
              <w:top w:val="single" w:sz="4" w:space="0" w:color="auto"/>
              <w:left w:val="single" w:sz="4" w:space="0" w:color="auto"/>
              <w:bottom w:val="single" w:sz="4" w:space="0" w:color="auto"/>
              <w:right w:val="single" w:sz="4" w:space="0" w:color="auto"/>
            </w:tcBorders>
            <w:hideMark/>
          </w:tcPr>
          <w:p w14:paraId="78B1FA45" w14:textId="77777777" w:rsidR="00590BEF" w:rsidRPr="007202FA" w:rsidRDefault="000B4F21" w:rsidP="007202FA">
            <w:pPr>
              <w:jc w:val="right"/>
              <w:rPr>
                <w:sz w:val="20"/>
                <w:szCs w:val="20"/>
              </w:rPr>
            </w:pPr>
            <w:r>
              <w:rPr>
                <w:rFonts w:cs="Calibri"/>
                <w:color w:val="000000"/>
                <w:sz w:val="20"/>
                <w:szCs w:val="20"/>
                <w:lang w:val="ga"/>
              </w:rPr>
              <w:t>5.9%</w:t>
            </w:r>
          </w:p>
        </w:tc>
      </w:tr>
      <w:tr w:rsidR="00F31303" w14:paraId="067798DE" w14:textId="77777777" w:rsidTr="0050231C">
        <w:trPr>
          <w:jc w:val="center"/>
        </w:trPr>
        <w:tc>
          <w:tcPr>
            <w:tcW w:w="1838" w:type="dxa"/>
            <w:tcBorders>
              <w:top w:val="single" w:sz="4" w:space="0" w:color="auto"/>
              <w:left w:val="single" w:sz="4" w:space="0" w:color="auto"/>
              <w:bottom w:val="single" w:sz="4" w:space="0" w:color="auto"/>
              <w:right w:val="single" w:sz="4" w:space="0" w:color="auto"/>
            </w:tcBorders>
            <w:hideMark/>
          </w:tcPr>
          <w:p w14:paraId="199724B5" w14:textId="77777777" w:rsidR="00590BEF" w:rsidRPr="007202FA" w:rsidRDefault="000B4F21" w:rsidP="007202FA">
            <w:pPr>
              <w:rPr>
                <w:b/>
                <w:sz w:val="20"/>
                <w:szCs w:val="20"/>
              </w:rPr>
            </w:pPr>
            <w:r>
              <w:rPr>
                <w:b/>
                <w:bCs/>
                <w:sz w:val="20"/>
                <w:szCs w:val="20"/>
                <w:lang w:val="ga"/>
              </w:rPr>
              <w:t>Mór-Iomlán</w:t>
            </w:r>
          </w:p>
        </w:tc>
        <w:tc>
          <w:tcPr>
            <w:tcW w:w="1565" w:type="dxa"/>
            <w:tcBorders>
              <w:top w:val="single" w:sz="4" w:space="0" w:color="auto"/>
              <w:left w:val="single" w:sz="4" w:space="0" w:color="auto"/>
              <w:bottom w:val="single" w:sz="4" w:space="0" w:color="auto"/>
              <w:right w:val="single" w:sz="4" w:space="0" w:color="auto"/>
            </w:tcBorders>
            <w:hideMark/>
          </w:tcPr>
          <w:p w14:paraId="56680307" w14:textId="77777777" w:rsidR="00590BEF" w:rsidRPr="007202FA" w:rsidRDefault="000B4F21" w:rsidP="007202FA">
            <w:pPr>
              <w:jc w:val="right"/>
              <w:rPr>
                <w:rFonts w:cs="Calibri"/>
                <w:b/>
                <w:color w:val="000000"/>
                <w:sz w:val="20"/>
                <w:szCs w:val="20"/>
              </w:rPr>
            </w:pPr>
            <w:r>
              <w:rPr>
                <w:b/>
                <w:bCs/>
                <w:sz w:val="20"/>
                <w:szCs w:val="20"/>
                <w:lang w:val="ga"/>
              </w:rPr>
              <w:t>17,939</w:t>
            </w:r>
          </w:p>
        </w:tc>
        <w:tc>
          <w:tcPr>
            <w:tcW w:w="1559" w:type="dxa"/>
            <w:tcBorders>
              <w:top w:val="single" w:sz="4" w:space="0" w:color="auto"/>
              <w:left w:val="single" w:sz="4" w:space="0" w:color="auto"/>
              <w:bottom w:val="single" w:sz="4" w:space="0" w:color="auto"/>
              <w:right w:val="single" w:sz="4" w:space="0" w:color="auto"/>
            </w:tcBorders>
            <w:hideMark/>
          </w:tcPr>
          <w:p w14:paraId="6F49041F" w14:textId="77777777" w:rsidR="00590BEF" w:rsidRPr="007202FA" w:rsidRDefault="000B4F21" w:rsidP="007202FA">
            <w:pPr>
              <w:jc w:val="right"/>
              <w:rPr>
                <w:b/>
                <w:sz w:val="20"/>
                <w:szCs w:val="20"/>
              </w:rPr>
            </w:pPr>
            <w:r>
              <w:rPr>
                <w:b/>
                <w:bCs/>
                <w:sz w:val="20"/>
                <w:szCs w:val="20"/>
                <w:lang w:val="ga"/>
              </w:rPr>
              <w:t>1,246</w:t>
            </w:r>
          </w:p>
        </w:tc>
        <w:tc>
          <w:tcPr>
            <w:tcW w:w="1567" w:type="dxa"/>
            <w:tcBorders>
              <w:top w:val="single" w:sz="4" w:space="0" w:color="auto"/>
              <w:left w:val="single" w:sz="4" w:space="0" w:color="auto"/>
              <w:bottom w:val="single" w:sz="4" w:space="0" w:color="auto"/>
              <w:right w:val="single" w:sz="4" w:space="0" w:color="auto"/>
            </w:tcBorders>
            <w:hideMark/>
          </w:tcPr>
          <w:p w14:paraId="5F301EA2" w14:textId="77777777" w:rsidR="00590BEF" w:rsidRPr="007202FA" w:rsidRDefault="000B4F21" w:rsidP="007202FA">
            <w:pPr>
              <w:jc w:val="center"/>
              <w:rPr>
                <w:b/>
                <w:sz w:val="20"/>
                <w:szCs w:val="20"/>
              </w:rPr>
            </w:pPr>
            <w:r>
              <w:rPr>
                <w:b/>
                <w:bCs/>
                <w:sz w:val="20"/>
                <w:szCs w:val="20"/>
                <w:lang w:val="ga"/>
              </w:rPr>
              <w:t>6.9%</w:t>
            </w:r>
          </w:p>
        </w:tc>
        <w:tc>
          <w:tcPr>
            <w:tcW w:w="1700" w:type="dxa"/>
            <w:tcBorders>
              <w:top w:val="single" w:sz="4" w:space="0" w:color="auto"/>
              <w:left w:val="single" w:sz="4" w:space="0" w:color="auto"/>
              <w:bottom w:val="single" w:sz="4" w:space="0" w:color="auto"/>
              <w:right w:val="single" w:sz="4" w:space="0" w:color="auto"/>
            </w:tcBorders>
          </w:tcPr>
          <w:p w14:paraId="541412FA" w14:textId="77777777" w:rsidR="00590BEF" w:rsidRPr="007202FA" w:rsidRDefault="000B4F21" w:rsidP="007202FA">
            <w:pPr>
              <w:jc w:val="right"/>
              <w:rPr>
                <w:rFonts w:cs="Calibri"/>
                <w:b/>
                <w:bCs/>
                <w:color w:val="000000"/>
                <w:sz w:val="20"/>
                <w:szCs w:val="20"/>
              </w:rPr>
            </w:pPr>
            <w:r>
              <w:rPr>
                <w:rFonts w:cs="Calibri"/>
                <w:b/>
                <w:bCs/>
                <w:color w:val="000000"/>
                <w:sz w:val="20"/>
                <w:szCs w:val="20"/>
                <w:lang w:val="ga"/>
              </w:rPr>
              <w:t>22,345</w:t>
            </w:r>
          </w:p>
          <w:p w14:paraId="2128F0C4" w14:textId="77777777" w:rsidR="00590BEF" w:rsidRPr="007202FA" w:rsidRDefault="00590BEF" w:rsidP="007202FA">
            <w:pPr>
              <w:jc w:val="right"/>
              <w:rPr>
                <w:b/>
                <w:bCs/>
                <w:sz w:val="20"/>
                <w:szCs w:val="20"/>
              </w:rPr>
            </w:pPr>
          </w:p>
        </w:tc>
        <w:tc>
          <w:tcPr>
            <w:tcW w:w="1558" w:type="dxa"/>
            <w:tcBorders>
              <w:top w:val="single" w:sz="4" w:space="0" w:color="auto"/>
              <w:left w:val="single" w:sz="4" w:space="0" w:color="auto"/>
              <w:bottom w:val="single" w:sz="4" w:space="0" w:color="auto"/>
              <w:right w:val="single" w:sz="4" w:space="0" w:color="auto"/>
            </w:tcBorders>
          </w:tcPr>
          <w:p w14:paraId="3AA950EA" w14:textId="77777777" w:rsidR="00590BEF" w:rsidRPr="007202FA" w:rsidRDefault="000B4F21" w:rsidP="007202FA">
            <w:pPr>
              <w:jc w:val="right"/>
              <w:rPr>
                <w:rFonts w:cs="Calibri"/>
                <w:b/>
                <w:bCs/>
                <w:color w:val="000000"/>
                <w:sz w:val="20"/>
                <w:szCs w:val="20"/>
              </w:rPr>
            </w:pPr>
            <w:r>
              <w:rPr>
                <w:rFonts w:cs="Calibri"/>
                <w:b/>
                <w:bCs/>
                <w:color w:val="000000"/>
                <w:sz w:val="20"/>
                <w:szCs w:val="20"/>
                <w:lang w:val="ga"/>
              </w:rPr>
              <w:t>1,814</w:t>
            </w:r>
          </w:p>
          <w:p w14:paraId="0C920650" w14:textId="77777777" w:rsidR="00590BEF" w:rsidRPr="007202FA" w:rsidRDefault="00590BEF" w:rsidP="007202FA">
            <w:pPr>
              <w:jc w:val="right"/>
              <w:rPr>
                <w:b/>
                <w:bCs/>
                <w:sz w:val="20"/>
                <w:szCs w:val="20"/>
              </w:rPr>
            </w:pPr>
          </w:p>
        </w:tc>
        <w:tc>
          <w:tcPr>
            <w:tcW w:w="1700" w:type="dxa"/>
            <w:tcBorders>
              <w:top w:val="single" w:sz="4" w:space="0" w:color="auto"/>
              <w:left w:val="single" w:sz="4" w:space="0" w:color="auto"/>
              <w:bottom w:val="single" w:sz="4" w:space="0" w:color="auto"/>
              <w:right w:val="single" w:sz="4" w:space="0" w:color="auto"/>
            </w:tcBorders>
          </w:tcPr>
          <w:p w14:paraId="5908F4B7" w14:textId="77777777" w:rsidR="00590BEF" w:rsidRPr="007202FA" w:rsidRDefault="000B4F21" w:rsidP="007202FA">
            <w:pPr>
              <w:jc w:val="right"/>
              <w:rPr>
                <w:rFonts w:cs="Calibri"/>
                <w:b/>
                <w:bCs/>
                <w:color w:val="000000"/>
                <w:sz w:val="20"/>
                <w:szCs w:val="20"/>
              </w:rPr>
            </w:pPr>
            <w:r>
              <w:rPr>
                <w:rFonts w:cs="Calibri"/>
                <w:b/>
                <w:bCs/>
                <w:color w:val="000000"/>
                <w:sz w:val="20"/>
                <w:szCs w:val="20"/>
                <w:lang w:val="ga"/>
              </w:rPr>
              <w:t>8.1%</w:t>
            </w:r>
          </w:p>
          <w:p w14:paraId="47A0FF86" w14:textId="77777777" w:rsidR="00590BEF" w:rsidRPr="007202FA" w:rsidRDefault="00590BEF" w:rsidP="007202FA">
            <w:pPr>
              <w:jc w:val="right"/>
              <w:rPr>
                <w:b/>
                <w:bCs/>
                <w:sz w:val="20"/>
                <w:szCs w:val="20"/>
              </w:rPr>
            </w:pPr>
          </w:p>
        </w:tc>
      </w:tr>
    </w:tbl>
    <w:p w14:paraId="342F9F98" w14:textId="77777777" w:rsidR="004403D9" w:rsidRPr="007202FA" w:rsidRDefault="004403D9" w:rsidP="007202FA">
      <w:pPr>
        <w:pStyle w:val="Heading2"/>
        <w:spacing w:after="0"/>
        <w:jc w:val="center"/>
      </w:pPr>
      <w:bookmarkStart w:id="224" w:name="_Toc176801632"/>
    </w:p>
    <w:p w14:paraId="03E9C269" w14:textId="77777777" w:rsidR="004403D9" w:rsidRPr="007202FA" w:rsidRDefault="000B4F21" w:rsidP="007202FA">
      <w:pPr>
        <w:spacing w:after="0"/>
        <w:rPr>
          <w:rFonts w:eastAsiaTheme="majorEastAsia" w:cstheme="majorBidi"/>
          <w:b/>
          <w:sz w:val="28"/>
          <w:szCs w:val="26"/>
        </w:rPr>
      </w:pPr>
      <w:r>
        <w:rPr>
          <w:lang w:val="ga"/>
        </w:rPr>
        <w:br w:type="page"/>
      </w:r>
    </w:p>
    <w:p w14:paraId="35302051" w14:textId="220A65A2" w:rsidR="00590BEF" w:rsidRPr="007202FA" w:rsidRDefault="000B4F21" w:rsidP="007202FA">
      <w:pPr>
        <w:pStyle w:val="Heading2"/>
        <w:jc w:val="center"/>
      </w:pPr>
      <w:bookmarkStart w:id="225" w:name="_Toc214033670"/>
      <w:r>
        <w:rPr>
          <w:bCs/>
          <w:lang w:val="ga"/>
        </w:rPr>
        <w:lastRenderedPageBreak/>
        <w:t>An Roinn Forbartha Tuaithe agus Pobail</w:t>
      </w:r>
      <w:bookmarkEnd w:id="224"/>
      <w:bookmarkEnd w:id="225"/>
    </w:p>
    <w:tbl>
      <w:tblPr>
        <w:tblStyle w:val="TableGrid"/>
        <w:tblpPr w:leftFromText="180" w:rightFromText="180" w:vertAnchor="text" w:horzAnchor="margin" w:tblpXSpec="center" w:tblpY="256"/>
        <w:tblW w:w="11340" w:type="dxa"/>
        <w:tblLayout w:type="fixed"/>
        <w:tblLook w:val="04A0" w:firstRow="1" w:lastRow="0" w:firstColumn="1" w:lastColumn="0" w:noHBand="0" w:noVBand="1"/>
      </w:tblPr>
      <w:tblGrid>
        <w:gridCol w:w="1701"/>
        <w:gridCol w:w="1555"/>
        <w:gridCol w:w="1564"/>
        <w:gridCol w:w="1559"/>
        <w:gridCol w:w="1701"/>
        <w:gridCol w:w="1559"/>
        <w:gridCol w:w="1701"/>
      </w:tblGrid>
      <w:tr w:rsidR="00F31303" w14:paraId="2A8D521C" w14:textId="77777777" w:rsidTr="0050231C">
        <w:trPr>
          <w:tblHeader/>
        </w:trPr>
        <w:tc>
          <w:tcPr>
            <w:tcW w:w="1701" w:type="dxa"/>
            <w:tcBorders>
              <w:top w:val="single" w:sz="4" w:space="0" w:color="auto"/>
              <w:left w:val="single" w:sz="4" w:space="0" w:color="auto"/>
              <w:bottom w:val="single" w:sz="4" w:space="0" w:color="auto"/>
              <w:right w:val="single" w:sz="4" w:space="0" w:color="auto"/>
            </w:tcBorders>
            <w:hideMark/>
          </w:tcPr>
          <w:p w14:paraId="12548896"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55" w:type="dxa"/>
            <w:tcBorders>
              <w:top w:val="single" w:sz="4" w:space="0" w:color="auto"/>
              <w:left w:val="single" w:sz="4" w:space="0" w:color="auto"/>
              <w:bottom w:val="single" w:sz="4" w:space="0" w:color="auto"/>
              <w:right w:val="single" w:sz="4" w:space="0" w:color="auto"/>
            </w:tcBorders>
            <w:hideMark/>
          </w:tcPr>
          <w:p w14:paraId="5008AF11"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w:t>
            </w:r>
          </w:p>
          <w:p w14:paraId="78311170"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iomlán </w:t>
            </w:r>
          </w:p>
          <w:p w14:paraId="0D76F5F8"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fostaithe </w:t>
            </w:r>
          </w:p>
          <w:p w14:paraId="27C6DD5F"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64" w:type="dxa"/>
            <w:tcBorders>
              <w:top w:val="single" w:sz="4" w:space="0" w:color="auto"/>
              <w:left w:val="single" w:sz="4" w:space="0" w:color="auto"/>
              <w:bottom w:val="single" w:sz="4" w:space="0" w:color="auto"/>
              <w:right w:val="single" w:sz="4" w:space="0" w:color="auto"/>
            </w:tcBorders>
            <w:hideMark/>
          </w:tcPr>
          <w:p w14:paraId="13275AC8"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67D27941"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59" w:type="dxa"/>
            <w:tcBorders>
              <w:top w:val="single" w:sz="4" w:space="0" w:color="auto"/>
              <w:left w:val="single" w:sz="4" w:space="0" w:color="auto"/>
              <w:bottom w:val="single" w:sz="4" w:space="0" w:color="auto"/>
              <w:right w:val="single" w:sz="4" w:space="0" w:color="auto"/>
            </w:tcBorders>
            <w:hideMark/>
          </w:tcPr>
          <w:p w14:paraId="1082A136" w14:textId="77777777" w:rsidR="00590BEF" w:rsidRPr="00572C83" w:rsidRDefault="000B4F21" w:rsidP="007202FA">
            <w:pPr>
              <w:pStyle w:val="TableHead"/>
              <w:rPr>
                <w:rFonts w:ascii="Verdana" w:hAnsi="Verdana"/>
                <w:kern w:val="2"/>
                <w:sz w:val="19"/>
                <w:szCs w:val="19"/>
                <w14:ligatures w14:val="standardContextual"/>
              </w:rPr>
            </w:pPr>
            <w:r w:rsidRPr="00572C83">
              <w:rPr>
                <w:rFonts w:ascii="Verdana" w:hAnsi="Verdana"/>
                <w:bCs/>
                <w:kern w:val="2"/>
                <w:sz w:val="19"/>
                <w:szCs w:val="19"/>
                <w:lang w:val="ga"/>
                <w14:ligatures w14:val="standardContextual"/>
              </w:rPr>
              <w:t>An % d’fhostaithe a thuairiscigh</w:t>
            </w:r>
          </w:p>
          <w:p w14:paraId="7E6F4BFC" w14:textId="77777777" w:rsidR="00590BEF" w:rsidRPr="007202FA" w:rsidRDefault="000B4F21" w:rsidP="007202FA">
            <w:pPr>
              <w:pStyle w:val="TableHead"/>
              <w:rPr>
                <w:rFonts w:ascii="Verdana" w:hAnsi="Verdana"/>
                <w:kern w:val="2"/>
                <w:sz w:val="20"/>
                <w:szCs w:val="20"/>
                <w14:ligatures w14:val="standardContextual"/>
              </w:rPr>
            </w:pPr>
            <w:r w:rsidRPr="00572C83">
              <w:rPr>
                <w:rFonts w:ascii="Verdana" w:hAnsi="Verdana"/>
                <w:bCs/>
                <w:kern w:val="2"/>
                <w:sz w:val="19"/>
                <w:szCs w:val="19"/>
                <w:lang w:val="ga"/>
                <w14:ligatures w14:val="standardContextual"/>
              </w:rPr>
              <w:t>míchumas 2023</w:t>
            </w:r>
          </w:p>
        </w:tc>
        <w:tc>
          <w:tcPr>
            <w:tcW w:w="1701" w:type="dxa"/>
            <w:tcBorders>
              <w:top w:val="single" w:sz="4" w:space="0" w:color="auto"/>
              <w:left w:val="single" w:sz="4" w:space="0" w:color="auto"/>
              <w:bottom w:val="single" w:sz="4" w:space="0" w:color="auto"/>
              <w:right w:val="single" w:sz="4" w:space="0" w:color="auto"/>
            </w:tcBorders>
            <w:hideMark/>
          </w:tcPr>
          <w:p w14:paraId="0EC30BAB"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w:t>
            </w:r>
          </w:p>
          <w:p w14:paraId="6BA3622E"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iomlán </w:t>
            </w:r>
          </w:p>
          <w:p w14:paraId="75FA6E5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fostaithe </w:t>
            </w:r>
          </w:p>
          <w:p w14:paraId="2368656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559" w:type="dxa"/>
            <w:tcBorders>
              <w:top w:val="single" w:sz="4" w:space="0" w:color="auto"/>
              <w:left w:val="single" w:sz="4" w:space="0" w:color="auto"/>
              <w:bottom w:val="single" w:sz="4" w:space="0" w:color="auto"/>
              <w:right w:val="single" w:sz="4" w:space="0" w:color="auto"/>
            </w:tcBorders>
            <w:hideMark/>
          </w:tcPr>
          <w:p w14:paraId="77074A94"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6DC4FD0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701" w:type="dxa"/>
            <w:tcBorders>
              <w:top w:val="single" w:sz="4" w:space="0" w:color="auto"/>
              <w:left w:val="single" w:sz="4" w:space="0" w:color="auto"/>
              <w:bottom w:val="single" w:sz="4" w:space="0" w:color="auto"/>
              <w:right w:val="single" w:sz="4" w:space="0" w:color="auto"/>
            </w:tcBorders>
            <w:hideMark/>
          </w:tcPr>
          <w:p w14:paraId="392B2FA3"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48CF481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w:t>
            </w:r>
          </w:p>
          <w:p w14:paraId="530CBBCC"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 2024</w:t>
            </w:r>
          </w:p>
        </w:tc>
      </w:tr>
      <w:tr w:rsidR="00F31303" w14:paraId="09E39631" w14:textId="77777777" w:rsidTr="0050231C">
        <w:tc>
          <w:tcPr>
            <w:tcW w:w="1701" w:type="dxa"/>
            <w:tcBorders>
              <w:top w:val="single" w:sz="4" w:space="0" w:color="auto"/>
              <w:left w:val="single" w:sz="4" w:space="0" w:color="auto"/>
              <w:bottom w:val="single" w:sz="4" w:space="0" w:color="auto"/>
              <w:right w:val="single" w:sz="4" w:space="0" w:color="auto"/>
            </w:tcBorders>
            <w:vAlign w:val="bottom"/>
            <w:hideMark/>
          </w:tcPr>
          <w:p w14:paraId="0A93BD37" w14:textId="77777777" w:rsidR="00590BEF" w:rsidRPr="007202FA" w:rsidRDefault="000B4F21" w:rsidP="007202FA">
            <w:pPr>
              <w:rPr>
                <w:b/>
                <w:bCs/>
                <w:sz w:val="20"/>
                <w:szCs w:val="20"/>
              </w:rPr>
            </w:pPr>
            <w:r>
              <w:rPr>
                <w:rFonts w:cs="Calibri"/>
                <w:color w:val="000000"/>
                <w:sz w:val="20"/>
                <w:szCs w:val="20"/>
                <w:lang w:val="ga"/>
              </w:rPr>
              <w:t>An Rialálaí Carthanas</w:t>
            </w:r>
            <w:r>
              <w:rPr>
                <w:rStyle w:val="FootnoteReference"/>
                <w:rFonts w:cs="Calibri"/>
                <w:color w:val="000000"/>
                <w:sz w:val="20"/>
                <w:szCs w:val="20"/>
                <w:lang w:val="ga"/>
              </w:rPr>
              <w:footnoteReference w:id="18"/>
            </w:r>
            <w:r>
              <w:rPr>
                <w:rFonts w:cs="Calibri"/>
                <w:b/>
                <w:bCs/>
                <w:color w:val="000000"/>
                <w:sz w:val="20"/>
                <w:szCs w:val="20"/>
                <w:lang w:val="ga"/>
              </w:rPr>
              <w:t xml:space="preserve"> </w:t>
            </w:r>
          </w:p>
        </w:tc>
        <w:tc>
          <w:tcPr>
            <w:tcW w:w="1555" w:type="dxa"/>
            <w:tcBorders>
              <w:top w:val="single" w:sz="4" w:space="0" w:color="auto"/>
              <w:left w:val="single" w:sz="4" w:space="0" w:color="auto"/>
              <w:bottom w:val="single" w:sz="4" w:space="0" w:color="auto"/>
              <w:right w:val="single" w:sz="4" w:space="0" w:color="auto"/>
            </w:tcBorders>
            <w:hideMark/>
          </w:tcPr>
          <w:p w14:paraId="60CE8D91" w14:textId="77777777" w:rsidR="00590BEF" w:rsidRPr="007202FA" w:rsidRDefault="000B4F21" w:rsidP="007202FA">
            <w:pPr>
              <w:jc w:val="right"/>
              <w:rPr>
                <w:sz w:val="20"/>
                <w:szCs w:val="20"/>
              </w:rPr>
            </w:pPr>
            <w:r>
              <w:rPr>
                <w:sz w:val="20"/>
                <w:szCs w:val="20"/>
                <w:lang w:val="ga"/>
              </w:rPr>
              <w:t>43</w:t>
            </w:r>
          </w:p>
        </w:tc>
        <w:tc>
          <w:tcPr>
            <w:tcW w:w="1564" w:type="dxa"/>
            <w:tcBorders>
              <w:top w:val="single" w:sz="4" w:space="0" w:color="auto"/>
              <w:left w:val="single" w:sz="4" w:space="0" w:color="auto"/>
              <w:bottom w:val="single" w:sz="4" w:space="0" w:color="auto"/>
              <w:right w:val="single" w:sz="4" w:space="0" w:color="auto"/>
            </w:tcBorders>
            <w:hideMark/>
          </w:tcPr>
          <w:p w14:paraId="6F19E26B" w14:textId="77777777" w:rsidR="00590BEF" w:rsidRPr="007202FA" w:rsidRDefault="000B4F21" w:rsidP="007202FA">
            <w:pPr>
              <w:jc w:val="right"/>
              <w:rPr>
                <w:sz w:val="20"/>
                <w:szCs w:val="20"/>
              </w:rPr>
            </w:pPr>
            <w:r>
              <w:rPr>
                <w:sz w:val="20"/>
                <w:szCs w:val="20"/>
                <w:lang w:val="ga"/>
              </w:rPr>
              <w:t>14</w:t>
            </w:r>
          </w:p>
        </w:tc>
        <w:tc>
          <w:tcPr>
            <w:tcW w:w="1559" w:type="dxa"/>
            <w:tcBorders>
              <w:top w:val="single" w:sz="4" w:space="0" w:color="auto"/>
              <w:left w:val="single" w:sz="4" w:space="0" w:color="auto"/>
              <w:bottom w:val="single" w:sz="4" w:space="0" w:color="auto"/>
              <w:right w:val="single" w:sz="4" w:space="0" w:color="auto"/>
            </w:tcBorders>
            <w:hideMark/>
          </w:tcPr>
          <w:p w14:paraId="4F100E8B" w14:textId="77777777" w:rsidR="00590BEF" w:rsidRPr="007202FA" w:rsidRDefault="000B4F21" w:rsidP="007202FA">
            <w:pPr>
              <w:jc w:val="right"/>
              <w:rPr>
                <w:sz w:val="20"/>
                <w:szCs w:val="20"/>
              </w:rPr>
            </w:pPr>
            <w:r>
              <w:rPr>
                <w:sz w:val="20"/>
                <w:szCs w:val="20"/>
                <w:lang w:val="ga"/>
              </w:rPr>
              <w:t>32.6%</w:t>
            </w:r>
          </w:p>
        </w:tc>
        <w:tc>
          <w:tcPr>
            <w:tcW w:w="1701" w:type="dxa"/>
            <w:tcBorders>
              <w:top w:val="single" w:sz="4" w:space="0" w:color="auto"/>
              <w:left w:val="single" w:sz="4" w:space="0" w:color="auto"/>
              <w:bottom w:val="single" w:sz="4" w:space="0" w:color="auto"/>
              <w:right w:val="single" w:sz="4" w:space="0" w:color="auto"/>
            </w:tcBorders>
          </w:tcPr>
          <w:p w14:paraId="360AC516" w14:textId="77777777" w:rsidR="00590BEF" w:rsidRPr="007202FA" w:rsidRDefault="000B4F21" w:rsidP="007202FA">
            <w:pPr>
              <w:jc w:val="right"/>
              <w:rPr>
                <w:sz w:val="20"/>
                <w:szCs w:val="20"/>
              </w:rPr>
            </w:pPr>
            <w:r>
              <w:rPr>
                <w:sz w:val="20"/>
                <w:szCs w:val="20"/>
                <w:lang w:val="ga"/>
              </w:rPr>
              <w:t>47</w:t>
            </w:r>
          </w:p>
          <w:p w14:paraId="5637A79F"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026554E" w14:textId="5295527E" w:rsidR="00590BEF" w:rsidRPr="007202FA" w:rsidRDefault="000B4F21" w:rsidP="007202FA">
            <w:pPr>
              <w:jc w:val="right"/>
              <w:rPr>
                <w:sz w:val="20"/>
                <w:szCs w:val="20"/>
              </w:rPr>
            </w:pPr>
            <w:r>
              <w:rPr>
                <w:sz w:val="20"/>
                <w:szCs w:val="20"/>
                <w:lang w:val="ga"/>
              </w:rPr>
              <w:t>10</w:t>
            </w:r>
          </w:p>
          <w:p w14:paraId="49A3634F"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259C9A" w14:textId="77777777" w:rsidR="00590BEF" w:rsidRPr="007202FA" w:rsidRDefault="000B4F21" w:rsidP="007202FA">
            <w:pPr>
              <w:jc w:val="right"/>
              <w:rPr>
                <w:sz w:val="20"/>
                <w:szCs w:val="20"/>
              </w:rPr>
            </w:pPr>
            <w:r>
              <w:rPr>
                <w:sz w:val="20"/>
                <w:szCs w:val="20"/>
                <w:lang w:val="ga"/>
              </w:rPr>
              <w:t>21.3%</w:t>
            </w:r>
          </w:p>
          <w:p w14:paraId="69F57DAF" w14:textId="77777777" w:rsidR="00590BEF" w:rsidRPr="007202FA" w:rsidRDefault="00590BEF" w:rsidP="007202FA">
            <w:pPr>
              <w:jc w:val="right"/>
              <w:rPr>
                <w:sz w:val="20"/>
                <w:szCs w:val="20"/>
              </w:rPr>
            </w:pPr>
          </w:p>
        </w:tc>
      </w:tr>
      <w:tr w:rsidR="00F31303" w14:paraId="292FF1B5" w14:textId="77777777" w:rsidTr="0050231C">
        <w:tc>
          <w:tcPr>
            <w:tcW w:w="1701" w:type="dxa"/>
            <w:tcBorders>
              <w:top w:val="single" w:sz="4" w:space="0" w:color="auto"/>
              <w:left w:val="single" w:sz="4" w:space="0" w:color="auto"/>
              <w:bottom w:val="single" w:sz="4" w:space="0" w:color="auto"/>
              <w:right w:val="single" w:sz="4" w:space="0" w:color="auto"/>
            </w:tcBorders>
            <w:vAlign w:val="bottom"/>
            <w:hideMark/>
          </w:tcPr>
          <w:p w14:paraId="7B0593B0" w14:textId="77777777" w:rsidR="00590BEF" w:rsidRPr="007202FA" w:rsidRDefault="000B4F21" w:rsidP="007202FA">
            <w:pPr>
              <w:rPr>
                <w:sz w:val="20"/>
                <w:szCs w:val="20"/>
              </w:rPr>
            </w:pPr>
            <w:r>
              <w:rPr>
                <w:rFonts w:cs="Calibri"/>
                <w:color w:val="000000"/>
                <w:sz w:val="20"/>
                <w:szCs w:val="20"/>
                <w:lang w:val="ga"/>
              </w:rPr>
              <w:t xml:space="preserve">Sábháilteacht Uisce Éireann </w:t>
            </w:r>
          </w:p>
        </w:tc>
        <w:tc>
          <w:tcPr>
            <w:tcW w:w="1555" w:type="dxa"/>
            <w:tcBorders>
              <w:top w:val="single" w:sz="4" w:space="0" w:color="auto"/>
              <w:left w:val="single" w:sz="4" w:space="0" w:color="auto"/>
              <w:bottom w:val="single" w:sz="4" w:space="0" w:color="auto"/>
              <w:right w:val="single" w:sz="4" w:space="0" w:color="auto"/>
            </w:tcBorders>
            <w:hideMark/>
          </w:tcPr>
          <w:p w14:paraId="1FFFC87E" w14:textId="77777777" w:rsidR="00590BEF" w:rsidRPr="007202FA" w:rsidRDefault="000B4F21" w:rsidP="007202FA">
            <w:pPr>
              <w:jc w:val="right"/>
              <w:rPr>
                <w:sz w:val="20"/>
                <w:szCs w:val="20"/>
              </w:rPr>
            </w:pPr>
            <w:r>
              <w:rPr>
                <w:rFonts w:cs="Calibri"/>
                <w:color w:val="000000"/>
                <w:sz w:val="20"/>
                <w:szCs w:val="20"/>
                <w:lang w:val="ga"/>
              </w:rPr>
              <w:t>13</w:t>
            </w:r>
          </w:p>
        </w:tc>
        <w:tc>
          <w:tcPr>
            <w:tcW w:w="1564" w:type="dxa"/>
            <w:tcBorders>
              <w:top w:val="single" w:sz="4" w:space="0" w:color="auto"/>
              <w:left w:val="single" w:sz="4" w:space="0" w:color="auto"/>
              <w:bottom w:val="single" w:sz="4" w:space="0" w:color="auto"/>
              <w:right w:val="single" w:sz="4" w:space="0" w:color="auto"/>
            </w:tcBorders>
            <w:hideMark/>
          </w:tcPr>
          <w:p w14:paraId="32BB3F80" w14:textId="77777777" w:rsidR="00590BEF" w:rsidRPr="007202FA" w:rsidRDefault="000B4F21" w:rsidP="007202FA">
            <w:pPr>
              <w:jc w:val="right"/>
              <w:rPr>
                <w:sz w:val="20"/>
                <w:szCs w:val="20"/>
              </w:rPr>
            </w:pPr>
            <w:r>
              <w:rPr>
                <w:rFonts w:cs="Calibri"/>
                <w:color w:val="000000"/>
                <w:sz w:val="20"/>
                <w:szCs w:val="20"/>
                <w:lang w:val="ga"/>
              </w:rPr>
              <w:t>2</w:t>
            </w:r>
          </w:p>
        </w:tc>
        <w:tc>
          <w:tcPr>
            <w:tcW w:w="1559" w:type="dxa"/>
            <w:tcBorders>
              <w:top w:val="single" w:sz="4" w:space="0" w:color="auto"/>
              <w:left w:val="single" w:sz="4" w:space="0" w:color="auto"/>
              <w:bottom w:val="single" w:sz="4" w:space="0" w:color="auto"/>
              <w:right w:val="single" w:sz="4" w:space="0" w:color="auto"/>
            </w:tcBorders>
            <w:hideMark/>
          </w:tcPr>
          <w:p w14:paraId="547FCE0B" w14:textId="77777777" w:rsidR="00590BEF" w:rsidRPr="007202FA" w:rsidRDefault="000B4F21" w:rsidP="007202FA">
            <w:pPr>
              <w:jc w:val="right"/>
              <w:rPr>
                <w:sz w:val="20"/>
                <w:szCs w:val="20"/>
              </w:rPr>
            </w:pPr>
            <w:r>
              <w:rPr>
                <w:rFonts w:cs="Calibri"/>
                <w:color w:val="000000"/>
                <w:sz w:val="20"/>
                <w:szCs w:val="20"/>
                <w:lang w:val="ga"/>
              </w:rPr>
              <w:t>15.4%</w:t>
            </w:r>
          </w:p>
        </w:tc>
        <w:tc>
          <w:tcPr>
            <w:tcW w:w="1701" w:type="dxa"/>
            <w:tcBorders>
              <w:top w:val="single" w:sz="4" w:space="0" w:color="auto"/>
              <w:left w:val="single" w:sz="4" w:space="0" w:color="auto"/>
              <w:bottom w:val="single" w:sz="4" w:space="0" w:color="auto"/>
              <w:right w:val="single" w:sz="4" w:space="0" w:color="auto"/>
            </w:tcBorders>
          </w:tcPr>
          <w:p w14:paraId="46104CD8" w14:textId="77777777" w:rsidR="00590BEF" w:rsidRPr="007202FA" w:rsidRDefault="000B4F21" w:rsidP="007202FA">
            <w:pPr>
              <w:jc w:val="right"/>
              <w:rPr>
                <w:sz w:val="20"/>
                <w:szCs w:val="20"/>
              </w:rPr>
            </w:pPr>
            <w:r>
              <w:rPr>
                <w:sz w:val="20"/>
                <w:szCs w:val="20"/>
                <w:lang w:val="ga"/>
              </w:rPr>
              <w:t>15</w:t>
            </w:r>
          </w:p>
          <w:p w14:paraId="7A60D3EE"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AF4D04" w14:textId="77777777" w:rsidR="00590BEF" w:rsidRPr="007202FA" w:rsidRDefault="000B4F21" w:rsidP="007202FA">
            <w:pPr>
              <w:jc w:val="right"/>
              <w:rPr>
                <w:sz w:val="20"/>
                <w:szCs w:val="20"/>
              </w:rPr>
            </w:pPr>
            <w:r>
              <w:rPr>
                <w:sz w:val="20"/>
                <w:szCs w:val="20"/>
                <w:lang w:val="ga"/>
              </w:rPr>
              <w:t>4</w:t>
            </w:r>
          </w:p>
          <w:p w14:paraId="332A8086"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916814" w14:textId="77777777" w:rsidR="00590BEF" w:rsidRPr="007202FA" w:rsidRDefault="000B4F21" w:rsidP="007202FA">
            <w:pPr>
              <w:jc w:val="right"/>
              <w:rPr>
                <w:sz w:val="20"/>
                <w:szCs w:val="20"/>
              </w:rPr>
            </w:pPr>
            <w:r>
              <w:rPr>
                <w:sz w:val="20"/>
                <w:szCs w:val="20"/>
                <w:lang w:val="ga"/>
              </w:rPr>
              <w:t>26.7%</w:t>
            </w:r>
          </w:p>
          <w:p w14:paraId="6552811C" w14:textId="77777777" w:rsidR="00590BEF" w:rsidRPr="007202FA" w:rsidRDefault="00590BEF" w:rsidP="007202FA">
            <w:pPr>
              <w:jc w:val="right"/>
              <w:rPr>
                <w:sz w:val="20"/>
                <w:szCs w:val="20"/>
              </w:rPr>
            </w:pPr>
          </w:p>
        </w:tc>
      </w:tr>
      <w:tr w:rsidR="00F31303" w14:paraId="065E4174" w14:textId="77777777" w:rsidTr="0050231C">
        <w:tc>
          <w:tcPr>
            <w:tcW w:w="1701" w:type="dxa"/>
            <w:tcBorders>
              <w:top w:val="single" w:sz="4" w:space="0" w:color="auto"/>
              <w:left w:val="single" w:sz="4" w:space="0" w:color="auto"/>
              <w:bottom w:val="single" w:sz="4" w:space="0" w:color="auto"/>
              <w:right w:val="single" w:sz="4" w:space="0" w:color="auto"/>
            </w:tcBorders>
            <w:vAlign w:val="bottom"/>
            <w:hideMark/>
          </w:tcPr>
          <w:p w14:paraId="2F58663A" w14:textId="77777777" w:rsidR="00590BEF" w:rsidRPr="007202FA" w:rsidRDefault="000B4F21" w:rsidP="007202FA">
            <w:pPr>
              <w:pStyle w:val="TableHead"/>
              <w:rPr>
                <w:rFonts w:ascii="Verdana" w:hAnsi="Verdana"/>
                <w:b w:val="0"/>
                <w:bCs/>
                <w:kern w:val="2"/>
                <w:sz w:val="20"/>
                <w:szCs w:val="20"/>
                <w14:ligatures w14:val="standardContextual"/>
              </w:rPr>
            </w:pPr>
            <w:r>
              <w:rPr>
                <w:rFonts w:ascii="Verdana" w:hAnsi="Verdana" w:cs="Calibri"/>
                <w:b w:val="0"/>
                <w:color w:val="000000"/>
                <w:kern w:val="2"/>
                <w:sz w:val="20"/>
                <w:szCs w:val="20"/>
                <w:lang w:val="ga"/>
                <w14:ligatures w14:val="standardContextual"/>
              </w:rPr>
              <w:t>Coimisiún Forbartha an Iarthair</w:t>
            </w:r>
          </w:p>
        </w:tc>
        <w:tc>
          <w:tcPr>
            <w:tcW w:w="1555" w:type="dxa"/>
            <w:tcBorders>
              <w:top w:val="single" w:sz="4" w:space="0" w:color="auto"/>
              <w:left w:val="single" w:sz="4" w:space="0" w:color="auto"/>
              <w:bottom w:val="single" w:sz="4" w:space="0" w:color="auto"/>
              <w:right w:val="single" w:sz="4" w:space="0" w:color="auto"/>
            </w:tcBorders>
            <w:hideMark/>
          </w:tcPr>
          <w:p w14:paraId="6D567EC2" w14:textId="77777777" w:rsidR="00590BEF" w:rsidRPr="007202FA" w:rsidRDefault="000B4F21" w:rsidP="007202FA">
            <w:pPr>
              <w:jc w:val="right"/>
              <w:rPr>
                <w:rFonts w:cs="Calibri"/>
                <w:bCs/>
                <w:color w:val="000000"/>
                <w:sz w:val="20"/>
                <w:szCs w:val="20"/>
              </w:rPr>
            </w:pPr>
            <w:r>
              <w:rPr>
                <w:rFonts w:cs="Calibri"/>
                <w:color w:val="000000"/>
                <w:sz w:val="20"/>
                <w:szCs w:val="20"/>
                <w:lang w:val="ga"/>
              </w:rPr>
              <w:t>28</w:t>
            </w:r>
          </w:p>
        </w:tc>
        <w:tc>
          <w:tcPr>
            <w:tcW w:w="1564" w:type="dxa"/>
            <w:tcBorders>
              <w:top w:val="single" w:sz="4" w:space="0" w:color="auto"/>
              <w:left w:val="single" w:sz="4" w:space="0" w:color="auto"/>
              <w:bottom w:val="single" w:sz="4" w:space="0" w:color="auto"/>
              <w:right w:val="single" w:sz="4" w:space="0" w:color="auto"/>
            </w:tcBorders>
            <w:hideMark/>
          </w:tcPr>
          <w:p w14:paraId="2A49C174" w14:textId="77777777" w:rsidR="00590BEF" w:rsidRPr="007202FA" w:rsidRDefault="000B4F21" w:rsidP="007202FA">
            <w:pPr>
              <w:jc w:val="right"/>
              <w:rPr>
                <w:rFonts w:cs="Calibri"/>
                <w:bCs/>
                <w:color w:val="000000"/>
                <w:sz w:val="20"/>
                <w:szCs w:val="20"/>
              </w:rPr>
            </w:pPr>
            <w:r>
              <w:rPr>
                <w:rFonts w:cs="Calibri"/>
                <w:color w:val="000000"/>
                <w:sz w:val="20"/>
                <w:szCs w:val="20"/>
                <w:lang w:val="ga"/>
              </w:rPr>
              <w:t>3</w:t>
            </w:r>
          </w:p>
        </w:tc>
        <w:tc>
          <w:tcPr>
            <w:tcW w:w="1559" w:type="dxa"/>
            <w:tcBorders>
              <w:top w:val="single" w:sz="4" w:space="0" w:color="auto"/>
              <w:left w:val="single" w:sz="4" w:space="0" w:color="auto"/>
              <w:bottom w:val="single" w:sz="4" w:space="0" w:color="auto"/>
              <w:right w:val="single" w:sz="4" w:space="0" w:color="auto"/>
            </w:tcBorders>
            <w:hideMark/>
          </w:tcPr>
          <w:p w14:paraId="6A8F450C" w14:textId="77777777" w:rsidR="00590BEF" w:rsidRPr="007202FA" w:rsidRDefault="000B4F21" w:rsidP="007202FA">
            <w:pPr>
              <w:jc w:val="right"/>
              <w:rPr>
                <w:bCs/>
                <w:sz w:val="20"/>
                <w:szCs w:val="20"/>
              </w:rPr>
            </w:pPr>
            <w:r>
              <w:rPr>
                <w:rFonts w:cs="Calibri"/>
                <w:color w:val="000000"/>
                <w:sz w:val="20"/>
                <w:szCs w:val="20"/>
                <w:lang w:val="ga"/>
              </w:rPr>
              <w:t>10.7%</w:t>
            </w:r>
          </w:p>
        </w:tc>
        <w:tc>
          <w:tcPr>
            <w:tcW w:w="1701" w:type="dxa"/>
            <w:tcBorders>
              <w:top w:val="single" w:sz="4" w:space="0" w:color="auto"/>
              <w:left w:val="single" w:sz="4" w:space="0" w:color="auto"/>
              <w:bottom w:val="single" w:sz="4" w:space="0" w:color="auto"/>
              <w:right w:val="single" w:sz="4" w:space="0" w:color="auto"/>
            </w:tcBorders>
          </w:tcPr>
          <w:p w14:paraId="1558C942" w14:textId="77777777" w:rsidR="00590BEF" w:rsidRPr="007202FA" w:rsidRDefault="000B4F21" w:rsidP="007202FA">
            <w:pPr>
              <w:jc w:val="right"/>
              <w:rPr>
                <w:bCs/>
                <w:sz w:val="20"/>
                <w:szCs w:val="20"/>
              </w:rPr>
            </w:pPr>
            <w:r>
              <w:rPr>
                <w:sz w:val="20"/>
                <w:szCs w:val="20"/>
                <w:lang w:val="ga"/>
              </w:rPr>
              <w:t>30</w:t>
            </w:r>
          </w:p>
          <w:p w14:paraId="0A2DB209" w14:textId="77777777" w:rsidR="00590BEF" w:rsidRPr="007202FA" w:rsidRDefault="00590BEF" w:rsidP="007202FA">
            <w:pPr>
              <w:jc w:val="right"/>
              <w:rPr>
                <w:bCs/>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13BA92" w14:textId="77777777" w:rsidR="00590BEF" w:rsidRPr="007202FA" w:rsidRDefault="000B4F21" w:rsidP="007202FA">
            <w:pPr>
              <w:jc w:val="right"/>
              <w:rPr>
                <w:bCs/>
                <w:sz w:val="20"/>
                <w:szCs w:val="20"/>
              </w:rPr>
            </w:pPr>
            <w:r>
              <w:rPr>
                <w:sz w:val="20"/>
                <w:szCs w:val="20"/>
                <w:lang w:val="ga"/>
              </w:rPr>
              <w:t>4</w:t>
            </w:r>
          </w:p>
          <w:p w14:paraId="0DE92877" w14:textId="77777777" w:rsidR="00590BEF" w:rsidRPr="007202FA" w:rsidRDefault="00590BEF" w:rsidP="007202FA">
            <w:pPr>
              <w:jc w:val="right"/>
              <w:rPr>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4C22443" w14:textId="77777777" w:rsidR="00590BEF" w:rsidRPr="007202FA" w:rsidRDefault="000B4F21" w:rsidP="007202FA">
            <w:pPr>
              <w:jc w:val="right"/>
              <w:rPr>
                <w:bCs/>
                <w:sz w:val="20"/>
                <w:szCs w:val="20"/>
              </w:rPr>
            </w:pPr>
            <w:r>
              <w:rPr>
                <w:sz w:val="20"/>
                <w:szCs w:val="20"/>
                <w:lang w:val="ga"/>
              </w:rPr>
              <w:t>13.3%</w:t>
            </w:r>
          </w:p>
          <w:p w14:paraId="66F5FFAB" w14:textId="77777777" w:rsidR="00590BEF" w:rsidRPr="007202FA" w:rsidRDefault="00590BEF" w:rsidP="007202FA">
            <w:pPr>
              <w:jc w:val="right"/>
              <w:rPr>
                <w:bCs/>
                <w:sz w:val="20"/>
                <w:szCs w:val="20"/>
              </w:rPr>
            </w:pPr>
          </w:p>
        </w:tc>
      </w:tr>
      <w:tr w:rsidR="00F31303" w14:paraId="767271BD" w14:textId="77777777" w:rsidTr="0050231C">
        <w:tc>
          <w:tcPr>
            <w:tcW w:w="1701" w:type="dxa"/>
            <w:tcBorders>
              <w:top w:val="single" w:sz="4" w:space="0" w:color="auto"/>
              <w:left w:val="single" w:sz="4" w:space="0" w:color="auto"/>
              <w:bottom w:val="single" w:sz="4" w:space="0" w:color="auto"/>
              <w:right w:val="single" w:sz="4" w:space="0" w:color="auto"/>
            </w:tcBorders>
            <w:hideMark/>
          </w:tcPr>
          <w:p w14:paraId="6901BC0E"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Mór-Iomlán </w:t>
            </w:r>
          </w:p>
        </w:tc>
        <w:tc>
          <w:tcPr>
            <w:tcW w:w="1555" w:type="dxa"/>
            <w:tcBorders>
              <w:top w:val="single" w:sz="4" w:space="0" w:color="auto"/>
              <w:left w:val="single" w:sz="4" w:space="0" w:color="auto"/>
              <w:bottom w:val="single" w:sz="4" w:space="0" w:color="auto"/>
              <w:right w:val="single" w:sz="4" w:space="0" w:color="auto"/>
            </w:tcBorders>
            <w:hideMark/>
          </w:tcPr>
          <w:p w14:paraId="029858C7" w14:textId="77777777" w:rsidR="00590BEF" w:rsidRPr="007202FA" w:rsidRDefault="000B4F21" w:rsidP="007202FA">
            <w:pPr>
              <w:jc w:val="right"/>
              <w:rPr>
                <w:b/>
                <w:sz w:val="20"/>
                <w:szCs w:val="20"/>
              </w:rPr>
            </w:pPr>
            <w:r>
              <w:rPr>
                <w:b/>
                <w:bCs/>
                <w:sz w:val="20"/>
                <w:szCs w:val="20"/>
                <w:lang w:val="ga"/>
              </w:rPr>
              <w:t>84</w:t>
            </w:r>
          </w:p>
        </w:tc>
        <w:tc>
          <w:tcPr>
            <w:tcW w:w="1564" w:type="dxa"/>
            <w:tcBorders>
              <w:top w:val="single" w:sz="4" w:space="0" w:color="auto"/>
              <w:left w:val="single" w:sz="4" w:space="0" w:color="auto"/>
              <w:bottom w:val="single" w:sz="4" w:space="0" w:color="auto"/>
              <w:right w:val="single" w:sz="4" w:space="0" w:color="auto"/>
            </w:tcBorders>
            <w:hideMark/>
          </w:tcPr>
          <w:p w14:paraId="29928F27" w14:textId="77777777" w:rsidR="00590BEF" w:rsidRPr="007202FA" w:rsidRDefault="000B4F21" w:rsidP="007202FA">
            <w:pPr>
              <w:jc w:val="right"/>
              <w:rPr>
                <w:b/>
                <w:sz w:val="20"/>
                <w:szCs w:val="20"/>
              </w:rPr>
            </w:pPr>
            <w:r>
              <w:rPr>
                <w:b/>
                <w:bCs/>
                <w:sz w:val="20"/>
                <w:szCs w:val="20"/>
                <w:lang w:val="ga"/>
              </w:rPr>
              <w:t>19</w:t>
            </w:r>
          </w:p>
        </w:tc>
        <w:tc>
          <w:tcPr>
            <w:tcW w:w="1559" w:type="dxa"/>
            <w:tcBorders>
              <w:top w:val="single" w:sz="4" w:space="0" w:color="auto"/>
              <w:left w:val="single" w:sz="4" w:space="0" w:color="auto"/>
              <w:bottom w:val="single" w:sz="4" w:space="0" w:color="auto"/>
              <w:right w:val="single" w:sz="4" w:space="0" w:color="auto"/>
            </w:tcBorders>
            <w:hideMark/>
          </w:tcPr>
          <w:p w14:paraId="768AA23C" w14:textId="77777777" w:rsidR="00590BEF" w:rsidRPr="007202FA" w:rsidRDefault="000B4F21" w:rsidP="007202FA">
            <w:pPr>
              <w:jc w:val="right"/>
              <w:rPr>
                <w:b/>
                <w:sz w:val="20"/>
                <w:szCs w:val="20"/>
              </w:rPr>
            </w:pPr>
            <w:r>
              <w:rPr>
                <w:b/>
                <w:bCs/>
                <w:sz w:val="20"/>
                <w:szCs w:val="20"/>
                <w:lang w:val="ga"/>
              </w:rPr>
              <w:t>22.6%</w:t>
            </w:r>
          </w:p>
        </w:tc>
        <w:tc>
          <w:tcPr>
            <w:tcW w:w="1701" w:type="dxa"/>
            <w:tcBorders>
              <w:top w:val="single" w:sz="4" w:space="0" w:color="auto"/>
              <w:left w:val="single" w:sz="4" w:space="0" w:color="auto"/>
              <w:bottom w:val="single" w:sz="4" w:space="0" w:color="auto"/>
              <w:right w:val="single" w:sz="4" w:space="0" w:color="auto"/>
            </w:tcBorders>
          </w:tcPr>
          <w:p w14:paraId="3F7ECB30" w14:textId="77777777" w:rsidR="00590BEF" w:rsidRPr="007202FA" w:rsidRDefault="000B4F21" w:rsidP="007202FA">
            <w:pPr>
              <w:jc w:val="right"/>
              <w:rPr>
                <w:b/>
                <w:bCs/>
                <w:sz w:val="20"/>
                <w:szCs w:val="20"/>
              </w:rPr>
            </w:pPr>
            <w:r>
              <w:rPr>
                <w:b/>
                <w:bCs/>
                <w:sz w:val="20"/>
                <w:szCs w:val="20"/>
                <w:lang w:val="ga"/>
              </w:rPr>
              <w:t>92</w:t>
            </w:r>
          </w:p>
          <w:p w14:paraId="7E45BFC8" w14:textId="77777777" w:rsidR="00590BEF" w:rsidRPr="007202FA" w:rsidRDefault="00590BEF" w:rsidP="007202FA">
            <w:pPr>
              <w:jc w:val="right"/>
              <w:rPr>
                <w:b/>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4DB6992" w14:textId="77777777" w:rsidR="00590BEF" w:rsidRPr="007202FA" w:rsidRDefault="000B4F21" w:rsidP="007202FA">
            <w:pPr>
              <w:jc w:val="right"/>
              <w:rPr>
                <w:b/>
                <w:bCs/>
                <w:sz w:val="20"/>
                <w:szCs w:val="20"/>
              </w:rPr>
            </w:pPr>
            <w:r>
              <w:rPr>
                <w:b/>
                <w:bCs/>
                <w:sz w:val="20"/>
                <w:szCs w:val="20"/>
                <w:lang w:val="ga"/>
              </w:rPr>
              <w:t>18</w:t>
            </w:r>
          </w:p>
          <w:p w14:paraId="006DE115" w14:textId="77777777" w:rsidR="00590BEF" w:rsidRPr="007202FA" w:rsidRDefault="00590BEF" w:rsidP="007202FA">
            <w:pPr>
              <w:jc w:val="right"/>
              <w:rPr>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608A58" w14:textId="77777777" w:rsidR="00590BEF" w:rsidRPr="007202FA" w:rsidRDefault="000B4F21" w:rsidP="007202FA">
            <w:pPr>
              <w:jc w:val="right"/>
              <w:rPr>
                <w:b/>
                <w:bCs/>
                <w:sz w:val="20"/>
                <w:szCs w:val="20"/>
              </w:rPr>
            </w:pPr>
            <w:r>
              <w:rPr>
                <w:b/>
                <w:bCs/>
                <w:sz w:val="20"/>
                <w:szCs w:val="20"/>
                <w:lang w:val="ga"/>
              </w:rPr>
              <w:t>19.6%</w:t>
            </w:r>
          </w:p>
          <w:p w14:paraId="1CA80FCA" w14:textId="77777777" w:rsidR="00590BEF" w:rsidRPr="007202FA" w:rsidRDefault="00590BEF" w:rsidP="007202FA">
            <w:pPr>
              <w:jc w:val="right"/>
              <w:rPr>
                <w:b/>
                <w:sz w:val="20"/>
                <w:szCs w:val="20"/>
              </w:rPr>
            </w:pPr>
          </w:p>
        </w:tc>
      </w:tr>
    </w:tbl>
    <w:p w14:paraId="1F824E72" w14:textId="77777777" w:rsidR="00590BEF" w:rsidRPr="007202FA" w:rsidRDefault="00590BEF" w:rsidP="007202FA">
      <w:pPr>
        <w:rPr>
          <w:rFonts w:ascii="Gill Sans" w:hAnsi="Gill Sans"/>
        </w:rPr>
      </w:pPr>
    </w:p>
    <w:p w14:paraId="65082123" w14:textId="77777777" w:rsidR="00590BEF" w:rsidRPr="007202FA" w:rsidRDefault="000B4F21" w:rsidP="007202FA">
      <w:pPr>
        <w:spacing w:after="0"/>
        <w:rPr>
          <w:rFonts w:ascii="Gill Sans" w:hAnsi="Gill Sans"/>
        </w:rPr>
      </w:pPr>
      <w:r>
        <w:rPr>
          <w:rFonts w:ascii="Gill Sans" w:hAnsi="Gill Sans"/>
          <w:kern w:val="0"/>
          <w:lang w:val="ga"/>
          <w14:ligatures w14:val="none"/>
        </w:rPr>
        <w:br w:type="page"/>
      </w:r>
    </w:p>
    <w:p w14:paraId="03EC1EA0" w14:textId="77777777" w:rsidR="00590BEF" w:rsidRPr="007202FA" w:rsidRDefault="000B4F21" w:rsidP="007202FA">
      <w:pPr>
        <w:pStyle w:val="Heading2"/>
        <w:jc w:val="center"/>
      </w:pPr>
      <w:bookmarkStart w:id="226" w:name="_Toc176801633"/>
      <w:bookmarkStart w:id="227" w:name="_Toc214033671"/>
      <w:r>
        <w:rPr>
          <w:bCs/>
          <w:lang w:val="ga"/>
        </w:rPr>
        <w:lastRenderedPageBreak/>
        <w:t>An Roinn Coimirce Sóisialaí</w:t>
      </w:r>
      <w:bookmarkEnd w:id="226"/>
      <w:bookmarkEnd w:id="227"/>
    </w:p>
    <w:tbl>
      <w:tblPr>
        <w:tblStyle w:val="TableGrid"/>
        <w:tblpPr w:leftFromText="180" w:rightFromText="180" w:vertAnchor="text" w:horzAnchor="margin" w:tblpXSpec="center" w:tblpY="185"/>
        <w:tblW w:w="11340" w:type="dxa"/>
        <w:tblLayout w:type="fixed"/>
        <w:tblLook w:val="04A0" w:firstRow="1" w:lastRow="0" w:firstColumn="1" w:lastColumn="0" w:noHBand="0" w:noVBand="1"/>
      </w:tblPr>
      <w:tblGrid>
        <w:gridCol w:w="1696"/>
        <w:gridCol w:w="1560"/>
        <w:gridCol w:w="1564"/>
        <w:gridCol w:w="1559"/>
        <w:gridCol w:w="1559"/>
        <w:gridCol w:w="1701"/>
        <w:gridCol w:w="1701"/>
      </w:tblGrid>
      <w:tr w:rsidR="00F31303" w14:paraId="686A7AEA" w14:textId="77777777" w:rsidTr="005F5C07">
        <w:trPr>
          <w:tblHeader/>
        </w:trPr>
        <w:tc>
          <w:tcPr>
            <w:tcW w:w="1696" w:type="dxa"/>
            <w:tcBorders>
              <w:top w:val="single" w:sz="4" w:space="0" w:color="auto"/>
              <w:left w:val="single" w:sz="4" w:space="0" w:color="auto"/>
              <w:bottom w:val="single" w:sz="4" w:space="0" w:color="auto"/>
              <w:right w:val="single" w:sz="4" w:space="0" w:color="auto"/>
            </w:tcBorders>
            <w:hideMark/>
          </w:tcPr>
          <w:p w14:paraId="145F8A9D"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60" w:type="dxa"/>
            <w:tcBorders>
              <w:top w:val="single" w:sz="4" w:space="0" w:color="auto"/>
              <w:left w:val="single" w:sz="4" w:space="0" w:color="auto"/>
              <w:bottom w:val="single" w:sz="4" w:space="0" w:color="auto"/>
              <w:right w:val="single" w:sz="4" w:space="0" w:color="auto"/>
            </w:tcBorders>
            <w:hideMark/>
          </w:tcPr>
          <w:p w14:paraId="30555C23"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55BC7FE8"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2023</w:t>
            </w:r>
          </w:p>
        </w:tc>
        <w:tc>
          <w:tcPr>
            <w:tcW w:w="1564" w:type="dxa"/>
            <w:tcBorders>
              <w:top w:val="single" w:sz="4" w:space="0" w:color="auto"/>
              <w:left w:val="single" w:sz="4" w:space="0" w:color="auto"/>
              <w:bottom w:val="single" w:sz="4" w:space="0" w:color="auto"/>
              <w:right w:val="single" w:sz="4" w:space="0" w:color="auto"/>
            </w:tcBorders>
            <w:hideMark/>
          </w:tcPr>
          <w:p w14:paraId="3B83D547"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4B99D125"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2023</w:t>
            </w:r>
          </w:p>
        </w:tc>
        <w:tc>
          <w:tcPr>
            <w:tcW w:w="1559" w:type="dxa"/>
            <w:tcBorders>
              <w:top w:val="single" w:sz="4" w:space="0" w:color="auto"/>
              <w:left w:val="single" w:sz="4" w:space="0" w:color="auto"/>
              <w:bottom w:val="single" w:sz="4" w:space="0" w:color="auto"/>
              <w:right w:val="single" w:sz="4" w:space="0" w:color="auto"/>
            </w:tcBorders>
            <w:hideMark/>
          </w:tcPr>
          <w:p w14:paraId="66F955CD" w14:textId="77777777" w:rsidR="00590BEF" w:rsidRPr="00DD04F3" w:rsidRDefault="000B4F21" w:rsidP="007202FA">
            <w:pPr>
              <w:pStyle w:val="TableHead"/>
              <w:rPr>
                <w:rFonts w:ascii="Verdana" w:hAnsi="Verdana"/>
                <w:kern w:val="2"/>
                <w:sz w:val="19"/>
                <w:szCs w:val="19"/>
                <w14:ligatures w14:val="standardContextual"/>
              </w:rPr>
            </w:pPr>
            <w:r w:rsidRPr="00DD04F3">
              <w:rPr>
                <w:rFonts w:ascii="Verdana" w:hAnsi="Verdana"/>
                <w:bCs/>
                <w:kern w:val="2"/>
                <w:sz w:val="19"/>
                <w:szCs w:val="19"/>
                <w:lang w:val="ga"/>
                <w14:ligatures w14:val="standardContextual"/>
              </w:rPr>
              <w:t>An % d’fhostaithe a thuairiscigh</w:t>
            </w:r>
          </w:p>
          <w:p w14:paraId="065D7FC1" w14:textId="77777777" w:rsidR="00590BEF" w:rsidRPr="007202FA" w:rsidRDefault="000B4F21" w:rsidP="007202FA">
            <w:pPr>
              <w:pStyle w:val="TableHead"/>
              <w:rPr>
                <w:rFonts w:ascii="Verdana" w:hAnsi="Verdana"/>
                <w:kern w:val="2"/>
                <w:sz w:val="20"/>
                <w:szCs w:val="20"/>
                <w14:ligatures w14:val="standardContextual"/>
              </w:rPr>
            </w:pPr>
            <w:r w:rsidRPr="00DD04F3">
              <w:rPr>
                <w:rFonts w:ascii="Verdana" w:hAnsi="Verdana"/>
                <w:bCs/>
                <w:kern w:val="2"/>
                <w:sz w:val="19"/>
                <w:szCs w:val="19"/>
                <w:lang w:val="ga"/>
                <w14:ligatures w14:val="standardContextual"/>
              </w:rPr>
              <w:t>míchumas 2023</w:t>
            </w:r>
          </w:p>
        </w:tc>
        <w:tc>
          <w:tcPr>
            <w:tcW w:w="1559" w:type="dxa"/>
            <w:tcBorders>
              <w:top w:val="single" w:sz="4" w:space="0" w:color="auto"/>
              <w:left w:val="single" w:sz="4" w:space="0" w:color="auto"/>
              <w:bottom w:val="single" w:sz="4" w:space="0" w:color="auto"/>
              <w:right w:val="single" w:sz="4" w:space="0" w:color="auto"/>
            </w:tcBorders>
            <w:hideMark/>
          </w:tcPr>
          <w:p w14:paraId="4BFAC044"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6DAED089"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2024</w:t>
            </w:r>
          </w:p>
        </w:tc>
        <w:tc>
          <w:tcPr>
            <w:tcW w:w="1701" w:type="dxa"/>
            <w:tcBorders>
              <w:top w:val="single" w:sz="4" w:space="0" w:color="auto"/>
              <w:left w:val="single" w:sz="4" w:space="0" w:color="auto"/>
              <w:bottom w:val="single" w:sz="4" w:space="0" w:color="auto"/>
              <w:right w:val="single" w:sz="4" w:space="0" w:color="auto"/>
            </w:tcBorders>
            <w:hideMark/>
          </w:tcPr>
          <w:p w14:paraId="6682FDD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4A504A6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701" w:type="dxa"/>
            <w:tcBorders>
              <w:top w:val="single" w:sz="4" w:space="0" w:color="auto"/>
              <w:left w:val="single" w:sz="4" w:space="0" w:color="auto"/>
              <w:bottom w:val="single" w:sz="4" w:space="0" w:color="auto"/>
              <w:right w:val="single" w:sz="4" w:space="0" w:color="auto"/>
            </w:tcBorders>
            <w:hideMark/>
          </w:tcPr>
          <w:p w14:paraId="05439848"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0D35B87C"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míchumas </w:t>
            </w:r>
          </w:p>
          <w:p w14:paraId="60F3149B"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r>
      <w:tr w:rsidR="00F31303" w14:paraId="042BCFF3" w14:textId="77777777" w:rsidTr="005F5C07">
        <w:tc>
          <w:tcPr>
            <w:tcW w:w="1696" w:type="dxa"/>
            <w:tcBorders>
              <w:top w:val="single" w:sz="4" w:space="0" w:color="auto"/>
              <w:left w:val="single" w:sz="4" w:space="0" w:color="auto"/>
              <w:bottom w:val="single" w:sz="4" w:space="0" w:color="auto"/>
              <w:right w:val="single" w:sz="4" w:space="0" w:color="auto"/>
            </w:tcBorders>
            <w:vAlign w:val="bottom"/>
            <w:hideMark/>
          </w:tcPr>
          <w:p w14:paraId="57FA3F78" w14:textId="77777777" w:rsidR="00590BEF" w:rsidRPr="007202FA" w:rsidRDefault="000B4F21" w:rsidP="007202FA">
            <w:pPr>
              <w:rPr>
                <w:sz w:val="20"/>
                <w:szCs w:val="20"/>
              </w:rPr>
            </w:pPr>
            <w:r>
              <w:rPr>
                <w:rFonts w:cs="Calibri"/>
                <w:color w:val="000000"/>
                <w:sz w:val="20"/>
                <w:szCs w:val="20"/>
                <w:lang w:val="ga"/>
              </w:rPr>
              <w:t>An Bord um Fhaisnéis do Shaoránaigh</w:t>
            </w:r>
          </w:p>
        </w:tc>
        <w:tc>
          <w:tcPr>
            <w:tcW w:w="1560" w:type="dxa"/>
            <w:tcBorders>
              <w:top w:val="single" w:sz="4" w:space="0" w:color="auto"/>
              <w:left w:val="single" w:sz="4" w:space="0" w:color="auto"/>
              <w:bottom w:val="single" w:sz="4" w:space="0" w:color="auto"/>
              <w:right w:val="single" w:sz="4" w:space="0" w:color="auto"/>
            </w:tcBorders>
            <w:hideMark/>
          </w:tcPr>
          <w:p w14:paraId="3661BDFA" w14:textId="77777777" w:rsidR="00590BEF" w:rsidRPr="007202FA" w:rsidRDefault="000B4F21" w:rsidP="007202FA">
            <w:pPr>
              <w:jc w:val="right"/>
              <w:rPr>
                <w:sz w:val="20"/>
                <w:szCs w:val="20"/>
              </w:rPr>
            </w:pPr>
            <w:r>
              <w:rPr>
                <w:rFonts w:cs="Calibri"/>
                <w:color w:val="000000"/>
                <w:sz w:val="20"/>
                <w:szCs w:val="20"/>
                <w:lang w:val="ga"/>
              </w:rPr>
              <w:t>85</w:t>
            </w:r>
          </w:p>
        </w:tc>
        <w:tc>
          <w:tcPr>
            <w:tcW w:w="1564" w:type="dxa"/>
            <w:tcBorders>
              <w:top w:val="single" w:sz="4" w:space="0" w:color="auto"/>
              <w:left w:val="single" w:sz="4" w:space="0" w:color="auto"/>
              <w:bottom w:val="single" w:sz="4" w:space="0" w:color="auto"/>
              <w:right w:val="single" w:sz="4" w:space="0" w:color="auto"/>
            </w:tcBorders>
            <w:hideMark/>
          </w:tcPr>
          <w:p w14:paraId="5EC2026D" w14:textId="77777777" w:rsidR="00590BEF" w:rsidRPr="007202FA" w:rsidRDefault="000B4F21" w:rsidP="007202FA">
            <w:pPr>
              <w:jc w:val="right"/>
              <w:rPr>
                <w:sz w:val="20"/>
                <w:szCs w:val="20"/>
              </w:rPr>
            </w:pPr>
            <w:r>
              <w:rPr>
                <w:rFonts w:cs="Calibri"/>
                <w:color w:val="000000"/>
                <w:sz w:val="20"/>
                <w:szCs w:val="20"/>
                <w:lang w:val="ga"/>
              </w:rPr>
              <w:t>6</w:t>
            </w:r>
          </w:p>
        </w:tc>
        <w:tc>
          <w:tcPr>
            <w:tcW w:w="1559" w:type="dxa"/>
            <w:tcBorders>
              <w:top w:val="single" w:sz="4" w:space="0" w:color="auto"/>
              <w:left w:val="single" w:sz="4" w:space="0" w:color="auto"/>
              <w:bottom w:val="single" w:sz="4" w:space="0" w:color="auto"/>
              <w:right w:val="single" w:sz="4" w:space="0" w:color="auto"/>
            </w:tcBorders>
            <w:hideMark/>
          </w:tcPr>
          <w:p w14:paraId="53E3EAEF" w14:textId="77777777" w:rsidR="00590BEF" w:rsidRPr="007202FA" w:rsidRDefault="000B4F21" w:rsidP="007202FA">
            <w:pPr>
              <w:jc w:val="right"/>
              <w:rPr>
                <w:sz w:val="20"/>
                <w:szCs w:val="20"/>
              </w:rPr>
            </w:pPr>
            <w:r>
              <w:rPr>
                <w:rFonts w:cs="Calibri"/>
                <w:color w:val="000000"/>
                <w:sz w:val="20"/>
                <w:szCs w:val="20"/>
                <w:lang w:val="ga"/>
              </w:rPr>
              <w:t>7.1%</w:t>
            </w:r>
          </w:p>
        </w:tc>
        <w:tc>
          <w:tcPr>
            <w:tcW w:w="1559" w:type="dxa"/>
            <w:tcBorders>
              <w:top w:val="single" w:sz="4" w:space="0" w:color="auto"/>
              <w:left w:val="single" w:sz="4" w:space="0" w:color="auto"/>
              <w:bottom w:val="single" w:sz="4" w:space="0" w:color="auto"/>
              <w:right w:val="single" w:sz="4" w:space="0" w:color="auto"/>
            </w:tcBorders>
          </w:tcPr>
          <w:p w14:paraId="69B8BCC5" w14:textId="77777777" w:rsidR="00590BEF" w:rsidRPr="007202FA" w:rsidRDefault="000B4F21" w:rsidP="007202FA">
            <w:pPr>
              <w:jc w:val="right"/>
              <w:rPr>
                <w:sz w:val="20"/>
                <w:szCs w:val="20"/>
              </w:rPr>
            </w:pPr>
            <w:r>
              <w:rPr>
                <w:sz w:val="20"/>
                <w:szCs w:val="20"/>
                <w:lang w:val="ga"/>
              </w:rPr>
              <w:t>78</w:t>
            </w:r>
          </w:p>
          <w:p w14:paraId="6F2ECB9F"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1468ED7" w14:textId="77777777" w:rsidR="00590BEF" w:rsidRPr="007202FA" w:rsidRDefault="000B4F21" w:rsidP="007202FA">
            <w:pPr>
              <w:jc w:val="right"/>
              <w:rPr>
                <w:sz w:val="20"/>
                <w:szCs w:val="20"/>
              </w:rPr>
            </w:pPr>
            <w:r>
              <w:rPr>
                <w:sz w:val="20"/>
                <w:szCs w:val="20"/>
                <w:lang w:val="ga"/>
              </w:rPr>
              <w:t>6</w:t>
            </w:r>
          </w:p>
          <w:p w14:paraId="3AE2C684"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8E68BE6" w14:textId="77777777" w:rsidR="00590BEF" w:rsidRPr="007202FA" w:rsidRDefault="000B4F21" w:rsidP="007202FA">
            <w:pPr>
              <w:jc w:val="right"/>
              <w:rPr>
                <w:sz w:val="20"/>
                <w:szCs w:val="20"/>
              </w:rPr>
            </w:pPr>
            <w:r>
              <w:rPr>
                <w:sz w:val="20"/>
                <w:szCs w:val="20"/>
                <w:lang w:val="ga"/>
              </w:rPr>
              <w:t>7.7%</w:t>
            </w:r>
          </w:p>
          <w:p w14:paraId="2F91B725" w14:textId="77777777" w:rsidR="00590BEF" w:rsidRPr="007202FA" w:rsidRDefault="00590BEF" w:rsidP="007202FA">
            <w:pPr>
              <w:jc w:val="right"/>
              <w:rPr>
                <w:sz w:val="20"/>
                <w:szCs w:val="20"/>
              </w:rPr>
            </w:pPr>
          </w:p>
        </w:tc>
      </w:tr>
      <w:tr w:rsidR="00F31303" w14:paraId="191BC07C" w14:textId="77777777" w:rsidTr="005F5C07">
        <w:tc>
          <w:tcPr>
            <w:tcW w:w="1696" w:type="dxa"/>
            <w:tcBorders>
              <w:top w:val="single" w:sz="4" w:space="0" w:color="auto"/>
              <w:left w:val="single" w:sz="4" w:space="0" w:color="auto"/>
              <w:bottom w:val="single" w:sz="4" w:space="0" w:color="auto"/>
              <w:right w:val="single" w:sz="4" w:space="0" w:color="auto"/>
            </w:tcBorders>
            <w:vAlign w:val="bottom"/>
            <w:hideMark/>
          </w:tcPr>
          <w:p w14:paraId="1FD55806" w14:textId="77777777" w:rsidR="00590BEF" w:rsidRPr="007202FA" w:rsidRDefault="000B4F21" w:rsidP="007202FA">
            <w:pPr>
              <w:rPr>
                <w:sz w:val="20"/>
                <w:szCs w:val="20"/>
              </w:rPr>
            </w:pPr>
            <w:r>
              <w:rPr>
                <w:rFonts w:cs="Calibri"/>
                <w:color w:val="000000"/>
                <w:sz w:val="20"/>
                <w:szCs w:val="20"/>
                <w:lang w:val="ga"/>
              </w:rPr>
              <w:t>An tÚdarás Pinsean</w:t>
            </w:r>
          </w:p>
        </w:tc>
        <w:tc>
          <w:tcPr>
            <w:tcW w:w="1560" w:type="dxa"/>
            <w:tcBorders>
              <w:top w:val="single" w:sz="4" w:space="0" w:color="auto"/>
              <w:left w:val="single" w:sz="4" w:space="0" w:color="auto"/>
              <w:bottom w:val="single" w:sz="4" w:space="0" w:color="auto"/>
              <w:right w:val="single" w:sz="4" w:space="0" w:color="auto"/>
            </w:tcBorders>
            <w:hideMark/>
          </w:tcPr>
          <w:p w14:paraId="569EA13D" w14:textId="77777777" w:rsidR="00590BEF" w:rsidRPr="007202FA" w:rsidRDefault="000B4F21" w:rsidP="007202FA">
            <w:pPr>
              <w:jc w:val="right"/>
              <w:rPr>
                <w:sz w:val="20"/>
                <w:szCs w:val="20"/>
              </w:rPr>
            </w:pPr>
            <w:r>
              <w:rPr>
                <w:rFonts w:cs="Calibri"/>
                <w:color w:val="000000"/>
                <w:sz w:val="20"/>
                <w:szCs w:val="20"/>
                <w:lang w:val="ga"/>
              </w:rPr>
              <w:t>84</w:t>
            </w:r>
          </w:p>
        </w:tc>
        <w:tc>
          <w:tcPr>
            <w:tcW w:w="1564" w:type="dxa"/>
            <w:tcBorders>
              <w:top w:val="single" w:sz="4" w:space="0" w:color="auto"/>
              <w:left w:val="single" w:sz="4" w:space="0" w:color="auto"/>
              <w:bottom w:val="single" w:sz="4" w:space="0" w:color="auto"/>
              <w:right w:val="single" w:sz="4" w:space="0" w:color="auto"/>
            </w:tcBorders>
            <w:hideMark/>
          </w:tcPr>
          <w:p w14:paraId="1E9C90CE" w14:textId="77777777" w:rsidR="00590BEF" w:rsidRPr="007202FA" w:rsidRDefault="000B4F21" w:rsidP="007202FA">
            <w:pPr>
              <w:jc w:val="right"/>
              <w:rPr>
                <w:sz w:val="20"/>
                <w:szCs w:val="20"/>
              </w:rPr>
            </w:pPr>
            <w:r>
              <w:rPr>
                <w:rFonts w:cs="Calibri"/>
                <w:color w:val="000000"/>
                <w:sz w:val="20"/>
                <w:szCs w:val="20"/>
                <w:lang w:val="ga"/>
              </w:rPr>
              <w:t>7</w:t>
            </w:r>
          </w:p>
        </w:tc>
        <w:tc>
          <w:tcPr>
            <w:tcW w:w="1559" w:type="dxa"/>
            <w:tcBorders>
              <w:top w:val="single" w:sz="4" w:space="0" w:color="auto"/>
              <w:left w:val="single" w:sz="4" w:space="0" w:color="auto"/>
              <w:bottom w:val="single" w:sz="4" w:space="0" w:color="auto"/>
              <w:right w:val="single" w:sz="4" w:space="0" w:color="auto"/>
            </w:tcBorders>
            <w:hideMark/>
          </w:tcPr>
          <w:p w14:paraId="776BFB09" w14:textId="77777777" w:rsidR="00590BEF" w:rsidRPr="007202FA" w:rsidRDefault="000B4F21" w:rsidP="007202FA">
            <w:pPr>
              <w:jc w:val="right"/>
              <w:rPr>
                <w:sz w:val="20"/>
                <w:szCs w:val="20"/>
              </w:rPr>
            </w:pPr>
            <w:r>
              <w:rPr>
                <w:rFonts w:cs="Calibri"/>
                <w:color w:val="000000"/>
                <w:sz w:val="20"/>
                <w:szCs w:val="20"/>
                <w:lang w:val="ga"/>
              </w:rPr>
              <w:t>8.3%</w:t>
            </w:r>
          </w:p>
        </w:tc>
        <w:tc>
          <w:tcPr>
            <w:tcW w:w="1559" w:type="dxa"/>
            <w:tcBorders>
              <w:top w:val="single" w:sz="4" w:space="0" w:color="auto"/>
              <w:left w:val="single" w:sz="4" w:space="0" w:color="auto"/>
              <w:bottom w:val="single" w:sz="4" w:space="0" w:color="auto"/>
              <w:right w:val="single" w:sz="4" w:space="0" w:color="auto"/>
            </w:tcBorders>
          </w:tcPr>
          <w:p w14:paraId="048A7E10" w14:textId="77777777" w:rsidR="00590BEF" w:rsidRPr="007202FA" w:rsidRDefault="000B4F21" w:rsidP="007202FA">
            <w:pPr>
              <w:jc w:val="right"/>
              <w:rPr>
                <w:sz w:val="20"/>
                <w:szCs w:val="20"/>
              </w:rPr>
            </w:pPr>
            <w:r>
              <w:rPr>
                <w:sz w:val="20"/>
                <w:szCs w:val="20"/>
                <w:lang w:val="ga"/>
              </w:rPr>
              <w:t>84</w:t>
            </w:r>
          </w:p>
          <w:p w14:paraId="5012CD9B"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A12" w14:textId="77777777" w:rsidR="00590BEF" w:rsidRPr="007202FA" w:rsidRDefault="000B4F21" w:rsidP="007202FA">
            <w:pPr>
              <w:jc w:val="right"/>
              <w:rPr>
                <w:sz w:val="20"/>
                <w:szCs w:val="20"/>
              </w:rPr>
            </w:pPr>
            <w:r>
              <w:rPr>
                <w:sz w:val="20"/>
                <w:szCs w:val="20"/>
                <w:lang w:val="ga"/>
              </w:rPr>
              <w:t>10</w:t>
            </w:r>
          </w:p>
          <w:p w14:paraId="04CBE1C8" w14:textId="77777777" w:rsidR="00590BEF" w:rsidRPr="007202FA" w:rsidRDefault="00590BEF" w:rsidP="007202FA">
            <w:pPr>
              <w:jc w:val="right"/>
              <w:rPr>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CA17845" w14:textId="77777777" w:rsidR="00590BEF" w:rsidRPr="007202FA" w:rsidRDefault="000B4F21" w:rsidP="007202FA">
            <w:pPr>
              <w:jc w:val="right"/>
              <w:rPr>
                <w:sz w:val="20"/>
                <w:szCs w:val="20"/>
              </w:rPr>
            </w:pPr>
            <w:r>
              <w:rPr>
                <w:sz w:val="20"/>
                <w:szCs w:val="20"/>
                <w:lang w:val="ga"/>
              </w:rPr>
              <w:t>11.9%</w:t>
            </w:r>
          </w:p>
          <w:p w14:paraId="798FB4E5" w14:textId="77777777" w:rsidR="00590BEF" w:rsidRPr="007202FA" w:rsidRDefault="00590BEF" w:rsidP="007202FA">
            <w:pPr>
              <w:jc w:val="right"/>
              <w:rPr>
                <w:sz w:val="20"/>
                <w:szCs w:val="20"/>
              </w:rPr>
            </w:pPr>
          </w:p>
        </w:tc>
      </w:tr>
      <w:tr w:rsidR="00F31303" w14:paraId="7187D8D0" w14:textId="77777777" w:rsidTr="005F5C07">
        <w:tc>
          <w:tcPr>
            <w:tcW w:w="1696" w:type="dxa"/>
            <w:tcBorders>
              <w:top w:val="single" w:sz="4" w:space="0" w:color="auto"/>
              <w:left w:val="single" w:sz="4" w:space="0" w:color="auto"/>
              <w:bottom w:val="single" w:sz="4" w:space="0" w:color="auto"/>
              <w:right w:val="single" w:sz="4" w:space="0" w:color="auto"/>
            </w:tcBorders>
            <w:hideMark/>
          </w:tcPr>
          <w:p w14:paraId="58B4224C"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Mór-Iomlán </w:t>
            </w:r>
          </w:p>
        </w:tc>
        <w:tc>
          <w:tcPr>
            <w:tcW w:w="1560" w:type="dxa"/>
            <w:tcBorders>
              <w:top w:val="single" w:sz="4" w:space="0" w:color="auto"/>
              <w:left w:val="single" w:sz="4" w:space="0" w:color="auto"/>
              <w:bottom w:val="single" w:sz="4" w:space="0" w:color="auto"/>
              <w:right w:val="single" w:sz="4" w:space="0" w:color="auto"/>
            </w:tcBorders>
            <w:hideMark/>
          </w:tcPr>
          <w:p w14:paraId="1194A1DE"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169</w:t>
            </w:r>
          </w:p>
        </w:tc>
        <w:tc>
          <w:tcPr>
            <w:tcW w:w="1564" w:type="dxa"/>
            <w:tcBorders>
              <w:top w:val="single" w:sz="4" w:space="0" w:color="auto"/>
              <w:left w:val="single" w:sz="4" w:space="0" w:color="auto"/>
              <w:bottom w:val="single" w:sz="4" w:space="0" w:color="auto"/>
              <w:right w:val="single" w:sz="4" w:space="0" w:color="auto"/>
            </w:tcBorders>
            <w:hideMark/>
          </w:tcPr>
          <w:p w14:paraId="0E12767A"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13</w:t>
            </w:r>
          </w:p>
        </w:tc>
        <w:tc>
          <w:tcPr>
            <w:tcW w:w="1559" w:type="dxa"/>
            <w:tcBorders>
              <w:top w:val="single" w:sz="4" w:space="0" w:color="auto"/>
              <w:left w:val="single" w:sz="4" w:space="0" w:color="auto"/>
              <w:bottom w:val="single" w:sz="4" w:space="0" w:color="auto"/>
              <w:right w:val="single" w:sz="4" w:space="0" w:color="auto"/>
            </w:tcBorders>
            <w:hideMark/>
          </w:tcPr>
          <w:p w14:paraId="7557DBF7"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7.7%</w:t>
            </w:r>
          </w:p>
        </w:tc>
        <w:tc>
          <w:tcPr>
            <w:tcW w:w="1559" w:type="dxa"/>
            <w:tcBorders>
              <w:top w:val="single" w:sz="4" w:space="0" w:color="auto"/>
              <w:left w:val="single" w:sz="4" w:space="0" w:color="auto"/>
              <w:bottom w:val="single" w:sz="4" w:space="0" w:color="auto"/>
              <w:right w:val="single" w:sz="4" w:space="0" w:color="auto"/>
            </w:tcBorders>
          </w:tcPr>
          <w:p w14:paraId="469E9508" w14:textId="77777777" w:rsidR="00590BEF" w:rsidRPr="007202FA" w:rsidRDefault="000B4F21" w:rsidP="007202FA">
            <w:pPr>
              <w:pStyle w:val="TableHead"/>
              <w:rPr>
                <w:rFonts w:ascii="Verdana" w:hAnsi="Verdana"/>
                <w:bCs/>
                <w:kern w:val="2"/>
                <w:sz w:val="20"/>
                <w:szCs w:val="20"/>
                <w14:ligatures w14:val="standardContextual"/>
              </w:rPr>
            </w:pPr>
            <w:r>
              <w:rPr>
                <w:rFonts w:ascii="Verdana" w:hAnsi="Verdana"/>
                <w:bCs/>
                <w:kern w:val="2"/>
                <w:sz w:val="20"/>
                <w:szCs w:val="20"/>
                <w:lang w:val="ga"/>
                <w14:ligatures w14:val="standardContextual"/>
              </w:rPr>
              <w:t xml:space="preserve">             162</w:t>
            </w:r>
          </w:p>
          <w:p w14:paraId="4CC828F3" w14:textId="77777777" w:rsidR="00590BEF" w:rsidRPr="007202FA" w:rsidRDefault="00590BEF" w:rsidP="007202FA">
            <w:pPr>
              <w:pStyle w:val="TableHead"/>
              <w:jc w:val="right"/>
              <w:rPr>
                <w:rFonts w:ascii="Verdana" w:hAnsi="Verdana"/>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35D7D256" w14:textId="77777777" w:rsidR="00590BEF" w:rsidRPr="007202FA" w:rsidRDefault="000B4F21" w:rsidP="007202FA">
            <w:pPr>
              <w:pStyle w:val="TableHead"/>
              <w:rPr>
                <w:rFonts w:ascii="Verdana" w:hAnsi="Verdana"/>
                <w:bCs/>
                <w:kern w:val="2"/>
                <w:sz w:val="20"/>
                <w:szCs w:val="20"/>
                <w14:ligatures w14:val="standardContextual"/>
              </w:rPr>
            </w:pPr>
            <w:r>
              <w:rPr>
                <w:rFonts w:ascii="Verdana" w:hAnsi="Verdana"/>
                <w:bCs/>
                <w:kern w:val="2"/>
                <w:sz w:val="20"/>
                <w:szCs w:val="20"/>
                <w:lang w:val="ga"/>
                <w14:ligatures w14:val="standardContextual"/>
              </w:rPr>
              <w:t xml:space="preserve">                 16</w:t>
            </w:r>
          </w:p>
          <w:p w14:paraId="33AD01D6" w14:textId="77777777" w:rsidR="00590BEF" w:rsidRPr="007202FA" w:rsidRDefault="00590BEF" w:rsidP="007202FA">
            <w:pPr>
              <w:pStyle w:val="TableHead"/>
              <w:jc w:val="right"/>
              <w:rPr>
                <w:rFonts w:ascii="Verdana" w:hAnsi="Verdana"/>
                <w:kern w:val="2"/>
                <w:sz w:val="20"/>
                <w:szCs w:val="20"/>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0F2C4B5B" w14:textId="77777777" w:rsidR="00590BEF" w:rsidRPr="007202FA" w:rsidRDefault="000B4F21" w:rsidP="007202FA">
            <w:pPr>
              <w:pStyle w:val="TableHead"/>
              <w:rPr>
                <w:rFonts w:ascii="Verdana" w:hAnsi="Verdana"/>
                <w:bCs/>
                <w:kern w:val="2"/>
                <w:sz w:val="20"/>
                <w:szCs w:val="20"/>
                <w14:ligatures w14:val="standardContextual"/>
              </w:rPr>
            </w:pPr>
            <w:r>
              <w:rPr>
                <w:rFonts w:ascii="Verdana" w:hAnsi="Verdana"/>
                <w:bCs/>
                <w:kern w:val="2"/>
                <w:sz w:val="20"/>
                <w:szCs w:val="20"/>
                <w:lang w:val="ga"/>
                <w14:ligatures w14:val="standardContextual"/>
              </w:rPr>
              <w:t xml:space="preserve">            9.9%</w:t>
            </w:r>
          </w:p>
          <w:p w14:paraId="3153A904" w14:textId="77777777" w:rsidR="00590BEF" w:rsidRPr="007202FA" w:rsidRDefault="00590BEF" w:rsidP="007202FA">
            <w:pPr>
              <w:pStyle w:val="TableHead"/>
              <w:jc w:val="right"/>
              <w:rPr>
                <w:rFonts w:ascii="Verdana" w:hAnsi="Verdana"/>
                <w:kern w:val="2"/>
                <w:sz w:val="20"/>
                <w:szCs w:val="20"/>
                <w14:ligatures w14:val="standardContextual"/>
              </w:rPr>
            </w:pPr>
          </w:p>
        </w:tc>
      </w:tr>
    </w:tbl>
    <w:p w14:paraId="0395A604" w14:textId="77777777" w:rsidR="00590BEF" w:rsidRPr="007202FA" w:rsidRDefault="00590BEF" w:rsidP="007202FA">
      <w:pPr>
        <w:rPr>
          <w:rFonts w:ascii="Gill Sans" w:hAnsi="Gill Sans"/>
        </w:rPr>
      </w:pPr>
    </w:p>
    <w:p w14:paraId="1F0EA413" w14:textId="77777777" w:rsidR="00590BEF" w:rsidRPr="007202FA" w:rsidRDefault="000B4F21" w:rsidP="007202FA">
      <w:pPr>
        <w:spacing w:after="0"/>
        <w:rPr>
          <w:rFonts w:ascii="Gill Sans" w:hAnsi="Gill Sans"/>
        </w:rPr>
      </w:pPr>
      <w:r>
        <w:rPr>
          <w:rFonts w:ascii="Gill Sans" w:hAnsi="Gill Sans"/>
          <w:kern w:val="0"/>
          <w:lang w:val="ga"/>
          <w14:ligatures w14:val="none"/>
        </w:rPr>
        <w:br w:type="page"/>
      </w:r>
    </w:p>
    <w:p w14:paraId="0FB91E5C" w14:textId="77777777" w:rsidR="00590BEF" w:rsidRPr="007202FA" w:rsidRDefault="000B4F21" w:rsidP="007202FA">
      <w:pPr>
        <w:pStyle w:val="Heading2"/>
        <w:jc w:val="center"/>
      </w:pPr>
      <w:bookmarkStart w:id="228" w:name="_Toc176801634"/>
      <w:bookmarkStart w:id="229" w:name="_Toc214033672"/>
      <w:r>
        <w:rPr>
          <w:bCs/>
          <w:lang w:val="ga"/>
        </w:rPr>
        <w:lastRenderedPageBreak/>
        <w:t>An Roinn Comhshaoil, Aeráide agus Cumarsáide</w:t>
      </w:r>
      <w:bookmarkEnd w:id="228"/>
      <w:bookmarkEnd w:id="229"/>
    </w:p>
    <w:tbl>
      <w:tblPr>
        <w:tblStyle w:val="TableGrid"/>
        <w:tblpPr w:leftFromText="180" w:rightFromText="180" w:vertAnchor="text" w:horzAnchor="margin" w:tblpXSpec="center" w:tblpY="165"/>
        <w:tblW w:w="11340" w:type="dxa"/>
        <w:tblLayout w:type="fixed"/>
        <w:tblLook w:val="04A0" w:firstRow="1" w:lastRow="0" w:firstColumn="1" w:lastColumn="0" w:noHBand="0" w:noVBand="1"/>
      </w:tblPr>
      <w:tblGrid>
        <w:gridCol w:w="1990"/>
        <w:gridCol w:w="1549"/>
        <w:gridCol w:w="1426"/>
        <w:gridCol w:w="1558"/>
        <w:gridCol w:w="1558"/>
        <w:gridCol w:w="1700"/>
        <w:gridCol w:w="1559"/>
      </w:tblGrid>
      <w:tr w:rsidR="00F31303" w14:paraId="13963565" w14:textId="77777777" w:rsidTr="0050231C">
        <w:trPr>
          <w:tblHeader/>
        </w:trPr>
        <w:tc>
          <w:tcPr>
            <w:tcW w:w="1990" w:type="dxa"/>
            <w:tcBorders>
              <w:top w:val="single" w:sz="4" w:space="0" w:color="auto"/>
              <w:left w:val="single" w:sz="4" w:space="0" w:color="auto"/>
              <w:bottom w:val="single" w:sz="4" w:space="0" w:color="auto"/>
              <w:right w:val="single" w:sz="4" w:space="0" w:color="auto"/>
            </w:tcBorders>
            <w:hideMark/>
          </w:tcPr>
          <w:p w14:paraId="4BCE5E67"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49" w:type="dxa"/>
            <w:tcBorders>
              <w:top w:val="single" w:sz="4" w:space="0" w:color="auto"/>
              <w:left w:val="single" w:sz="4" w:space="0" w:color="auto"/>
              <w:bottom w:val="single" w:sz="4" w:space="0" w:color="auto"/>
              <w:right w:val="single" w:sz="4" w:space="0" w:color="auto"/>
            </w:tcBorders>
            <w:hideMark/>
          </w:tcPr>
          <w:p w14:paraId="47086AFC"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28FD3006"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2023</w:t>
            </w:r>
          </w:p>
        </w:tc>
        <w:tc>
          <w:tcPr>
            <w:tcW w:w="1426" w:type="dxa"/>
            <w:tcBorders>
              <w:top w:val="single" w:sz="4" w:space="0" w:color="auto"/>
              <w:left w:val="single" w:sz="4" w:space="0" w:color="auto"/>
              <w:bottom w:val="single" w:sz="4" w:space="0" w:color="auto"/>
              <w:right w:val="single" w:sz="4" w:space="0" w:color="auto"/>
            </w:tcBorders>
            <w:hideMark/>
          </w:tcPr>
          <w:p w14:paraId="14280DEE" w14:textId="77777777" w:rsidR="00590BEF" w:rsidRPr="00572C83" w:rsidRDefault="000B4F21" w:rsidP="007202FA">
            <w:pPr>
              <w:pStyle w:val="TableHead"/>
              <w:rPr>
                <w:rFonts w:ascii="Verdana" w:hAnsi="Verdana"/>
                <w:kern w:val="2"/>
                <w:sz w:val="18"/>
                <w:szCs w:val="18"/>
                <w14:ligatures w14:val="standardContextual"/>
              </w:rPr>
            </w:pPr>
            <w:r w:rsidRPr="00572C83">
              <w:rPr>
                <w:rFonts w:ascii="Verdana" w:hAnsi="Verdana"/>
                <w:bCs/>
                <w:kern w:val="2"/>
                <w:sz w:val="18"/>
                <w:szCs w:val="18"/>
                <w:lang w:val="ga"/>
                <w14:ligatures w14:val="standardContextual"/>
              </w:rPr>
              <w:t xml:space="preserve">An líon fostaithe a thuairiscigh míchumas </w:t>
            </w:r>
          </w:p>
          <w:p w14:paraId="5FAB1C54" w14:textId="77777777" w:rsidR="00590BEF" w:rsidRPr="00572C83" w:rsidRDefault="000B4F21" w:rsidP="007202FA">
            <w:pPr>
              <w:pStyle w:val="TableHead"/>
              <w:rPr>
                <w:rFonts w:ascii="Verdana" w:hAnsi="Verdana"/>
                <w:kern w:val="2"/>
                <w:sz w:val="19"/>
                <w:szCs w:val="19"/>
                <w14:ligatures w14:val="standardContextual"/>
              </w:rPr>
            </w:pPr>
            <w:r w:rsidRPr="00572C83">
              <w:rPr>
                <w:rFonts w:ascii="Verdana" w:hAnsi="Verdana"/>
                <w:bCs/>
                <w:kern w:val="2"/>
                <w:sz w:val="18"/>
                <w:szCs w:val="18"/>
                <w:lang w:val="ga"/>
                <w14:ligatures w14:val="standardContextual"/>
              </w:rPr>
              <w:t>2023</w:t>
            </w:r>
          </w:p>
        </w:tc>
        <w:tc>
          <w:tcPr>
            <w:tcW w:w="1558" w:type="dxa"/>
            <w:tcBorders>
              <w:top w:val="single" w:sz="4" w:space="0" w:color="auto"/>
              <w:left w:val="single" w:sz="4" w:space="0" w:color="auto"/>
              <w:bottom w:val="single" w:sz="4" w:space="0" w:color="auto"/>
              <w:right w:val="single" w:sz="4" w:space="0" w:color="auto"/>
            </w:tcBorders>
            <w:hideMark/>
          </w:tcPr>
          <w:p w14:paraId="426ABD8C" w14:textId="77777777" w:rsidR="00590BEF" w:rsidRPr="00572C83" w:rsidRDefault="000B4F21" w:rsidP="007202FA">
            <w:pPr>
              <w:pStyle w:val="TableHead"/>
              <w:rPr>
                <w:rFonts w:ascii="Verdana" w:hAnsi="Verdana"/>
                <w:kern w:val="2"/>
                <w:sz w:val="19"/>
                <w:szCs w:val="19"/>
                <w14:ligatures w14:val="standardContextual"/>
              </w:rPr>
            </w:pPr>
            <w:r w:rsidRPr="00572C83">
              <w:rPr>
                <w:rFonts w:ascii="Verdana" w:hAnsi="Verdana"/>
                <w:bCs/>
                <w:kern w:val="2"/>
                <w:sz w:val="19"/>
                <w:szCs w:val="19"/>
                <w:lang w:val="ga"/>
                <w14:ligatures w14:val="standardContextual"/>
              </w:rPr>
              <w:t>An % d’fhostaithe a thuairiscigh</w:t>
            </w:r>
          </w:p>
          <w:p w14:paraId="13F68771" w14:textId="77777777" w:rsidR="00590BEF" w:rsidRPr="00572C83" w:rsidRDefault="000B4F21" w:rsidP="007202FA">
            <w:pPr>
              <w:pStyle w:val="TableHead"/>
              <w:rPr>
                <w:rFonts w:ascii="Verdana" w:hAnsi="Verdana"/>
                <w:kern w:val="2"/>
                <w:sz w:val="19"/>
                <w:szCs w:val="19"/>
                <w14:ligatures w14:val="standardContextual"/>
              </w:rPr>
            </w:pPr>
            <w:r w:rsidRPr="00572C83">
              <w:rPr>
                <w:rFonts w:ascii="Verdana" w:hAnsi="Verdana"/>
                <w:bCs/>
                <w:kern w:val="2"/>
                <w:sz w:val="19"/>
                <w:szCs w:val="19"/>
                <w:lang w:val="ga"/>
                <w14:ligatures w14:val="standardContextual"/>
              </w:rPr>
              <w:t>míchumas 2023</w:t>
            </w:r>
          </w:p>
        </w:tc>
        <w:tc>
          <w:tcPr>
            <w:tcW w:w="1558" w:type="dxa"/>
            <w:tcBorders>
              <w:top w:val="single" w:sz="4" w:space="0" w:color="auto"/>
              <w:left w:val="single" w:sz="4" w:space="0" w:color="auto"/>
              <w:bottom w:val="single" w:sz="4" w:space="0" w:color="auto"/>
              <w:right w:val="single" w:sz="4" w:space="0" w:color="auto"/>
            </w:tcBorders>
            <w:hideMark/>
          </w:tcPr>
          <w:p w14:paraId="73B6BCE2"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44792B34"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2024</w:t>
            </w:r>
          </w:p>
        </w:tc>
        <w:tc>
          <w:tcPr>
            <w:tcW w:w="1700" w:type="dxa"/>
            <w:tcBorders>
              <w:top w:val="single" w:sz="4" w:space="0" w:color="auto"/>
              <w:left w:val="single" w:sz="4" w:space="0" w:color="auto"/>
              <w:bottom w:val="single" w:sz="4" w:space="0" w:color="auto"/>
              <w:right w:val="single" w:sz="4" w:space="0" w:color="auto"/>
            </w:tcBorders>
            <w:hideMark/>
          </w:tcPr>
          <w:p w14:paraId="777B4287"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4EB430AD"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559" w:type="dxa"/>
            <w:tcBorders>
              <w:top w:val="single" w:sz="4" w:space="0" w:color="auto"/>
              <w:left w:val="single" w:sz="4" w:space="0" w:color="auto"/>
              <w:bottom w:val="single" w:sz="4" w:space="0" w:color="auto"/>
              <w:right w:val="single" w:sz="4" w:space="0" w:color="auto"/>
            </w:tcBorders>
            <w:hideMark/>
          </w:tcPr>
          <w:p w14:paraId="71BC2B98" w14:textId="77777777" w:rsidR="00590BEF" w:rsidRPr="00572C83" w:rsidRDefault="000B4F21" w:rsidP="007202FA">
            <w:pPr>
              <w:pStyle w:val="TableHead"/>
              <w:rPr>
                <w:rFonts w:ascii="Verdana" w:hAnsi="Verdana"/>
                <w:kern w:val="2"/>
                <w:sz w:val="19"/>
                <w:szCs w:val="19"/>
                <w14:ligatures w14:val="standardContextual"/>
              </w:rPr>
            </w:pPr>
            <w:r w:rsidRPr="00572C83">
              <w:rPr>
                <w:rFonts w:ascii="Verdana" w:hAnsi="Verdana"/>
                <w:bCs/>
                <w:kern w:val="2"/>
                <w:sz w:val="19"/>
                <w:szCs w:val="19"/>
                <w:lang w:val="ga"/>
                <w14:ligatures w14:val="standardContextual"/>
              </w:rPr>
              <w:t>An % d’fhostaithe a thuairiscigh</w:t>
            </w:r>
          </w:p>
          <w:p w14:paraId="5AE162C0" w14:textId="77777777" w:rsidR="00590BEF" w:rsidRPr="00572C83" w:rsidRDefault="000B4F21" w:rsidP="007202FA">
            <w:pPr>
              <w:pStyle w:val="TableHead"/>
              <w:rPr>
                <w:rFonts w:ascii="Verdana" w:hAnsi="Verdana"/>
                <w:kern w:val="2"/>
                <w:sz w:val="19"/>
                <w:szCs w:val="19"/>
                <w14:ligatures w14:val="standardContextual"/>
              </w:rPr>
            </w:pPr>
            <w:r w:rsidRPr="00572C83">
              <w:rPr>
                <w:rFonts w:ascii="Verdana" w:hAnsi="Verdana"/>
                <w:bCs/>
                <w:kern w:val="2"/>
                <w:sz w:val="19"/>
                <w:szCs w:val="19"/>
                <w:lang w:val="ga"/>
                <w14:ligatures w14:val="standardContextual"/>
              </w:rPr>
              <w:t>míchumas 2024</w:t>
            </w:r>
          </w:p>
        </w:tc>
      </w:tr>
      <w:tr w:rsidR="00F31303" w14:paraId="055148FC" w14:textId="77777777" w:rsidTr="00105071">
        <w:trPr>
          <w:trHeight w:val="226"/>
        </w:trPr>
        <w:tc>
          <w:tcPr>
            <w:tcW w:w="1990" w:type="dxa"/>
            <w:tcBorders>
              <w:top w:val="single" w:sz="4" w:space="0" w:color="auto"/>
              <w:left w:val="single" w:sz="4" w:space="0" w:color="auto"/>
              <w:bottom w:val="single" w:sz="4" w:space="0" w:color="auto"/>
              <w:right w:val="single" w:sz="4" w:space="0" w:color="auto"/>
            </w:tcBorders>
          </w:tcPr>
          <w:p w14:paraId="048B2EC6" w14:textId="4F8B198E" w:rsidR="00590BEF" w:rsidRPr="007202FA" w:rsidRDefault="000B4F21" w:rsidP="007202FA">
            <w:pPr>
              <w:rPr>
                <w:sz w:val="20"/>
                <w:szCs w:val="20"/>
              </w:rPr>
            </w:pPr>
            <w:bookmarkStart w:id="230" w:name="_Hlk145859134"/>
            <w:r>
              <w:rPr>
                <w:sz w:val="20"/>
                <w:szCs w:val="20"/>
                <w:lang w:val="ga"/>
              </w:rPr>
              <w:t>An Post</w:t>
            </w:r>
          </w:p>
        </w:tc>
        <w:tc>
          <w:tcPr>
            <w:tcW w:w="1549" w:type="dxa"/>
            <w:tcBorders>
              <w:top w:val="single" w:sz="4" w:space="0" w:color="auto"/>
              <w:left w:val="single" w:sz="4" w:space="0" w:color="auto"/>
              <w:bottom w:val="single" w:sz="4" w:space="0" w:color="auto"/>
              <w:right w:val="single" w:sz="4" w:space="0" w:color="auto"/>
            </w:tcBorders>
          </w:tcPr>
          <w:p w14:paraId="6A8E158E" w14:textId="7F7DE730" w:rsidR="00590BEF" w:rsidRPr="007202FA" w:rsidRDefault="000B4F21" w:rsidP="007202FA">
            <w:pPr>
              <w:jc w:val="right"/>
              <w:rPr>
                <w:sz w:val="20"/>
                <w:szCs w:val="20"/>
              </w:rPr>
            </w:pPr>
            <w:r>
              <w:rPr>
                <w:sz w:val="20"/>
                <w:szCs w:val="20"/>
                <w:lang w:val="ga"/>
              </w:rPr>
              <w:t>9,569</w:t>
            </w:r>
          </w:p>
        </w:tc>
        <w:tc>
          <w:tcPr>
            <w:tcW w:w="1426" w:type="dxa"/>
            <w:tcBorders>
              <w:top w:val="single" w:sz="4" w:space="0" w:color="auto"/>
              <w:left w:val="single" w:sz="4" w:space="0" w:color="auto"/>
              <w:bottom w:val="single" w:sz="4" w:space="0" w:color="auto"/>
              <w:right w:val="single" w:sz="4" w:space="0" w:color="auto"/>
            </w:tcBorders>
          </w:tcPr>
          <w:p w14:paraId="67DDC831" w14:textId="22BDD395" w:rsidR="00590BEF" w:rsidRPr="007202FA" w:rsidRDefault="000B4F21" w:rsidP="007202FA">
            <w:pPr>
              <w:jc w:val="right"/>
              <w:rPr>
                <w:sz w:val="20"/>
                <w:szCs w:val="20"/>
              </w:rPr>
            </w:pPr>
            <w:r>
              <w:rPr>
                <w:sz w:val="20"/>
                <w:szCs w:val="20"/>
                <w:lang w:val="ga"/>
              </w:rPr>
              <w:t>368</w:t>
            </w:r>
          </w:p>
        </w:tc>
        <w:tc>
          <w:tcPr>
            <w:tcW w:w="1558" w:type="dxa"/>
            <w:tcBorders>
              <w:top w:val="single" w:sz="4" w:space="0" w:color="auto"/>
              <w:left w:val="single" w:sz="4" w:space="0" w:color="auto"/>
              <w:bottom w:val="single" w:sz="4" w:space="0" w:color="auto"/>
              <w:right w:val="single" w:sz="4" w:space="0" w:color="auto"/>
            </w:tcBorders>
          </w:tcPr>
          <w:p w14:paraId="4255F750" w14:textId="24A37080" w:rsidR="00590BEF" w:rsidRPr="007202FA" w:rsidRDefault="000B4F21" w:rsidP="007202FA">
            <w:pPr>
              <w:jc w:val="right"/>
              <w:rPr>
                <w:sz w:val="20"/>
                <w:szCs w:val="20"/>
              </w:rPr>
            </w:pPr>
            <w:r>
              <w:rPr>
                <w:sz w:val="20"/>
                <w:szCs w:val="20"/>
                <w:lang w:val="ga"/>
              </w:rPr>
              <w:t>3.8%</w:t>
            </w:r>
          </w:p>
        </w:tc>
        <w:tc>
          <w:tcPr>
            <w:tcW w:w="1558" w:type="dxa"/>
            <w:tcBorders>
              <w:top w:val="single" w:sz="4" w:space="0" w:color="auto"/>
              <w:left w:val="single" w:sz="4" w:space="0" w:color="auto"/>
              <w:bottom w:val="single" w:sz="4" w:space="0" w:color="auto"/>
              <w:right w:val="single" w:sz="4" w:space="0" w:color="auto"/>
            </w:tcBorders>
          </w:tcPr>
          <w:p w14:paraId="77324F57" w14:textId="7E4724BD" w:rsidR="00590BEF" w:rsidRPr="007202FA" w:rsidRDefault="000B4F21" w:rsidP="007202FA">
            <w:pPr>
              <w:jc w:val="right"/>
              <w:rPr>
                <w:sz w:val="20"/>
                <w:szCs w:val="20"/>
              </w:rPr>
            </w:pPr>
            <w:r>
              <w:rPr>
                <w:sz w:val="20"/>
                <w:szCs w:val="20"/>
                <w:lang w:val="ga"/>
              </w:rPr>
              <w:t>9,143</w:t>
            </w:r>
          </w:p>
        </w:tc>
        <w:tc>
          <w:tcPr>
            <w:tcW w:w="1700" w:type="dxa"/>
            <w:tcBorders>
              <w:top w:val="single" w:sz="4" w:space="0" w:color="auto"/>
              <w:left w:val="single" w:sz="4" w:space="0" w:color="auto"/>
              <w:bottom w:val="single" w:sz="4" w:space="0" w:color="auto"/>
              <w:right w:val="single" w:sz="4" w:space="0" w:color="auto"/>
            </w:tcBorders>
          </w:tcPr>
          <w:p w14:paraId="7A4BFFA7" w14:textId="41BBE7EA" w:rsidR="00590BEF" w:rsidRPr="007202FA" w:rsidRDefault="000B4F21" w:rsidP="007202FA">
            <w:pPr>
              <w:jc w:val="right"/>
              <w:rPr>
                <w:sz w:val="20"/>
                <w:szCs w:val="20"/>
              </w:rPr>
            </w:pPr>
            <w:r>
              <w:rPr>
                <w:sz w:val="20"/>
                <w:szCs w:val="20"/>
                <w:lang w:val="ga"/>
              </w:rPr>
              <w:t>562</w:t>
            </w:r>
          </w:p>
        </w:tc>
        <w:tc>
          <w:tcPr>
            <w:tcW w:w="1559" w:type="dxa"/>
            <w:tcBorders>
              <w:top w:val="single" w:sz="4" w:space="0" w:color="auto"/>
              <w:left w:val="single" w:sz="4" w:space="0" w:color="auto"/>
              <w:bottom w:val="single" w:sz="4" w:space="0" w:color="auto"/>
              <w:right w:val="single" w:sz="4" w:space="0" w:color="auto"/>
            </w:tcBorders>
          </w:tcPr>
          <w:p w14:paraId="7EEA8084" w14:textId="5A75740B" w:rsidR="00590BEF" w:rsidRPr="007202FA" w:rsidRDefault="000B4F21" w:rsidP="007202FA">
            <w:pPr>
              <w:jc w:val="right"/>
              <w:rPr>
                <w:sz w:val="20"/>
                <w:szCs w:val="20"/>
              </w:rPr>
            </w:pPr>
            <w:r>
              <w:rPr>
                <w:sz w:val="20"/>
                <w:szCs w:val="20"/>
                <w:lang w:val="ga"/>
              </w:rPr>
              <w:t>6.1%</w:t>
            </w:r>
          </w:p>
        </w:tc>
        <w:bookmarkEnd w:id="230"/>
      </w:tr>
      <w:tr w:rsidR="00F31303" w14:paraId="231AF9D7" w14:textId="77777777" w:rsidTr="00105071">
        <w:trPr>
          <w:trHeight w:val="162"/>
        </w:trPr>
        <w:tc>
          <w:tcPr>
            <w:tcW w:w="1990" w:type="dxa"/>
            <w:tcBorders>
              <w:top w:val="single" w:sz="4" w:space="0" w:color="auto"/>
              <w:left w:val="single" w:sz="4" w:space="0" w:color="auto"/>
              <w:bottom w:val="single" w:sz="4" w:space="0" w:color="auto"/>
              <w:right w:val="single" w:sz="4" w:space="0" w:color="auto"/>
            </w:tcBorders>
          </w:tcPr>
          <w:p w14:paraId="1A6996EF" w14:textId="741F25C9" w:rsidR="00590BEF" w:rsidRPr="007202FA" w:rsidRDefault="000B4F21" w:rsidP="007202FA">
            <w:pPr>
              <w:rPr>
                <w:sz w:val="20"/>
                <w:szCs w:val="20"/>
              </w:rPr>
            </w:pPr>
            <w:r>
              <w:rPr>
                <w:sz w:val="20"/>
                <w:szCs w:val="20"/>
                <w:lang w:val="ga"/>
              </w:rPr>
              <w:t>Bord na Móna</w:t>
            </w:r>
          </w:p>
        </w:tc>
        <w:tc>
          <w:tcPr>
            <w:tcW w:w="1549" w:type="dxa"/>
            <w:tcBorders>
              <w:top w:val="single" w:sz="4" w:space="0" w:color="auto"/>
              <w:left w:val="single" w:sz="4" w:space="0" w:color="auto"/>
              <w:bottom w:val="single" w:sz="4" w:space="0" w:color="auto"/>
              <w:right w:val="single" w:sz="4" w:space="0" w:color="auto"/>
            </w:tcBorders>
          </w:tcPr>
          <w:p w14:paraId="5FD008D1" w14:textId="2BE7D534" w:rsidR="00590BEF" w:rsidRPr="007202FA" w:rsidRDefault="000B4F21" w:rsidP="007202FA">
            <w:pPr>
              <w:jc w:val="right"/>
              <w:rPr>
                <w:sz w:val="20"/>
                <w:szCs w:val="20"/>
              </w:rPr>
            </w:pPr>
            <w:r>
              <w:rPr>
                <w:sz w:val="20"/>
                <w:szCs w:val="20"/>
                <w:lang w:val="ga"/>
              </w:rPr>
              <w:t>1,157</w:t>
            </w:r>
          </w:p>
        </w:tc>
        <w:tc>
          <w:tcPr>
            <w:tcW w:w="1426" w:type="dxa"/>
            <w:tcBorders>
              <w:top w:val="single" w:sz="4" w:space="0" w:color="auto"/>
              <w:left w:val="single" w:sz="4" w:space="0" w:color="auto"/>
              <w:bottom w:val="single" w:sz="4" w:space="0" w:color="auto"/>
              <w:right w:val="single" w:sz="4" w:space="0" w:color="auto"/>
            </w:tcBorders>
          </w:tcPr>
          <w:p w14:paraId="4AEF2A65" w14:textId="0B3F8B87" w:rsidR="00590BEF" w:rsidRPr="007202FA" w:rsidRDefault="000B4F21" w:rsidP="007202FA">
            <w:pPr>
              <w:jc w:val="right"/>
              <w:rPr>
                <w:sz w:val="20"/>
                <w:szCs w:val="20"/>
              </w:rPr>
            </w:pPr>
            <w:r>
              <w:rPr>
                <w:sz w:val="20"/>
                <w:szCs w:val="20"/>
                <w:lang w:val="ga"/>
              </w:rPr>
              <w:t>37</w:t>
            </w:r>
          </w:p>
        </w:tc>
        <w:tc>
          <w:tcPr>
            <w:tcW w:w="1558" w:type="dxa"/>
            <w:tcBorders>
              <w:top w:val="single" w:sz="4" w:space="0" w:color="auto"/>
              <w:left w:val="single" w:sz="4" w:space="0" w:color="auto"/>
              <w:bottom w:val="single" w:sz="4" w:space="0" w:color="auto"/>
              <w:right w:val="single" w:sz="4" w:space="0" w:color="auto"/>
            </w:tcBorders>
          </w:tcPr>
          <w:p w14:paraId="543A30D1" w14:textId="7E650662" w:rsidR="00590BEF" w:rsidRPr="007202FA" w:rsidRDefault="000B4F21" w:rsidP="007202FA">
            <w:pPr>
              <w:jc w:val="right"/>
              <w:rPr>
                <w:sz w:val="20"/>
                <w:szCs w:val="20"/>
              </w:rPr>
            </w:pPr>
            <w:r>
              <w:rPr>
                <w:sz w:val="20"/>
                <w:szCs w:val="20"/>
                <w:lang w:val="ga"/>
              </w:rPr>
              <w:t>3.2%</w:t>
            </w:r>
          </w:p>
        </w:tc>
        <w:tc>
          <w:tcPr>
            <w:tcW w:w="1558" w:type="dxa"/>
            <w:tcBorders>
              <w:top w:val="single" w:sz="4" w:space="0" w:color="auto"/>
              <w:left w:val="single" w:sz="4" w:space="0" w:color="auto"/>
              <w:bottom w:val="single" w:sz="4" w:space="0" w:color="auto"/>
              <w:right w:val="single" w:sz="4" w:space="0" w:color="auto"/>
            </w:tcBorders>
          </w:tcPr>
          <w:p w14:paraId="72DC5BA9" w14:textId="61A59614" w:rsidR="00590BEF" w:rsidRPr="007202FA" w:rsidRDefault="000B4F21" w:rsidP="007202FA">
            <w:pPr>
              <w:jc w:val="right"/>
              <w:rPr>
                <w:sz w:val="20"/>
                <w:szCs w:val="20"/>
              </w:rPr>
            </w:pPr>
            <w:r>
              <w:rPr>
                <w:sz w:val="20"/>
                <w:szCs w:val="20"/>
                <w:lang w:val="ga"/>
              </w:rPr>
              <w:t>1,012</w:t>
            </w:r>
          </w:p>
        </w:tc>
        <w:tc>
          <w:tcPr>
            <w:tcW w:w="1700" w:type="dxa"/>
            <w:tcBorders>
              <w:top w:val="single" w:sz="4" w:space="0" w:color="auto"/>
              <w:left w:val="single" w:sz="4" w:space="0" w:color="auto"/>
              <w:bottom w:val="single" w:sz="4" w:space="0" w:color="auto"/>
              <w:right w:val="single" w:sz="4" w:space="0" w:color="auto"/>
            </w:tcBorders>
          </w:tcPr>
          <w:p w14:paraId="6B101F47" w14:textId="21EE5445" w:rsidR="00590BEF" w:rsidRPr="007202FA" w:rsidRDefault="000B4F21" w:rsidP="007202FA">
            <w:pPr>
              <w:jc w:val="right"/>
              <w:rPr>
                <w:sz w:val="20"/>
                <w:szCs w:val="20"/>
              </w:rPr>
            </w:pPr>
            <w:r>
              <w:rPr>
                <w:sz w:val="20"/>
                <w:szCs w:val="20"/>
                <w:lang w:val="ga"/>
              </w:rPr>
              <w:t>52</w:t>
            </w:r>
          </w:p>
        </w:tc>
        <w:tc>
          <w:tcPr>
            <w:tcW w:w="1559" w:type="dxa"/>
            <w:tcBorders>
              <w:top w:val="single" w:sz="4" w:space="0" w:color="auto"/>
              <w:left w:val="single" w:sz="4" w:space="0" w:color="auto"/>
              <w:bottom w:val="single" w:sz="4" w:space="0" w:color="auto"/>
              <w:right w:val="single" w:sz="4" w:space="0" w:color="auto"/>
            </w:tcBorders>
          </w:tcPr>
          <w:p w14:paraId="076AB128" w14:textId="2AB69ACE" w:rsidR="00590BEF" w:rsidRPr="007202FA" w:rsidRDefault="000B4F21" w:rsidP="007202FA">
            <w:pPr>
              <w:jc w:val="right"/>
              <w:rPr>
                <w:sz w:val="20"/>
                <w:szCs w:val="20"/>
              </w:rPr>
            </w:pPr>
            <w:r>
              <w:rPr>
                <w:sz w:val="20"/>
                <w:szCs w:val="20"/>
                <w:lang w:val="ga"/>
              </w:rPr>
              <w:t>5.1%</w:t>
            </w:r>
          </w:p>
        </w:tc>
      </w:tr>
      <w:tr w:rsidR="00F31303" w14:paraId="260D0E84" w14:textId="77777777" w:rsidTr="00105071">
        <w:trPr>
          <w:trHeight w:val="162"/>
        </w:trPr>
        <w:tc>
          <w:tcPr>
            <w:tcW w:w="1990" w:type="dxa"/>
            <w:tcBorders>
              <w:top w:val="single" w:sz="4" w:space="0" w:color="auto"/>
              <w:left w:val="single" w:sz="4" w:space="0" w:color="auto"/>
              <w:bottom w:val="single" w:sz="4" w:space="0" w:color="auto"/>
              <w:right w:val="single" w:sz="4" w:space="0" w:color="auto"/>
            </w:tcBorders>
          </w:tcPr>
          <w:p w14:paraId="20CFD8E0" w14:textId="12CA7D76" w:rsidR="00105071" w:rsidRPr="007202FA" w:rsidRDefault="000B4F21" w:rsidP="007202FA">
            <w:pPr>
              <w:rPr>
                <w:sz w:val="20"/>
                <w:szCs w:val="20"/>
              </w:rPr>
            </w:pPr>
            <w:r>
              <w:rPr>
                <w:sz w:val="20"/>
                <w:szCs w:val="20"/>
                <w:lang w:val="ga"/>
              </w:rPr>
              <w:t>An Coimisiún um Rialáil Cumarsáide (ComReg)</w:t>
            </w:r>
          </w:p>
        </w:tc>
        <w:tc>
          <w:tcPr>
            <w:tcW w:w="1549" w:type="dxa"/>
            <w:tcBorders>
              <w:top w:val="single" w:sz="4" w:space="0" w:color="auto"/>
              <w:left w:val="single" w:sz="4" w:space="0" w:color="auto"/>
              <w:bottom w:val="single" w:sz="4" w:space="0" w:color="auto"/>
              <w:right w:val="single" w:sz="4" w:space="0" w:color="auto"/>
            </w:tcBorders>
          </w:tcPr>
          <w:p w14:paraId="60BFD68D" w14:textId="1FB18FE9" w:rsidR="00105071" w:rsidRPr="007202FA" w:rsidRDefault="000B4F21" w:rsidP="007202FA">
            <w:pPr>
              <w:jc w:val="right"/>
              <w:rPr>
                <w:sz w:val="20"/>
                <w:szCs w:val="20"/>
              </w:rPr>
            </w:pPr>
            <w:r>
              <w:rPr>
                <w:sz w:val="20"/>
                <w:szCs w:val="20"/>
                <w:lang w:val="ga"/>
              </w:rPr>
              <w:t>157</w:t>
            </w:r>
          </w:p>
        </w:tc>
        <w:tc>
          <w:tcPr>
            <w:tcW w:w="1426" w:type="dxa"/>
            <w:tcBorders>
              <w:top w:val="single" w:sz="4" w:space="0" w:color="auto"/>
              <w:left w:val="single" w:sz="4" w:space="0" w:color="auto"/>
              <w:bottom w:val="single" w:sz="4" w:space="0" w:color="auto"/>
              <w:right w:val="single" w:sz="4" w:space="0" w:color="auto"/>
            </w:tcBorders>
          </w:tcPr>
          <w:p w14:paraId="3A96BC82" w14:textId="3A323CE1" w:rsidR="00105071" w:rsidRPr="007202FA" w:rsidRDefault="000B4F21" w:rsidP="007202FA">
            <w:pPr>
              <w:jc w:val="right"/>
              <w:rPr>
                <w:sz w:val="20"/>
                <w:szCs w:val="20"/>
              </w:rPr>
            </w:pPr>
            <w:r>
              <w:rPr>
                <w:sz w:val="20"/>
                <w:szCs w:val="20"/>
                <w:lang w:val="ga"/>
              </w:rPr>
              <w:t>25</w:t>
            </w:r>
          </w:p>
        </w:tc>
        <w:tc>
          <w:tcPr>
            <w:tcW w:w="1558" w:type="dxa"/>
            <w:tcBorders>
              <w:top w:val="single" w:sz="4" w:space="0" w:color="auto"/>
              <w:left w:val="single" w:sz="4" w:space="0" w:color="auto"/>
              <w:bottom w:val="single" w:sz="4" w:space="0" w:color="auto"/>
              <w:right w:val="single" w:sz="4" w:space="0" w:color="auto"/>
            </w:tcBorders>
          </w:tcPr>
          <w:p w14:paraId="43CAA689" w14:textId="753CF2DD" w:rsidR="00105071" w:rsidRPr="007202FA" w:rsidRDefault="000B4F21" w:rsidP="007202FA">
            <w:pPr>
              <w:jc w:val="right"/>
              <w:rPr>
                <w:sz w:val="20"/>
                <w:szCs w:val="20"/>
              </w:rPr>
            </w:pPr>
            <w:r>
              <w:rPr>
                <w:sz w:val="20"/>
                <w:szCs w:val="20"/>
                <w:lang w:val="ga"/>
              </w:rPr>
              <w:t>15.9%</w:t>
            </w:r>
          </w:p>
        </w:tc>
        <w:tc>
          <w:tcPr>
            <w:tcW w:w="1558" w:type="dxa"/>
            <w:tcBorders>
              <w:top w:val="single" w:sz="4" w:space="0" w:color="auto"/>
              <w:left w:val="single" w:sz="4" w:space="0" w:color="auto"/>
              <w:bottom w:val="single" w:sz="4" w:space="0" w:color="auto"/>
              <w:right w:val="single" w:sz="4" w:space="0" w:color="auto"/>
            </w:tcBorders>
          </w:tcPr>
          <w:p w14:paraId="5063B168" w14:textId="3EC9BAFC" w:rsidR="00105071" w:rsidRPr="007202FA" w:rsidRDefault="000B4F21" w:rsidP="007202FA">
            <w:pPr>
              <w:jc w:val="right"/>
              <w:rPr>
                <w:sz w:val="20"/>
                <w:szCs w:val="20"/>
              </w:rPr>
            </w:pPr>
            <w:r>
              <w:rPr>
                <w:sz w:val="20"/>
                <w:szCs w:val="20"/>
                <w:lang w:val="ga"/>
              </w:rPr>
              <w:t>185</w:t>
            </w:r>
          </w:p>
        </w:tc>
        <w:tc>
          <w:tcPr>
            <w:tcW w:w="1700" w:type="dxa"/>
            <w:tcBorders>
              <w:top w:val="single" w:sz="4" w:space="0" w:color="auto"/>
              <w:left w:val="single" w:sz="4" w:space="0" w:color="auto"/>
              <w:bottom w:val="single" w:sz="4" w:space="0" w:color="auto"/>
              <w:right w:val="single" w:sz="4" w:space="0" w:color="auto"/>
            </w:tcBorders>
          </w:tcPr>
          <w:p w14:paraId="1B99C23E" w14:textId="0247E635" w:rsidR="00105071" w:rsidRPr="007202FA" w:rsidRDefault="000B4F21" w:rsidP="007202FA">
            <w:pPr>
              <w:jc w:val="right"/>
              <w:rPr>
                <w:sz w:val="20"/>
                <w:szCs w:val="20"/>
              </w:rPr>
            </w:pPr>
            <w:r>
              <w:rPr>
                <w:sz w:val="20"/>
                <w:szCs w:val="20"/>
                <w:lang w:val="ga"/>
              </w:rPr>
              <w:t>22</w:t>
            </w:r>
          </w:p>
        </w:tc>
        <w:tc>
          <w:tcPr>
            <w:tcW w:w="1559" w:type="dxa"/>
            <w:tcBorders>
              <w:top w:val="single" w:sz="4" w:space="0" w:color="auto"/>
              <w:left w:val="single" w:sz="4" w:space="0" w:color="auto"/>
              <w:bottom w:val="single" w:sz="4" w:space="0" w:color="auto"/>
              <w:right w:val="single" w:sz="4" w:space="0" w:color="auto"/>
            </w:tcBorders>
          </w:tcPr>
          <w:p w14:paraId="74BD87BB" w14:textId="3845ADC1" w:rsidR="00105071" w:rsidRPr="007202FA" w:rsidRDefault="000B4F21" w:rsidP="007202FA">
            <w:pPr>
              <w:jc w:val="right"/>
              <w:rPr>
                <w:sz w:val="20"/>
                <w:szCs w:val="20"/>
              </w:rPr>
            </w:pPr>
            <w:r>
              <w:rPr>
                <w:sz w:val="20"/>
                <w:szCs w:val="20"/>
                <w:lang w:val="ga"/>
              </w:rPr>
              <w:t>11.9%</w:t>
            </w:r>
          </w:p>
        </w:tc>
      </w:tr>
      <w:tr w:rsidR="00F31303" w14:paraId="675274DB"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55D54D5B" w14:textId="77777777" w:rsidR="00590BEF" w:rsidRPr="005524D6" w:rsidRDefault="000B4F21" w:rsidP="007202FA">
            <w:pPr>
              <w:rPr>
                <w:sz w:val="20"/>
                <w:szCs w:val="20"/>
                <w:lang w:val="de-DE"/>
              </w:rPr>
            </w:pPr>
            <w:r>
              <w:rPr>
                <w:rFonts w:cs="Calibri"/>
                <w:color w:val="000000"/>
                <w:sz w:val="20"/>
                <w:szCs w:val="20"/>
                <w:lang w:val="ga"/>
              </w:rPr>
              <w:t>An Coimisiún um Rialáil Fóntais</w:t>
            </w:r>
          </w:p>
        </w:tc>
        <w:tc>
          <w:tcPr>
            <w:tcW w:w="1549" w:type="dxa"/>
            <w:tcBorders>
              <w:top w:val="single" w:sz="4" w:space="0" w:color="auto"/>
              <w:left w:val="single" w:sz="4" w:space="0" w:color="auto"/>
              <w:bottom w:val="single" w:sz="4" w:space="0" w:color="auto"/>
              <w:right w:val="single" w:sz="4" w:space="0" w:color="auto"/>
            </w:tcBorders>
            <w:hideMark/>
          </w:tcPr>
          <w:p w14:paraId="73057A9E" w14:textId="77777777" w:rsidR="00590BEF" w:rsidRPr="007202FA" w:rsidRDefault="000B4F21" w:rsidP="007202FA">
            <w:pPr>
              <w:jc w:val="right"/>
              <w:rPr>
                <w:sz w:val="20"/>
                <w:szCs w:val="20"/>
              </w:rPr>
            </w:pPr>
            <w:r>
              <w:rPr>
                <w:rFonts w:cs="Calibri"/>
                <w:color w:val="000000"/>
                <w:sz w:val="20"/>
                <w:szCs w:val="20"/>
                <w:lang w:val="ga"/>
              </w:rPr>
              <w:t>136</w:t>
            </w:r>
          </w:p>
        </w:tc>
        <w:tc>
          <w:tcPr>
            <w:tcW w:w="1426" w:type="dxa"/>
            <w:tcBorders>
              <w:top w:val="single" w:sz="4" w:space="0" w:color="auto"/>
              <w:left w:val="single" w:sz="4" w:space="0" w:color="auto"/>
              <w:bottom w:val="single" w:sz="4" w:space="0" w:color="auto"/>
              <w:right w:val="single" w:sz="4" w:space="0" w:color="auto"/>
            </w:tcBorders>
            <w:hideMark/>
          </w:tcPr>
          <w:p w14:paraId="343DE214" w14:textId="77777777" w:rsidR="00590BEF" w:rsidRPr="007202FA" w:rsidRDefault="000B4F21" w:rsidP="007202FA">
            <w:pPr>
              <w:jc w:val="right"/>
              <w:rPr>
                <w:sz w:val="20"/>
                <w:szCs w:val="20"/>
              </w:rPr>
            </w:pPr>
            <w:r>
              <w:rPr>
                <w:rFonts w:cs="Calibri"/>
                <w:color w:val="000000"/>
                <w:sz w:val="20"/>
                <w:szCs w:val="20"/>
                <w:lang w:val="ga"/>
              </w:rPr>
              <w:t>6</w:t>
            </w:r>
          </w:p>
        </w:tc>
        <w:tc>
          <w:tcPr>
            <w:tcW w:w="1558" w:type="dxa"/>
            <w:tcBorders>
              <w:top w:val="single" w:sz="4" w:space="0" w:color="auto"/>
              <w:left w:val="single" w:sz="4" w:space="0" w:color="auto"/>
              <w:bottom w:val="single" w:sz="4" w:space="0" w:color="auto"/>
              <w:right w:val="single" w:sz="4" w:space="0" w:color="auto"/>
            </w:tcBorders>
            <w:hideMark/>
          </w:tcPr>
          <w:p w14:paraId="4516FBA6" w14:textId="77777777" w:rsidR="00590BEF" w:rsidRPr="007202FA" w:rsidRDefault="000B4F21" w:rsidP="007202FA">
            <w:pPr>
              <w:jc w:val="right"/>
              <w:rPr>
                <w:sz w:val="20"/>
                <w:szCs w:val="20"/>
              </w:rPr>
            </w:pPr>
            <w:r>
              <w:rPr>
                <w:rFonts w:cs="Calibri"/>
                <w:color w:val="000000"/>
                <w:sz w:val="20"/>
                <w:szCs w:val="20"/>
                <w:lang w:val="ga"/>
              </w:rPr>
              <w:t>4.4%</w:t>
            </w:r>
          </w:p>
        </w:tc>
        <w:tc>
          <w:tcPr>
            <w:tcW w:w="1558" w:type="dxa"/>
            <w:tcBorders>
              <w:top w:val="single" w:sz="4" w:space="0" w:color="auto"/>
              <w:left w:val="single" w:sz="4" w:space="0" w:color="auto"/>
              <w:bottom w:val="single" w:sz="4" w:space="0" w:color="auto"/>
              <w:right w:val="single" w:sz="4" w:space="0" w:color="auto"/>
            </w:tcBorders>
          </w:tcPr>
          <w:p w14:paraId="1DC0D5BD" w14:textId="77777777" w:rsidR="00590BEF" w:rsidRPr="007202FA" w:rsidRDefault="000B4F21" w:rsidP="007202FA">
            <w:pPr>
              <w:jc w:val="right"/>
              <w:rPr>
                <w:sz w:val="20"/>
                <w:szCs w:val="20"/>
              </w:rPr>
            </w:pPr>
            <w:r>
              <w:rPr>
                <w:sz w:val="20"/>
                <w:szCs w:val="20"/>
                <w:lang w:val="ga"/>
              </w:rPr>
              <w:t>178</w:t>
            </w:r>
          </w:p>
          <w:p w14:paraId="09D4839D" w14:textId="77777777" w:rsidR="00590BEF" w:rsidRPr="007202FA" w:rsidRDefault="00590BEF" w:rsidP="007202FA">
            <w:pPr>
              <w:jc w:val="right"/>
              <w:rPr>
                <w:sz w:val="20"/>
                <w:szCs w:val="20"/>
              </w:rPr>
            </w:pPr>
          </w:p>
        </w:tc>
        <w:tc>
          <w:tcPr>
            <w:tcW w:w="1700" w:type="dxa"/>
            <w:tcBorders>
              <w:top w:val="single" w:sz="4" w:space="0" w:color="auto"/>
              <w:left w:val="single" w:sz="4" w:space="0" w:color="auto"/>
              <w:bottom w:val="single" w:sz="4" w:space="0" w:color="auto"/>
              <w:right w:val="single" w:sz="4" w:space="0" w:color="auto"/>
            </w:tcBorders>
          </w:tcPr>
          <w:p w14:paraId="38C9CA3E" w14:textId="77777777" w:rsidR="00590BEF" w:rsidRPr="007202FA" w:rsidRDefault="000B4F21" w:rsidP="007202FA">
            <w:pPr>
              <w:jc w:val="right"/>
              <w:rPr>
                <w:sz w:val="20"/>
                <w:szCs w:val="20"/>
              </w:rPr>
            </w:pPr>
            <w:r>
              <w:rPr>
                <w:sz w:val="20"/>
                <w:szCs w:val="20"/>
                <w:lang w:val="ga"/>
              </w:rPr>
              <w:t>14</w:t>
            </w:r>
          </w:p>
          <w:p w14:paraId="30608CCF"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306A457" w14:textId="77777777" w:rsidR="00590BEF" w:rsidRPr="007202FA" w:rsidRDefault="000B4F21" w:rsidP="007202FA">
            <w:pPr>
              <w:jc w:val="right"/>
              <w:rPr>
                <w:sz w:val="20"/>
                <w:szCs w:val="20"/>
              </w:rPr>
            </w:pPr>
            <w:r>
              <w:rPr>
                <w:sz w:val="20"/>
                <w:szCs w:val="20"/>
                <w:lang w:val="ga"/>
              </w:rPr>
              <w:t>7.9%</w:t>
            </w:r>
          </w:p>
          <w:p w14:paraId="30DB477E" w14:textId="77777777" w:rsidR="00590BEF" w:rsidRPr="007202FA" w:rsidRDefault="00590BEF" w:rsidP="007202FA">
            <w:pPr>
              <w:jc w:val="right"/>
              <w:rPr>
                <w:sz w:val="20"/>
                <w:szCs w:val="20"/>
              </w:rPr>
            </w:pPr>
          </w:p>
        </w:tc>
      </w:tr>
      <w:tr w:rsidR="00F31303" w14:paraId="169A53BD"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6159DC5C" w14:textId="77777777" w:rsidR="00590BEF" w:rsidRPr="007202FA" w:rsidRDefault="000B4F21" w:rsidP="007202FA">
            <w:pPr>
              <w:rPr>
                <w:sz w:val="20"/>
                <w:szCs w:val="20"/>
              </w:rPr>
            </w:pPr>
            <w:r>
              <w:rPr>
                <w:rFonts w:cs="Calibri"/>
                <w:color w:val="000000"/>
                <w:sz w:val="20"/>
                <w:szCs w:val="20"/>
                <w:lang w:val="ga"/>
              </w:rPr>
              <w:t>EirGrid cpt</w:t>
            </w:r>
          </w:p>
        </w:tc>
        <w:tc>
          <w:tcPr>
            <w:tcW w:w="1549" w:type="dxa"/>
            <w:tcBorders>
              <w:top w:val="single" w:sz="4" w:space="0" w:color="auto"/>
              <w:left w:val="single" w:sz="4" w:space="0" w:color="auto"/>
              <w:bottom w:val="single" w:sz="4" w:space="0" w:color="auto"/>
              <w:right w:val="single" w:sz="4" w:space="0" w:color="auto"/>
            </w:tcBorders>
            <w:hideMark/>
          </w:tcPr>
          <w:p w14:paraId="4F67975A" w14:textId="77777777" w:rsidR="00590BEF" w:rsidRPr="007202FA" w:rsidRDefault="000B4F21" w:rsidP="007202FA">
            <w:pPr>
              <w:jc w:val="right"/>
              <w:rPr>
                <w:sz w:val="20"/>
                <w:szCs w:val="20"/>
              </w:rPr>
            </w:pPr>
            <w:r>
              <w:rPr>
                <w:rFonts w:cs="Calibri"/>
                <w:color w:val="000000"/>
                <w:sz w:val="20"/>
                <w:szCs w:val="20"/>
                <w:lang w:val="ga"/>
              </w:rPr>
              <w:t>603</w:t>
            </w:r>
          </w:p>
        </w:tc>
        <w:tc>
          <w:tcPr>
            <w:tcW w:w="1426" w:type="dxa"/>
            <w:tcBorders>
              <w:top w:val="single" w:sz="4" w:space="0" w:color="auto"/>
              <w:left w:val="single" w:sz="4" w:space="0" w:color="auto"/>
              <w:bottom w:val="single" w:sz="4" w:space="0" w:color="auto"/>
              <w:right w:val="single" w:sz="4" w:space="0" w:color="auto"/>
            </w:tcBorders>
            <w:hideMark/>
          </w:tcPr>
          <w:p w14:paraId="5426410B" w14:textId="77777777" w:rsidR="00590BEF" w:rsidRPr="007202FA" w:rsidRDefault="000B4F21" w:rsidP="007202FA">
            <w:pPr>
              <w:jc w:val="right"/>
              <w:rPr>
                <w:sz w:val="20"/>
                <w:szCs w:val="20"/>
              </w:rPr>
            </w:pPr>
            <w:r>
              <w:rPr>
                <w:rFonts w:cs="Calibri"/>
                <w:color w:val="000000"/>
                <w:sz w:val="20"/>
                <w:szCs w:val="20"/>
                <w:lang w:val="ga"/>
              </w:rPr>
              <w:t>37</w:t>
            </w:r>
          </w:p>
        </w:tc>
        <w:tc>
          <w:tcPr>
            <w:tcW w:w="1558" w:type="dxa"/>
            <w:tcBorders>
              <w:top w:val="single" w:sz="4" w:space="0" w:color="auto"/>
              <w:left w:val="single" w:sz="4" w:space="0" w:color="auto"/>
              <w:bottom w:val="single" w:sz="4" w:space="0" w:color="auto"/>
              <w:right w:val="single" w:sz="4" w:space="0" w:color="auto"/>
            </w:tcBorders>
            <w:hideMark/>
          </w:tcPr>
          <w:p w14:paraId="5A9A2BAB" w14:textId="77777777" w:rsidR="00590BEF" w:rsidRPr="007202FA" w:rsidRDefault="000B4F21" w:rsidP="007202FA">
            <w:pPr>
              <w:jc w:val="right"/>
              <w:rPr>
                <w:sz w:val="20"/>
                <w:szCs w:val="20"/>
              </w:rPr>
            </w:pPr>
            <w:r>
              <w:rPr>
                <w:rFonts w:cs="Calibri"/>
                <w:color w:val="000000"/>
                <w:sz w:val="20"/>
                <w:szCs w:val="20"/>
                <w:lang w:val="ga"/>
              </w:rPr>
              <w:t>6.1%</w:t>
            </w:r>
          </w:p>
        </w:tc>
        <w:tc>
          <w:tcPr>
            <w:tcW w:w="1558" w:type="dxa"/>
            <w:tcBorders>
              <w:top w:val="single" w:sz="4" w:space="0" w:color="auto"/>
              <w:left w:val="single" w:sz="4" w:space="0" w:color="auto"/>
              <w:bottom w:val="single" w:sz="4" w:space="0" w:color="auto"/>
              <w:right w:val="single" w:sz="4" w:space="0" w:color="auto"/>
            </w:tcBorders>
          </w:tcPr>
          <w:p w14:paraId="3C3F1540" w14:textId="08F1324A" w:rsidR="00590BEF" w:rsidRPr="007202FA" w:rsidRDefault="000B4F21" w:rsidP="007202FA">
            <w:pPr>
              <w:jc w:val="right"/>
              <w:rPr>
                <w:sz w:val="20"/>
                <w:szCs w:val="20"/>
              </w:rPr>
            </w:pPr>
            <w:r>
              <w:rPr>
                <w:sz w:val="20"/>
                <w:szCs w:val="20"/>
                <w:lang w:val="ga"/>
              </w:rPr>
              <w:t>716</w:t>
            </w:r>
          </w:p>
        </w:tc>
        <w:tc>
          <w:tcPr>
            <w:tcW w:w="1700" w:type="dxa"/>
            <w:tcBorders>
              <w:top w:val="single" w:sz="4" w:space="0" w:color="auto"/>
              <w:left w:val="single" w:sz="4" w:space="0" w:color="auto"/>
              <w:bottom w:val="single" w:sz="4" w:space="0" w:color="auto"/>
              <w:right w:val="single" w:sz="4" w:space="0" w:color="auto"/>
            </w:tcBorders>
          </w:tcPr>
          <w:p w14:paraId="4FE68678" w14:textId="5DE037CB" w:rsidR="00590BEF" w:rsidRPr="007202FA" w:rsidRDefault="000B4F21" w:rsidP="007202FA">
            <w:pPr>
              <w:jc w:val="right"/>
              <w:rPr>
                <w:sz w:val="20"/>
                <w:szCs w:val="20"/>
              </w:rPr>
            </w:pPr>
            <w:r>
              <w:rPr>
                <w:sz w:val="20"/>
                <w:szCs w:val="20"/>
                <w:lang w:val="ga"/>
              </w:rPr>
              <w:t>71</w:t>
            </w:r>
          </w:p>
        </w:tc>
        <w:tc>
          <w:tcPr>
            <w:tcW w:w="1559" w:type="dxa"/>
            <w:tcBorders>
              <w:top w:val="single" w:sz="4" w:space="0" w:color="auto"/>
              <w:left w:val="single" w:sz="4" w:space="0" w:color="auto"/>
              <w:bottom w:val="single" w:sz="4" w:space="0" w:color="auto"/>
              <w:right w:val="single" w:sz="4" w:space="0" w:color="auto"/>
            </w:tcBorders>
          </w:tcPr>
          <w:p w14:paraId="718857B9" w14:textId="1F6AB2EB" w:rsidR="00590BEF" w:rsidRPr="007202FA" w:rsidRDefault="000B4F21" w:rsidP="007202FA">
            <w:pPr>
              <w:jc w:val="right"/>
              <w:rPr>
                <w:sz w:val="20"/>
                <w:szCs w:val="20"/>
              </w:rPr>
            </w:pPr>
            <w:r>
              <w:rPr>
                <w:sz w:val="20"/>
                <w:szCs w:val="20"/>
                <w:lang w:val="ga"/>
              </w:rPr>
              <w:t>9.9%</w:t>
            </w:r>
          </w:p>
        </w:tc>
      </w:tr>
      <w:tr w:rsidR="00F31303" w14:paraId="2464D7AF"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398B3322" w14:textId="77777777" w:rsidR="00590BEF" w:rsidRPr="007202FA" w:rsidRDefault="000B4F21" w:rsidP="007202FA">
            <w:pPr>
              <w:rPr>
                <w:sz w:val="20"/>
                <w:szCs w:val="20"/>
              </w:rPr>
            </w:pPr>
            <w:r>
              <w:rPr>
                <w:rFonts w:cs="Calibri"/>
                <w:color w:val="000000"/>
                <w:sz w:val="20"/>
                <w:szCs w:val="20"/>
                <w:lang w:val="ga"/>
              </w:rPr>
              <w:t>Bord Soláthair an Leictreachais (BSL)</w:t>
            </w:r>
          </w:p>
        </w:tc>
        <w:tc>
          <w:tcPr>
            <w:tcW w:w="1549" w:type="dxa"/>
            <w:tcBorders>
              <w:top w:val="single" w:sz="4" w:space="0" w:color="auto"/>
              <w:left w:val="single" w:sz="4" w:space="0" w:color="auto"/>
              <w:bottom w:val="single" w:sz="4" w:space="0" w:color="auto"/>
              <w:right w:val="single" w:sz="4" w:space="0" w:color="auto"/>
            </w:tcBorders>
            <w:hideMark/>
          </w:tcPr>
          <w:p w14:paraId="2C355F0B" w14:textId="77777777" w:rsidR="00590BEF" w:rsidRPr="007202FA" w:rsidRDefault="000B4F21" w:rsidP="007202FA">
            <w:pPr>
              <w:jc w:val="right"/>
              <w:rPr>
                <w:sz w:val="20"/>
                <w:szCs w:val="20"/>
              </w:rPr>
            </w:pPr>
            <w:r>
              <w:rPr>
                <w:rFonts w:cs="Calibri"/>
                <w:color w:val="000000"/>
                <w:sz w:val="20"/>
                <w:szCs w:val="20"/>
                <w:lang w:val="ga"/>
              </w:rPr>
              <w:t>6,586</w:t>
            </w:r>
          </w:p>
        </w:tc>
        <w:tc>
          <w:tcPr>
            <w:tcW w:w="1426" w:type="dxa"/>
            <w:tcBorders>
              <w:top w:val="single" w:sz="4" w:space="0" w:color="auto"/>
              <w:left w:val="single" w:sz="4" w:space="0" w:color="auto"/>
              <w:bottom w:val="single" w:sz="4" w:space="0" w:color="auto"/>
              <w:right w:val="single" w:sz="4" w:space="0" w:color="auto"/>
            </w:tcBorders>
            <w:hideMark/>
          </w:tcPr>
          <w:p w14:paraId="168BEB9C" w14:textId="77777777" w:rsidR="00590BEF" w:rsidRPr="007202FA" w:rsidRDefault="000B4F21" w:rsidP="007202FA">
            <w:pPr>
              <w:jc w:val="right"/>
              <w:rPr>
                <w:sz w:val="20"/>
                <w:szCs w:val="20"/>
              </w:rPr>
            </w:pPr>
            <w:r>
              <w:rPr>
                <w:rFonts w:cs="Calibri"/>
                <w:color w:val="000000"/>
                <w:sz w:val="20"/>
                <w:szCs w:val="20"/>
                <w:lang w:val="ga"/>
              </w:rPr>
              <w:t>247</w:t>
            </w:r>
          </w:p>
        </w:tc>
        <w:tc>
          <w:tcPr>
            <w:tcW w:w="1558" w:type="dxa"/>
            <w:tcBorders>
              <w:top w:val="single" w:sz="4" w:space="0" w:color="auto"/>
              <w:left w:val="single" w:sz="4" w:space="0" w:color="auto"/>
              <w:bottom w:val="single" w:sz="4" w:space="0" w:color="auto"/>
              <w:right w:val="single" w:sz="4" w:space="0" w:color="auto"/>
            </w:tcBorders>
            <w:hideMark/>
          </w:tcPr>
          <w:p w14:paraId="10DA8582" w14:textId="77777777" w:rsidR="00590BEF" w:rsidRPr="007202FA" w:rsidRDefault="000B4F21" w:rsidP="007202FA">
            <w:pPr>
              <w:jc w:val="right"/>
              <w:rPr>
                <w:sz w:val="20"/>
                <w:szCs w:val="20"/>
              </w:rPr>
            </w:pPr>
            <w:r>
              <w:rPr>
                <w:rFonts w:cs="Calibri"/>
                <w:color w:val="000000"/>
                <w:sz w:val="20"/>
                <w:szCs w:val="20"/>
                <w:lang w:val="ga"/>
              </w:rPr>
              <w:t>3.8%</w:t>
            </w:r>
          </w:p>
        </w:tc>
        <w:tc>
          <w:tcPr>
            <w:tcW w:w="1558" w:type="dxa"/>
            <w:tcBorders>
              <w:top w:val="single" w:sz="4" w:space="0" w:color="auto"/>
              <w:left w:val="single" w:sz="4" w:space="0" w:color="auto"/>
              <w:bottom w:val="single" w:sz="4" w:space="0" w:color="auto"/>
              <w:right w:val="single" w:sz="4" w:space="0" w:color="auto"/>
            </w:tcBorders>
          </w:tcPr>
          <w:p w14:paraId="2A408ACB" w14:textId="77777777" w:rsidR="00590BEF" w:rsidRPr="007202FA" w:rsidRDefault="000B4F21" w:rsidP="007202FA">
            <w:pPr>
              <w:jc w:val="right"/>
              <w:rPr>
                <w:sz w:val="20"/>
                <w:szCs w:val="20"/>
              </w:rPr>
            </w:pPr>
            <w:r>
              <w:rPr>
                <w:sz w:val="20"/>
                <w:szCs w:val="20"/>
                <w:lang w:val="ga"/>
              </w:rPr>
              <w:t>7,480</w:t>
            </w:r>
          </w:p>
          <w:p w14:paraId="09195AED" w14:textId="77777777" w:rsidR="00590BEF" w:rsidRPr="007202FA" w:rsidRDefault="00590BEF" w:rsidP="007202FA">
            <w:pPr>
              <w:jc w:val="right"/>
              <w:rPr>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CC1ED06" w14:textId="77777777" w:rsidR="00590BEF" w:rsidRPr="007202FA" w:rsidRDefault="000B4F21" w:rsidP="007202FA">
            <w:pPr>
              <w:jc w:val="right"/>
              <w:rPr>
                <w:sz w:val="20"/>
                <w:szCs w:val="20"/>
              </w:rPr>
            </w:pPr>
            <w:r>
              <w:rPr>
                <w:sz w:val="20"/>
                <w:szCs w:val="20"/>
                <w:lang w:val="ga"/>
              </w:rPr>
              <w:t>428</w:t>
            </w:r>
          </w:p>
          <w:p w14:paraId="26AEB821"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7DA7F44" w14:textId="77777777" w:rsidR="00590BEF" w:rsidRPr="007202FA" w:rsidRDefault="000B4F21" w:rsidP="007202FA">
            <w:pPr>
              <w:jc w:val="right"/>
              <w:rPr>
                <w:sz w:val="20"/>
                <w:szCs w:val="20"/>
              </w:rPr>
            </w:pPr>
            <w:r>
              <w:rPr>
                <w:sz w:val="20"/>
                <w:szCs w:val="20"/>
                <w:lang w:val="ga"/>
              </w:rPr>
              <w:t>5.7%</w:t>
            </w:r>
          </w:p>
          <w:p w14:paraId="34510CCD" w14:textId="77777777" w:rsidR="00590BEF" w:rsidRPr="007202FA" w:rsidRDefault="00590BEF" w:rsidP="007202FA">
            <w:pPr>
              <w:jc w:val="right"/>
              <w:rPr>
                <w:sz w:val="20"/>
                <w:szCs w:val="20"/>
              </w:rPr>
            </w:pPr>
          </w:p>
        </w:tc>
      </w:tr>
      <w:tr w:rsidR="00F31303" w14:paraId="771AC718"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4BB32BCA" w14:textId="77777777" w:rsidR="00590BEF" w:rsidRPr="007202FA" w:rsidRDefault="000B4F21" w:rsidP="007202FA">
            <w:pPr>
              <w:rPr>
                <w:sz w:val="20"/>
                <w:szCs w:val="20"/>
              </w:rPr>
            </w:pPr>
            <w:r>
              <w:rPr>
                <w:rFonts w:cs="Calibri"/>
                <w:color w:val="000000"/>
                <w:sz w:val="20"/>
                <w:szCs w:val="20"/>
                <w:lang w:val="ga"/>
              </w:rPr>
              <w:t>An Ghníomhaireacht um Chaomhnú Comhshaoil</w:t>
            </w:r>
          </w:p>
        </w:tc>
        <w:tc>
          <w:tcPr>
            <w:tcW w:w="1549" w:type="dxa"/>
            <w:tcBorders>
              <w:top w:val="single" w:sz="4" w:space="0" w:color="auto"/>
              <w:left w:val="single" w:sz="4" w:space="0" w:color="auto"/>
              <w:bottom w:val="single" w:sz="4" w:space="0" w:color="auto"/>
              <w:right w:val="single" w:sz="4" w:space="0" w:color="auto"/>
            </w:tcBorders>
            <w:hideMark/>
          </w:tcPr>
          <w:p w14:paraId="33A3CEB5" w14:textId="77777777" w:rsidR="00590BEF" w:rsidRPr="007202FA" w:rsidRDefault="000B4F21" w:rsidP="007202FA">
            <w:pPr>
              <w:jc w:val="right"/>
              <w:rPr>
                <w:sz w:val="20"/>
                <w:szCs w:val="20"/>
              </w:rPr>
            </w:pPr>
            <w:r>
              <w:rPr>
                <w:rFonts w:cs="Calibri"/>
                <w:color w:val="000000"/>
                <w:sz w:val="20"/>
                <w:szCs w:val="20"/>
                <w:lang w:val="ga"/>
              </w:rPr>
              <w:t>476</w:t>
            </w:r>
          </w:p>
        </w:tc>
        <w:tc>
          <w:tcPr>
            <w:tcW w:w="1426" w:type="dxa"/>
            <w:tcBorders>
              <w:top w:val="single" w:sz="4" w:space="0" w:color="auto"/>
              <w:left w:val="single" w:sz="4" w:space="0" w:color="auto"/>
              <w:bottom w:val="single" w:sz="4" w:space="0" w:color="auto"/>
              <w:right w:val="single" w:sz="4" w:space="0" w:color="auto"/>
            </w:tcBorders>
            <w:hideMark/>
          </w:tcPr>
          <w:p w14:paraId="2E3DC5EE" w14:textId="77777777" w:rsidR="00590BEF" w:rsidRPr="007202FA" w:rsidRDefault="000B4F21" w:rsidP="007202FA">
            <w:pPr>
              <w:jc w:val="right"/>
              <w:rPr>
                <w:sz w:val="20"/>
                <w:szCs w:val="20"/>
              </w:rPr>
            </w:pPr>
            <w:r>
              <w:rPr>
                <w:rFonts w:cs="Calibri"/>
                <w:color w:val="000000"/>
                <w:sz w:val="20"/>
                <w:szCs w:val="20"/>
                <w:lang w:val="ga"/>
              </w:rPr>
              <w:t>29</w:t>
            </w:r>
          </w:p>
        </w:tc>
        <w:tc>
          <w:tcPr>
            <w:tcW w:w="1558" w:type="dxa"/>
            <w:tcBorders>
              <w:top w:val="single" w:sz="4" w:space="0" w:color="auto"/>
              <w:left w:val="single" w:sz="4" w:space="0" w:color="auto"/>
              <w:bottom w:val="single" w:sz="4" w:space="0" w:color="auto"/>
              <w:right w:val="single" w:sz="4" w:space="0" w:color="auto"/>
            </w:tcBorders>
            <w:hideMark/>
          </w:tcPr>
          <w:p w14:paraId="12DEFC94" w14:textId="77777777" w:rsidR="00590BEF" w:rsidRPr="007202FA" w:rsidRDefault="000B4F21" w:rsidP="007202FA">
            <w:pPr>
              <w:jc w:val="right"/>
              <w:rPr>
                <w:sz w:val="20"/>
                <w:szCs w:val="20"/>
              </w:rPr>
            </w:pPr>
            <w:r>
              <w:rPr>
                <w:rFonts w:cs="Calibri"/>
                <w:color w:val="000000"/>
                <w:sz w:val="20"/>
                <w:szCs w:val="20"/>
                <w:lang w:val="ga"/>
              </w:rPr>
              <w:t>6.1%</w:t>
            </w:r>
          </w:p>
        </w:tc>
        <w:tc>
          <w:tcPr>
            <w:tcW w:w="1558" w:type="dxa"/>
            <w:tcBorders>
              <w:top w:val="single" w:sz="4" w:space="0" w:color="auto"/>
              <w:left w:val="single" w:sz="4" w:space="0" w:color="auto"/>
              <w:bottom w:val="single" w:sz="4" w:space="0" w:color="auto"/>
              <w:right w:val="single" w:sz="4" w:space="0" w:color="auto"/>
            </w:tcBorders>
          </w:tcPr>
          <w:p w14:paraId="0F8C6753" w14:textId="77777777" w:rsidR="00590BEF" w:rsidRPr="007202FA" w:rsidRDefault="000B4F21" w:rsidP="007202FA">
            <w:pPr>
              <w:jc w:val="right"/>
              <w:rPr>
                <w:sz w:val="20"/>
                <w:szCs w:val="20"/>
              </w:rPr>
            </w:pPr>
            <w:r>
              <w:rPr>
                <w:sz w:val="20"/>
                <w:szCs w:val="20"/>
                <w:lang w:val="ga"/>
              </w:rPr>
              <w:t>526</w:t>
            </w:r>
          </w:p>
          <w:p w14:paraId="18649F6A" w14:textId="77777777" w:rsidR="00590BEF" w:rsidRPr="007202FA" w:rsidRDefault="00590BEF" w:rsidP="007202FA">
            <w:pPr>
              <w:jc w:val="right"/>
              <w:rPr>
                <w:sz w:val="20"/>
                <w:szCs w:val="20"/>
              </w:rPr>
            </w:pPr>
          </w:p>
        </w:tc>
        <w:tc>
          <w:tcPr>
            <w:tcW w:w="1700" w:type="dxa"/>
            <w:tcBorders>
              <w:top w:val="single" w:sz="4" w:space="0" w:color="auto"/>
              <w:left w:val="single" w:sz="4" w:space="0" w:color="auto"/>
              <w:bottom w:val="single" w:sz="4" w:space="0" w:color="auto"/>
              <w:right w:val="single" w:sz="4" w:space="0" w:color="auto"/>
            </w:tcBorders>
          </w:tcPr>
          <w:p w14:paraId="67446B30" w14:textId="77777777" w:rsidR="00590BEF" w:rsidRPr="007202FA" w:rsidRDefault="000B4F21" w:rsidP="007202FA">
            <w:pPr>
              <w:jc w:val="right"/>
              <w:rPr>
                <w:sz w:val="20"/>
                <w:szCs w:val="20"/>
              </w:rPr>
            </w:pPr>
            <w:r>
              <w:rPr>
                <w:sz w:val="20"/>
                <w:szCs w:val="20"/>
                <w:lang w:val="ga"/>
              </w:rPr>
              <w:t>33</w:t>
            </w:r>
          </w:p>
          <w:p w14:paraId="46D10DCB"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0AFA2A" w14:textId="77777777" w:rsidR="00590BEF" w:rsidRPr="007202FA" w:rsidRDefault="000B4F21" w:rsidP="007202FA">
            <w:pPr>
              <w:jc w:val="right"/>
              <w:rPr>
                <w:sz w:val="20"/>
                <w:szCs w:val="20"/>
              </w:rPr>
            </w:pPr>
            <w:r>
              <w:rPr>
                <w:sz w:val="20"/>
                <w:szCs w:val="20"/>
                <w:lang w:val="ga"/>
              </w:rPr>
              <w:t>6.3%</w:t>
            </w:r>
          </w:p>
          <w:p w14:paraId="092BF9CC" w14:textId="77777777" w:rsidR="00590BEF" w:rsidRPr="007202FA" w:rsidRDefault="00590BEF" w:rsidP="007202FA">
            <w:pPr>
              <w:jc w:val="right"/>
              <w:rPr>
                <w:sz w:val="20"/>
                <w:szCs w:val="20"/>
              </w:rPr>
            </w:pPr>
          </w:p>
        </w:tc>
      </w:tr>
      <w:tr w:rsidR="00F31303" w14:paraId="2D7F8F62"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5954E891" w14:textId="77777777" w:rsidR="00590BEF" w:rsidRPr="007202FA" w:rsidRDefault="000B4F21" w:rsidP="007202FA">
            <w:pPr>
              <w:rPr>
                <w:sz w:val="20"/>
                <w:szCs w:val="20"/>
              </w:rPr>
            </w:pPr>
            <w:r>
              <w:rPr>
                <w:rFonts w:cs="Calibri"/>
                <w:color w:val="000000"/>
                <w:sz w:val="20"/>
                <w:szCs w:val="20"/>
                <w:lang w:val="ga"/>
              </w:rPr>
              <w:t>Iascach Intíre Éireann</w:t>
            </w:r>
          </w:p>
        </w:tc>
        <w:tc>
          <w:tcPr>
            <w:tcW w:w="1549" w:type="dxa"/>
            <w:tcBorders>
              <w:top w:val="single" w:sz="4" w:space="0" w:color="auto"/>
              <w:left w:val="single" w:sz="4" w:space="0" w:color="auto"/>
              <w:bottom w:val="single" w:sz="4" w:space="0" w:color="auto"/>
              <w:right w:val="single" w:sz="4" w:space="0" w:color="auto"/>
            </w:tcBorders>
            <w:hideMark/>
          </w:tcPr>
          <w:p w14:paraId="296ADE77" w14:textId="77777777" w:rsidR="00590BEF" w:rsidRPr="007202FA" w:rsidRDefault="000B4F21" w:rsidP="007202FA">
            <w:pPr>
              <w:jc w:val="right"/>
              <w:rPr>
                <w:sz w:val="20"/>
                <w:szCs w:val="20"/>
              </w:rPr>
            </w:pPr>
            <w:r>
              <w:rPr>
                <w:rFonts w:cs="Calibri"/>
                <w:color w:val="000000"/>
                <w:sz w:val="20"/>
                <w:szCs w:val="20"/>
                <w:lang w:val="ga"/>
              </w:rPr>
              <w:t>321</w:t>
            </w:r>
          </w:p>
        </w:tc>
        <w:tc>
          <w:tcPr>
            <w:tcW w:w="1426" w:type="dxa"/>
            <w:tcBorders>
              <w:top w:val="single" w:sz="4" w:space="0" w:color="auto"/>
              <w:left w:val="single" w:sz="4" w:space="0" w:color="auto"/>
              <w:bottom w:val="single" w:sz="4" w:space="0" w:color="auto"/>
              <w:right w:val="single" w:sz="4" w:space="0" w:color="auto"/>
            </w:tcBorders>
            <w:hideMark/>
          </w:tcPr>
          <w:p w14:paraId="03E54244" w14:textId="77777777" w:rsidR="00590BEF" w:rsidRPr="007202FA" w:rsidRDefault="000B4F21" w:rsidP="007202FA">
            <w:pPr>
              <w:jc w:val="right"/>
              <w:rPr>
                <w:sz w:val="20"/>
                <w:szCs w:val="20"/>
              </w:rPr>
            </w:pPr>
            <w:r>
              <w:rPr>
                <w:rFonts w:cs="Calibri"/>
                <w:color w:val="000000"/>
                <w:sz w:val="20"/>
                <w:szCs w:val="20"/>
                <w:lang w:val="ga"/>
              </w:rPr>
              <w:t>27</w:t>
            </w:r>
          </w:p>
        </w:tc>
        <w:tc>
          <w:tcPr>
            <w:tcW w:w="1558" w:type="dxa"/>
            <w:tcBorders>
              <w:top w:val="single" w:sz="4" w:space="0" w:color="auto"/>
              <w:left w:val="single" w:sz="4" w:space="0" w:color="auto"/>
              <w:bottom w:val="single" w:sz="4" w:space="0" w:color="auto"/>
              <w:right w:val="single" w:sz="4" w:space="0" w:color="auto"/>
            </w:tcBorders>
            <w:hideMark/>
          </w:tcPr>
          <w:p w14:paraId="0D2BE5AD" w14:textId="77777777" w:rsidR="00590BEF" w:rsidRPr="007202FA" w:rsidRDefault="000B4F21" w:rsidP="007202FA">
            <w:pPr>
              <w:jc w:val="right"/>
              <w:rPr>
                <w:sz w:val="20"/>
                <w:szCs w:val="20"/>
              </w:rPr>
            </w:pPr>
            <w:r>
              <w:rPr>
                <w:rFonts w:cs="Calibri"/>
                <w:color w:val="000000"/>
                <w:sz w:val="20"/>
                <w:szCs w:val="20"/>
                <w:lang w:val="ga"/>
              </w:rPr>
              <w:t>8.4%</w:t>
            </w:r>
          </w:p>
        </w:tc>
        <w:tc>
          <w:tcPr>
            <w:tcW w:w="1558" w:type="dxa"/>
            <w:tcBorders>
              <w:top w:val="single" w:sz="4" w:space="0" w:color="auto"/>
              <w:left w:val="single" w:sz="4" w:space="0" w:color="auto"/>
              <w:bottom w:val="single" w:sz="4" w:space="0" w:color="auto"/>
              <w:right w:val="single" w:sz="4" w:space="0" w:color="auto"/>
            </w:tcBorders>
          </w:tcPr>
          <w:p w14:paraId="6816CF73" w14:textId="77777777" w:rsidR="00590BEF" w:rsidRPr="007202FA" w:rsidRDefault="000B4F21" w:rsidP="007202FA">
            <w:pPr>
              <w:jc w:val="right"/>
              <w:rPr>
                <w:sz w:val="20"/>
                <w:szCs w:val="20"/>
              </w:rPr>
            </w:pPr>
            <w:r>
              <w:rPr>
                <w:sz w:val="20"/>
                <w:szCs w:val="20"/>
                <w:lang w:val="ga"/>
              </w:rPr>
              <w:t>340</w:t>
            </w:r>
          </w:p>
          <w:p w14:paraId="4E21520F" w14:textId="77777777" w:rsidR="00590BEF" w:rsidRPr="007202FA" w:rsidRDefault="00590BEF" w:rsidP="007202FA">
            <w:pPr>
              <w:jc w:val="right"/>
              <w:rPr>
                <w:sz w:val="20"/>
                <w:szCs w:val="20"/>
              </w:rPr>
            </w:pPr>
          </w:p>
        </w:tc>
        <w:tc>
          <w:tcPr>
            <w:tcW w:w="1700" w:type="dxa"/>
            <w:tcBorders>
              <w:top w:val="single" w:sz="4" w:space="0" w:color="auto"/>
              <w:left w:val="single" w:sz="4" w:space="0" w:color="auto"/>
              <w:bottom w:val="single" w:sz="4" w:space="0" w:color="auto"/>
              <w:right w:val="single" w:sz="4" w:space="0" w:color="auto"/>
            </w:tcBorders>
          </w:tcPr>
          <w:p w14:paraId="6F55D6C6" w14:textId="77777777" w:rsidR="00590BEF" w:rsidRPr="007202FA" w:rsidRDefault="000B4F21" w:rsidP="007202FA">
            <w:pPr>
              <w:jc w:val="right"/>
              <w:rPr>
                <w:sz w:val="20"/>
                <w:szCs w:val="20"/>
              </w:rPr>
            </w:pPr>
            <w:r>
              <w:rPr>
                <w:sz w:val="20"/>
                <w:szCs w:val="20"/>
                <w:lang w:val="ga"/>
              </w:rPr>
              <w:t>25</w:t>
            </w:r>
          </w:p>
          <w:p w14:paraId="4B1D5527"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F58904F" w14:textId="77777777" w:rsidR="00590BEF" w:rsidRPr="007202FA" w:rsidRDefault="000B4F21" w:rsidP="007202FA">
            <w:pPr>
              <w:jc w:val="right"/>
              <w:rPr>
                <w:sz w:val="20"/>
                <w:szCs w:val="20"/>
              </w:rPr>
            </w:pPr>
            <w:r>
              <w:rPr>
                <w:sz w:val="20"/>
                <w:szCs w:val="20"/>
                <w:lang w:val="ga"/>
              </w:rPr>
              <w:t>7.4%</w:t>
            </w:r>
          </w:p>
          <w:p w14:paraId="43A50A0E" w14:textId="77777777" w:rsidR="00590BEF" w:rsidRPr="007202FA" w:rsidRDefault="00590BEF" w:rsidP="007202FA">
            <w:pPr>
              <w:jc w:val="right"/>
              <w:rPr>
                <w:sz w:val="20"/>
                <w:szCs w:val="20"/>
              </w:rPr>
            </w:pPr>
          </w:p>
        </w:tc>
      </w:tr>
      <w:tr w:rsidR="00F31303" w14:paraId="3B00BF88"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11AC6358" w14:textId="77777777" w:rsidR="00590BEF" w:rsidRPr="007202FA" w:rsidRDefault="000B4F21" w:rsidP="007202FA">
            <w:pPr>
              <w:rPr>
                <w:sz w:val="20"/>
                <w:szCs w:val="20"/>
              </w:rPr>
            </w:pPr>
            <w:r>
              <w:rPr>
                <w:rFonts w:cs="Calibri"/>
                <w:color w:val="000000"/>
                <w:sz w:val="20"/>
                <w:szCs w:val="20"/>
                <w:lang w:val="ga"/>
              </w:rPr>
              <w:t xml:space="preserve">Údarás Fuinnimh Inmharthana na hÉireann </w:t>
            </w:r>
          </w:p>
        </w:tc>
        <w:tc>
          <w:tcPr>
            <w:tcW w:w="1549" w:type="dxa"/>
            <w:tcBorders>
              <w:top w:val="single" w:sz="4" w:space="0" w:color="auto"/>
              <w:left w:val="single" w:sz="4" w:space="0" w:color="auto"/>
              <w:bottom w:val="single" w:sz="4" w:space="0" w:color="auto"/>
              <w:right w:val="single" w:sz="4" w:space="0" w:color="auto"/>
            </w:tcBorders>
            <w:hideMark/>
          </w:tcPr>
          <w:p w14:paraId="1D6BD80D" w14:textId="77777777" w:rsidR="00590BEF" w:rsidRPr="007202FA" w:rsidRDefault="000B4F21" w:rsidP="007202FA">
            <w:pPr>
              <w:jc w:val="right"/>
              <w:rPr>
                <w:sz w:val="20"/>
                <w:szCs w:val="20"/>
              </w:rPr>
            </w:pPr>
            <w:r>
              <w:rPr>
                <w:rFonts w:cs="Calibri"/>
                <w:color w:val="000000"/>
                <w:sz w:val="20"/>
                <w:szCs w:val="20"/>
                <w:lang w:val="ga"/>
              </w:rPr>
              <w:t>229</w:t>
            </w:r>
          </w:p>
        </w:tc>
        <w:tc>
          <w:tcPr>
            <w:tcW w:w="1426" w:type="dxa"/>
            <w:tcBorders>
              <w:top w:val="single" w:sz="4" w:space="0" w:color="auto"/>
              <w:left w:val="single" w:sz="4" w:space="0" w:color="auto"/>
              <w:bottom w:val="single" w:sz="4" w:space="0" w:color="auto"/>
              <w:right w:val="single" w:sz="4" w:space="0" w:color="auto"/>
            </w:tcBorders>
            <w:hideMark/>
          </w:tcPr>
          <w:p w14:paraId="4D4C1D39" w14:textId="77777777" w:rsidR="00590BEF" w:rsidRPr="007202FA" w:rsidRDefault="000B4F21" w:rsidP="007202FA">
            <w:pPr>
              <w:jc w:val="right"/>
              <w:rPr>
                <w:sz w:val="20"/>
                <w:szCs w:val="20"/>
              </w:rPr>
            </w:pPr>
            <w:r>
              <w:rPr>
                <w:rFonts w:cs="Calibri"/>
                <w:color w:val="000000"/>
                <w:sz w:val="20"/>
                <w:szCs w:val="20"/>
                <w:lang w:val="ga"/>
              </w:rPr>
              <w:t>24</w:t>
            </w:r>
          </w:p>
        </w:tc>
        <w:tc>
          <w:tcPr>
            <w:tcW w:w="1558" w:type="dxa"/>
            <w:tcBorders>
              <w:top w:val="single" w:sz="4" w:space="0" w:color="auto"/>
              <w:left w:val="single" w:sz="4" w:space="0" w:color="auto"/>
              <w:bottom w:val="single" w:sz="4" w:space="0" w:color="auto"/>
              <w:right w:val="single" w:sz="4" w:space="0" w:color="auto"/>
            </w:tcBorders>
            <w:hideMark/>
          </w:tcPr>
          <w:p w14:paraId="7C09FDE1" w14:textId="77777777" w:rsidR="00590BEF" w:rsidRPr="007202FA" w:rsidRDefault="000B4F21" w:rsidP="007202FA">
            <w:pPr>
              <w:jc w:val="right"/>
              <w:rPr>
                <w:sz w:val="20"/>
                <w:szCs w:val="20"/>
              </w:rPr>
            </w:pPr>
            <w:r>
              <w:rPr>
                <w:rFonts w:cs="Calibri"/>
                <w:color w:val="000000"/>
                <w:sz w:val="20"/>
                <w:szCs w:val="20"/>
                <w:lang w:val="ga"/>
              </w:rPr>
              <w:t>10.5%</w:t>
            </w:r>
          </w:p>
        </w:tc>
        <w:tc>
          <w:tcPr>
            <w:tcW w:w="1558" w:type="dxa"/>
            <w:tcBorders>
              <w:top w:val="single" w:sz="4" w:space="0" w:color="auto"/>
              <w:left w:val="single" w:sz="4" w:space="0" w:color="auto"/>
              <w:bottom w:val="single" w:sz="4" w:space="0" w:color="auto"/>
              <w:right w:val="single" w:sz="4" w:space="0" w:color="auto"/>
            </w:tcBorders>
          </w:tcPr>
          <w:p w14:paraId="265D8957" w14:textId="77777777" w:rsidR="00590BEF" w:rsidRPr="007202FA" w:rsidRDefault="000B4F21" w:rsidP="007202FA">
            <w:pPr>
              <w:jc w:val="right"/>
              <w:rPr>
                <w:sz w:val="20"/>
                <w:szCs w:val="20"/>
              </w:rPr>
            </w:pPr>
            <w:r>
              <w:rPr>
                <w:sz w:val="20"/>
                <w:szCs w:val="20"/>
                <w:lang w:val="ga"/>
              </w:rPr>
              <w:t>240</w:t>
            </w:r>
          </w:p>
          <w:p w14:paraId="6D6A97F5" w14:textId="77777777" w:rsidR="00590BEF" w:rsidRPr="007202FA" w:rsidRDefault="00590BEF" w:rsidP="007202FA">
            <w:pPr>
              <w:jc w:val="right"/>
              <w:rPr>
                <w:sz w:val="20"/>
                <w:szCs w:val="20"/>
              </w:rPr>
            </w:pPr>
          </w:p>
        </w:tc>
        <w:tc>
          <w:tcPr>
            <w:tcW w:w="1700" w:type="dxa"/>
            <w:tcBorders>
              <w:top w:val="single" w:sz="4" w:space="0" w:color="auto"/>
              <w:left w:val="single" w:sz="4" w:space="0" w:color="auto"/>
              <w:bottom w:val="single" w:sz="4" w:space="0" w:color="auto"/>
              <w:right w:val="single" w:sz="4" w:space="0" w:color="auto"/>
            </w:tcBorders>
          </w:tcPr>
          <w:p w14:paraId="2D548B8A" w14:textId="77777777" w:rsidR="00590BEF" w:rsidRPr="007202FA" w:rsidRDefault="000B4F21" w:rsidP="007202FA">
            <w:pPr>
              <w:jc w:val="right"/>
              <w:rPr>
                <w:sz w:val="20"/>
                <w:szCs w:val="20"/>
              </w:rPr>
            </w:pPr>
            <w:r>
              <w:rPr>
                <w:sz w:val="20"/>
                <w:szCs w:val="20"/>
                <w:lang w:val="ga"/>
              </w:rPr>
              <w:t>24</w:t>
            </w:r>
          </w:p>
          <w:p w14:paraId="1F79F897" w14:textId="77777777" w:rsidR="00590BEF" w:rsidRPr="007202FA" w:rsidRDefault="00590BEF" w:rsidP="007202FA">
            <w:pPr>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4268F6" w14:textId="77777777" w:rsidR="00590BEF" w:rsidRPr="007202FA" w:rsidRDefault="000B4F21" w:rsidP="007202FA">
            <w:pPr>
              <w:jc w:val="right"/>
              <w:rPr>
                <w:sz w:val="20"/>
                <w:szCs w:val="20"/>
              </w:rPr>
            </w:pPr>
            <w:r>
              <w:rPr>
                <w:sz w:val="20"/>
                <w:szCs w:val="20"/>
                <w:lang w:val="ga"/>
              </w:rPr>
              <w:t>10.0%</w:t>
            </w:r>
          </w:p>
          <w:p w14:paraId="7FC1705E" w14:textId="57670269" w:rsidR="00590BEF" w:rsidRPr="007202FA" w:rsidRDefault="00590BEF" w:rsidP="007202FA">
            <w:pPr>
              <w:jc w:val="right"/>
              <w:rPr>
                <w:sz w:val="20"/>
                <w:szCs w:val="20"/>
              </w:rPr>
            </w:pPr>
          </w:p>
        </w:tc>
      </w:tr>
      <w:tr w:rsidR="00F31303" w14:paraId="59FD9339" w14:textId="77777777" w:rsidTr="00AD1735">
        <w:trPr>
          <w:trHeight w:val="162"/>
        </w:trPr>
        <w:tc>
          <w:tcPr>
            <w:tcW w:w="1990" w:type="dxa"/>
            <w:tcBorders>
              <w:top w:val="single" w:sz="4" w:space="0" w:color="auto"/>
              <w:left w:val="single" w:sz="4" w:space="0" w:color="auto"/>
              <w:bottom w:val="single" w:sz="4" w:space="0" w:color="auto"/>
              <w:right w:val="single" w:sz="4" w:space="0" w:color="auto"/>
            </w:tcBorders>
            <w:hideMark/>
          </w:tcPr>
          <w:p w14:paraId="26C0A823" w14:textId="77777777" w:rsidR="00590BEF" w:rsidRPr="007202FA" w:rsidRDefault="000B4F21" w:rsidP="007202FA">
            <w:pPr>
              <w:rPr>
                <w:sz w:val="20"/>
                <w:szCs w:val="20"/>
              </w:rPr>
            </w:pPr>
            <w:r>
              <w:rPr>
                <w:rFonts w:cs="Calibri"/>
                <w:color w:val="000000"/>
                <w:sz w:val="20"/>
                <w:szCs w:val="20"/>
                <w:lang w:val="ga"/>
              </w:rPr>
              <w:t>An Mol Digiteach</w:t>
            </w:r>
          </w:p>
        </w:tc>
        <w:tc>
          <w:tcPr>
            <w:tcW w:w="1549" w:type="dxa"/>
            <w:tcBorders>
              <w:top w:val="single" w:sz="4" w:space="0" w:color="auto"/>
              <w:left w:val="single" w:sz="4" w:space="0" w:color="auto"/>
              <w:bottom w:val="single" w:sz="4" w:space="0" w:color="auto"/>
              <w:right w:val="single" w:sz="4" w:space="0" w:color="auto"/>
            </w:tcBorders>
            <w:hideMark/>
          </w:tcPr>
          <w:p w14:paraId="47FF177D" w14:textId="77777777" w:rsidR="00590BEF" w:rsidRPr="007202FA" w:rsidRDefault="000B4F21" w:rsidP="007202FA">
            <w:pPr>
              <w:jc w:val="right"/>
              <w:rPr>
                <w:sz w:val="20"/>
                <w:szCs w:val="20"/>
              </w:rPr>
            </w:pPr>
            <w:r>
              <w:rPr>
                <w:rFonts w:cs="Calibri"/>
                <w:color w:val="000000"/>
                <w:sz w:val="20"/>
                <w:szCs w:val="20"/>
                <w:lang w:val="ga"/>
              </w:rPr>
              <w:t>13</w:t>
            </w:r>
          </w:p>
        </w:tc>
        <w:tc>
          <w:tcPr>
            <w:tcW w:w="1426" w:type="dxa"/>
            <w:tcBorders>
              <w:top w:val="single" w:sz="4" w:space="0" w:color="auto"/>
              <w:left w:val="single" w:sz="4" w:space="0" w:color="auto"/>
              <w:bottom w:val="single" w:sz="4" w:space="0" w:color="auto"/>
              <w:right w:val="single" w:sz="4" w:space="0" w:color="auto"/>
            </w:tcBorders>
            <w:hideMark/>
          </w:tcPr>
          <w:p w14:paraId="2034E8E9" w14:textId="77777777" w:rsidR="00590BEF" w:rsidRPr="007202FA" w:rsidRDefault="000B4F21" w:rsidP="007202FA">
            <w:pPr>
              <w:jc w:val="right"/>
              <w:rPr>
                <w:sz w:val="20"/>
                <w:szCs w:val="20"/>
              </w:rPr>
            </w:pPr>
            <w:r>
              <w:rPr>
                <w:rFonts w:cs="Calibri"/>
                <w:color w:val="000000"/>
                <w:sz w:val="20"/>
                <w:szCs w:val="20"/>
                <w:lang w:val="ga"/>
              </w:rPr>
              <w:t>0</w:t>
            </w:r>
          </w:p>
        </w:tc>
        <w:tc>
          <w:tcPr>
            <w:tcW w:w="1558" w:type="dxa"/>
            <w:tcBorders>
              <w:top w:val="single" w:sz="4" w:space="0" w:color="auto"/>
              <w:left w:val="single" w:sz="4" w:space="0" w:color="auto"/>
              <w:bottom w:val="single" w:sz="4" w:space="0" w:color="auto"/>
              <w:right w:val="single" w:sz="4" w:space="0" w:color="auto"/>
            </w:tcBorders>
            <w:hideMark/>
          </w:tcPr>
          <w:p w14:paraId="28D7E599" w14:textId="77777777" w:rsidR="00590BEF" w:rsidRPr="007202FA" w:rsidRDefault="000B4F21" w:rsidP="007202FA">
            <w:pPr>
              <w:jc w:val="right"/>
              <w:rPr>
                <w:sz w:val="20"/>
                <w:szCs w:val="20"/>
              </w:rPr>
            </w:pPr>
            <w:r>
              <w:rPr>
                <w:rFonts w:cs="Calibri"/>
                <w:color w:val="000000"/>
                <w:sz w:val="20"/>
                <w:szCs w:val="20"/>
                <w:lang w:val="ga"/>
              </w:rPr>
              <w:t>0.0%</w:t>
            </w:r>
          </w:p>
        </w:tc>
        <w:tc>
          <w:tcPr>
            <w:tcW w:w="1558" w:type="dxa"/>
            <w:tcBorders>
              <w:top w:val="single" w:sz="4" w:space="0" w:color="auto"/>
              <w:left w:val="single" w:sz="4" w:space="0" w:color="auto"/>
              <w:bottom w:val="single" w:sz="4" w:space="0" w:color="auto"/>
              <w:right w:val="single" w:sz="4" w:space="0" w:color="auto"/>
            </w:tcBorders>
          </w:tcPr>
          <w:p w14:paraId="147138FB" w14:textId="7CE8123A" w:rsidR="00590BEF"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13</w:t>
            </w:r>
          </w:p>
        </w:tc>
        <w:tc>
          <w:tcPr>
            <w:tcW w:w="1700" w:type="dxa"/>
            <w:tcBorders>
              <w:top w:val="single" w:sz="4" w:space="0" w:color="auto"/>
              <w:left w:val="single" w:sz="4" w:space="0" w:color="auto"/>
              <w:bottom w:val="single" w:sz="4" w:space="0" w:color="auto"/>
              <w:right w:val="single" w:sz="4" w:space="0" w:color="auto"/>
            </w:tcBorders>
          </w:tcPr>
          <w:p w14:paraId="632D832A" w14:textId="6E102624" w:rsidR="00590BEF" w:rsidRPr="007202FA" w:rsidRDefault="000B4F21" w:rsidP="007202FA">
            <w:pPr>
              <w:pStyle w:val="TableHead"/>
              <w:jc w:val="right"/>
              <w:rPr>
                <w:rFonts w:ascii="Verdana" w:hAnsi="Verdana"/>
                <w:b w:val="0"/>
                <w:kern w:val="2"/>
                <w:sz w:val="20"/>
                <w:szCs w:val="20"/>
                <w14:ligatures w14:val="standardContextual"/>
              </w:rPr>
            </w:pPr>
            <w:r>
              <w:rPr>
                <w:rFonts w:ascii="Verdana" w:hAnsi="Verdana"/>
                <w:b w:val="0"/>
                <w:kern w:val="2"/>
                <w:sz w:val="20"/>
                <w:szCs w:val="20"/>
                <w:lang w:val="ga"/>
                <w14:ligatures w14:val="standardContextual"/>
              </w:rPr>
              <w:t>2</w:t>
            </w:r>
          </w:p>
        </w:tc>
        <w:tc>
          <w:tcPr>
            <w:tcW w:w="1559" w:type="dxa"/>
            <w:tcBorders>
              <w:top w:val="single" w:sz="4" w:space="0" w:color="auto"/>
              <w:left w:val="single" w:sz="4" w:space="0" w:color="auto"/>
              <w:bottom w:val="single" w:sz="4" w:space="0" w:color="auto"/>
              <w:right w:val="single" w:sz="4" w:space="0" w:color="auto"/>
            </w:tcBorders>
          </w:tcPr>
          <w:p w14:paraId="7F041098" w14:textId="25D46843" w:rsidR="00590BEF" w:rsidRPr="007202FA" w:rsidRDefault="000B4F21" w:rsidP="007202FA">
            <w:pPr>
              <w:pStyle w:val="TableHead"/>
              <w:jc w:val="right"/>
              <w:rPr>
                <w:rFonts w:ascii="Verdana" w:hAnsi="Verdana"/>
                <w:b w:val="0"/>
                <w:bCs/>
                <w:kern w:val="2"/>
                <w:sz w:val="20"/>
                <w:szCs w:val="20"/>
                <w14:ligatures w14:val="standardContextual"/>
              </w:rPr>
            </w:pPr>
            <w:r>
              <w:rPr>
                <w:rFonts w:ascii="Verdana" w:hAnsi="Verdana"/>
                <w:b w:val="0"/>
                <w:sz w:val="20"/>
                <w:szCs w:val="20"/>
                <w:lang w:val="ga"/>
              </w:rPr>
              <w:t>15.4%</w:t>
            </w:r>
          </w:p>
        </w:tc>
      </w:tr>
      <w:tr w:rsidR="00F31303" w14:paraId="75579BF2" w14:textId="77777777" w:rsidTr="0050231C">
        <w:trPr>
          <w:trHeight w:val="162"/>
        </w:trPr>
        <w:tc>
          <w:tcPr>
            <w:tcW w:w="1990" w:type="dxa"/>
            <w:tcBorders>
              <w:top w:val="single" w:sz="4" w:space="0" w:color="auto"/>
              <w:left w:val="single" w:sz="4" w:space="0" w:color="auto"/>
              <w:bottom w:val="single" w:sz="4" w:space="0" w:color="auto"/>
              <w:right w:val="single" w:sz="4" w:space="0" w:color="auto"/>
            </w:tcBorders>
            <w:vAlign w:val="bottom"/>
          </w:tcPr>
          <w:p w14:paraId="7005E339" w14:textId="77777777" w:rsidR="00590BEF" w:rsidRPr="007202FA" w:rsidRDefault="000B4F21" w:rsidP="007202FA">
            <w:pPr>
              <w:rPr>
                <w:b/>
                <w:sz w:val="20"/>
                <w:szCs w:val="20"/>
              </w:rPr>
            </w:pPr>
            <w:r>
              <w:rPr>
                <w:b/>
                <w:bCs/>
                <w:sz w:val="20"/>
                <w:szCs w:val="20"/>
                <w:lang w:val="ga"/>
              </w:rPr>
              <w:t>Mór-Iomlán</w:t>
            </w:r>
          </w:p>
          <w:p w14:paraId="2CEAE2AA" w14:textId="77777777" w:rsidR="00590BEF" w:rsidRPr="007202FA" w:rsidRDefault="00590BEF" w:rsidP="007202FA">
            <w:pPr>
              <w:rPr>
                <w:sz w:val="20"/>
                <w:szCs w:val="20"/>
              </w:rPr>
            </w:pPr>
          </w:p>
        </w:tc>
        <w:tc>
          <w:tcPr>
            <w:tcW w:w="1549" w:type="dxa"/>
            <w:tcBorders>
              <w:top w:val="single" w:sz="4" w:space="0" w:color="auto"/>
              <w:left w:val="single" w:sz="4" w:space="0" w:color="auto"/>
              <w:bottom w:val="single" w:sz="4" w:space="0" w:color="auto"/>
              <w:right w:val="single" w:sz="4" w:space="0" w:color="auto"/>
            </w:tcBorders>
            <w:hideMark/>
          </w:tcPr>
          <w:p w14:paraId="4A066F65"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19,247</w:t>
            </w:r>
          </w:p>
        </w:tc>
        <w:tc>
          <w:tcPr>
            <w:tcW w:w="1426" w:type="dxa"/>
            <w:tcBorders>
              <w:top w:val="single" w:sz="4" w:space="0" w:color="auto"/>
              <w:left w:val="single" w:sz="4" w:space="0" w:color="auto"/>
              <w:bottom w:val="single" w:sz="4" w:space="0" w:color="auto"/>
              <w:right w:val="single" w:sz="4" w:space="0" w:color="auto"/>
            </w:tcBorders>
            <w:hideMark/>
          </w:tcPr>
          <w:p w14:paraId="73EC5526"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800</w:t>
            </w:r>
          </w:p>
        </w:tc>
        <w:tc>
          <w:tcPr>
            <w:tcW w:w="1558" w:type="dxa"/>
            <w:tcBorders>
              <w:top w:val="single" w:sz="4" w:space="0" w:color="auto"/>
              <w:left w:val="single" w:sz="4" w:space="0" w:color="auto"/>
              <w:bottom w:val="single" w:sz="4" w:space="0" w:color="auto"/>
              <w:right w:val="single" w:sz="4" w:space="0" w:color="auto"/>
            </w:tcBorders>
            <w:hideMark/>
          </w:tcPr>
          <w:p w14:paraId="4C8B7C61"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bCs/>
                <w:kern w:val="2"/>
                <w:sz w:val="20"/>
                <w:szCs w:val="20"/>
                <w:lang w:val="ga"/>
                <w14:ligatures w14:val="standardContextual"/>
              </w:rPr>
              <w:t>4.2%</w:t>
            </w:r>
          </w:p>
        </w:tc>
        <w:tc>
          <w:tcPr>
            <w:tcW w:w="1558" w:type="dxa"/>
            <w:tcBorders>
              <w:top w:val="single" w:sz="4" w:space="0" w:color="auto"/>
              <w:left w:val="single" w:sz="4" w:space="0" w:color="auto"/>
              <w:bottom w:val="single" w:sz="4" w:space="0" w:color="auto"/>
              <w:right w:val="single" w:sz="4" w:space="0" w:color="auto"/>
            </w:tcBorders>
          </w:tcPr>
          <w:p w14:paraId="1E2F6C88" w14:textId="77777777" w:rsidR="00590BEF"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19,833</w:t>
            </w:r>
          </w:p>
          <w:p w14:paraId="1C636856" w14:textId="77777777" w:rsidR="00590BEF" w:rsidRPr="007202FA" w:rsidRDefault="00590BEF" w:rsidP="007202FA">
            <w:pPr>
              <w:pStyle w:val="TableHead"/>
              <w:jc w:val="right"/>
              <w:rPr>
                <w:rFonts w:ascii="Verdana" w:hAnsi="Verdana"/>
                <w:kern w:val="2"/>
                <w:sz w:val="20"/>
                <w:szCs w:val="20"/>
                <w14:ligatures w14:val="standardContextual"/>
              </w:rPr>
            </w:pPr>
          </w:p>
        </w:tc>
        <w:tc>
          <w:tcPr>
            <w:tcW w:w="1700" w:type="dxa"/>
            <w:tcBorders>
              <w:top w:val="single" w:sz="4" w:space="0" w:color="auto"/>
              <w:left w:val="single" w:sz="4" w:space="0" w:color="auto"/>
              <w:bottom w:val="single" w:sz="4" w:space="0" w:color="auto"/>
              <w:right w:val="single" w:sz="4" w:space="0" w:color="auto"/>
            </w:tcBorders>
          </w:tcPr>
          <w:p w14:paraId="2CA6774C" w14:textId="77777777" w:rsidR="00590BEF"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 xml:space="preserve">            1,233</w:t>
            </w:r>
          </w:p>
          <w:p w14:paraId="093B601A" w14:textId="77777777" w:rsidR="00590BEF" w:rsidRPr="007202FA" w:rsidRDefault="00590BEF" w:rsidP="007202FA">
            <w:pPr>
              <w:pStyle w:val="TableHead"/>
              <w:jc w:val="right"/>
              <w:rPr>
                <w:rFonts w:ascii="Verdana" w:hAnsi="Verdana"/>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45E26F7B" w14:textId="77777777" w:rsidR="00590BEF"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 xml:space="preserve">          6.2%</w:t>
            </w:r>
          </w:p>
          <w:p w14:paraId="1ADB97B4" w14:textId="77777777" w:rsidR="00590BEF" w:rsidRPr="007202FA" w:rsidRDefault="00590BEF" w:rsidP="007202FA">
            <w:pPr>
              <w:pStyle w:val="TableHead"/>
              <w:jc w:val="right"/>
              <w:rPr>
                <w:rFonts w:ascii="Verdana" w:hAnsi="Verdana"/>
                <w:kern w:val="2"/>
                <w:sz w:val="20"/>
                <w:szCs w:val="20"/>
                <w14:ligatures w14:val="standardContextual"/>
              </w:rPr>
            </w:pPr>
          </w:p>
        </w:tc>
      </w:tr>
    </w:tbl>
    <w:p w14:paraId="3D067EA9" w14:textId="77777777" w:rsidR="00590BEF" w:rsidRPr="007202FA" w:rsidRDefault="00590BEF" w:rsidP="007202FA">
      <w:pPr>
        <w:spacing w:after="0"/>
        <w:rPr>
          <w:rFonts w:ascii="Gill Sans" w:hAnsi="Gill Sans"/>
        </w:rPr>
      </w:pPr>
    </w:p>
    <w:p w14:paraId="3D35FB07" w14:textId="77777777" w:rsidR="00590BEF" w:rsidRPr="007202FA" w:rsidRDefault="00590BEF" w:rsidP="007202FA">
      <w:pPr>
        <w:pStyle w:val="TableSummary"/>
        <w:rPr>
          <w:rFonts w:ascii="Gill Sans" w:hAnsi="Gill Sans"/>
        </w:rPr>
      </w:pPr>
    </w:p>
    <w:p w14:paraId="5AEC0904" w14:textId="77777777" w:rsidR="00590BEF" w:rsidRPr="007202FA" w:rsidRDefault="00590BEF" w:rsidP="007202FA">
      <w:pPr>
        <w:rPr>
          <w:rFonts w:ascii="Gill Sans" w:hAnsi="Gill Sans"/>
          <w:szCs w:val="26"/>
        </w:rPr>
      </w:pPr>
    </w:p>
    <w:p w14:paraId="2C22D79D" w14:textId="77777777" w:rsidR="00590BEF" w:rsidRPr="007202FA" w:rsidRDefault="000B4F21" w:rsidP="007202FA">
      <w:pPr>
        <w:spacing w:after="0"/>
        <w:rPr>
          <w:rFonts w:ascii="Gill Sans" w:hAnsi="Gill Sans"/>
        </w:rPr>
      </w:pPr>
      <w:r>
        <w:rPr>
          <w:rFonts w:ascii="Gill Sans" w:hAnsi="Gill Sans"/>
          <w:kern w:val="0"/>
          <w:lang w:val="ga"/>
          <w14:ligatures w14:val="none"/>
        </w:rPr>
        <w:br w:type="page"/>
      </w:r>
    </w:p>
    <w:p w14:paraId="4FB670DC" w14:textId="77777777" w:rsidR="00590BEF" w:rsidRPr="007202FA" w:rsidRDefault="000B4F21" w:rsidP="007202FA">
      <w:pPr>
        <w:pStyle w:val="Heading2"/>
        <w:jc w:val="center"/>
      </w:pPr>
      <w:bookmarkStart w:id="231" w:name="_Toc176801635"/>
      <w:bookmarkStart w:id="232" w:name="_Toc214033673"/>
      <w:r>
        <w:rPr>
          <w:bCs/>
          <w:lang w:val="ga"/>
        </w:rPr>
        <w:lastRenderedPageBreak/>
        <w:t>Roinn an Taoisigh</w:t>
      </w:r>
      <w:bookmarkEnd w:id="231"/>
      <w:bookmarkEnd w:id="232"/>
    </w:p>
    <w:tbl>
      <w:tblPr>
        <w:tblStyle w:val="TableGrid"/>
        <w:tblpPr w:leftFromText="180" w:rightFromText="180" w:vertAnchor="text" w:horzAnchor="margin" w:tblpXSpec="center" w:tblpY="196"/>
        <w:tblW w:w="11335" w:type="dxa"/>
        <w:tblLayout w:type="fixed"/>
        <w:tblLook w:val="04A0" w:firstRow="1" w:lastRow="0" w:firstColumn="1" w:lastColumn="0" w:noHBand="0" w:noVBand="1"/>
      </w:tblPr>
      <w:tblGrid>
        <w:gridCol w:w="1555"/>
        <w:gridCol w:w="1559"/>
        <w:gridCol w:w="1430"/>
        <w:gridCol w:w="1547"/>
        <w:gridCol w:w="1430"/>
        <w:gridCol w:w="1983"/>
        <w:gridCol w:w="1831"/>
      </w:tblGrid>
      <w:tr w:rsidR="00F31303" w14:paraId="09504AB7" w14:textId="77777777" w:rsidTr="007D6D30">
        <w:trPr>
          <w:tblHeader/>
        </w:trPr>
        <w:tc>
          <w:tcPr>
            <w:tcW w:w="1555" w:type="dxa"/>
            <w:tcBorders>
              <w:top w:val="single" w:sz="4" w:space="0" w:color="auto"/>
              <w:left w:val="single" w:sz="4" w:space="0" w:color="auto"/>
              <w:bottom w:val="single" w:sz="4" w:space="0" w:color="auto"/>
              <w:right w:val="single" w:sz="4" w:space="0" w:color="auto"/>
            </w:tcBorders>
            <w:hideMark/>
          </w:tcPr>
          <w:p w14:paraId="2514850F"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Comhlacht Poiblí</w:t>
            </w:r>
          </w:p>
        </w:tc>
        <w:tc>
          <w:tcPr>
            <w:tcW w:w="1559" w:type="dxa"/>
            <w:tcBorders>
              <w:top w:val="single" w:sz="4" w:space="0" w:color="auto"/>
              <w:left w:val="single" w:sz="4" w:space="0" w:color="auto"/>
              <w:bottom w:val="single" w:sz="4" w:space="0" w:color="auto"/>
              <w:right w:val="single" w:sz="4" w:space="0" w:color="auto"/>
            </w:tcBorders>
            <w:hideMark/>
          </w:tcPr>
          <w:p w14:paraId="1F4161D3"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2A52992C"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2023</w:t>
            </w:r>
          </w:p>
        </w:tc>
        <w:tc>
          <w:tcPr>
            <w:tcW w:w="1430" w:type="dxa"/>
            <w:tcBorders>
              <w:top w:val="single" w:sz="4" w:space="0" w:color="auto"/>
              <w:left w:val="single" w:sz="4" w:space="0" w:color="auto"/>
              <w:bottom w:val="single" w:sz="4" w:space="0" w:color="auto"/>
              <w:right w:val="single" w:sz="4" w:space="0" w:color="auto"/>
            </w:tcBorders>
            <w:hideMark/>
          </w:tcPr>
          <w:p w14:paraId="3DCAE555" w14:textId="77777777" w:rsidR="00590BEF" w:rsidRPr="00C333A9" w:rsidRDefault="000B4F21" w:rsidP="007202FA">
            <w:pPr>
              <w:pStyle w:val="TableHead"/>
              <w:rPr>
                <w:rFonts w:ascii="Verdana" w:hAnsi="Verdana"/>
                <w:kern w:val="2"/>
                <w:sz w:val="18"/>
                <w:szCs w:val="18"/>
                <w14:ligatures w14:val="standardContextual"/>
              </w:rPr>
            </w:pPr>
            <w:r w:rsidRPr="00C333A9">
              <w:rPr>
                <w:rFonts w:ascii="Verdana" w:hAnsi="Verdana"/>
                <w:bCs/>
                <w:kern w:val="2"/>
                <w:sz w:val="18"/>
                <w:szCs w:val="18"/>
                <w:lang w:val="ga"/>
                <w14:ligatures w14:val="standardContextual"/>
              </w:rPr>
              <w:t xml:space="preserve">An líon fostaithe a thuairiscigh míchumas </w:t>
            </w:r>
          </w:p>
          <w:p w14:paraId="2BCCB822" w14:textId="77777777" w:rsidR="00590BEF" w:rsidRPr="00C333A9" w:rsidRDefault="000B4F21" w:rsidP="007202FA">
            <w:pPr>
              <w:pStyle w:val="TableHead"/>
              <w:rPr>
                <w:rFonts w:ascii="Verdana" w:hAnsi="Verdana"/>
                <w:kern w:val="2"/>
                <w:sz w:val="18"/>
                <w:szCs w:val="18"/>
                <w14:ligatures w14:val="standardContextual"/>
              </w:rPr>
            </w:pPr>
            <w:r w:rsidRPr="00C333A9">
              <w:rPr>
                <w:rFonts w:ascii="Verdana" w:hAnsi="Verdana"/>
                <w:bCs/>
                <w:kern w:val="2"/>
                <w:sz w:val="18"/>
                <w:szCs w:val="18"/>
                <w:lang w:val="ga"/>
                <w14:ligatures w14:val="standardContextual"/>
              </w:rPr>
              <w:t>2023</w:t>
            </w:r>
          </w:p>
        </w:tc>
        <w:tc>
          <w:tcPr>
            <w:tcW w:w="1547" w:type="dxa"/>
            <w:tcBorders>
              <w:top w:val="single" w:sz="4" w:space="0" w:color="auto"/>
              <w:left w:val="single" w:sz="4" w:space="0" w:color="auto"/>
              <w:bottom w:val="single" w:sz="4" w:space="0" w:color="auto"/>
              <w:right w:val="single" w:sz="4" w:space="0" w:color="auto"/>
            </w:tcBorders>
            <w:hideMark/>
          </w:tcPr>
          <w:p w14:paraId="67C0CA6A" w14:textId="77777777" w:rsidR="00590BEF" w:rsidRPr="00C333A9" w:rsidRDefault="000B4F21" w:rsidP="007202FA">
            <w:pPr>
              <w:pStyle w:val="TableHead"/>
              <w:rPr>
                <w:rFonts w:ascii="Verdana" w:hAnsi="Verdana"/>
                <w:kern w:val="2"/>
                <w:sz w:val="18"/>
                <w:szCs w:val="18"/>
                <w14:ligatures w14:val="standardContextual"/>
              </w:rPr>
            </w:pPr>
            <w:r w:rsidRPr="00C333A9">
              <w:rPr>
                <w:rFonts w:ascii="Verdana" w:hAnsi="Verdana"/>
                <w:bCs/>
                <w:kern w:val="2"/>
                <w:sz w:val="18"/>
                <w:szCs w:val="18"/>
                <w:lang w:val="ga"/>
                <w14:ligatures w14:val="standardContextual"/>
              </w:rPr>
              <w:t>An % d’fhostaithe a thuairiscigh</w:t>
            </w:r>
          </w:p>
          <w:p w14:paraId="6A222B15" w14:textId="77777777" w:rsidR="00590BEF" w:rsidRPr="00C333A9" w:rsidRDefault="000B4F21" w:rsidP="007202FA">
            <w:pPr>
              <w:pStyle w:val="TableHead"/>
              <w:rPr>
                <w:rFonts w:ascii="Verdana" w:hAnsi="Verdana"/>
                <w:kern w:val="2"/>
                <w:sz w:val="18"/>
                <w:szCs w:val="18"/>
                <w14:ligatures w14:val="standardContextual"/>
              </w:rPr>
            </w:pPr>
            <w:r w:rsidRPr="00C333A9">
              <w:rPr>
                <w:rFonts w:ascii="Verdana" w:hAnsi="Verdana"/>
                <w:bCs/>
                <w:kern w:val="2"/>
                <w:sz w:val="18"/>
                <w:szCs w:val="18"/>
                <w:lang w:val="ga"/>
                <w14:ligatures w14:val="standardContextual"/>
              </w:rPr>
              <w:t>míchumas 2023</w:t>
            </w:r>
          </w:p>
        </w:tc>
        <w:tc>
          <w:tcPr>
            <w:tcW w:w="1430" w:type="dxa"/>
            <w:tcBorders>
              <w:top w:val="single" w:sz="4" w:space="0" w:color="auto"/>
              <w:left w:val="single" w:sz="4" w:space="0" w:color="auto"/>
              <w:bottom w:val="single" w:sz="4" w:space="0" w:color="auto"/>
              <w:right w:val="single" w:sz="4" w:space="0" w:color="auto"/>
            </w:tcBorders>
            <w:hideMark/>
          </w:tcPr>
          <w:p w14:paraId="3BDBB805"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iomlán </w:t>
            </w:r>
          </w:p>
          <w:p w14:paraId="772F672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fostaithe 2024</w:t>
            </w:r>
          </w:p>
        </w:tc>
        <w:tc>
          <w:tcPr>
            <w:tcW w:w="1983" w:type="dxa"/>
            <w:tcBorders>
              <w:top w:val="single" w:sz="4" w:space="0" w:color="auto"/>
              <w:left w:val="single" w:sz="4" w:space="0" w:color="auto"/>
              <w:bottom w:val="single" w:sz="4" w:space="0" w:color="auto"/>
              <w:right w:val="single" w:sz="4" w:space="0" w:color="auto"/>
            </w:tcBorders>
            <w:hideMark/>
          </w:tcPr>
          <w:p w14:paraId="70959DCE"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 xml:space="preserve">An líon fostaithe a thuairiscigh míchumas </w:t>
            </w:r>
          </w:p>
          <w:p w14:paraId="36D3E93D"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c>
          <w:tcPr>
            <w:tcW w:w="1831" w:type="dxa"/>
            <w:tcBorders>
              <w:top w:val="single" w:sz="4" w:space="0" w:color="auto"/>
              <w:left w:val="single" w:sz="4" w:space="0" w:color="auto"/>
              <w:bottom w:val="single" w:sz="4" w:space="0" w:color="auto"/>
              <w:right w:val="single" w:sz="4" w:space="0" w:color="auto"/>
            </w:tcBorders>
            <w:hideMark/>
          </w:tcPr>
          <w:p w14:paraId="7AA7974F"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An % d’fhostaithe a thuairiscigh</w:t>
            </w:r>
          </w:p>
          <w:p w14:paraId="0A649CD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míchumas</w:t>
            </w:r>
          </w:p>
          <w:p w14:paraId="50E20114"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2024</w:t>
            </w:r>
          </w:p>
        </w:tc>
      </w:tr>
      <w:tr w:rsidR="00F31303" w14:paraId="6C76014A" w14:textId="77777777" w:rsidTr="007D6D30">
        <w:trPr>
          <w:trHeight w:val="162"/>
        </w:trPr>
        <w:tc>
          <w:tcPr>
            <w:tcW w:w="1555" w:type="dxa"/>
            <w:tcBorders>
              <w:top w:val="single" w:sz="4" w:space="0" w:color="auto"/>
              <w:left w:val="single" w:sz="4" w:space="0" w:color="auto"/>
              <w:bottom w:val="single" w:sz="4" w:space="0" w:color="auto"/>
              <w:right w:val="single" w:sz="4" w:space="0" w:color="auto"/>
            </w:tcBorders>
          </w:tcPr>
          <w:p w14:paraId="3889B702" w14:textId="61EE9EE9" w:rsidR="00590BEF" w:rsidRPr="007202FA" w:rsidRDefault="000B4F21" w:rsidP="007202FA">
            <w:pPr>
              <w:rPr>
                <w:sz w:val="20"/>
                <w:szCs w:val="20"/>
              </w:rPr>
            </w:pPr>
            <w:r>
              <w:rPr>
                <w:rFonts w:cs="Calibri"/>
                <w:color w:val="000000"/>
                <w:sz w:val="20"/>
                <w:szCs w:val="20"/>
                <w:lang w:val="ga"/>
              </w:rPr>
              <w:t>An Oifig Náisiúnta d'Fhorbairt Eacnamaíoch agus Shóisialach</w:t>
            </w:r>
          </w:p>
        </w:tc>
        <w:tc>
          <w:tcPr>
            <w:tcW w:w="1559" w:type="dxa"/>
            <w:tcBorders>
              <w:top w:val="single" w:sz="4" w:space="0" w:color="auto"/>
              <w:left w:val="single" w:sz="4" w:space="0" w:color="auto"/>
              <w:bottom w:val="single" w:sz="4" w:space="0" w:color="auto"/>
              <w:right w:val="single" w:sz="4" w:space="0" w:color="auto"/>
            </w:tcBorders>
            <w:hideMark/>
          </w:tcPr>
          <w:p w14:paraId="163E89E4" w14:textId="77777777" w:rsidR="00590BEF" w:rsidRPr="007202FA" w:rsidRDefault="000B4F21" w:rsidP="007202FA">
            <w:pPr>
              <w:jc w:val="right"/>
              <w:rPr>
                <w:sz w:val="20"/>
                <w:szCs w:val="20"/>
              </w:rPr>
            </w:pPr>
            <w:r>
              <w:rPr>
                <w:rFonts w:cs="Calibri"/>
                <w:color w:val="000000"/>
                <w:sz w:val="20"/>
                <w:szCs w:val="20"/>
                <w:lang w:val="ga"/>
              </w:rPr>
              <w:t>18</w:t>
            </w:r>
          </w:p>
        </w:tc>
        <w:tc>
          <w:tcPr>
            <w:tcW w:w="1430" w:type="dxa"/>
            <w:tcBorders>
              <w:top w:val="single" w:sz="4" w:space="0" w:color="auto"/>
              <w:left w:val="single" w:sz="4" w:space="0" w:color="auto"/>
              <w:bottom w:val="single" w:sz="4" w:space="0" w:color="auto"/>
              <w:right w:val="single" w:sz="4" w:space="0" w:color="auto"/>
            </w:tcBorders>
            <w:hideMark/>
          </w:tcPr>
          <w:p w14:paraId="783CB236" w14:textId="77777777" w:rsidR="00590BEF" w:rsidRPr="007202FA" w:rsidRDefault="000B4F21" w:rsidP="007202FA">
            <w:pPr>
              <w:jc w:val="right"/>
              <w:rPr>
                <w:sz w:val="20"/>
                <w:szCs w:val="20"/>
              </w:rPr>
            </w:pPr>
            <w:r>
              <w:rPr>
                <w:rFonts w:cs="Calibri"/>
                <w:color w:val="000000"/>
                <w:sz w:val="20"/>
                <w:szCs w:val="20"/>
                <w:lang w:val="ga"/>
              </w:rPr>
              <w:t>1</w:t>
            </w:r>
          </w:p>
        </w:tc>
        <w:tc>
          <w:tcPr>
            <w:tcW w:w="1547" w:type="dxa"/>
            <w:tcBorders>
              <w:top w:val="single" w:sz="4" w:space="0" w:color="auto"/>
              <w:left w:val="single" w:sz="4" w:space="0" w:color="auto"/>
              <w:bottom w:val="single" w:sz="4" w:space="0" w:color="auto"/>
              <w:right w:val="single" w:sz="4" w:space="0" w:color="auto"/>
            </w:tcBorders>
          </w:tcPr>
          <w:p w14:paraId="4B8DBF46" w14:textId="77777777" w:rsidR="00590BEF" w:rsidRPr="007202FA" w:rsidRDefault="000B4F21" w:rsidP="007202FA">
            <w:pPr>
              <w:jc w:val="right"/>
              <w:rPr>
                <w:rFonts w:cs="Calibri"/>
                <w:color w:val="000000"/>
                <w:sz w:val="20"/>
                <w:szCs w:val="20"/>
              </w:rPr>
            </w:pPr>
            <w:r>
              <w:rPr>
                <w:rFonts w:cs="Calibri"/>
                <w:color w:val="000000"/>
                <w:sz w:val="20"/>
                <w:szCs w:val="20"/>
                <w:lang w:val="ga"/>
              </w:rPr>
              <w:t>5.6%</w:t>
            </w:r>
          </w:p>
          <w:p w14:paraId="17EFAB70" w14:textId="77777777" w:rsidR="00590BEF" w:rsidRPr="007202FA" w:rsidRDefault="00590BEF" w:rsidP="007202FA">
            <w:pPr>
              <w:jc w:val="right"/>
              <w:rPr>
                <w:sz w:val="20"/>
                <w:szCs w:val="20"/>
              </w:rPr>
            </w:pPr>
          </w:p>
        </w:tc>
        <w:tc>
          <w:tcPr>
            <w:tcW w:w="1430" w:type="dxa"/>
            <w:tcBorders>
              <w:top w:val="single" w:sz="4" w:space="0" w:color="auto"/>
              <w:left w:val="single" w:sz="4" w:space="0" w:color="auto"/>
              <w:bottom w:val="single" w:sz="4" w:space="0" w:color="auto"/>
              <w:right w:val="single" w:sz="4" w:space="0" w:color="auto"/>
            </w:tcBorders>
          </w:tcPr>
          <w:p w14:paraId="60909458" w14:textId="77777777" w:rsidR="00590BEF" w:rsidRPr="007202FA" w:rsidRDefault="000B4F21" w:rsidP="007202FA">
            <w:pPr>
              <w:jc w:val="right"/>
              <w:rPr>
                <w:sz w:val="20"/>
                <w:szCs w:val="20"/>
              </w:rPr>
            </w:pPr>
            <w:r>
              <w:rPr>
                <w:sz w:val="20"/>
                <w:szCs w:val="20"/>
                <w:lang w:val="ga"/>
              </w:rPr>
              <w:t>19</w:t>
            </w:r>
          </w:p>
          <w:p w14:paraId="2597D7B3" w14:textId="77777777" w:rsidR="00590BEF" w:rsidRPr="007202FA" w:rsidRDefault="00590BEF" w:rsidP="007202FA">
            <w:pPr>
              <w:jc w:val="right"/>
              <w:rPr>
                <w:sz w:val="20"/>
                <w:szCs w:val="20"/>
              </w:rPr>
            </w:pPr>
          </w:p>
        </w:tc>
        <w:tc>
          <w:tcPr>
            <w:tcW w:w="1983" w:type="dxa"/>
            <w:tcBorders>
              <w:top w:val="single" w:sz="4" w:space="0" w:color="auto"/>
              <w:left w:val="single" w:sz="4" w:space="0" w:color="auto"/>
              <w:bottom w:val="single" w:sz="4" w:space="0" w:color="auto"/>
              <w:right w:val="single" w:sz="4" w:space="0" w:color="auto"/>
            </w:tcBorders>
          </w:tcPr>
          <w:p w14:paraId="4D3ABECD" w14:textId="77777777" w:rsidR="00590BEF" w:rsidRPr="007202FA" w:rsidRDefault="000B4F21" w:rsidP="007202FA">
            <w:pPr>
              <w:jc w:val="right"/>
              <w:rPr>
                <w:sz w:val="20"/>
                <w:szCs w:val="20"/>
              </w:rPr>
            </w:pPr>
            <w:r>
              <w:rPr>
                <w:sz w:val="20"/>
                <w:szCs w:val="20"/>
                <w:lang w:val="ga"/>
              </w:rPr>
              <w:t>3</w:t>
            </w:r>
          </w:p>
          <w:p w14:paraId="61B690F8" w14:textId="77777777" w:rsidR="00590BEF" w:rsidRPr="007202FA" w:rsidRDefault="00590BEF" w:rsidP="007202FA">
            <w:pPr>
              <w:jc w:val="right"/>
              <w:rPr>
                <w:sz w:val="20"/>
                <w:szCs w:val="20"/>
              </w:rPr>
            </w:pPr>
          </w:p>
        </w:tc>
        <w:tc>
          <w:tcPr>
            <w:tcW w:w="1831" w:type="dxa"/>
            <w:tcBorders>
              <w:top w:val="single" w:sz="4" w:space="0" w:color="auto"/>
              <w:left w:val="single" w:sz="4" w:space="0" w:color="auto"/>
              <w:bottom w:val="single" w:sz="4" w:space="0" w:color="auto"/>
              <w:right w:val="single" w:sz="4" w:space="0" w:color="auto"/>
            </w:tcBorders>
          </w:tcPr>
          <w:p w14:paraId="33E45369" w14:textId="77777777" w:rsidR="00590BEF" w:rsidRPr="007202FA" w:rsidRDefault="000B4F21" w:rsidP="007202FA">
            <w:pPr>
              <w:jc w:val="right"/>
              <w:rPr>
                <w:sz w:val="20"/>
                <w:szCs w:val="20"/>
              </w:rPr>
            </w:pPr>
            <w:r>
              <w:rPr>
                <w:sz w:val="20"/>
                <w:szCs w:val="20"/>
                <w:lang w:val="ga"/>
              </w:rPr>
              <w:t>15.8%</w:t>
            </w:r>
          </w:p>
          <w:p w14:paraId="5960AA66" w14:textId="77777777" w:rsidR="00590BEF" w:rsidRPr="007202FA" w:rsidRDefault="00590BEF" w:rsidP="007202FA">
            <w:pPr>
              <w:jc w:val="right"/>
              <w:rPr>
                <w:sz w:val="20"/>
                <w:szCs w:val="20"/>
              </w:rPr>
            </w:pPr>
          </w:p>
        </w:tc>
      </w:tr>
      <w:tr w:rsidR="00F31303" w14:paraId="498E2F30" w14:textId="77777777" w:rsidTr="007D6D30">
        <w:trPr>
          <w:trHeight w:val="162"/>
        </w:trPr>
        <w:tc>
          <w:tcPr>
            <w:tcW w:w="1555" w:type="dxa"/>
            <w:tcBorders>
              <w:top w:val="single" w:sz="4" w:space="0" w:color="auto"/>
              <w:left w:val="single" w:sz="4" w:space="0" w:color="auto"/>
              <w:bottom w:val="single" w:sz="4" w:space="0" w:color="auto"/>
              <w:right w:val="single" w:sz="4" w:space="0" w:color="auto"/>
            </w:tcBorders>
            <w:hideMark/>
          </w:tcPr>
          <w:p w14:paraId="061C65DA" w14:textId="77777777" w:rsidR="00590BEF" w:rsidRPr="007202FA" w:rsidRDefault="000B4F21" w:rsidP="007202FA">
            <w:pPr>
              <w:pStyle w:val="TableHead"/>
              <w:rPr>
                <w:rFonts w:ascii="Verdana" w:hAnsi="Verdana"/>
                <w:kern w:val="2"/>
                <w:sz w:val="20"/>
                <w:szCs w:val="20"/>
                <w14:ligatures w14:val="standardContextual"/>
              </w:rPr>
            </w:pPr>
            <w:r>
              <w:rPr>
                <w:rFonts w:ascii="Verdana" w:hAnsi="Verdana"/>
                <w:bCs/>
                <w:kern w:val="2"/>
                <w:sz w:val="20"/>
                <w:szCs w:val="20"/>
                <w:lang w:val="ga"/>
                <w14:ligatures w14:val="standardContextual"/>
              </w:rPr>
              <w:t>Mór-Iomlán</w:t>
            </w:r>
          </w:p>
        </w:tc>
        <w:tc>
          <w:tcPr>
            <w:tcW w:w="1559" w:type="dxa"/>
            <w:tcBorders>
              <w:top w:val="single" w:sz="4" w:space="0" w:color="auto"/>
              <w:left w:val="single" w:sz="4" w:space="0" w:color="auto"/>
              <w:bottom w:val="single" w:sz="4" w:space="0" w:color="auto"/>
              <w:right w:val="single" w:sz="4" w:space="0" w:color="auto"/>
            </w:tcBorders>
            <w:hideMark/>
          </w:tcPr>
          <w:p w14:paraId="0A7C1A51"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cs="Calibri"/>
                <w:bCs/>
                <w:color w:val="000000"/>
                <w:kern w:val="2"/>
                <w:sz w:val="20"/>
                <w:szCs w:val="20"/>
                <w:lang w:val="ga"/>
                <w14:ligatures w14:val="standardContextual"/>
              </w:rPr>
              <w:t>18</w:t>
            </w:r>
          </w:p>
        </w:tc>
        <w:tc>
          <w:tcPr>
            <w:tcW w:w="1430" w:type="dxa"/>
            <w:tcBorders>
              <w:top w:val="single" w:sz="4" w:space="0" w:color="auto"/>
              <w:left w:val="single" w:sz="4" w:space="0" w:color="auto"/>
              <w:bottom w:val="single" w:sz="4" w:space="0" w:color="auto"/>
              <w:right w:val="single" w:sz="4" w:space="0" w:color="auto"/>
            </w:tcBorders>
            <w:hideMark/>
          </w:tcPr>
          <w:p w14:paraId="560A38CA" w14:textId="77777777" w:rsidR="00590BEF" w:rsidRPr="007202FA" w:rsidRDefault="000B4F21" w:rsidP="007202FA">
            <w:pPr>
              <w:pStyle w:val="TableHead"/>
              <w:jc w:val="right"/>
              <w:rPr>
                <w:rFonts w:ascii="Verdana" w:hAnsi="Verdana"/>
                <w:kern w:val="2"/>
                <w:sz w:val="20"/>
                <w:szCs w:val="20"/>
                <w14:ligatures w14:val="standardContextual"/>
              </w:rPr>
            </w:pPr>
            <w:r>
              <w:rPr>
                <w:rFonts w:ascii="Verdana" w:hAnsi="Verdana" w:cs="Calibri"/>
                <w:bCs/>
                <w:color w:val="000000"/>
                <w:kern w:val="2"/>
                <w:sz w:val="20"/>
                <w:szCs w:val="20"/>
                <w:lang w:val="ga"/>
                <w14:ligatures w14:val="standardContextual"/>
              </w:rPr>
              <w:t>1</w:t>
            </w:r>
          </w:p>
        </w:tc>
        <w:tc>
          <w:tcPr>
            <w:tcW w:w="1547" w:type="dxa"/>
            <w:tcBorders>
              <w:top w:val="single" w:sz="4" w:space="0" w:color="auto"/>
              <w:left w:val="single" w:sz="4" w:space="0" w:color="auto"/>
              <w:bottom w:val="single" w:sz="4" w:space="0" w:color="auto"/>
              <w:right w:val="single" w:sz="4" w:space="0" w:color="auto"/>
            </w:tcBorders>
          </w:tcPr>
          <w:p w14:paraId="61319365" w14:textId="77777777" w:rsidR="00590BEF" w:rsidRPr="007202FA" w:rsidRDefault="000B4F21" w:rsidP="007202FA">
            <w:pPr>
              <w:jc w:val="right"/>
              <w:rPr>
                <w:rFonts w:cs="Calibri"/>
                <w:b/>
                <w:bCs/>
                <w:color w:val="000000"/>
                <w:sz w:val="20"/>
                <w:szCs w:val="20"/>
              </w:rPr>
            </w:pPr>
            <w:r>
              <w:rPr>
                <w:rFonts w:cs="Calibri"/>
                <w:b/>
                <w:bCs/>
                <w:color w:val="000000"/>
                <w:sz w:val="20"/>
                <w:szCs w:val="20"/>
                <w:lang w:val="ga"/>
              </w:rPr>
              <w:t>5.6%</w:t>
            </w:r>
          </w:p>
          <w:p w14:paraId="45F066C1" w14:textId="77777777" w:rsidR="00590BEF" w:rsidRPr="007202FA" w:rsidRDefault="00590BEF" w:rsidP="007202FA">
            <w:pPr>
              <w:pStyle w:val="TableHead"/>
              <w:jc w:val="right"/>
              <w:rPr>
                <w:rFonts w:ascii="Verdana" w:hAnsi="Verdana"/>
                <w:kern w:val="2"/>
                <w:sz w:val="20"/>
                <w:szCs w:val="20"/>
                <w14:ligatures w14:val="standardContextual"/>
              </w:rPr>
            </w:pPr>
          </w:p>
        </w:tc>
        <w:tc>
          <w:tcPr>
            <w:tcW w:w="1430" w:type="dxa"/>
            <w:tcBorders>
              <w:top w:val="single" w:sz="4" w:space="0" w:color="auto"/>
              <w:left w:val="single" w:sz="4" w:space="0" w:color="auto"/>
              <w:bottom w:val="single" w:sz="4" w:space="0" w:color="auto"/>
              <w:right w:val="single" w:sz="4" w:space="0" w:color="auto"/>
            </w:tcBorders>
          </w:tcPr>
          <w:p w14:paraId="32A2C485" w14:textId="77777777" w:rsidR="00590BEF"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19</w:t>
            </w:r>
          </w:p>
          <w:p w14:paraId="2959E3F5" w14:textId="77777777" w:rsidR="00590BEF" w:rsidRPr="007202FA" w:rsidRDefault="00590BEF" w:rsidP="007202FA">
            <w:pPr>
              <w:pStyle w:val="TableHead"/>
              <w:jc w:val="right"/>
              <w:rPr>
                <w:rFonts w:ascii="Verdana" w:hAnsi="Verdana"/>
                <w:kern w:val="2"/>
                <w:sz w:val="20"/>
                <w:szCs w:val="20"/>
                <w14:ligatures w14:val="standardContextual"/>
              </w:rPr>
            </w:pPr>
          </w:p>
        </w:tc>
        <w:tc>
          <w:tcPr>
            <w:tcW w:w="1983" w:type="dxa"/>
            <w:tcBorders>
              <w:top w:val="single" w:sz="4" w:space="0" w:color="auto"/>
              <w:left w:val="single" w:sz="4" w:space="0" w:color="auto"/>
              <w:bottom w:val="single" w:sz="4" w:space="0" w:color="auto"/>
              <w:right w:val="single" w:sz="4" w:space="0" w:color="auto"/>
            </w:tcBorders>
          </w:tcPr>
          <w:p w14:paraId="788AE5F9" w14:textId="77777777" w:rsidR="00590BEF"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3</w:t>
            </w:r>
          </w:p>
          <w:p w14:paraId="03A5759A" w14:textId="77777777" w:rsidR="00590BEF" w:rsidRPr="007202FA" w:rsidRDefault="00590BEF" w:rsidP="007202FA">
            <w:pPr>
              <w:pStyle w:val="TableHead"/>
              <w:jc w:val="right"/>
              <w:rPr>
                <w:rFonts w:ascii="Verdana" w:hAnsi="Verdana"/>
                <w:kern w:val="2"/>
                <w:sz w:val="20"/>
                <w:szCs w:val="20"/>
                <w14:ligatures w14:val="standardContextual"/>
              </w:rPr>
            </w:pPr>
          </w:p>
        </w:tc>
        <w:tc>
          <w:tcPr>
            <w:tcW w:w="1831" w:type="dxa"/>
            <w:tcBorders>
              <w:top w:val="single" w:sz="4" w:space="0" w:color="auto"/>
              <w:left w:val="single" w:sz="4" w:space="0" w:color="auto"/>
              <w:bottom w:val="single" w:sz="4" w:space="0" w:color="auto"/>
              <w:right w:val="single" w:sz="4" w:space="0" w:color="auto"/>
            </w:tcBorders>
          </w:tcPr>
          <w:p w14:paraId="7D9D3709" w14:textId="77777777" w:rsidR="00590BEF" w:rsidRPr="007202FA" w:rsidRDefault="000B4F21" w:rsidP="007202FA">
            <w:pPr>
              <w:pStyle w:val="TableHead"/>
              <w:jc w:val="right"/>
              <w:rPr>
                <w:rFonts w:ascii="Verdana" w:hAnsi="Verdana"/>
                <w:bCs/>
                <w:kern w:val="2"/>
                <w:sz w:val="20"/>
                <w:szCs w:val="20"/>
                <w14:ligatures w14:val="standardContextual"/>
              </w:rPr>
            </w:pPr>
            <w:r>
              <w:rPr>
                <w:rFonts w:ascii="Verdana" w:hAnsi="Verdana"/>
                <w:bCs/>
                <w:kern w:val="2"/>
                <w:sz w:val="20"/>
                <w:szCs w:val="20"/>
                <w:lang w:val="ga"/>
                <w14:ligatures w14:val="standardContextual"/>
              </w:rPr>
              <w:t>15.8%</w:t>
            </w:r>
          </w:p>
          <w:p w14:paraId="135546EA" w14:textId="77777777" w:rsidR="00590BEF" w:rsidRPr="007202FA" w:rsidRDefault="00590BEF" w:rsidP="007202FA">
            <w:pPr>
              <w:pStyle w:val="TableHead"/>
              <w:jc w:val="right"/>
              <w:rPr>
                <w:rFonts w:ascii="Verdana" w:hAnsi="Verdana"/>
                <w:kern w:val="2"/>
                <w:sz w:val="20"/>
                <w:szCs w:val="20"/>
                <w14:ligatures w14:val="standardContextual"/>
              </w:rPr>
            </w:pPr>
          </w:p>
        </w:tc>
      </w:tr>
    </w:tbl>
    <w:p w14:paraId="6EB51668" w14:textId="77777777" w:rsidR="00590BEF" w:rsidRPr="007202FA" w:rsidRDefault="00590BEF" w:rsidP="007202FA">
      <w:pPr>
        <w:rPr>
          <w:sz w:val="20"/>
          <w:szCs w:val="20"/>
        </w:rPr>
      </w:pPr>
    </w:p>
    <w:p w14:paraId="3429890C" w14:textId="77777777" w:rsidR="00590BEF" w:rsidRPr="007202FA" w:rsidRDefault="000B4F21" w:rsidP="007202FA">
      <w:pPr>
        <w:spacing w:after="0"/>
        <w:rPr>
          <w:rFonts w:ascii="Gill Sans" w:hAnsi="Gill Sans"/>
        </w:rPr>
      </w:pPr>
      <w:r>
        <w:rPr>
          <w:rFonts w:ascii="Gill Sans" w:hAnsi="Gill Sans"/>
          <w:kern w:val="0"/>
          <w:lang w:val="ga"/>
          <w14:ligatures w14:val="none"/>
        </w:rPr>
        <w:br w:type="page"/>
      </w:r>
    </w:p>
    <w:p w14:paraId="387B4F2D" w14:textId="77777777" w:rsidR="00590BEF" w:rsidRPr="007202FA" w:rsidRDefault="000B4F21" w:rsidP="007202FA">
      <w:pPr>
        <w:pStyle w:val="Heading2"/>
        <w:jc w:val="center"/>
      </w:pPr>
      <w:bookmarkStart w:id="233" w:name="_Toc176801636"/>
      <w:bookmarkStart w:id="234" w:name="_Toc214033674"/>
      <w:bookmarkStart w:id="235" w:name="_Hlk212038507"/>
      <w:r>
        <w:rPr>
          <w:bCs/>
          <w:lang w:val="ga"/>
        </w:rPr>
        <w:lastRenderedPageBreak/>
        <w:t>An Roinn Turasóireachta, Cultúir, Ealaíon, Gaeltachta, Spóirt agus Meán</w:t>
      </w:r>
      <w:bookmarkEnd w:id="233"/>
      <w:bookmarkEnd w:id="234"/>
    </w:p>
    <w:tbl>
      <w:tblPr>
        <w:tblW w:w="11340" w:type="dxa"/>
        <w:tblInd w:w="-114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665"/>
        <w:gridCol w:w="1456"/>
        <w:gridCol w:w="1557"/>
        <w:gridCol w:w="1559"/>
        <w:gridCol w:w="1701"/>
        <w:gridCol w:w="1843"/>
        <w:gridCol w:w="1559"/>
      </w:tblGrid>
      <w:tr w:rsidR="00F31303" w14:paraId="6AC19B46" w14:textId="77777777" w:rsidTr="007D6D30">
        <w:trPr>
          <w:tblHeader/>
        </w:trPr>
        <w:tc>
          <w:tcPr>
            <w:tcW w:w="1665" w:type="dxa"/>
            <w:tcBorders>
              <w:top w:val="single" w:sz="12" w:space="0" w:color="000000"/>
              <w:left w:val="single" w:sz="12" w:space="0" w:color="000000"/>
              <w:bottom w:val="single" w:sz="6" w:space="0" w:color="000000"/>
              <w:right w:val="single" w:sz="6" w:space="0" w:color="000000"/>
            </w:tcBorders>
            <w:hideMark/>
          </w:tcPr>
          <w:bookmarkEnd w:id="235"/>
          <w:p w14:paraId="6D994591" w14:textId="77777777" w:rsidR="00590BEF" w:rsidRPr="007202FA" w:rsidRDefault="000B4F21" w:rsidP="007202FA">
            <w:pPr>
              <w:spacing w:after="0"/>
              <w:rPr>
                <w:b/>
                <w:sz w:val="20"/>
                <w:szCs w:val="20"/>
              </w:rPr>
            </w:pPr>
            <w:r>
              <w:rPr>
                <w:b/>
                <w:bCs/>
                <w:sz w:val="20"/>
                <w:szCs w:val="20"/>
                <w:lang w:val="ga"/>
              </w:rPr>
              <w:t>Comhlacht Poiblí</w:t>
            </w:r>
          </w:p>
        </w:tc>
        <w:tc>
          <w:tcPr>
            <w:tcW w:w="1456" w:type="dxa"/>
            <w:tcBorders>
              <w:top w:val="single" w:sz="12" w:space="0" w:color="000000"/>
              <w:left w:val="single" w:sz="6" w:space="0" w:color="000000"/>
              <w:bottom w:val="single" w:sz="6" w:space="0" w:color="000000"/>
              <w:right w:val="single" w:sz="6" w:space="0" w:color="000000"/>
            </w:tcBorders>
            <w:hideMark/>
          </w:tcPr>
          <w:p w14:paraId="2C0EABCF" w14:textId="77777777" w:rsidR="00590BEF" w:rsidRPr="007202FA" w:rsidRDefault="000B4F21" w:rsidP="007202FA">
            <w:pPr>
              <w:spacing w:after="0"/>
              <w:rPr>
                <w:b/>
                <w:sz w:val="20"/>
                <w:szCs w:val="20"/>
              </w:rPr>
            </w:pPr>
            <w:r>
              <w:rPr>
                <w:b/>
                <w:bCs/>
                <w:sz w:val="20"/>
                <w:szCs w:val="20"/>
                <w:lang w:val="ga"/>
              </w:rPr>
              <w:t xml:space="preserve">An líon iomlán </w:t>
            </w:r>
          </w:p>
          <w:p w14:paraId="49E1FFD6" w14:textId="77777777" w:rsidR="00590BEF" w:rsidRPr="007202FA" w:rsidRDefault="000B4F21" w:rsidP="007202FA">
            <w:pPr>
              <w:spacing w:after="0"/>
              <w:rPr>
                <w:b/>
                <w:sz w:val="20"/>
                <w:szCs w:val="20"/>
              </w:rPr>
            </w:pPr>
            <w:r>
              <w:rPr>
                <w:b/>
                <w:bCs/>
                <w:sz w:val="20"/>
                <w:szCs w:val="20"/>
                <w:lang w:val="ga"/>
              </w:rPr>
              <w:t>fostaithe 2023</w:t>
            </w:r>
          </w:p>
        </w:tc>
        <w:tc>
          <w:tcPr>
            <w:tcW w:w="1557" w:type="dxa"/>
            <w:tcBorders>
              <w:top w:val="single" w:sz="12" w:space="0" w:color="000000"/>
              <w:left w:val="single" w:sz="6" w:space="0" w:color="000000"/>
              <w:bottom w:val="single" w:sz="6" w:space="0" w:color="000000"/>
              <w:right w:val="single" w:sz="6" w:space="0" w:color="000000"/>
            </w:tcBorders>
            <w:hideMark/>
          </w:tcPr>
          <w:p w14:paraId="7E209433" w14:textId="77777777" w:rsidR="00590BEF" w:rsidRPr="007202FA" w:rsidRDefault="000B4F21" w:rsidP="007202FA">
            <w:pPr>
              <w:spacing w:after="0"/>
              <w:rPr>
                <w:b/>
                <w:sz w:val="20"/>
                <w:szCs w:val="20"/>
              </w:rPr>
            </w:pPr>
            <w:r>
              <w:rPr>
                <w:b/>
                <w:bCs/>
                <w:sz w:val="20"/>
                <w:szCs w:val="20"/>
                <w:lang w:val="ga"/>
              </w:rPr>
              <w:t>An líon fostaithe a thuairiscigh míchumas 2023</w:t>
            </w:r>
          </w:p>
        </w:tc>
        <w:tc>
          <w:tcPr>
            <w:tcW w:w="1559" w:type="dxa"/>
            <w:tcBorders>
              <w:top w:val="single" w:sz="12" w:space="0" w:color="000000"/>
              <w:left w:val="single" w:sz="6" w:space="0" w:color="000000"/>
              <w:bottom w:val="single" w:sz="6" w:space="0" w:color="000000"/>
              <w:right w:val="single" w:sz="6" w:space="0" w:color="000000"/>
            </w:tcBorders>
            <w:hideMark/>
          </w:tcPr>
          <w:p w14:paraId="42E2521A" w14:textId="77777777" w:rsidR="00590BEF" w:rsidRPr="00C333A9" w:rsidRDefault="000B4F21" w:rsidP="007202FA">
            <w:pPr>
              <w:pStyle w:val="TableHead"/>
              <w:rPr>
                <w:rFonts w:ascii="Verdana" w:hAnsi="Verdana"/>
                <w:kern w:val="2"/>
                <w:sz w:val="19"/>
                <w:szCs w:val="19"/>
                <w14:ligatures w14:val="standardContextual"/>
              </w:rPr>
            </w:pPr>
            <w:r w:rsidRPr="00C333A9">
              <w:rPr>
                <w:rFonts w:ascii="Verdana" w:hAnsi="Verdana"/>
                <w:bCs/>
                <w:kern w:val="2"/>
                <w:sz w:val="19"/>
                <w:szCs w:val="19"/>
                <w:lang w:val="ga"/>
                <w14:ligatures w14:val="standardContextual"/>
              </w:rPr>
              <w:t>An % d’fhostaithe a thuairiscigh</w:t>
            </w:r>
          </w:p>
          <w:p w14:paraId="7F7486BC" w14:textId="77777777" w:rsidR="00590BEF" w:rsidRPr="007202FA" w:rsidRDefault="000B4F21" w:rsidP="007202FA">
            <w:pPr>
              <w:spacing w:after="0"/>
              <w:rPr>
                <w:b/>
                <w:sz w:val="20"/>
                <w:szCs w:val="20"/>
              </w:rPr>
            </w:pPr>
            <w:r w:rsidRPr="00C333A9">
              <w:rPr>
                <w:b/>
                <w:bCs/>
                <w:sz w:val="19"/>
                <w:szCs w:val="19"/>
                <w:lang w:val="ga"/>
              </w:rPr>
              <w:t>míchumas 2023</w:t>
            </w:r>
          </w:p>
        </w:tc>
        <w:tc>
          <w:tcPr>
            <w:tcW w:w="1701" w:type="dxa"/>
            <w:tcBorders>
              <w:top w:val="single" w:sz="12" w:space="0" w:color="000000"/>
              <w:left w:val="single" w:sz="6" w:space="0" w:color="000000"/>
              <w:bottom w:val="single" w:sz="6" w:space="0" w:color="000000"/>
              <w:right w:val="single" w:sz="6" w:space="0" w:color="000000"/>
            </w:tcBorders>
            <w:hideMark/>
          </w:tcPr>
          <w:p w14:paraId="3461CB97" w14:textId="77777777" w:rsidR="00590BEF" w:rsidRPr="007202FA" w:rsidRDefault="000B4F21" w:rsidP="007202FA">
            <w:pPr>
              <w:spacing w:after="0"/>
              <w:rPr>
                <w:b/>
                <w:sz w:val="20"/>
                <w:szCs w:val="20"/>
              </w:rPr>
            </w:pPr>
            <w:r>
              <w:rPr>
                <w:b/>
                <w:bCs/>
                <w:sz w:val="20"/>
                <w:szCs w:val="20"/>
                <w:lang w:val="ga"/>
              </w:rPr>
              <w:t xml:space="preserve">An líon iomlán </w:t>
            </w:r>
          </w:p>
          <w:p w14:paraId="26CC2BE9" w14:textId="77777777" w:rsidR="00590BEF" w:rsidRPr="007202FA" w:rsidRDefault="000B4F21" w:rsidP="007202FA">
            <w:pPr>
              <w:spacing w:after="0"/>
              <w:rPr>
                <w:b/>
                <w:sz w:val="20"/>
                <w:szCs w:val="20"/>
              </w:rPr>
            </w:pPr>
            <w:r>
              <w:rPr>
                <w:b/>
                <w:bCs/>
                <w:sz w:val="20"/>
                <w:szCs w:val="20"/>
                <w:lang w:val="ga"/>
              </w:rPr>
              <w:t>fostaithe 2024</w:t>
            </w:r>
          </w:p>
        </w:tc>
        <w:tc>
          <w:tcPr>
            <w:tcW w:w="1843" w:type="dxa"/>
            <w:tcBorders>
              <w:top w:val="single" w:sz="12" w:space="0" w:color="000000"/>
              <w:left w:val="single" w:sz="6" w:space="0" w:color="000000"/>
              <w:bottom w:val="single" w:sz="6" w:space="0" w:color="000000"/>
              <w:right w:val="single" w:sz="6" w:space="0" w:color="000000"/>
            </w:tcBorders>
            <w:hideMark/>
          </w:tcPr>
          <w:p w14:paraId="01BD4B23" w14:textId="77777777" w:rsidR="00590BEF" w:rsidRPr="007202FA" w:rsidRDefault="000B4F21" w:rsidP="007202FA">
            <w:pPr>
              <w:spacing w:after="0"/>
              <w:rPr>
                <w:b/>
                <w:sz w:val="20"/>
                <w:szCs w:val="20"/>
              </w:rPr>
            </w:pPr>
            <w:r>
              <w:rPr>
                <w:b/>
                <w:bCs/>
                <w:sz w:val="20"/>
                <w:szCs w:val="20"/>
                <w:lang w:val="ga"/>
              </w:rPr>
              <w:t xml:space="preserve">An líon fostaithe a thuairiscigh míchumas </w:t>
            </w:r>
          </w:p>
          <w:p w14:paraId="55F827C0" w14:textId="77777777" w:rsidR="00590BEF" w:rsidRPr="007202FA" w:rsidRDefault="000B4F21" w:rsidP="007202FA">
            <w:pPr>
              <w:spacing w:after="0"/>
              <w:rPr>
                <w:b/>
                <w:sz w:val="20"/>
                <w:szCs w:val="20"/>
              </w:rPr>
            </w:pPr>
            <w:r>
              <w:rPr>
                <w:b/>
                <w:bCs/>
                <w:sz w:val="20"/>
                <w:szCs w:val="20"/>
                <w:lang w:val="ga"/>
              </w:rPr>
              <w:t>2024</w:t>
            </w:r>
          </w:p>
        </w:tc>
        <w:tc>
          <w:tcPr>
            <w:tcW w:w="1559" w:type="dxa"/>
            <w:tcBorders>
              <w:top w:val="single" w:sz="12" w:space="0" w:color="000000"/>
              <w:left w:val="single" w:sz="6" w:space="0" w:color="000000"/>
              <w:bottom w:val="single" w:sz="6" w:space="0" w:color="000000"/>
              <w:right w:val="single" w:sz="12" w:space="0" w:color="000000"/>
            </w:tcBorders>
            <w:hideMark/>
          </w:tcPr>
          <w:p w14:paraId="2C19C6C6" w14:textId="77777777" w:rsidR="00590BEF" w:rsidRPr="00C333A9" w:rsidRDefault="000B4F21" w:rsidP="007202FA">
            <w:pPr>
              <w:pStyle w:val="TableHead"/>
              <w:rPr>
                <w:rFonts w:ascii="Verdana" w:hAnsi="Verdana"/>
                <w:kern w:val="2"/>
                <w:sz w:val="19"/>
                <w:szCs w:val="19"/>
                <w14:ligatures w14:val="standardContextual"/>
              </w:rPr>
            </w:pPr>
            <w:r w:rsidRPr="00C333A9">
              <w:rPr>
                <w:rFonts w:ascii="Verdana" w:hAnsi="Verdana"/>
                <w:bCs/>
                <w:kern w:val="2"/>
                <w:sz w:val="19"/>
                <w:szCs w:val="19"/>
                <w:lang w:val="ga"/>
                <w14:ligatures w14:val="standardContextual"/>
              </w:rPr>
              <w:t>An %</w:t>
            </w:r>
          </w:p>
          <w:p w14:paraId="73EB5220" w14:textId="77777777" w:rsidR="00590BEF" w:rsidRPr="00C333A9" w:rsidRDefault="000B4F21" w:rsidP="007202FA">
            <w:pPr>
              <w:pStyle w:val="TableHead"/>
              <w:rPr>
                <w:rFonts w:ascii="Verdana" w:hAnsi="Verdana"/>
                <w:kern w:val="2"/>
                <w:sz w:val="19"/>
                <w:szCs w:val="19"/>
                <w14:ligatures w14:val="standardContextual"/>
              </w:rPr>
            </w:pPr>
            <w:r w:rsidRPr="00C333A9">
              <w:rPr>
                <w:rFonts w:ascii="Verdana" w:hAnsi="Verdana"/>
                <w:bCs/>
                <w:kern w:val="2"/>
                <w:sz w:val="19"/>
                <w:szCs w:val="19"/>
                <w:lang w:val="ga"/>
                <w14:ligatures w14:val="standardContextual"/>
              </w:rPr>
              <w:t>d’fhostaithe a thuairiscigh</w:t>
            </w:r>
          </w:p>
          <w:p w14:paraId="25BA784F" w14:textId="77777777" w:rsidR="00590BEF" w:rsidRPr="00C333A9" w:rsidRDefault="000B4F21" w:rsidP="007202FA">
            <w:pPr>
              <w:spacing w:after="0"/>
              <w:rPr>
                <w:b/>
                <w:sz w:val="19"/>
                <w:szCs w:val="19"/>
              </w:rPr>
            </w:pPr>
            <w:r w:rsidRPr="00C333A9">
              <w:rPr>
                <w:b/>
                <w:bCs/>
                <w:sz w:val="19"/>
                <w:szCs w:val="19"/>
                <w:lang w:val="ga"/>
              </w:rPr>
              <w:t xml:space="preserve">míchumas </w:t>
            </w:r>
          </w:p>
          <w:p w14:paraId="7DA62AB7" w14:textId="77777777" w:rsidR="00590BEF" w:rsidRPr="007202FA" w:rsidRDefault="000B4F21" w:rsidP="007202FA">
            <w:pPr>
              <w:spacing w:after="0"/>
              <w:rPr>
                <w:b/>
                <w:sz w:val="20"/>
                <w:szCs w:val="20"/>
              </w:rPr>
            </w:pPr>
            <w:r w:rsidRPr="00C333A9">
              <w:rPr>
                <w:b/>
                <w:bCs/>
                <w:sz w:val="19"/>
                <w:szCs w:val="19"/>
                <w:lang w:val="ga"/>
              </w:rPr>
              <w:t>2024</w:t>
            </w:r>
          </w:p>
        </w:tc>
      </w:tr>
      <w:tr w:rsidR="00F31303" w14:paraId="6E091A79"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206EC2BE" w14:textId="77777777" w:rsidR="00590BEF" w:rsidRPr="007202FA" w:rsidRDefault="000B4F21" w:rsidP="007202FA">
            <w:pPr>
              <w:spacing w:after="0"/>
              <w:rPr>
                <w:sz w:val="20"/>
                <w:szCs w:val="20"/>
              </w:rPr>
            </w:pPr>
            <w:r>
              <w:rPr>
                <w:rFonts w:cs="Calibri"/>
                <w:color w:val="000000"/>
                <w:sz w:val="20"/>
                <w:szCs w:val="20"/>
                <w:lang w:val="ga"/>
              </w:rPr>
              <w:t>Leabharlann Chester Beatty</w:t>
            </w:r>
          </w:p>
        </w:tc>
        <w:tc>
          <w:tcPr>
            <w:tcW w:w="1456" w:type="dxa"/>
            <w:tcBorders>
              <w:top w:val="single" w:sz="6" w:space="0" w:color="000000"/>
              <w:left w:val="single" w:sz="6" w:space="0" w:color="000000"/>
              <w:bottom w:val="single" w:sz="6" w:space="0" w:color="000000"/>
              <w:right w:val="single" w:sz="6" w:space="0" w:color="000000"/>
            </w:tcBorders>
            <w:hideMark/>
          </w:tcPr>
          <w:p w14:paraId="5431C598" w14:textId="77777777" w:rsidR="00590BEF" w:rsidRPr="007202FA" w:rsidRDefault="000B4F21" w:rsidP="007202FA">
            <w:pPr>
              <w:spacing w:after="0"/>
              <w:jc w:val="right"/>
              <w:rPr>
                <w:sz w:val="20"/>
                <w:szCs w:val="20"/>
              </w:rPr>
            </w:pPr>
            <w:r>
              <w:rPr>
                <w:rFonts w:cs="Calibri"/>
                <w:color w:val="000000"/>
                <w:sz w:val="20"/>
                <w:szCs w:val="20"/>
                <w:lang w:val="ga"/>
              </w:rPr>
              <w:t>44</w:t>
            </w:r>
          </w:p>
        </w:tc>
        <w:tc>
          <w:tcPr>
            <w:tcW w:w="1557" w:type="dxa"/>
            <w:tcBorders>
              <w:top w:val="single" w:sz="6" w:space="0" w:color="000000"/>
              <w:left w:val="single" w:sz="6" w:space="0" w:color="000000"/>
              <w:bottom w:val="single" w:sz="6" w:space="0" w:color="000000"/>
              <w:right w:val="single" w:sz="6" w:space="0" w:color="000000"/>
            </w:tcBorders>
            <w:hideMark/>
          </w:tcPr>
          <w:p w14:paraId="14763881" w14:textId="77777777" w:rsidR="00590BEF" w:rsidRPr="007202FA" w:rsidRDefault="000B4F21" w:rsidP="007202FA">
            <w:pPr>
              <w:spacing w:after="0"/>
              <w:jc w:val="right"/>
              <w:rPr>
                <w:sz w:val="20"/>
                <w:szCs w:val="20"/>
              </w:rPr>
            </w:pPr>
            <w:r>
              <w:rPr>
                <w:rFonts w:cs="Calibri"/>
                <w:color w:val="000000"/>
                <w:sz w:val="20"/>
                <w:szCs w:val="20"/>
                <w:lang w:val="ga"/>
              </w:rPr>
              <w:t>2</w:t>
            </w:r>
          </w:p>
        </w:tc>
        <w:tc>
          <w:tcPr>
            <w:tcW w:w="1559" w:type="dxa"/>
            <w:tcBorders>
              <w:top w:val="single" w:sz="6" w:space="0" w:color="000000"/>
              <w:left w:val="single" w:sz="6" w:space="0" w:color="000000"/>
              <w:bottom w:val="single" w:sz="6" w:space="0" w:color="000000"/>
              <w:right w:val="single" w:sz="6" w:space="0" w:color="000000"/>
            </w:tcBorders>
            <w:hideMark/>
          </w:tcPr>
          <w:p w14:paraId="16627000" w14:textId="77777777" w:rsidR="00590BEF" w:rsidRPr="007202FA" w:rsidRDefault="000B4F21" w:rsidP="007202FA">
            <w:pPr>
              <w:spacing w:after="0"/>
              <w:jc w:val="right"/>
              <w:rPr>
                <w:sz w:val="20"/>
                <w:szCs w:val="20"/>
              </w:rPr>
            </w:pPr>
            <w:r>
              <w:rPr>
                <w:rFonts w:cs="Calibri"/>
                <w:color w:val="000000"/>
                <w:sz w:val="20"/>
                <w:szCs w:val="20"/>
                <w:lang w:val="ga"/>
              </w:rPr>
              <w:t>4.5%</w:t>
            </w:r>
          </w:p>
        </w:tc>
        <w:tc>
          <w:tcPr>
            <w:tcW w:w="1701" w:type="dxa"/>
            <w:tcBorders>
              <w:top w:val="single" w:sz="6" w:space="0" w:color="000000"/>
              <w:left w:val="single" w:sz="6" w:space="0" w:color="000000"/>
              <w:bottom w:val="single" w:sz="6" w:space="0" w:color="000000"/>
              <w:right w:val="single" w:sz="6" w:space="0" w:color="000000"/>
            </w:tcBorders>
          </w:tcPr>
          <w:p w14:paraId="596F803F" w14:textId="77777777" w:rsidR="00590BEF" w:rsidRPr="007202FA" w:rsidRDefault="000B4F21" w:rsidP="007202FA">
            <w:pPr>
              <w:spacing w:after="0"/>
              <w:jc w:val="right"/>
              <w:rPr>
                <w:sz w:val="20"/>
                <w:szCs w:val="20"/>
              </w:rPr>
            </w:pPr>
            <w:r>
              <w:rPr>
                <w:sz w:val="20"/>
                <w:szCs w:val="20"/>
                <w:lang w:val="ga"/>
              </w:rPr>
              <w:t>41</w:t>
            </w:r>
          </w:p>
          <w:p w14:paraId="2597DF55" w14:textId="77777777" w:rsidR="00590BEF" w:rsidRPr="007202FA" w:rsidRDefault="00590BEF" w:rsidP="007202FA">
            <w:pPr>
              <w:spacing w:after="0"/>
              <w:jc w:val="right"/>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4E5F8FAD" w14:textId="77777777" w:rsidR="00590BEF" w:rsidRPr="007202FA" w:rsidRDefault="000B4F21" w:rsidP="007202FA">
            <w:pPr>
              <w:spacing w:after="0"/>
              <w:jc w:val="right"/>
              <w:rPr>
                <w:sz w:val="20"/>
                <w:szCs w:val="20"/>
              </w:rPr>
            </w:pPr>
            <w:r>
              <w:rPr>
                <w:sz w:val="20"/>
                <w:szCs w:val="20"/>
                <w:lang w:val="ga"/>
              </w:rPr>
              <w:t>2</w:t>
            </w:r>
          </w:p>
          <w:p w14:paraId="4317CAD8" w14:textId="77777777" w:rsidR="00590BEF" w:rsidRPr="007202FA" w:rsidRDefault="00590BEF" w:rsidP="007202FA">
            <w:pPr>
              <w:spacing w:after="0"/>
              <w:jc w:val="right"/>
              <w:rPr>
                <w:sz w:val="20"/>
                <w:szCs w:val="20"/>
              </w:rPr>
            </w:pPr>
          </w:p>
        </w:tc>
        <w:tc>
          <w:tcPr>
            <w:tcW w:w="1559" w:type="dxa"/>
            <w:tcBorders>
              <w:top w:val="single" w:sz="6" w:space="0" w:color="000000"/>
              <w:left w:val="single" w:sz="6" w:space="0" w:color="000000"/>
              <w:bottom w:val="single" w:sz="6" w:space="0" w:color="000000"/>
              <w:right w:val="single" w:sz="12" w:space="0" w:color="000000"/>
            </w:tcBorders>
          </w:tcPr>
          <w:p w14:paraId="02CDA8FF" w14:textId="77777777" w:rsidR="00590BEF" w:rsidRPr="007202FA" w:rsidRDefault="000B4F21" w:rsidP="007202FA">
            <w:pPr>
              <w:spacing w:after="0"/>
              <w:jc w:val="right"/>
              <w:rPr>
                <w:sz w:val="20"/>
                <w:szCs w:val="20"/>
              </w:rPr>
            </w:pPr>
            <w:r>
              <w:rPr>
                <w:sz w:val="20"/>
                <w:szCs w:val="20"/>
                <w:lang w:val="ga"/>
              </w:rPr>
              <w:t>4.9%</w:t>
            </w:r>
          </w:p>
          <w:p w14:paraId="26D90106" w14:textId="77777777" w:rsidR="00590BEF" w:rsidRPr="007202FA" w:rsidRDefault="00590BEF" w:rsidP="007202FA">
            <w:pPr>
              <w:spacing w:after="0"/>
              <w:jc w:val="right"/>
              <w:rPr>
                <w:sz w:val="20"/>
                <w:szCs w:val="20"/>
              </w:rPr>
            </w:pPr>
          </w:p>
        </w:tc>
      </w:tr>
      <w:tr w:rsidR="00F31303" w14:paraId="73890A39"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6E4975E3" w14:textId="77777777" w:rsidR="00590BEF" w:rsidRPr="007202FA" w:rsidRDefault="000B4F21" w:rsidP="007202FA">
            <w:pPr>
              <w:spacing w:after="0"/>
              <w:rPr>
                <w:sz w:val="20"/>
                <w:szCs w:val="20"/>
              </w:rPr>
            </w:pPr>
            <w:r>
              <w:rPr>
                <w:rFonts w:cs="Calibri"/>
                <w:color w:val="000000"/>
                <w:sz w:val="20"/>
                <w:szCs w:val="20"/>
                <w:lang w:val="ga"/>
              </w:rPr>
              <w:t xml:space="preserve">Coimisiún na Meán </w:t>
            </w:r>
            <w:r>
              <w:rPr>
                <w:rFonts w:cs="Calibri"/>
                <w:b/>
                <w:bCs/>
                <w:color w:val="000000"/>
                <w:sz w:val="20"/>
                <w:szCs w:val="20"/>
                <w:lang w:val="ga"/>
              </w:rPr>
              <w:t xml:space="preserve"> </w:t>
            </w:r>
          </w:p>
        </w:tc>
        <w:tc>
          <w:tcPr>
            <w:tcW w:w="1456" w:type="dxa"/>
            <w:tcBorders>
              <w:top w:val="single" w:sz="6" w:space="0" w:color="000000"/>
              <w:left w:val="single" w:sz="6" w:space="0" w:color="000000"/>
              <w:bottom w:val="single" w:sz="6" w:space="0" w:color="000000"/>
              <w:right w:val="single" w:sz="6" w:space="0" w:color="000000"/>
            </w:tcBorders>
            <w:hideMark/>
          </w:tcPr>
          <w:p w14:paraId="133C6EE4" w14:textId="77777777" w:rsidR="00590BEF" w:rsidRPr="007202FA" w:rsidRDefault="000B4F21" w:rsidP="007202FA">
            <w:pPr>
              <w:spacing w:after="0"/>
              <w:jc w:val="right"/>
              <w:rPr>
                <w:sz w:val="20"/>
                <w:szCs w:val="20"/>
              </w:rPr>
            </w:pPr>
            <w:r>
              <w:rPr>
                <w:sz w:val="20"/>
                <w:szCs w:val="20"/>
                <w:lang w:val="ga"/>
              </w:rPr>
              <w:t>70</w:t>
            </w:r>
          </w:p>
        </w:tc>
        <w:tc>
          <w:tcPr>
            <w:tcW w:w="1557" w:type="dxa"/>
            <w:tcBorders>
              <w:top w:val="single" w:sz="6" w:space="0" w:color="000000"/>
              <w:left w:val="single" w:sz="6" w:space="0" w:color="000000"/>
              <w:bottom w:val="single" w:sz="6" w:space="0" w:color="000000"/>
              <w:right w:val="single" w:sz="6" w:space="0" w:color="000000"/>
            </w:tcBorders>
            <w:hideMark/>
          </w:tcPr>
          <w:p w14:paraId="1076EA30" w14:textId="77777777" w:rsidR="00590BEF" w:rsidRPr="007202FA" w:rsidRDefault="000B4F21" w:rsidP="007202FA">
            <w:pPr>
              <w:spacing w:after="0"/>
              <w:jc w:val="right"/>
              <w:rPr>
                <w:sz w:val="20"/>
                <w:szCs w:val="20"/>
              </w:rPr>
            </w:pPr>
            <w:r>
              <w:rPr>
                <w:sz w:val="20"/>
                <w:szCs w:val="20"/>
                <w:lang w:val="ga"/>
              </w:rPr>
              <w:t>7</w:t>
            </w:r>
          </w:p>
        </w:tc>
        <w:tc>
          <w:tcPr>
            <w:tcW w:w="1559" w:type="dxa"/>
            <w:tcBorders>
              <w:top w:val="single" w:sz="6" w:space="0" w:color="000000"/>
              <w:left w:val="single" w:sz="6" w:space="0" w:color="000000"/>
              <w:bottom w:val="single" w:sz="6" w:space="0" w:color="000000"/>
              <w:right w:val="single" w:sz="6" w:space="0" w:color="000000"/>
            </w:tcBorders>
            <w:hideMark/>
          </w:tcPr>
          <w:p w14:paraId="3D02E03F" w14:textId="77777777" w:rsidR="00590BEF" w:rsidRPr="007202FA" w:rsidRDefault="000B4F21" w:rsidP="007202FA">
            <w:pPr>
              <w:spacing w:after="0"/>
              <w:jc w:val="right"/>
              <w:rPr>
                <w:sz w:val="20"/>
                <w:szCs w:val="20"/>
              </w:rPr>
            </w:pPr>
            <w:r>
              <w:rPr>
                <w:sz w:val="20"/>
                <w:szCs w:val="20"/>
                <w:lang w:val="ga"/>
              </w:rPr>
              <w:t>10.0%</w:t>
            </w:r>
          </w:p>
        </w:tc>
        <w:tc>
          <w:tcPr>
            <w:tcW w:w="1701" w:type="dxa"/>
            <w:tcBorders>
              <w:top w:val="single" w:sz="6" w:space="0" w:color="000000"/>
              <w:left w:val="single" w:sz="6" w:space="0" w:color="000000"/>
              <w:bottom w:val="single" w:sz="6" w:space="0" w:color="000000"/>
              <w:right w:val="single" w:sz="6" w:space="0" w:color="000000"/>
            </w:tcBorders>
          </w:tcPr>
          <w:p w14:paraId="32619C31" w14:textId="77777777" w:rsidR="00590BEF" w:rsidRPr="007202FA" w:rsidRDefault="000B4F21" w:rsidP="007202FA">
            <w:pPr>
              <w:spacing w:after="0"/>
              <w:jc w:val="right"/>
              <w:rPr>
                <w:sz w:val="20"/>
                <w:szCs w:val="20"/>
              </w:rPr>
            </w:pPr>
            <w:r>
              <w:rPr>
                <w:sz w:val="20"/>
                <w:szCs w:val="20"/>
                <w:lang w:val="ga"/>
              </w:rPr>
              <w:t>209</w:t>
            </w:r>
          </w:p>
          <w:p w14:paraId="65B1CC54" w14:textId="77777777" w:rsidR="00590BEF" w:rsidRPr="007202FA" w:rsidRDefault="00590BEF" w:rsidP="007202FA">
            <w:pPr>
              <w:spacing w:after="0"/>
              <w:jc w:val="right"/>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70F8AC1F" w14:textId="77777777" w:rsidR="00590BEF" w:rsidRPr="007202FA" w:rsidRDefault="000B4F21" w:rsidP="007202FA">
            <w:pPr>
              <w:spacing w:after="0"/>
              <w:jc w:val="right"/>
              <w:rPr>
                <w:sz w:val="20"/>
                <w:szCs w:val="20"/>
              </w:rPr>
            </w:pPr>
            <w:r>
              <w:rPr>
                <w:sz w:val="20"/>
                <w:szCs w:val="20"/>
                <w:lang w:val="ga"/>
              </w:rPr>
              <w:t>31</w:t>
            </w:r>
          </w:p>
          <w:p w14:paraId="0EF019E6" w14:textId="77777777" w:rsidR="00590BEF" w:rsidRPr="007202FA" w:rsidRDefault="00590BEF" w:rsidP="007202FA">
            <w:pPr>
              <w:spacing w:after="0"/>
              <w:jc w:val="right"/>
              <w:rPr>
                <w:sz w:val="20"/>
                <w:szCs w:val="20"/>
              </w:rPr>
            </w:pPr>
          </w:p>
        </w:tc>
        <w:tc>
          <w:tcPr>
            <w:tcW w:w="1559" w:type="dxa"/>
            <w:tcBorders>
              <w:top w:val="single" w:sz="6" w:space="0" w:color="000000"/>
              <w:left w:val="single" w:sz="6" w:space="0" w:color="000000"/>
              <w:bottom w:val="single" w:sz="6" w:space="0" w:color="000000"/>
              <w:right w:val="single" w:sz="12" w:space="0" w:color="000000"/>
            </w:tcBorders>
          </w:tcPr>
          <w:p w14:paraId="2C1E511E" w14:textId="77777777" w:rsidR="00590BEF" w:rsidRPr="007202FA" w:rsidRDefault="000B4F21" w:rsidP="007202FA">
            <w:pPr>
              <w:spacing w:after="0"/>
              <w:jc w:val="right"/>
              <w:rPr>
                <w:sz w:val="20"/>
                <w:szCs w:val="20"/>
              </w:rPr>
            </w:pPr>
            <w:r>
              <w:rPr>
                <w:sz w:val="20"/>
                <w:szCs w:val="20"/>
                <w:lang w:val="ga"/>
              </w:rPr>
              <w:t>14.8%</w:t>
            </w:r>
          </w:p>
          <w:p w14:paraId="221AA718" w14:textId="77777777" w:rsidR="00590BEF" w:rsidRPr="007202FA" w:rsidRDefault="00590BEF" w:rsidP="007202FA">
            <w:pPr>
              <w:spacing w:after="0"/>
              <w:jc w:val="right"/>
              <w:rPr>
                <w:sz w:val="20"/>
                <w:szCs w:val="20"/>
              </w:rPr>
            </w:pPr>
          </w:p>
        </w:tc>
      </w:tr>
      <w:tr w:rsidR="00F31303" w14:paraId="1C47A531"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6B5A29FC" w14:textId="77777777" w:rsidR="00590BEF" w:rsidRPr="007202FA" w:rsidRDefault="000B4F21" w:rsidP="007202FA">
            <w:pPr>
              <w:spacing w:after="0"/>
              <w:rPr>
                <w:sz w:val="20"/>
                <w:szCs w:val="20"/>
              </w:rPr>
            </w:pPr>
            <w:r>
              <w:rPr>
                <w:rFonts w:cs="Calibri"/>
                <w:color w:val="000000"/>
                <w:sz w:val="20"/>
                <w:szCs w:val="20"/>
                <w:lang w:val="ga"/>
              </w:rPr>
              <w:t>Gailearaí Ealaíne Crawford</w:t>
            </w:r>
          </w:p>
        </w:tc>
        <w:tc>
          <w:tcPr>
            <w:tcW w:w="1456" w:type="dxa"/>
            <w:tcBorders>
              <w:top w:val="single" w:sz="6" w:space="0" w:color="000000"/>
              <w:left w:val="single" w:sz="6" w:space="0" w:color="000000"/>
              <w:bottom w:val="single" w:sz="6" w:space="0" w:color="000000"/>
              <w:right w:val="single" w:sz="6" w:space="0" w:color="000000"/>
            </w:tcBorders>
            <w:hideMark/>
          </w:tcPr>
          <w:p w14:paraId="7D099D5B" w14:textId="77777777" w:rsidR="00590BEF" w:rsidRPr="007202FA" w:rsidRDefault="000B4F21" w:rsidP="007202FA">
            <w:pPr>
              <w:spacing w:after="0"/>
              <w:jc w:val="right"/>
              <w:rPr>
                <w:sz w:val="20"/>
                <w:szCs w:val="20"/>
              </w:rPr>
            </w:pPr>
            <w:r>
              <w:rPr>
                <w:rFonts w:cs="Calibri"/>
                <w:color w:val="000000"/>
                <w:sz w:val="20"/>
                <w:szCs w:val="20"/>
                <w:lang w:val="ga"/>
              </w:rPr>
              <w:t>23</w:t>
            </w:r>
          </w:p>
        </w:tc>
        <w:tc>
          <w:tcPr>
            <w:tcW w:w="1557" w:type="dxa"/>
            <w:tcBorders>
              <w:top w:val="single" w:sz="6" w:space="0" w:color="000000"/>
              <w:left w:val="single" w:sz="6" w:space="0" w:color="000000"/>
              <w:bottom w:val="single" w:sz="6" w:space="0" w:color="000000"/>
              <w:right w:val="single" w:sz="6" w:space="0" w:color="000000"/>
            </w:tcBorders>
            <w:hideMark/>
          </w:tcPr>
          <w:p w14:paraId="74E6B327" w14:textId="77777777" w:rsidR="00590BEF" w:rsidRPr="007202FA" w:rsidRDefault="000B4F21" w:rsidP="007202FA">
            <w:pPr>
              <w:spacing w:after="0"/>
              <w:jc w:val="right"/>
              <w:rPr>
                <w:sz w:val="20"/>
                <w:szCs w:val="20"/>
              </w:rPr>
            </w:pPr>
            <w:r>
              <w:rPr>
                <w:rFonts w:cs="Calibri"/>
                <w:color w:val="000000"/>
                <w:sz w:val="20"/>
                <w:szCs w:val="20"/>
                <w:lang w:val="ga"/>
              </w:rPr>
              <w:t>3</w:t>
            </w:r>
          </w:p>
        </w:tc>
        <w:tc>
          <w:tcPr>
            <w:tcW w:w="1559" w:type="dxa"/>
            <w:tcBorders>
              <w:top w:val="single" w:sz="6" w:space="0" w:color="000000"/>
              <w:left w:val="single" w:sz="6" w:space="0" w:color="000000"/>
              <w:bottom w:val="single" w:sz="6" w:space="0" w:color="000000"/>
              <w:right w:val="single" w:sz="6" w:space="0" w:color="000000"/>
            </w:tcBorders>
            <w:hideMark/>
          </w:tcPr>
          <w:p w14:paraId="5173CC30" w14:textId="77777777" w:rsidR="00590BEF" w:rsidRPr="007202FA" w:rsidRDefault="000B4F21" w:rsidP="007202FA">
            <w:pPr>
              <w:spacing w:after="0"/>
              <w:jc w:val="right"/>
              <w:rPr>
                <w:sz w:val="20"/>
                <w:szCs w:val="20"/>
              </w:rPr>
            </w:pPr>
            <w:r>
              <w:rPr>
                <w:rFonts w:cs="Calibri"/>
                <w:color w:val="000000"/>
                <w:sz w:val="20"/>
                <w:szCs w:val="20"/>
                <w:lang w:val="ga"/>
              </w:rPr>
              <w:t>13.0%</w:t>
            </w:r>
          </w:p>
        </w:tc>
        <w:tc>
          <w:tcPr>
            <w:tcW w:w="1701" w:type="dxa"/>
            <w:tcBorders>
              <w:top w:val="single" w:sz="4" w:space="0" w:color="auto"/>
              <w:left w:val="single" w:sz="4" w:space="0" w:color="auto"/>
              <w:bottom w:val="single" w:sz="4" w:space="0" w:color="auto"/>
              <w:right w:val="single" w:sz="4" w:space="0" w:color="auto"/>
            </w:tcBorders>
          </w:tcPr>
          <w:p w14:paraId="626D325D" w14:textId="77777777" w:rsidR="00590BEF" w:rsidRPr="007202FA" w:rsidRDefault="000B4F21" w:rsidP="007202FA">
            <w:pPr>
              <w:spacing w:after="0"/>
              <w:jc w:val="right"/>
              <w:rPr>
                <w:sz w:val="20"/>
                <w:szCs w:val="20"/>
              </w:rPr>
            </w:pPr>
            <w:r>
              <w:rPr>
                <w:sz w:val="20"/>
                <w:szCs w:val="20"/>
                <w:lang w:val="ga"/>
              </w:rPr>
              <w:t>25</w:t>
            </w:r>
          </w:p>
          <w:p w14:paraId="12320D54"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5360671" w14:textId="77777777" w:rsidR="00590BEF" w:rsidRPr="007202FA" w:rsidRDefault="000B4F21" w:rsidP="007202FA">
            <w:pPr>
              <w:spacing w:after="0"/>
              <w:jc w:val="right"/>
              <w:rPr>
                <w:sz w:val="20"/>
                <w:szCs w:val="20"/>
              </w:rPr>
            </w:pPr>
            <w:r>
              <w:rPr>
                <w:sz w:val="20"/>
                <w:szCs w:val="20"/>
                <w:lang w:val="ga"/>
              </w:rPr>
              <w:t>4</w:t>
            </w:r>
          </w:p>
          <w:p w14:paraId="24A1D600"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9B7345" w14:textId="77777777" w:rsidR="00590BEF" w:rsidRPr="007202FA" w:rsidRDefault="000B4F21" w:rsidP="007202FA">
            <w:pPr>
              <w:spacing w:after="0"/>
              <w:jc w:val="right"/>
              <w:rPr>
                <w:sz w:val="20"/>
                <w:szCs w:val="20"/>
              </w:rPr>
            </w:pPr>
            <w:r>
              <w:rPr>
                <w:sz w:val="20"/>
                <w:szCs w:val="20"/>
                <w:lang w:val="ga"/>
              </w:rPr>
              <w:t>16.0%</w:t>
            </w:r>
          </w:p>
          <w:p w14:paraId="39A223E4" w14:textId="77777777" w:rsidR="00590BEF" w:rsidRPr="007202FA" w:rsidRDefault="00590BEF" w:rsidP="007202FA">
            <w:pPr>
              <w:spacing w:after="0"/>
              <w:jc w:val="right"/>
              <w:rPr>
                <w:sz w:val="20"/>
                <w:szCs w:val="20"/>
              </w:rPr>
            </w:pPr>
          </w:p>
        </w:tc>
      </w:tr>
      <w:tr w:rsidR="00F31303" w14:paraId="384BA8F6"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03990798" w14:textId="77777777" w:rsidR="00590BEF" w:rsidRPr="007202FA" w:rsidRDefault="000B4F21" w:rsidP="007202FA">
            <w:pPr>
              <w:spacing w:after="0"/>
              <w:rPr>
                <w:b/>
                <w:sz w:val="20"/>
                <w:szCs w:val="20"/>
              </w:rPr>
            </w:pPr>
            <w:r>
              <w:rPr>
                <w:rFonts w:cs="Calibri"/>
                <w:color w:val="000000"/>
                <w:sz w:val="20"/>
                <w:szCs w:val="20"/>
                <w:lang w:val="ga"/>
              </w:rPr>
              <w:t>Fáilte Éireann</w:t>
            </w:r>
          </w:p>
        </w:tc>
        <w:tc>
          <w:tcPr>
            <w:tcW w:w="1456" w:type="dxa"/>
            <w:tcBorders>
              <w:top w:val="single" w:sz="6" w:space="0" w:color="000000"/>
              <w:left w:val="single" w:sz="6" w:space="0" w:color="000000"/>
              <w:bottom w:val="single" w:sz="6" w:space="0" w:color="000000"/>
              <w:right w:val="single" w:sz="6" w:space="0" w:color="000000"/>
            </w:tcBorders>
            <w:hideMark/>
          </w:tcPr>
          <w:p w14:paraId="20C50DF0" w14:textId="77777777" w:rsidR="00590BEF" w:rsidRPr="007202FA" w:rsidRDefault="000B4F21" w:rsidP="007202FA">
            <w:pPr>
              <w:spacing w:after="0"/>
              <w:jc w:val="right"/>
              <w:rPr>
                <w:sz w:val="20"/>
                <w:szCs w:val="20"/>
              </w:rPr>
            </w:pPr>
            <w:r>
              <w:rPr>
                <w:rFonts w:cs="Calibri"/>
                <w:color w:val="000000"/>
                <w:sz w:val="20"/>
                <w:szCs w:val="20"/>
                <w:lang w:val="ga"/>
              </w:rPr>
              <w:t>448</w:t>
            </w:r>
          </w:p>
        </w:tc>
        <w:tc>
          <w:tcPr>
            <w:tcW w:w="1557" w:type="dxa"/>
            <w:tcBorders>
              <w:top w:val="single" w:sz="6" w:space="0" w:color="000000"/>
              <w:left w:val="single" w:sz="6" w:space="0" w:color="000000"/>
              <w:bottom w:val="single" w:sz="6" w:space="0" w:color="000000"/>
              <w:right w:val="single" w:sz="6" w:space="0" w:color="000000"/>
            </w:tcBorders>
            <w:hideMark/>
          </w:tcPr>
          <w:p w14:paraId="42B4811C" w14:textId="77777777" w:rsidR="00590BEF" w:rsidRPr="007202FA" w:rsidRDefault="000B4F21" w:rsidP="007202FA">
            <w:pPr>
              <w:spacing w:after="0"/>
              <w:jc w:val="right"/>
              <w:rPr>
                <w:sz w:val="20"/>
                <w:szCs w:val="20"/>
              </w:rPr>
            </w:pPr>
            <w:r>
              <w:rPr>
                <w:rFonts w:cs="Calibri"/>
                <w:color w:val="000000"/>
                <w:sz w:val="20"/>
                <w:szCs w:val="20"/>
                <w:lang w:val="ga"/>
              </w:rPr>
              <w:t>41</w:t>
            </w:r>
          </w:p>
        </w:tc>
        <w:tc>
          <w:tcPr>
            <w:tcW w:w="1559" w:type="dxa"/>
            <w:tcBorders>
              <w:top w:val="single" w:sz="6" w:space="0" w:color="000000"/>
              <w:left w:val="single" w:sz="6" w:space="0" w:color="000000"/>
              <w:bottom w:val="single" w:sz="6" w:space="0" w:color="000000"/>
              <w:right w:val="single" w:sz="6" w:space="0" w:color="000000"/>
            </w:tcBorders>
            <w:hideMark/>
          </w:tcPr>
          <w:p w14:paraId="21C9EF9B" w14:textId="77777777" w:rsidR="00590BEF" w:rsidRPr="007202FA" w:rsidRDefault="000B4F21" w:rsidP="007202FA">
            <w:pPr>
              <w:spacing w:after="0"/>
              <w:jc w:val="right"/>
              <w:rPr>
                <w:sz w:val="20"/>
                <w:szCs w:val="20"/>
              </w:rPr>
            </w:pPr>
            <w:r>
              <w:rPr>
                <w:rFonts w:cs="Calibri"/>
                <w:color w:val="000000"/>
                <w:sz w:val="20"/>
                <w:szCs w:val="20"/>
                <w:lang w:val="ga"/>
              </w:rPr>
              <w:t>9.2%</w:t>
            </w:r>
          </w:p>
        </w:tc>
        <w:tc>
          <w:tcPr>
            <w:tcW w:w="1701" w:type="dxa"/>
            <w:tcBorders>
              <w:top w:val="single" w:sz="4" w:space="0" w:color="auto"/>
              <w:left w:val="single" w:sz="4" w:space="0" w:color="auto"/>
              <w:bottom w:val="single" w:sz="4" w:space="0" w:color="auto"/>
              <w:right w:val="single" w:sz="4" w:space="0" w:color="auto"/>
            </w:tcBorders>
          </w:tcPr>
          <w:p w14:paraId="3ED51D9C" w14:textId="0F1BB678" w:rsidR="00590BEF" w:rsidRPr="007202FA" w:rsidRDefault="000B4F21" w:rsidP="007202FA">
            <w:pPr>
              <w:spacing w:after="0"/>
              <w:jc w:val="right"/>
              <w:rPr>
                <w:sz w:val="20"/>
                <w:szCs w:val="20"/>
              </w:rPr>
            </w:pPr>
            <w:r>
              <w:rPr>
                <w:sz w:val="20"/>
                <w:szCs w:val="20"/>
                <w:lang w:val="ga"/>
              </w:rPr>
              <w:t>476</w:t>
            </w:r>
          </w:p>
        </w:tc>
        <w:tc>
          <w:tcPr>
            <w:tcW w:w="1843" w:type="dxa"/>
            <w:tcBorders>
              <w:top w:val="single" w:sz="4" w:space="0" w:color="auto"/>
              <w:left w:val="single" w:sz="4" w:space="0" w:color="auto"/>
              <w:bottom w:val="single" w:sz="4" w:space="0" w:color="auto"/>
              <w:right w:val="single" w:sz="4" w:space="0" w:color="auto"/>
            </w:tcBorders>
          </w:tcPr>
          <w:p w14:paraId="2415C79F" w14:textId="1FBC384C" w:rsidR="00590BEF" w:rsidRPr="007202FA" w:rsidRDefault="000B4F21" w:rsidP="007202FA">
            <w:pPr>
              <w:spacing w:after="0"/>
              <w:jc w:val="right"/>
              <w:rPr>
                <w:sz w:val="20"/>
                <w:szCs w:val="20"/>
              </w:rPr>
            </w:pPr>
            <w:r>
              <w:rPr>
                <w:sz w:val="20"/>
                <w:szCs w:val="20"/>
                <w:lang w:val="ga"/>
              </w:rPr>
              <w:t>56</w:t>
            </w:r>
          </w:p>
        </w:tc>
        <w:tc>
          <w:tcPr>
            <w:tcW w:w="1559" w:type="dxa"/>
            <w:tcBorders>
              <w:top w:val="single" w:sz="4" w:space="0" w:color="auto"/>
              <w:left w:val="single" w:sz="4" w:space="0" w:color="auto"/>
              <w:bottom w:val="single" w:sz="4" w:space="0" w:color="auto"/>
              <w:right w:val="single" w:sz="4" w:space="0" w:color="auto"/>
            </w:tcBorders>
          </w:tcPr>
          <w:p w14:paraId="478E4721" w14:textId="1BEF34E0" w:rsidR="00590BEF" w:rsidRPr="007202FA" w:rsidRDefault="000B4F21" w:rsidP="007202FA">
            <w:pPr>
              <w:spacing w:after="0"/>
              <w:jc w:val="right"/>
              <w:rPr>
                <w:sz w:val="20"/>
                <w:szCs w:val="20"/>
              </w:rPr>
            </w:pPr>
            <w:r>
              <w:rPr>
                <w:sz w:val="20"/>
                <w:szCs w:val="20"/>
                <w:lang w:val="ga"/>
              </w:rPr>
              <w:t>11.8%</w:t>
            </w:r>
          </w:p>
        </w:tc>
      </w:tr>
      <w:tr w:rsidR="00F31303" w14:paraId="26077AC6"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499DB564" w14:textId="77777777" w:rsidR="00590BEF" w:rsidRPr="007202FA" w:rsidRDefault="000B4F21" w:rsidP="007202FA">
            <w:pPr>
              <w:spacing w:after="0"/>
              <w:rPr>
                <w:sz w:val="20"/>
                <w:szCs w:val="20"/>
              </w:rPr>
            </w:pPr>
            <w:r>
              <w:rPr>
                <w:rFonts w:cs="Calibri"/>
                <w:color w:val="000000"/>
                <w:sz w:val="20"/>
                <w:szCs w:val="20"/>
                <w:lang w:val="ga"/>
              </w:rPr>
              <w:t>Foras na Gaeilge</w:t>
            </w:r>
          </w:p>
        </w:tc>
        <w:tc>
          <w:tcPr>
            <w:tcW w:w="1456" w:type="dxa"/>
            <w:tcBorders>
              <w:top w:val="single" w:sz="6" w:space="0" w:color="000000"/>
              <w:left w:val="single" w:sz="6" w:space="0" w:color="000000"/>
              <w:bottom w:val="single" w:sz="6" w:space="0" w:color="000000"/>
              <w:right w:val="single" w:sz="6" w:space="0" w:color="000000"/>
            </w:tcBorders>
            <w:hideMark/>
          </w:tcPr>
          <w:p w14:paraId="424496DE" w14:textId="77777777" w:rsidR="00590BEF" w:rsidRPr="007202FA" w:rsidRDefault="000B4F21" w:rsidP="007202FA">
            <w:pPr>
              <w:spacing w:after="0"/>
              <w:jc w:val="right"/>
              <w:rPr>
                <w:sz w:val="20"/>
                <w:szCs w:val="20"/>
              </w:rPr>
            </w:pPr>
            <w:r>
              <w:rPr>
                <w:rFonts w:cs="Calibri"/>
                <w:color w:val="000000"/>
                <w:sz w:val="20"/>
                <w:szCs w:val="20"/>
                <w:lang w:val="ga"/>
              </w:rPr>
              <w:t>59</w:t>
            </w:r>
          </w:p>
        </w:tc>
        <w:tc>
          <w:tcPr>
            <w:tcW w:w="1557" w:type="dxa"/>
            <w:tcBorders>
              <w:top w:val="single" w:sz="6" w:space="0" w:color="000000"/>
              <w:left w:val="single" w:sz="6" w:space="0" w:color="000000"/>
              <w:bottom w:val="single" w:sz="6" w:space="0" w:color="000000"/>
              <w:right w:val="single" w:sz="6" w:space="0" w:color="000000"/>
            </w:tcBorders>
            <w:hideMark/>
          </w:tcPr>
          <w:p w14:paraId="5C5C9ECF" w14:textId="77777777" w:rsidR="00590BEF" w:rsidRPr="007202FA" w:rsidRDefault="000B4F21" w:rsidP="007202FA">
            <w:pPr>
              <w:spacing w:after="0"/>
              <w:jc w:val="right"/>
              <w:rPr>
                <w:sz w:val="20"/>
                <w:szCs w:val="20"/>
              </w:rPr>
            </w:pPr>
            <w:r>
              <w:rPr>
                <w:rFonts w:cs="Calibri"/>
                <w:color w:val="000000"/>
                <w:sz w:val="20"/>
                <w:szCs w:val="20"/>
                <w:lang w:val="ga"/>
              </w:rPr>
              <w:t>5</w:t>
            </w:r>
          </w:p>
        </w:tc>
        <w:tc>
          <w:tcPr>
            <w:tcW w:w="1559" w:type="dxa"/>
            <w:tcBorders>
              <w:top w:val="single" w:sz="6" w:space="0" w:color="000000"/>
              <w:left w:val="single" w:sz="6" w:space="0" w:color="000000"/>
              <w:bottom w:val="single" w:sz="6" w:space="0" w:color="000000"/>
              <w:right w:val="single" w:sz="6" w:space="0" w:color="000000"/>
            </w:tcBorders>
            <w:hideMark/>
          </w:tcPr>
          <w:p w14:paraId="68455512" w14:textId="77777777" w:rsidR="00590BEF" w:rsidRPr="007202FA" w:rsidRDefault="000B4F21" w:rsidP="007202FA">
            <w:pPr>
              <w:spacing w:after="0"/>
              <w:jc w:val="right"/>
              <w:rPr>
                <w:sz w:val="20"/>
                <w:szCs w:val="20"/>
              </w:rPr>
            </w:pPr>
            <w:r>
              <w:rPr>
                <w:rFonts w:cs="Calibri"/>
                <w:color w:val="000000"/>
                <w:sz w:val="20"/>
                <w:szCs w:val="20"/>
                <w:lang w:val="ga"/>
              </w:rPr>
              <w:t>8.5%</w:t>
            </w:r>
          </w:p>
        </w:tc>
        <w:tc>
          <w:tcPr>
            <w:tcW w:w="1701" w:type="dxa"/>
            <w:tcBorders>
              <w:top w:val="single" w:sz="4" w:space="0" w:color="auto"/>
              <w:left w:val="single" w:sz="4" w:space="0" w:color="auto"/>
              <w:bottom w:val="single" w:sz="4" w:space="0" w:color="auto"/>
              <w:right w:val="single" w:sz="4" w:space="0" w:color="auto"/>
            </w:tcBorders>
          </w:tcPr>
          <w:p w14:paraId="46DD86A1" w14:textId="77777777" w:rsidR="00590BEF" w:rsidRPr="007202FA" w:rsidRDefault="000B4F21" w:rsidP="007202FA">
            <w:pPr>
              <w:spacing w:after="0"/>
              <w:jc w:val="right"/>
              <w:rPr>
                <w:sz w:val="20"/>
                <w:szCs w:val="20"/>
              </w:rPr>
            </w:pPr>
            <w:r>
              <w:rPr>
                <w:sz w:val="20"/>
                <w:szCs w:val="20"/>
                <w:lang w:val="ga"/>
              </w:rPr>
              <w:t>61</w:t>
            </w:r>
          </w:p>
          <w:p w14:paraId="3B82A854"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E807031" w14:textId="77777777" w:rsidR="00590BEF" w:rsidRPr="007202FA" w:rsidRDefault="000B4F21" w:rsidP="007202FA">
            <w:pPr>
              <w:spacing w:after="0"/>
              <w:jc w:val="right"/>
              <w:rPr>
                <w:sz w:val="20"/>
                <w:szCs w:val="20"/>
              </w:rPr>
            </w:pPr>
            <w:r>
              <w:rPr>
                <w:sz w:val="20"/>
                <w:szCs w:val="20"/>
                <w:lang w:val="ga"/>
              </w:rPr>
              <w:t>3</w:t>
            </w:r>
          </w:p>
          <w:p w14:paraId="405CBAD4"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078253E" w14:textId="77777777" w:rsidR="00590BEF" w:rsidRPr="007202FA" w:rsidRDefault="000B4F21" w:rsidP="007202FA">
            <w:pPr>
              <w:spacing w:after="0"/>
              <w:jc w:val="right"/>
              <w:rPr>
                <w:sz w:val="20"/>
                <w:szCs w:val="20"/>
              </w:rPr>
            </w:pPr>
            <w:r>
              <w:rPr>
                <w:sz w:val="20"/>
                <w:szCs w:val="20"/>
                <w:lang w:val="ga"/>
              </w:rPr>
              <w:t>4.9%</w:t>
            </w:r>
          </w:p>
          <w:p w14:paraId="5C398746" w14:textId="77777777" w:rsidR="00590BEF" w:rsidRPr="007202FA" w:rsidRDefault="00590BEF" w:rsidP="007202FA">
            <w:pPr>
              <w:spacing w:after="0"/>
              <w:jc w:val="right"/>
              <w:rPr>
                <w:sz w:val="20"/>
                <w:szCs w:val="20"/>
              </w:rPr>
            </w:pPr>
          </w:p>
        </w:tc>
      </w:tr>
      <w:tr w:rsidR="00F31303" w14:paraId="4E17B7FA"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07FDB874" w14:textId="77777777" w:rsidR="00590BEF" w:rsidRPr="007202FA" w:rsidRDefault="000B4F21" w:rsidP="007202FA">
            <w:pPr>
              <w:spacing w:after="0"/>
              <w:rPr>
                <w:sz w:val="20"/>
                <w:szCs w:val="20"/>
              </w:rPr>
            </w:pPr>
            <w:r>
              <w:rPr>
                <w:rFonts w:cs="Calibri"/>
                <w:color w:val="000000"/>
                <w:sz w:val="20"/>
                <w:szCs w:val="20"/>
                <w:lang w:val="ga"/>
              </w:rPr>
              <w:t>Áras Nua-Ealaíne na hÉireann (IMMA)</w:t>
            </w:r>
          </w:p>
        </w:tc>
        <w:tc>
          <w:tcPr>
            <w:tcW w:w="1456" w:type="dxa"/>
            <w:tcBorders>
              <w:top w:val="single" w:sz="6" w:space="0" w:color="000000"/>
              <w:left w:val="single" w:sz="6" w:space="0" w:color="000000"/>
              <w:bottom w:val="single" w:sz="6" w:space="0" w:color="000000"/>
              <w:right w:val="single" w:sz="6" w:space="0" w:color="000000"/>
            </w:tcBorders>
            <w:hideMark/>
          </w:tcPr>
          <w:p w14:paraId="2B99E84C" w14:textId="77777777" w:rsidR="00590BEF" w:rsidRPr="007202FA" w:rsidRDefault="000B4F21" w:rsidP="007202FA">
            <w:pPr>
              <w:spacing w:after="0"/>
              <w:jc w:val="right"/>
              <w:rPr>
                <w:sz w:val="20"/>
                <w:szCs w:val="20"/>
              </w:rPr>
            </w:pPr>
            <w:r>
              <w:rPr>
                <w:rFonts w:cs="Calibri"/>
                <w:color w:val="000000"/>
                <w:sz w:val="20"/>
                <w:szCs w:val="20"/>
                <w:lang w:val="ga"/>
              </w:rPr>
              <w:t>108</w:t>
            </w:r>
          </w:p>
        </w:tc>
        <w:tc>
          <w:tcPr>
            <w:tcW w:w="1557" w:type="dxa"/>
            <w:tcBorders>
              <w:top w:val="single" w:sz="6" w:space="0" w:color="000000"/>
              <w:left w:val="single" w:sz="6" w:space="0" w:color="000000"/>
              <w:bottom w:val="single" w:sz="6" w:space="0" w:color="000000"/>
              <w:right w:val="single" w:sz="6" w:space="0" w:color="000000"/>
            </w:tcBorders>
            <w:hideMark/>
          </w:tcPr>
          <w:p w14:paraId="4A718141" w14:textId="77777777" w:rsidR="00590BEF" w:rsidRPr="007202FA" w:rsidRDefault="000B4F21" w:rsidP="007202FA">
            <w:pPr>
              <w:spacing w:after="0"/>
              <w:jc w:val="right"/>
              <w:rPr>
                <w:sz w:val="20"/>
                <w:szCs w:val="20"/>
              </w:rPr>
            </w:pPr>
            <w:r>
              <w:rPr>
                <w:rFonts w:cs="Calibri"/>
                <w:color w:val="000000"/>
                <w:sz w:val="20"/>
                <w:szCs w:val="20"/>
                <w:lang w:val="ga"/>
              </w:rPr>
              <w:t>17</w:t>
            </w:r>
          </w:p>
        </w:tc>
        <w:tc>
          <w:tcPr>
            <w:tcW w:w="1559" w:type="dxa"/>
            <w:tcBorders>
              <w:top w:val="single" w:sz="6" w:space="0" w:color="000000"/>
              <w:left w:val="single" w:sz="6" w:space="0" w:color="000000"/>
              <w:bottom w:val="single" w:sz="6" w:space="0" w:color="000000"/>
              <w:right w:val="single" w:sz="6" w:space="0" w:color="000000"/>
            </w:tcBorders>
            <w:hideMark/>
          </w:tcPr>
          <w:p w14:paraId="7F7865B0" w14:textId="77777777" w:rsidR="00590BEF" w:rsidRPr="007202FA" w:rsidRDefault="000B4F21" w:rsidP="007202FA">
            <w:pPr>
              <w:spacing w:after="0"/>
              <w:jc w:val="right"/>
              <w:rPr>
                <w:sz w:val="20"/>
                <w:szCs w:val="20"/>
              </w:rPr>
            </w:pPr>
            <w:r>
              <w:rPr>
                <w:rFonts w:cs="Calibri"/>
                <w:color w:val="000000"/>
                <w:sz w:val="20"/>
                <w:szCs w:val="20"/>
                <w:lang w:val="ga"/>
              </w:rPr>
              <w:t>15.7%</w:t>
            </w:r>
          </w:p>
        </w:tc>
        <w:tc>
          <w:tcPr>
            <w:tcW w:w="1701" w:type="dxa"/>
            <w:tcBorders>
              <w:top w:val="single" w:sz="4" w:space="0" w:color="auto"/>
              <w:left w:val="single" w:sz="4" w:space="0" w:color="auto"/>
              <w:bottom w:val="single" w:sz="4" w:space="0" w:color="auto"/>
              <w:right w:val="single" w:sz="4" w:space="0" w:color="auto"/>
            </w:tcBorders>
          </w:tcPr>
          <w:p w14:paraId="48E2114A" w14:textId="77777777" w:rsidR="00590BEF" w:rsidRPr="007202FA" w:rsidRDefault="000B4F21" w:rsidP="007202FA">
            <w:pPr>
              <w:spacing w:after="0"/>
              <w:jc w:val="right"/>
              <w:rPr>
                <w:sz w:val="20"/>
                <w:szCs w:val="20"/>
              </w:rPr>
            </w:pPr>
            <w:r>
              <w:rPr>
                <w:sz w:val="20"/>
                <w:szCs w:val="20"/>
                <w:lang w:val="ga"/>
              </w:rPr>
              <w:t>105</w:t>
            </w:r>
          </w:p>
          <w:p w14:paraId="23BE2391"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06749CA" w14:textId="77777777" w:rsidR="00590BEF" w:rsidRPr="007202FA" w:rsidRDefault="000B4F21" w:rsidP="007202FA">
            <w:pPr>
              <w:spacing w:after="0"/>
              <w:jc w:val="right"/>
              <w:rPr>
                <w:sz w:val="20"/>
                <w:szCs w:val="20"/>
              </w:rPr>
            </w:pPr>
            <w:r>
              <w:rPr>
                <w:sz w:val="20"/>
                <w:szCs w:val="20"/>
                <w:lang w:val="ga"/>
              </w:rPr>
              <w:t>13</w:t>
            </w:r>
          </w:p>
          <w:p w14:paraId="2586BB9A"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CD7C808" w14:textId="77777777" w:rsidR="00590BEF" w:rsidRPr="007202FA" w:rsidRDefault="000B4F21" w:rsidP="007202FA">
            <w:pPr>
              <w:spacing w:after="0"/>
              <w:jc w:val="right"/>
              <w:rPr>
                <w:sz w:val="20"/>
                <w:szCs w:val="20"/>
              </w:rPr>
            </w:pPr>
            <w:r>
              <w:rPr>
                <w:sz w:val="20"/>
                <w:szCs w:val="20"/>
                <w:lang w:val="ga"/>
              </w:rPr>
              <w:t>12.4%</w:t>
            </w:r>
          </w:p>
          <w:p w14:paraId="3D21A084" w14:textId="77777777" w:rsidR="00590BEF" w:rsidRPr="007202FA" w:rsidRDefault="00590BEF" w:rsidP="007202FA">
            <w:pPr>
              <w:spacing w:after="0"/>
              <w:jc w:val="right"/>
              <w:rPr>
                <w:sz w:val="20"/>
                <w:szCs w:val="20"/>
              </w:rPr>
            </w:pPr>
          </w:p>
        </w:tc>
      </w:tr>
      <w:tr w:rsidR="00F31303" w14:paraId="52D7262F"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7EF9CB5B" w14:textId="77777777" w:rsidR="00590BEF" w:rsidRPr="007202FA" w:rsidRDefault="000B4F21" w:rsidP="007202FA">
            <w:pPr>
              <w:spacing w:after="0"/>
              <w:rPr>
                <w:sz w:val="20"/>
                <w:szCs w:val="20"/>
              </w:rPr>
            </w:pPr>
            <w:r>
              <w:rPr>
                <w:rFonts w:cs="Calibri"/>
                <w:color w:val="000000"/>
                <w:sz w:val="20"/>
                <w:szCs w:val="20"/>
                <w:lang w:val="ga"/>
              </w:rPr>
              <w:t>An Ceoláras Náisiúnta</w:t>
            </w:r>
          </w:p>
        </w:tc>
        <w:tc>
          <w:tcPr>
            <w:tcW w:w="1456" w:type="dxa"/>
            <w:tcBorders>
              <w:top w:val="single" w:sz="6" w:space="0" w:color="000000"/>
              <w:left w:val="single" w:sz="6" w:space="0" w:color="000000"/>
              <w:bottom w:val="single" w:sz="6" w:space="0" w:color="000000"/>
              <w:right w:val="single" w:sz="6" w:space="0" w:color="000000"/>
            </w:tcBorders>
            <w:hideMark/>
          </w:tcPr>
          <w:p w14:paraId="4FFB6495" w14:textId="77777777" w:rsidR="00590BEF" w:rsidRPr="007202FA" w:rsidRDefault="000B4F21" w:rsidP="007202FA">
            <w:pPr>
              <w:spacing w:after="0"/>
              <w:jc w:val="right"/>
              <w:rPr>
                <w:sz w:val="20"/>
                <w:szCs w:val="20"/>
              </w:rPr>
            </w:pPr>
            <w:r>
              <w:rPr>
                <w:rFonts w:cs="Calibri"/>
                <w:color w:val="000000"/>
                <w:sz w:val="20"/>
                <w:szCs w:val="20"/>
                <w:lang w:val="ga"/>
              </w:rPr>
              <w:t>116</w:t>
            </w:r>
          </w:p>
        </w:tc>
        <w:tc>
          <w:tcPr>
            <w:tcW w:w="1557" w:type="dxa"/>
            <w:tcBorders>
              <w:top w:val="single" w:sz="6" w:space="0" w:color="000000"/>
              <w:left w:val="single" w:sz="6" w:space="0" w:color="000000"/>
              <w:bottom w:val="single" w:sz="6" w:space="0" w:color="000000"/>
              <w:right w:val="single" w:sz="6" w:space="0" w:color="000000"/>
            </w:tcBorders>
            <w:hideMark/>
          </w:tcPr>
          <w:p w14:paraId="7A4E9226" w14:textId="77777777" w:rsidR="00590BEF" w:rsidRPr="007202FA" w:rsidRDefault="000B4F21" w:rsidP="007202FA">
            <w:pPr>
              <w:spacing w:after="0"/>
              <w:jc w:val="right"/>
              <w:rPr>
                <w:sz w:val="20"/>
                <w:szCs w:val="20"/>
              </w:rPr>
            </w:pPr>
            <w:r>
              <w:rPr>
                <w:rFonts w:cs="Calibri"/>
                <w:color w:val="000000"/>
                <w:sz w:val="20"/>
                <w:szCs w:val="20"/>
                <w:lang w:val="ga"/>
              </w:rPr>
              <w:t>14</w:t>
            </w:r>
          </w:p>
        </w:tc>
        <w:tc>
          <w:tcPr>
            <w:tcW w:w="1559" w:type="dxa"/>
            <w:tcBorders>
              <w:top w:val="single" w:sz="6" w:space="0" w:color="000000"/>
              <w:left w:val="single" w:sz="6" w:space="0" w:color="000000"/>
              <w:bottom w:val="single" w:sz="6" w:space="0" w:color="000000"/>
              <w:right w:val="single" w:sz="6" w:space="0" w:color="000000"/>
            </w:tcBorders>
            <w:hideMark/>
          </w:tcPr>
          <w:p w14:paraId="3349BCD5" w14:textId="77777777" w:rsidR="00590BEF" w:rsidRPr="007202FA" w:rsidRDefault="000B4F21" w:rsidP="007202FA">
            <w:pPr>
              <w:spacing w:after="0"/>
              <w:jc w:val="right"/>
              <w:rPr>
                <w:sz w:val="20"/>
                <w:szCs w:val="20"/>
              </w:rPr>
            </w:pPr>
            <w:r>
              <w:rPr>
                <w:rFonts w:cs="Calibri"/>
                <w:color w:val="000000"/>
                <w:sz w:val="20"/>
                <w:szCs w:val="20"/>
                <w:lang w:val="ga"/>
              </w:rPr>
              <w:t>12.1%</w:t>
            </w:r>
          </w:p>
        </w:tc>
        <w:tc>
          <w:tcPr>
            <w:tcW w:w="1701" w:type="dxa"/>
            <w:tcBorders>
              <w:top w:val="single" w:sz="4" w:space="0" w:color="auto"/>
              <w:left w:val="single" w:sz="4" w:space="0" w:color="auto"/>
              <w:bottom w:val="single" w:sz="4" w:space="0" w:color="auto"/>
              <w:right w:val="single" w:sz="4" w:space="0" w:color="auto"/>
            </w:tcBorders>
          </w:tcPr>
          <w:p w14:paraId="2EDE0921" w14:textId="77777777" w:rsidR="00590BEF" w:rsidRPr="007202FA" w:rsidRDefault="000B4F21" w:rsidP="007202FA">
            <w:pPr>
              <w:spacing w:after="0"/>
              <w:jc w:val="right"/>
              <w:rPr>
                <w:sz w:val="20"/>
                <w:szCs w:val="20"/>
              </w:rPr>
            </w:pPr>
            <w:r>
              <w:rPr>
                <w:sz w:val="20"/>
                <w:szCs w:val="20"/>
                <w:lang w:val="ga"/>
              </w:rPr>
              <w:t>212</w:t>
            </w:r>
          </w:p>
          <w:p w14:paraId="1710F0FC"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FF9BDA6" w14:textId="77777777" w:rsidR="00590BEF" w:rsidRPr="007202FA" w:rsidRDefault="000B4F21" w:rsidP="007202FA">
            <w:pPr>
              <w:spacing w:after="0"/>
              <w:jc w:val="right"/>
              <w:rPr>
                <w:sz w:val="20"/>
                <w:szCs w:val="20"/>
              </w:rPr>
            </w:pPr>
            <w:r>
              <w:rPr>
                <w:sz w:val="20"/>
                <w:szCs w:val="20"/>
                <w:lang w:val="ga"/>
              </w:rPr>
              <w:t>20</w:t>
            </w:r>
          </w:p>
          <w:p w14:paraId="2AED7BCC"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B30990" w14:textId="77777777" w:rsidR="00590BEF" w:rsidRPr="007202FA" w:rsidRDefault="000B4F21" w:rsidP="007202FA">
            <w:pPr>
              <w:spacing w:after="0"/>
              <w:jc w:val="right"/>
              <w:rPr>
                <w:sz w:val="20"/>
                <w:szCs w:val="20"/>
              </w:rPr>
            </w:pPr>
            <w:r>
              <w:rPr>
                <w:sz w:val="20"/>
                <w:szCs w:val="20"/>
                <w:lang w:val="ga"/>
              </w:rPr>
              <w:t>9.4%</w:t>
            </w:r>
          </w:p>
          <w:p w14:paraId="3682CBF4" w14:textId="77777777" w:rsidR="00590BEF" w:rsidRPr="007202FA" w:rsidRDefault="00590BEF" w:rsidP="007202FA">
            <w:pPr>
              <w:spacing w:after="0"/>
              <w:jc w:val="right"/>
              <w:rPr>
                <w:sz w:val="20"/>
                <w:szCs w:val="20"/>
              </w:rPr>
            </w:pPr>
          </w:p>
        </w:tc>
      </w:tr>
      <w:tr w:rsidR="00F31303" w14:paraId="5FE25986"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22E0AB0C" w14:textId="77777777" w:rsidR="00590BEF" w:rsidRPr="007202FA" w:rsidRDefault="000B4F21" w:rsidP="007202FA">
            <w:pPr>
              <w:spacing w:after="0"/>
              <w:rPr>
                <w:sz w:val="20"/>
                <w:szCs w:val="20"/>
              </w:rPr>
            </w:pPr>
            <w:r>
              <w:rPr>
                <w:rFonts w:cs="Calibri"/>
                <w:color w:val="000000"/>
                <w:sz w:val="20"/>
                <w:szCs w:val="20"/>
                <w:lang w:val="ga"/>
              </w:rPr>
              <w:t>Gailearaí Náisiúnta na hÉireann</w:t>
            </w:r>
          </w:p>
        </w:tc>
        <w:tc>
          <w:tcPr>
            <w:tcW w:w="1456" w:type="dxa"/>
            <w:tcBorders>
              <w:top w:val="single" w:sz="6" w:space="0" w:color="000000"/>
              <w:left w:val="single" w:sz="6" w:space="0" w:color="000000"/>
              <w:bottom w:val="single" w:sz="6" w:space="0" w:color="000000"/>
              <w:right w:val="single" w:sz="6" w:space="0" w:color="000000"/>
            </w:tcBorders>
            <w:hideMark/>
          </w:tcPr>
          <w:p w14:paraId="200EBA43" w14:textId="77777777" w:rsidR="00590BEF" w:rsidRPr="007202FA" w:rsidRDefault="000B4F21" w:rsidP="007202FA">
            <w:pPr>
              <w:spacing w:after="0"/>
              <w:jc w:val="right"/>
              <w:rPr>
                <w:sz w:val="20"/>
                <w:szCs w:val="20"/>
              </w:rPr>
            </w:pPr>
            <w:r>
              <w:rPr>
                <w:rFonts w:cs="Calibri"/>
                <w:color w:val="000000"/>
                <w:sz w:val="20"/>
                <w:szCs w:val="20"/>
                <w:lang w:val="ga"/>
              </w:rPr>
              <w:t>184</w:t>
            </w:r>
          </w:p>
        </w:tc>
        <w:tc>
          <w:tcPr>
            <w:tcW w:w="1557" w:type="dxa"/>
            <w:tcBorders>
              <w:top w:val="single" w:sz="6" w:space="0" w:color="000000"/>
              <w:left w:val="single" w:sz="6" w:space="0" w:color="000000"/>
              <w:bottom w:val="single" w:sz="6" w:space="0" w:color="000000"/>
              <w:right w:val="single" w:sz="6" w:space="0" w:color="000000"/>
            </w:tcBorders>
            <w:hideMark/>
          </w:tcPr>
          <w:p w14:paraId="700C5A14" w14:textId="77777777" w:rsidR="00590BEF" w:rsidRPr="007202FA" w:rsidRDefault="000B4F21" w:rsidP="007202FA">
            <w:pPr>
              <w:spacing w:after="0"/>
              <w:jc w:val="right"/>
              <w:rPr>
                <w:sz w:val="20"/>
                <w:szCs w:val="20"/>
              </w:rPr>
            </w:pPr>
            <w:r>
              <w:rPr>
                <w:rFonts w:cs="Calibri"/>
                <w:color w:val="000000"/>
                <w:sz w:val="20"/>
                <w:szCs w:val="20"/>
                <w:lang w:val="ga"/>
              </w:rPr>
              <w:t>19</w:t>
            </w:r>
          </w:p>
        </w:tc>
        <w:tc>
          <w:tcPr>
            <w:tcW w:w="1559" w:type="dxa"/>
            <w:tcBorders>
              <w:top w:val="single" w:sz="6" w:space="0" w:color="000000"/>
              <w:left w:val="single" w:sz="6" w:space="0" w:color="000000"/>
              <w:bottom w:val="single" w:sz="6" w:space="0" w:color="000000"/>
              <w:right w:val="single" w:sz="6" w:space="0" w:color="000000"/>
            </w:tcBorders>
            <w:hideMark/>
          </w:tcPr>
          <w:p w14:paraId="24E8A4E2" w14:textId="77777777" w:rsidR="00590BEF" w:rsidRPr="007202FA" w:rsidRDefault="000B4F21" w:rsidP="007202FA">
            <w:pPr>
              <w:spacing w:after="0"/>
              <w:jc w:val="right"/>
              <w:rPr>
                <w:sz w:val="20"/>
                <w:szCs w:val="20"/>
              </w:rPr>
            </w:pPr>
            <w:r>
              <w:rPr>
                <w:rFonts w:cs="Calibri"/>
                <w:color w:val="000000"/>
                <w:sz w:val="20"/>
                <w:szCs w:val="20"/>
                <w:lang w:val="ga"/>
              </w:rPr>
              <w:t>10.3%</w:t>
            </w:r>
          </w:p>
        </w:tc>
        <w:tc>
          <w:tcPr>
            <w:tcW w:w="1701" w:type="dxa"/>
            <w:tcBorders>
              <w:top w:val="single" w:sz="4" w:space="0" w:color="auto"/>
              <w:left w:val="single" w:sz="4" w:space="0" w:color="auto"/>
              <w:bottom w:val="single" w:sz="4" w:space="0" w:color="auto"/>
              <w:right w:val="single" w:sz="4" w:space="0" w:color="auto"/>
            </w:tcBorders>
          </w:tcPr>
          <w:p w14:paraId="0C0A3012" w14:textId="77777777" w:rsidR="00590BEF" w:rsidRPr="007202FA" w:rsidRDefault="000B4F21" w:rsidP="007202FA">
            <w:pPr>
              <w:spacing w:after="0"/>
              <w:jc w:val="right"/>
              <w:rPr>
                <w:sz w:val="20"/>
                <w:szCs w:val="20"/>
              </w:rPr>
            </w:pPr>
            <w:r>
              <w:rPr>
                <w:sz w:val="20"/>
                <w:szCs w:val="20"/>
                <w:lang w:val="ga"/>
              </w:rPr>
              <w:t>197</w:t>
            </w:r>
          </w:p>
          <w:p w14:paraId="7DE2DE54"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3783AC6" w14:textId="77777777" w:rsidR="00590BEF" w:rsidRPr="007202FA" w:rsidRDefault="000B4F21" w:rsidP="007202FA">
            <w:pPr>
              <w:spacing w:after="0"/>
              <w:jc w:val="right"/>
              <w:rPr>
                <w:sz w:val="20"/>
                <w:szCs w:val="20"/>
              </w:rPr>
            </w:pPr>
            <w:r>
              <w:rPr>
                <w:sz w:val="20"/>
                <w:szCs w:val="20"/>
                <w:lang w:val="ga"/>
              </w:rPr>
              <w:t>22</w:t>
            </w:r>
          </w:p>
          <w:p w14:paraId="367373F4"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634300F" w14:textId="77777777" w:rsidR="00590BEF" w:rsidRPr="007202FA" w:rsidRDefault="000B4F21" w:rsidP="007202FA">
            <w:pPr>
              <w:spacing w:after="0"/>
              <w:jc w:val="right"/>
              <w:rPr>
                <w:sz w:val="20"/>
                <w:szCs w:val="20"/>
              </w:rPr>
            </w:pPr>
            <w:r>
              <w:rPr>
                <w:sz w:val="20"/>
                <w:szCs w:val="20"/>
                <w:lang w:val="ga"/>
              </w:rPr>
              <w:t>11.2%</w:t>
            </w:r>
          </w:p>
          <w:p w14:paraId="1B246FD1" w14:textId="77777777" w:rsidR="00590BEF" w:rsidRPr="007202FA" w:rsidRDefault="00590BEF" w:rsidP="007202FA">
            <w:pPr>
              <w:spacing w:after="0"/>
              <w:jc w:val="right"/>
              <w:rPr>
                <w:sz w:val="20"/>
                <w:szCs w:val="20"/>
              </w:rPr>
            </w:pPr>
          </w:p>
        </w:tc>
      </w:tr>
      <w:tr w:rsidR="00F31303" w14:paraId="6AFDD34E"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09915727" w14:textId="77777777" w:rsidR="00590BEF" w:rsidRPr="007202FA" w:rsidRDefault="000B4F21" w:rsidP="007202FA">
            <w:pPr>
              <w:spacing w:after="0"/>
              <w:rPr>
                <w:sz w:val="20"/>
                <w:szCs w:val="20"/>
              </w:rPr>
            </w:pPr>
            <w:r>
              <w:rPr>
                <w:rFonts w:cs="Calibri"/>
                <w:color w:val="000000"/>
                <w:sz w:val="20"/>
                <w:szCs w:val="20"/>
                <w:lang w:val="ga"/>
              </w:rPr>
              <w:t>Leabharlann Náisiúnta na hÉireann</w:t>
            </w:r>
          </w:p>
        </w:tc>
        <w:tc>
          <w:tcPr>
            <w:tcW w:w="1456" w:type="dxa"/>
            <w:tcBorders>
              <w:top w:val="single" w:sz="6" w:space="0" w:color="000000"/>
              <w:left w:val="single" w:sz="6" w:space="0" w:color="000000"/>
              <w:bottom w:val="single" w:sz="6" w:space="0" w:color="000000"/>
              <w:right w:val="single" w:sz="6" w:space="0" w:color="000000"/>
            </w:tcBorders>
            <w:hideMark/>
          </w:tcPr>
          <w:p w14:paraId="27C9351B" w14:textId="77777777" w:rsidR="00590BEF" w:rsidRPr="007202FA" w:rsidRDefault="000B4F21" w:rsidP="007202FA">
            <w:pPr>
              <w:spacing w:after="0"/>
              <w:jc w:val="right"/>
              <w:rPr>
                <w:sz w:val="20"/>
                <w:szCs w:val="20"/>
              </w:rPr>
            </w:pPr>
            <w:r>
              <w:rPr>
                <w:rFonts w:cs="Calibri"/>
                <w:color w:val="000000"/>
                <w:sz w:val="20"/>
                <w:szCs w:val="20"/>
                <w:lang w:val="ga"/>
              </w:rPr>
              <w:t>107</w:t>
            </w:r>
          </w:p>
        </w:tc>
        <w:tc>
          <w:tcPr>
            <w:tcW w:w="1557" w:type="dxa"/>
            <w:tcBorders>
              <w:top w:val="single" w:sz="6" w:space="0" w:color="000000"/>
              <w:left w:val="single" w:sz="6" w:space="0" w:color="000000"/>
              <w:bottom w:val="single" w:sz="6" w:space="0" w:color="000000"/>
              <w:right w:val="single" w:sz="6" w:space="0" w:color="000000"/>
            </w:tcBorders>
            <w:hideMark/>
          </w:tcPr>
          <w:p w14:paraId="6D0720A7" w14:textId="77777777" w:rsidR="00590BEF" w:rsidRPr="007202FA" w:rsidRDefault="000B4F21" w:rsidP="007202FA">
            <w:pPr>
              <w:spacing w:after="0"/>
              <w:jc w:val="right"/>
              <w:rPr>
                <w:sz w:val="20"/>
                <w:szCs w:val="20"/>
              </w:rPr>
            </w:pPr>
            <w:r>
              <w:rPr>
                <w:rFonts w:cs="Calibri"/>
                <w:color w:val="000000"/>
                <w:sz w:val="20"/>
                <w:szCs w:val="20"/>
                <w:lang w:val="ga"/>
              </w:rPr>
              <w:t>22</w:t>
            </w:r>
          </w:p>
        </w:tc>
        <w:tc>
          <w:tcPr>
            <w:tcW w:w="1559" w:type="dxa"/>
            <w:tcBorders>
              <w:top w:val="single" w:sz="6" w:space="0" w:color="000000"/>
              <w:left w:val="single" w:sz="6" w:space="0" w:color="000000"/>
              <w:bottom w:val="single" w:sz="6" w:space="0" w:color="000000"/>
              <w:right w:val="single" w:sz="6" w:space="0" w:color="000000"/>
            </w:tcBorders>
            <w:hideMark/>
          </w:tcPr>
          <w:p w14:paraId="457C8A53" w14:textId="77777777" w:rsidR="00590BEF" w:rsidRPr="007202FA" w:rsidRDefault="000B4F21" w:rsidP="007202FA">
            <w:pPr>
              <w:spacing w:after="0"/>
              <w:jc w:val="right"/>
              <w:rPr>
                <w:sz w:val="20"/>
                <w:szCs w:val="20"/>
              </w:rPr>
            </w:pPr>
            <w:r>
              <w:rPr>
                <w:rFonts w:cs="Calibri"/>
                <w:color w:val="000000"/>
                <w:sz w:val="20"/>
                <w:szCs w:val="20"/>
                <w:lang w:val="ga"/>
              </w:rPr>
              <w:t>20.6%</w:t>
            </w:r>
          </w:p>
        </w:tc>
        <w:tc>
          <w:tcPr>
            <w:tcW w:w="1701" w:type="dxa"/>
            <w:tcBorders>
              <w:top w:val="single" w:sz="4" w:space="0" w:color="auto"/>
              <w:left w:val="single" w:sz="4" w:space="0" w:color="auto"/>
              <w:bottom w:val="single" w:sz="4" w:space="0" w:color="auto"/>
              <w:right w:val="single" w:sz="4" w:space="0" w:color="auto"/>
            </w:tcBorders>
          </w:tcPr>
          <w:p w14:paraId="55D35C1B" w14:textId="77777777" w:rsidR="00590BEF" w:rsidRPr="007202FA" w:rsidRDefault="000B4F21" w:rsidP="007202FA">
            <w:pPr>
              <w:spacing w:after="0"/>
              <w:jc w:val="right"/>
              <w:rPr>
                <w:sz w:val="20"/>
                <w:szCs w:val="20"/>
              </w:rPr>
            </w:pPr>
            <w:r>
              <w:rPr>
                <w:sz w:val="20"/>
                <w:szCs w:val="20"/>
                <w:lang w:val="ga"/>
              </w:rPr>
              <w:t>119</w:t>
            </w:r>
          </w:p>
          <w:p w14:paraId="28815C5D"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5C12C7D" w14:textId="77777777" w:rsidR="00590BEF" w:rsidRPr="007202FA" w:rsidRDefault="000B4F21" w:rsidP="007202FA">
            <w:pPr>
              <w:spacing w:after="0"/>
              <w:jc w:val="right"/>
              <w:rPr>
                <w:sz w:val="20"/>
                <w:szCs w:val="20"/>
              </w:rPr>
            </w:pPr>
            <w:r>
              <w:rPr>
                <w:sz w:val="20"/>
                <w:szCs w:val="20"/>
                <w:lang w:val="ga"/>
              </w:rPr>
              <w:t>28</w:t>
            </w:r>
          </w:p>
          <w:p w14:paraId="5ED45C93"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3F050D7" w14:textId="77777777" w:rsidR="00590BEF" w:rsidRPr="007202FA" w:rsidRDefault="000B4F21" w:rsidP="007202FA">
            <w:pPr>
              <w:spacing w:after="0"/>
              <w:jc w:val="right"/>
              <w:rPr>
                <w:sz w:val="20"/>
                <w:szCs w:val="20"/>
              </w:rPr>
            </w:pPr>
            <w:r>
              <w:rPr>
                <w:sz w:val="20"/>
                <w:szCs w:val="20"/>
                <w:lang w:val="ga"/>
              </w:rPr>
              <w:t>23.5%</w:t>
            </w:r>
          </w:p>
          <w:p w14:paraId="055A0EFE" w14:textId="77777777" w:rsidR="00590BEF" w:rsidRPr="007202FA" w:rsidRDefault="00590BEF" w:rsidP="007202FA">
            <w:pPr>
              <w:spacing w:after="0"/>
              <w:jc w:val="right"/>
              <w:rPr>
                <w:sz w:val="20"/>
                <w:szCs w:val="20"/>
              </w:rPr>
            </w:pPr>
          </w:p>
        </w:tc>
      </w:tr>
      <w:tr w:rsidR="00F31303" w14:paraId="4BB59A79"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26A0378C" w14:textId="77777777" w:rsidR="00590BEF" w:rsidRPr="007202FA" w:rsidRDefault="000B4F21" w:rsidP="007202FA">
            <w:pPr>
              <w:spacing w:after="0"/>
              <w:rPr>
                <w:sz w:val="20"/>
                <w:szCs w:val="20"/>
              </w:rPr>
            </w:pPr>
            <w:r>
              <w:rPr>
                <w:rFonts w:cs="Calibri"/>
                <w:color w:val="000000"/>
                <w:sz w:val="20"/>
                <w:szCs w:val="20"/>
                <w:lang w:val="ga"/>
              </w:rPr>
              <w:t>Ard-Mhúsaem na hÉireann</w:t>
            </w:r>
          </w:p>
        </w:tc>
        <w:tc>
          <w:tcPr>
            <w:tcW w:w="1456" w:type="dxa"/>
            <w:tcBorders>
              <w:top w:val="single" w:sz="6" w:space="0" w:color="000000"/>
              <w:left w:val="single" w:sz="6" w:space="0" w:color="000000"/>
              <w:bottom w:val="single" w:sz="6" w:space="0" w:color="000000"/>
              <w:right w:val="single" w:sz="6" w:space="0" w:color="000000"/>
            </w:tcBorders>
            <w:hideMark/>
          </w:tcPr>
          <w:p w14:paraId="6B7FB206" w14:textId="77777777" w:rsidR="00590BEF" w:rsidRPr="007202FA" w:rsidRDefault="000B4F21" w:rsidP="007202FA">
            <w:pPr>
              <w:spacing w:after="0"/>
              <w:jc w:val="right"/>
              <w:rPr>
                <w:sz w:val="20"/>
                <w:szCs w:val="20"/>
              </w:rPr>
            </w:pPr>
            <w:r>
              <w:rPr>
                <w:rFonts w:cs="Calibri"/>
                <w:color w:val="000000"/>
                <w:sz w:val="20"/>
                <w:szCs w:val="20"/>
                <w:lang w:val="ga"/>
              </w:rPr>
              <w:t>178</w:t>
            </w:r>
          </w:p>
        </w:tc>
        <w:tc>
          <w:tcPr>
            <w:tcW w:w="1557" w:type="dxa"/>
            <w:tcBorders>
              <w:top w:val="single" w:sz="6" w:space="0" w:color="000000"/>
              <w:left w:val="single" w:sz="6" w:space="0" w:color="000000"/>
              <w:bottom w:val="single" w:sz="6" w:space="0" w:color="000000"/>
              <w:right w:val="single" w:sz="6" w:space="0" w:color="000000"/>
            </w:tcBorders>
            <w:hideMark/>
          </w:tcPr>
          <w:p w14:paraId="1CDD8AEA" w14:textId="77777777" w:rsidR="00590BEF" w:rsidRPr="007202FA" w:rsidRDefault="000B4F21" w:rsidP="007202FA">
            <w:pPr>
              <w:spacing w:after="0"/>
              <w:jc w:val="right"/>
              <w:rPr>
                <w:sz w:val="20"/>
                <w:szCs w:val="20"/>
              </w:rPr>
            </w:pPr>
            <w:r>
              <w:rPr>
                <w:rFonts w:cs="Calibri"/>
                <w:color w:val="000000"/>
                <w:sz w:val="20"/>
                <w:szCs w:val="20"/>
                <w:lang w:val="ga"/>
              </w:rPr>
              <w:t>23</w:t>
            </w:r>
          </w:p>
        </w:tc>
        <w:tc>
          <w:tcPr>
            <w:tcW w:w="1559" w:type="dxa"/>
            <w:tcBorders>
              <w:top w:val="single" w:sz="6" w:space="0" w:color="000000"/>
              <w:left w:val="single" w:sz="6" w:space="0" w:color="000000"/>
              <w:bottom w:val="single" w:sz="6" w:space="0" w:color="000000"/>
              <w:right w:val="single" w:sz="6" w:space="0" w:color="000000"/>
            </w:tcBorders>
            <w:hideMark/>
          </w:tcPr>
          <w:p w14:paraId="7A26FADC" w14:textId="77777777" w:rsidR="00590BEF" w:rsidRPr="007202FA" w:rsidRDefault="000B4F21" w:rsidP="007202FA">
            <w:pPr>
              <w:spacing w:after="0"/>
              <w:jc w:val="right"/>
              <w:rPr>
                <w:sz w:val="20"/>
                <w:szCs w:val="20"/>
              </w:rPr>
            </w:pPr>
            <w:r>
              <w:rPr>
                <w:rFonts w:cs="Calibri"/>
                <w:color w:val="000000"/>
                <w:sz w:val="20"/>
                <w:szCs w:val="20"/>
                <w:lang w:val="ga"/>
              </w:rPr>
              <w:t>12.9%</w:t>
            </w:r>
          </w:p>
        </w:tc>
        <w:tc>
          <w:tcPr>
            <w:tcW w:w="1701" w:type="dxa"/>
            <w:tcBorders>
              <w:top w:val="single" w:sz="4" w:space="0" w:color="auto"/>
              <w:left w:val="single" w:sz="4" w:space="0" w:color="auto"/>
              <w:bottom w:val="single" w:sz="4" w:space="0" w:color="auto"/>
              <w:right w:val="single" w:sz="4" w:space="0" w:color="auto"/>
            </w:tcBorders>
          </w:tcPr>
          <w:p w14:paraId="4472D18B" w14:textId="77777777" w:rsidR="00590BEF" w:rsidRPr="007202FA" w:rsidRDefault="000B4F21" w:rsidP="007202FA">
            <w:pPr>
              <w:spacing w:after="0"/>
              <w:jc w:val="right"/>
              <w:rPr>
                <w:sz w:val="20"/>
                <w:szCs w:val="20"/>
              </w:rPr>
            </w:pPr>
            <w:r>
              <w:rPr>
                <w:sz w:val="20"/>
                <w:szCs w:val="20"/>
                <w:lang w:val="ga"/>
              </w:rPr>
              <w:t>195</w:t>
            </w:r>
          </w:p>
          <w:p w14:paraId="03DD92A6"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64F92EA" w14:textId="77777777" w:rsidR="00590BEF" w:rsidRPr="007202FA" w:rsidRDefault="000B4F21" w:rsidP="007202FA">
            <w:pPr>
              <w:spacing w:after="0"/>
              <w:jc w:val="right"/>
              <w:rPr>
                <w:sz w:val="20"/>
                <w:szCs w:val="20"/>
              </w:rPr>
            </w:pPr>
            <w:r>
              <w:rPr>
                <w:sz w:val="20"/>
                <w:szCs w:val="20"/>
                <w:lang w:val="ga"/>
              </w:rPr>
              <w:t>20</w:t>
            </w:r>
          </w:p>
          <w:p w14:paraId="15C40615"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C2A1CC3" w14:textId="77777777" w:rsidR="00590BEF" w:rsidRPr="007202FA" w:rsidRDefault="000B4F21" w:rsidP="007202FA">
            <w:pPr>
              <w:spacing w:after="0"/>
              <w:jc w:val="right"/>
              <w:rPr>
                <w:sz w:val="20"/>
                <w:szCs w:val="20"/>
              </w:rPr>
            </w:pPr>
            <w:r>
              <w:rPr>
                <w:sz w:val="20"/>
                <w:szCs w:val="20"/>
                <w:lang w:val="ga"/>
              </w:rPr>
              <w:t>10.3%</w:t>
            </w:r>
          </w:p>
          <w:p w14:paraId="169E231C" w14:textId="77777777" w:rsidR="00590BEF" w:rsidRPr="007202FA" w:rsidRDefault="00590BEF" w:rsidP="007202FA">
            <w:pPr>
              <w:spacing w:after="0"/>
              <w:jc w:val="right"/>
              <w:rPr>
                <w:sz w:val="20"/>
                <w:szCs w:val="20"/>
              </w:rPr>
            </w:pPr>
          </w:p>
        </w:tc>
      </w:tr>
      <w:tr w:rsidR="00F31303" w14:paraId="66F2A010"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10F401BB" w14:textId="77777777" w:rsidR="00590BEF" w:rsidRPr="007202FA" w:rsidRDefault="000B4F21" w:rsidP="007202FA">
            <w:pPr>
              <w:spacing w:after="0"/>
              <w:rPr>
                <w:sz w:val="20"/>
                <w:szCs w:val="20"/>
              </w:rPr>
            </w:pPr>
            <w:r>
              <w:rPr>
                <w:rFonts w:cs="Calibri"/>
                <w:color w:val="000000"/>
                <w:sz w:val="20"/>
                <w:szCs w:val="20"/>
                <w:lang w:val="ga"/>
              </w:rPr>
              <w:t>Raidió Teilifís Éireann (RTÉ)</w:t>
            </w:r>
          </w:p>
        </w:tc>
        <w:tc>
          <w:tcPr>
            <w:tcW w:w="1456" w:type="dxa"/>
            <w:tcBorders>
              <w:top w:val="single" w:sz="6" w:space="0" w:color="000000"/>
              <w:left w:val="single" w:sz="6" w:space="0" w:color="000000"/>
              <w:bottom w:val="single" w:sz="6" w:space="0" w:color="000000"/>
              <w:right w:val="single" w:sz="6" w:space="0" w:color="000000"/>
            </w:tcBorders>
            <w:hideMark/>
          </w:tcPr>
          <w:p w14:paraId="7BF31A61" w14:textId="77777777" w:rsidR="00590BEF" w:rsidRPr="007202FA" w:rsidRDefault="000B4F21" w:rsidP="007202FA">
            <w:pPr>
              <w:spacing w:after="0"/>
              <w:jc w:val="right"/>
              <w:rPr>
                <w:sz w:val="20"/>
                <w:szCs w:val="20"/>
              </w:rPr>
            </w:pPr>
            <w:r>
              <w:rPr>
                <w:rFonts w:cs="Calibri"/>
                <w:color w:val="000000"/>
                <w:sz w:val="20"/>
                <w:szCs w:val="20"/>
                <w:lang w:val="ga"/>
              </w:rPr>
              <w:t>1,836</w:t>
            </w:r>
          </w:p>
        </w:tc>
        <w:tc>
          <w:tcPr>
            <w:tcW w:w="1557" w:type="dxa"/>
            <w:tcBorders>
              <w:top w:val="single" w:sz="6" w:space="0" w:color="000000"/>
              <w:left w:val="single" w:sz="6" w:space="0" w:color="000000"/>
              <w:bottom w:val="single" w:sz="6" w:space="0" w:color="000000"/>
              <w:right w:val="single" w:sz="6" w:space="0" w:color="000000"/>
            </w:tcBorders>
            <w:hideMark/>
          </w:tcPr>
          <w:p w14:paraId="3847E4F7" w14:textId="77777777" w:rsidR="00590BEF" w:rsidRPr="007202FA" w:rsidRDefault="000B4F21" w:rsidP="007202FA">
            <w:pPr>
              <w:spacing w:after="0"/>
              <w:jc w:val="right"/>
              <w:rPr>
                <w:sz w:val="20"/>
                <w:szCs w:val="20"/>
              </w:rPr>
            </w:pPr>
            <w:r>
              <w:rPr>
                <w:rFonts w:cs="Calibri"/>
                <w:color w:val="000000"/>
                <w:sz w:val="20"/>
                <w:szCs w:val="20"/>
                <w:lang w:val="ga"/>
              </w:rPr>
              <w:t>129</w:t>
            </w:r>
          </w:p>
        </w:tc>
        <w:tc>
          <w:tcPr>
            <w:tcW w:w="1559" w:type="dxa"/>
            <w:tcBorders>
              <w:top w:val="single" w:sz="6" w:space="0" w:color="000000"/>
              <w:left w:val="single" w:sz="6" w:space="0" w:color="000000"/>
              <w:bottom w:val="single" w:sz="6" w:space="0" w:color="000000"/>
              <w:right w:val="single" w:sz="6" w:space="0" w:color="000000"/>
            </w:tcBorders>
            <w:hideMark/>
          </w:tcPr>
          <w:p w14:paraId="39279699" w14:textId="77777777" w:rsidR="00590BEF" w:rsidRPr="007202FA" w:rsidRDefault="000B4F21" w:rsidP="007202FA">
            <w:pPr>
              <w:spacing w:after="0"/>
              <w:jc w:val="right"/>
              <w:rPr>
                <w:sz w:val="20"/>
                <w:szCs w:val="20"/>
              </w:rPr>
            </w:pPr>
            <w:r>
              <w:rPr>
                <w:rFonts w:cs="Calibri"/>
                <w:color w:val="000000"/>
                <w:sz w:val="20"/>
                <w:szCs w:val="20"/>
                <w:lang w:val="ga"/>
              </w:rPr>
              <w:t>7.0%</w:t>
            </w:r>
          </w:p>
        </w:tc>
        <w:tc>
          <w:tcPr>
            <w:tcW w:w="1701" w:type="dxa"/>
            <w:tcBorders>
              <w:top w:val="single" w:sz="4" w:space="0" w:color="auto"/>
              <w:left w:val="single" w:sz="4" w:space="0" w:color="auto"/>
              <w:bottom w:val="single" w:sz="4" w:space="0" w:color="auto"/>
              <w:right w:val="single" w:sz="4" w:space="0" w:color="auto"/>
            </w:tcBorders>
          </w:tcPr>
          <w:p w14:paraId="3EC92E45" w14:textId="77777777" w:rsidR="00590BEF" w:rsidRPr="007202FA" w:rsidRDefault="000B4F21" w:rsidP="007202FA">
            <w:pPr>
              <w:spacing w:after="0"/>
              <w:jc w:val="right"/>
              <w:rPr>
                <w:sz w:val="20"/>
                <w:szCs w:val="20"/>
              </w:rPr>
            </w:pPr>
            <w:r>
              <w:rPr>
                <w:sz w:val="20"/>
                <w:szCs w:val="20"/>
                <w:lang w:val="ga"/>
              </w:rPr>
              <w:t>1,853</w:t>
            </w:r>
          </w:p>
          <w:p w14:paraId="4700D9DE"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6B2FA76" w14:textId="77777777" w:rsidR="00590BEF" w:rsidRPr="007202FA" w:rsidRDefault="000B4F21" w:rsidP="007202FA">
            <w:pPr>
              <w:spacing w:after="0"/>
              <w:jc w:val="right"/>
              <w:rPr>
                <w:sz w:val="20"/>
                <w:szCs w:val="20"/>
              </w:rPr>
            </w:pPr>
            <w:r>
              <w:rPr>
                <w:sz w:val="20"/>
                <w:szCs w:val="20"/>
                <w:lang w:val="ga"/>
              </w:rPr>
              <w:t>139</w:t>
            </w:r>
          </w:p>
          <w:p w14:paraId="1B3F280F"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0F07AD9" w14:textId="77777777" w:rsidR="00590BEF" w:rsidRPr="007202FA" w:rsidRDefault="000B4F21" w:rsidP="007202FA">
            <w:pPr>
              <w:spacing w:after="0"/>
              <w:jc w:val="right"/>
              <w:rPr>
                <w:sz w:val="20"/>
                <w:szCs w:val="20"/>
              </w:rPr>
            </w:pPr>
            <w:r>
              <w:rPr>
                <w:sz w:val="20"/>
                <w:szCs w:val="20"/>
                <w:lang w:val="ga"/>
              </w:rPr>
              <w:t>7.5%</w:t>
            </w:r>
          </w:p>
          <w:p w14:paraId="04A5C7E7" w14:textId="77777777" w:rsidR="00590BEF" w:rsidRPr="007202FA" w:rsidRDefault="00590BEF" w:rsidP="007202FA">
            <w:pPr>
              <w:spacing w:after="0"/>
              <w:jc w:val="right"/>
              <w:rPr>
                <w:sz w:val="20"/>
                <w:szCs w:val="20"/>
              </w:rPr>
            </w:pPr>
          </w:p>
        </w:tc>
      </w:tr>
      <w:tr w:rsidR="00F31303" w14:paraId="7B036D7E" w14:textId="77777777" w:rsidTr="00C333A9">
        <w:trPr>
          <w:trHeight w:val="296"/>
        </w:trPr>
        <w:tc>
          <w:tcPr>
            <w:tcW w:w="1665" w:type="dxa"/>
            <w:tcBorders>
              <w:top w:val="single" w:sz="6" w:space="0" w:color="000000"/>
              <w:left w:val="single" w:sz="12" w:space="0" w:color="000000"/>
              <w:bottom w:val="single" w:sz="6" w:space="0" w:color="000000"/>
              <w:right w:val="single" w:sz="6" w:space="0" w:color="000000"/>
            </w:tcBorders>
            <w:hideMark/>
          </w:tcPr>
          <w:p w14:paraId="04F37A08" w14:textId="77777777" w:rsidR="00590BEF" w:rsidRPr="007202FA" w:rsidRDefault="000B4F21" w:rsidP="007202FA">
            <w:pPr>
              <w:spacing w:after="0"/>
              <w:rPr>
                <w:sz w:val="20"/>
                <w:szCs w:val="20"/>
              </w:rPr>
            </w:pPr>
            <w:r>
              <w:rPr>
                <w:rFonts w:cs="Calibri"/>
                <w:color w:val="000000"/>
                <w:sz w:val="20"/>
                <w:szCs w:val="20"/>
                <w:lang w:val="ga"/>
              </w:rPr>
              <w:t>Fís Éireann</w:t>
            </w:r>
          </w:p>
        </w:tc>
        <w:tc>
          <w:tcPr>
            <w:tcW w:w="1456" w:type="dxa"/>
            <w:tcBorders>
              <w:top w:val="single" w:sz="6" w:space="0" w:color="000000"/>
              <w:left w:val="single" w:sz="6" w:space="0" w:color="000000"/>
              <w:bottom w:val="single" w:sz="6" w:space="0" w:color="000000"/>
              <w:right w:val="single" w:sz="6" w:space="0" w:color="000000"/>
            </w:tcBorders>
            <w:hideMark/>
          </w:tcPr>
          <w:p w14:paraId="0B9D2DD2" w14:textId="77777777" w:rsidR="00590BEF" w:rsidRPr="007202FA" w:rsidRDefault="000B4F21" w:rsidP="007202FA">
            <w:pPr>
              <w:spacing w:after="0"/>
              <w:jc w:val="right"/>
              <w:rPr>
                <w:sz w:val="20"/>
                <w:szCs w:val="20"/>
              </w:rPr>
            </w:pPr>
            <w:r>
              <w:rPr>
                <w:rFonts w:cs="Calibri"/>
                <w:color w:val="000000"/>
                <w:sz w:val="20"/>
                <w:szCs w:val="20"/>
                <w:lang w:val="ga"/>
              </w:rPr>
              <w:t>42</w:t>
            </w:r>
          </w:p>
        </w:tc>
        <w:tc>
          <w:tcPr>
            <w:tcW w:w="1557" w:type="dxa"/>
            <w:tcBorders>
              <w:top w:val="single" w:sz="6" w:space="0" w:color="000000"/>
              <w:left w:val="single" w:sz="6" w:space="0" w:color="000000"/>
              <w:bottom w:val="single" w:sz="6" w:space="0" w:color="000000"/>
              <w:right w:val="single" w:sz="6" w:space="0" w:color="000000"/>
            </w:tcBorders>
            <w:hideMark/>
          </w:tcPr>
          <w:p w14:paraId="27F38B83" w14:textId="77777777" w:rsidR="00590BEF" w:rsidRPr="007202FA" w:rsidRDefault="000B4F21" w:rsidP="007202FA">
            <w:pPr>
              <w:spacing w:after="0"/>
              <w:jc w:val="right"/>
              <w:rPr>
                <w:sz w:val="20"/>
                <w:szCs w:val="20"/>
              </w:rPr>
            </w:pPr>
            <w:r>
              <w:rPr>
                <w:rFonts w:cs="Calibri"/>
                <w:color w:val="000000"/>
                <w:sz w:val="20"/>
                <w:szCs w:val="20"/>
                <w:lang w:val="ga"/>
              </w:rPr>
              <w:t>10</w:t>
            </w:r>
          </w:p>
        </w:tc>
        <w:tc>
          <w:tcPr>
            <w:tcW w:w="1559" w:type="dxa"/>
            <w:tcBorders>
              <w:top w:val="single" w:sz="6" w:space="0" w:color="000000"/>
              <w:left w:val="single" w:sz="6" w:space="0" w:color="000000"/>
              <w:bottom w:val="single" w:sz="6" w:space="0" w:color="000000"/>
              <w:right w:val="single" w:sz="6" w:space="0" w:color="000000"/>
            </w:tcBorders>
            <w:hideMark/>
          </w:tcPr>
          <w:p w14:paraId="453BD93C" w14:textId="77777777" w:rsidR="00590BEF" w:rsidRPr="007202FA" w:rsidRDefault="000B4F21" w:rsidP="007202FA">
            <w:pPr>
              <w:spacing w:after="0"/>
              <w:jc w:val="right"/>
              <w:rPr>
                <w:sz w:val="20"/>
                <w:szCs w:val="20"/>
              </w:rPr>
            </w:pPr>
            <w:r>
              <w:rPr>
                <w:rFonts w:cs="Calibri"/>
                <w:color w:val="000000"/>
                <w:sz w:val="20"/>
                <w:szCs w:val="20"/>
                <w:lang w:val="ga"/>
              </w:rPr>
              <w:t>23.8%</w:t>
            </w:r>
          </w:p>
        </w:tc>
        <w:tc>
          <w:tcPr>
            <w:tcW w:w="1701" w:type="dxa"/>
            <w:tcBorders>
              <w:top w:val="single" w:sz="4" w:space="0" w:color="auto"/>
              <w:left w:val="single" w:sz="4" w:space="0" w:color="auto"/>
              <w:bottom w:val="single" w:sz="4" w:space="0" w:color="auto"/>
              <w:right w:val="single" w:sz="4" w:space="0" w:color="auto"/>
            </w:tcBorders>
          </w:tcPr>
          <w:p w14:paraId="2409B8ED" w14:textId="77777777" w:rsidR="00590BEF" w:rsidRPr="007202FA" w:rsidRDefault="000B4F21" w:rsidP="007202FA">
            <w:pPr>
              <w:spacing w:after="0"/>
              <w:jc w:val="right"/>
              <w:rPr>
                <w:sz w:val="20"/>
                <w:szCs w:val="20"/>
              </w:rPr>
            </w:pPr>
            <w:r>
              <w:rPr>
                <w:sz w:val="20"/>
                <w:szCs w:val="20"/>
                <w:lang w:val="ga"/>
              </w:rPr>
              <w:t>50</w:t>
            </w:r>
          </w:p>
          <w:p w14:paraId="240825AE"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79A45EC" w14:textId="77777777" w:rsidR="00590BEF" w:rsidRPr="007202FA" w:rsidRDefault="000B4F21" w:rsidP="007202FA">
            <w:pPr>
              <w:spacing w:after="0"/>
              <w:jc w:val="right"/>
              <w:rPr>
                <w:sz w:val="20"/>
                <w:szCs w:val="20"/>
              </w:rPr>
            </w:pPr>
            <w:r>
              <w:rPr>
                <w:sz w:val="20"/>
                <w:szCs w:val="20"/>
                <w:lang w:val="ga"/>
              </w:rPr>
              <w:t>8</w:t>
            </w:r>
          </w:p>
          <w:p w14:paraId="2479540A"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D99CD49" w14:textId="77777777" w:rsidR="00590BEF" w:rsidRPr="007202FA" w:rsidRDefault="000B4F21" w:rsidP="007202FA">
            <w:pPr>
              <w:spacing w:after="0"/>
              <w:jc w:val="right"/>
              <w:rPr>
                <w:sz w:val="20"/>
                <w:szCs w:val="20"/>
              </w:rPr>
            </w:pPr>
            <w:r>
              <w:rPr>
                <w:sz w:val="20"/>
                <w:szCs w:val="20"/>
                <w:lang w:val="ga"/>
              </w:rPr>
              <w:t>16.0%</w:t>
            </w:r>
          </w:p>
          <w:p w14:paraId="70655890" w14:textId="77777777" w:rsidR="00590BEF" w:rsidRPr="007202FA" w:rsidRDefault="00590BEF" w:rsidP="007202FA">
            <w:pPr>
              <w:spacing w:after="0"/>
              <w:jc w:val="right"/>
              <w:rPr>
                <w:sz w:val="20"/>
                <w:szCs w:val="20"/>
              </w:rPr>
            </w:pPr>
          </w:p>
        </w:tc>
      </w:tr>
      <w:tr w:rsidR="00F31303" w14:paraId="3A2F924E"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4D8C6B3E" w14:textId="77777777" w:rsidR="00590BEF" w:rsidRPr="007202FA" w:rsidRDefault="000B4F21" w:rsidP="007202FA">
            <w:pPr>
              <w:spacing w:after="0"/>
              <w:rPr>
                <w:sz w:val="20"/>
                <w:szCs w:val="20"/>
              </w:rPr>
            </w:pPr>
            <w:r>
              <w:rPr>
                <w:rFonts w:cs="Calibri"/>
                <w:color w:val="000000"/>
                <w:sz w:val="20"/>
                <w:szCs w:val="20"/>
                <w:lang w:val="ga"/>
              </w:rPr>
              <w:t>Spórt Éireann</w:t>
            </w:r>
          </w:p>
        </w:tc>
        <w:tc>
          <w:tcPr>
            <w:tcW w:w="1456" w:type="dxa"/>
            <w:tcBorders>
              <w:top w:val="single" w:sz="6" w:space="0" w:color="000000"/>
              <w:left w:val="single" w:sz="6" w:space="0" w:color="000000"/>
              <w:bottom w:val="single" w:sz="6" w:space="0" w:color="000000"/>
              <w:right w:val="single" w:sz="6" w:space="0" w:color="000000"/>
            </w:tcBorders>
            <w:hideMark/>
          </w:tcPr>
          <w:p w14:paraId="1EFAF5BA" w14:textId="77777777" w:rsidR="00590BEF" w:rsidRPr="007202FA" w:rsidRDefault="000B4F21" w:rsidP="007202FA">
            <w:pPr>
              <w:spacing w:after="0"/>
              <w:jc w:val="right"/>
              <w:rPr>
                <w:sz w:val="20"/>
                <w:szCs w:val="20"/>
              </w:rPr>
            </w:pPr>
            <w:r>
              <w:rPr>
                <w:rFonts w:cs="Calibri"/>
                <w:color w:val="000000"/>
                <w:sz w:val="20"/>
                <w:szCs w:val="20"/>
                <w:lang w:val="ga"/>
              </w:rPr>
              <w:t>67</w:t>
            </w:r>
          </w:p>
        </w:tc>
        <w:tc>
          <w:tcPr>
            <w:tcW w:w="1557" w:type="dxa"/>
            <w:tcBorders>
              <w:top w:val="single" w:sz="6" w:space="0" w:color="000000"/>
              <w:left w:val="single" w:sz="6" w:space="0" w:color="000000"/>
              <w:bottom w:val="single" w:sz="6" w:space="0" w:color="000000"/>
              <w:right w:val="single" w:sz="6" w:space="0" w:color="000000"/>
            </w:tcBorders>
            <w:hideMark/>
          </w:tcPr>
          <w:p w14:paraId="1CB1AFFF" w14:textId="77777777" w:rsidR="00590BEF" w:rsidRPr="007202FA" w:rsidRDefault="000B4F21" w:rsidP="007202FA">
            <w:pPr>
              <w:spacing w:after="0"/>
              <w:jc w:val="right"/>
              <w:rPr>
                <w:sz w:val="20"/>
                <w:szCs w:val="20"/>
              </w:rPr>
            </w:pPr>
            <w:r>
              <w:rPr>
                <w:rFonts w:cs="Calibri"/>
                <w:color w:val="000000"/>
                <w:sz w:val="20"/>
                <w:szCs w:val="20"/>
                <w:lang w:val="ga"/>
              </w:rPr>
              <w:t>7</w:t>
            </w:r>
          </w:p>
        </w:tc>
        <w:tc>
          <w:tcPr>
            <w:tcW w:w="1559" w:type="dxa"/>
            <w:tcBorders>
              <w:top w:val="single" w:sz="6" w:space="0" w:color="000000"/>
              <w:left w:val="single" w:sz="6" w:space="0" w:color="000000"/>
              <w:bottom w:val="single" w:sz="6" w:space="0" w:color="000000"/>
              <w:right w:val="single" w:sz="6" w:space="0" w:color="000000"/>
            </w:tcBorders>
            <w:hideMark/>
          </w:tcPr>
          <w:p w14:paraId="67B991CA" w14:textId="77777777" w:rsidR="00590BEF" w:rsidRPr="007202FA" w:rsidRDefault="000B4F21" w:rsidP="007202FA">
            <w:pPr>
              <w:spacing w:after="0"/>
              <w:jc w:val="right"/>
              <w:rPr>
                <w:sz w:val="20"/>
                <w:szCs w:val="20"/>
              </w:rPr>
            </w:pPr>
            <w:r>
              <w:rPr>
                <w:rFonts w:cs="Calibri"/>
                <w:color w:val="000000"/>
                <w:sz w:val="20"/>
                <w:szCs w:val="20"/>
                <w:lang w:val="ga"/>
              </w:rPr>
              <w:t>10.4%</w:t>
            </w:r>
          </w:p>
        </w:tc>
        <w:tc>
          <w:tcPr>
            <w:tcW w:w="1701" w:type="dxa"/>
            <w:tcBorders>
              <w:top w:val="single" w:sz="4" w:space="0" w:color="auto"/>
              <w:left w:val="single" w:sz="4" w:space="0" w:color="auto"/>
              <w:bottom w:val="single" w:sz="4" w:space="0" w:color="auto"/>
              <w:right w:val="single" w:sz="4" w:space="0" w:color="auto"/>
            </w:tcBorders>
          </w:tcPr>
          <w:p w14:paraId="05635B78" w14:textId="397928E9" w:rsidR="00590BEF" w:rsidRPr="007202FA" w:rsidRDefault="000B4F21" w:rsidP="007202FA">
            <w:pPr>
              <w:spacing w:after="0"/>
              <w:jc w:val="right"/>
              <w:rPr>
                <w:sz w:val="20"/>
                <w:szCs w:val="20"/>
              </w:rPr>
            </w:pPr>
            <w:r>
              <w:rPr>
                <w:sz w:val="20"/>
                <w:szCs w:val="20"/>
                <w:lang w:val="ga"/>
              </w:rPr>
              <w:t>76</w:t>
            </w:r>
          </w:p>
        </w:tc>
        <w:tc>
          <w:tcPr>
            <w:tcW w:w="1843" w:type="dxa"/>
            <w:tcBorders>
              <w:top w:val="single" w:sz="4" w:space="0" w:color="auto"/>
              <w:left w:val="single" w:sz="4" w:space="0" w:color="auto"/>
              <w:bottom w:val="single" w:sz="4" w:space="0" w:color="auto"/>
              <w:right w:val="single" w:sz="4" w:space="0" w:color="auto"/>
            </w:tcBorders>
          </w:tcPr>
          <w:p w14:paraId="7FA25036" w14:textId="78233F85" w:rsidR="00590BEF" w:rsidRPr="007202FA" w:rsidRDefault="000B4F21" w:rsidP="007202FA">
            <w:pPr>
              <w:spacing w:after="0"/>
              <w:jc w:val="right"/>
              <w:rPr>
                <w:sz w:val="20"/>
                <w:szCs w:val="20"/>
              </w:rPr>
            </w:pPr>
            <w:r>
              <w:rPr>
                <w:sz w:val="20"/>
                <w:szCs w:val="20"/>
                <w:lang w:val="ga"/>
              </w:rPr>
              <w:t>8</w:t>
            </w:r>
          </w:p>
        </w:tc>
        <w:tc>
          <w:tcPr>
            <w:tcW w:w="1559" w:type="dxa"/>
            <w:tcBorders>
              <w:top w:val="single" w:sz="4" w:space="0" w:color="auto"/>
              <w:left w:val="single" w:sz="4" w:space="0" w:color="auto"/>
              <w:bottom w:val="single" w:sz="4" w:space="0" w:color="auto"/>
              <w:right w:val="single" w:sz="4" w:space="0" w:color="auto"/>
            </w:tcBorders>
          </w:tcPr>
          <w:p w14:paraId="5107FADB" w14:textId="7EF45714" w:rsidR="00590BEF" w:rsidRPr="007202FA" w:rsidRDefault="000B4F21" w:rsidP="007202FA">
            <w:pPr>
              <w:spacing w:after="0"/>
              <w:jc w:val="right"/>
              <w:rPr>
                <w:sz w:val="20"/>
                <w:szCs w:val="20"/>
              </w:rPr>
            </w:pPr>
            <w:r>
              <w:rPr>
                <w:sz w:val="20"/>
                <w:szCs w:val="20"/>
                <w:lang w:val="ga"/>
              </w:rPr>
              <w:t>10.5%</w:t>
            </w:r>
          </w:p>
        </w:tc>
      </w:tr>
      <w:tr w:rsidR="00F31303" w14:paraId="3FA6810B"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4E0C7FA5" w14:textId="77777777" w:rsidR="00590BEF" w:rsidRPr="007202FA" w:rsidRDefault="000B4F21" w:rsidP="007202FA">
            <w:pPr>
              <w:spacing w:after="0"/>
              <w:rPr>
                <w:sz w:val="20"/>
                <w:szCs w:val="20"/>
              </w:rPr>
            </w:pPr>
            <w:r>
              <w:rPr>
                <w:rFonts w:cs="Calibri"/>
                <w:color w:val="000000"/>
                <w:sz w:val="20"/>
                <w:szCs w:val="20"/>
                <w:lang w:val="ga"/>
              </w:rPr>
              <w:t>TG4</w:t>
            </w:r>
          </w:p>
        </w:tc>
        <w:tc>
          <w:tcPr>
            <w:tcW w:w="1456" w:type="dxa"/>
            <w:tcBorders>
              <w:top w:val="single" w:sz="6" w:space="0" w:color="000000"/>
              <w:left w:val="single" w:sz="6" w:space="0" w:color="000000"/>
              <w:bottom w:val="single" w:sz="6" w:space="0" w:color="000000"/>
              <w:right w:val="single" w:sz="6" w:space="0" w:color="000000"/>
            </w:tcBorders>
            <w:hideMark/>
          </w:tcPr>
          <w:p w14:paraId="5089B774" w14:textId="77777777" w:rsidR="00590BEF" w:rsidRPr="007202FA" w:rsidRDefault="000B4F21" w:rsidP="007202FA">
            <w:pPr>
              <w:spacing w:after="0"/>
              <w:jc w:val="right"/>
              <w:rPr>
                <w:sz w:val="20"/>
                <w:szCs w:val="20"/>
              </w:rPr>
            </w:pPr>
            <w:r>
              <w:rPr>
                <w:rFonts w:cs="Calibri"/>
                <w:color w:val="000000"/>
                <w:sz w:val="20"/>
                <w:szCs w:val="20"/>
                <w:lang w:val="ga"/>
              </w:rPr>
              <w:t>126</w:t>
            </w:r>
          </w:p>
        </w:tc>
        <w:tc>
          <w:tcPr>
            <w:tcW w:w="1557" w:type="dxa"/>
            <w:tcBorders>
              <w:top w:val="single" w:sz="6" w:space="0" w:color="000000"/>
              <w:left w:val="single" w:sz="6" w:space="0" w:color="000000"/>
              <w:bottom w:val="single" w:sz="6" w:space="0" w:color="000000"/>
              <w:right w:val="single" w:sz="6" w:space="0" w:color="000000"/>
            </w:tcBorders>
            <w:hideMark/>
          </w:tcPr>
          <w:p w14:paraId="4E4FC72A" w14:textId="77777777" w:rsidR="00590BEF" w:rsidRPr="007202FA" w:rsidRDefault="000B4F21" w:rsidP="007202FA">
            <w:pPr>
              <w:spacing w:after="0"/>
              <w:jc w:val="right"/>
              <w:rPr>
                <w:sz w:val="20"/>
                <w:szCs w:val="20"/>
              </w:rPr>
            </w:pPr>
            <w:r>
              <w:rPr>
                <w:rFonts w:cs="Calibri"/>
                <w:color w:val="000000"/>
                <w:sz w:val="20"/>
                <w:szCs w:val="20"/>
                <w:lang w:val="ga"/>
              </w:rPr>
              <w:t>6</w:t>
            </w:r>
          </w:p>
        </w:tc>
        <w:tc>
          <w:tcPr>
            <w:tcW w:w="1559" w:type="dxa"/>
            <w:tcBorders>
              <w:top w:val="single" w:sz="6" w:space="0" w:color="000000"/>
              <w:left w:val="single" w:sz="6" w:space="0" w:color="000000"/>
              <w:bottom w:val="single" w:sz="6" w:space="0" w:color="000000"/>
              <w:right w:val="single" w:sz="6" w:space="0" w:color="000000"/>
            </w:tcBorders>
            <w:hideMark/>
          </w:tcPr>
          <w:p w14:paraId="659870EB" w14:textId="77777777" w:rsidR="00590BEF" w:rsidRPr="007202FA" w:rsidRDefault="000B4F21" w:rsidP="007202FA">
            <w:pPr>
              <w:spacing w:after="0"/>
              <w:jc w:val="right"/>
              <w:rPr>
                <w:sz w:val="20"/>
                <w:szCs w:val="20"/>
              </w:rPr>
            </w:pPr>
            <w:r>
              <w:rPr>
                <w:rFonts w:cs="Calibri"/>
                <w:color w:val="000000"/>
                <w:sz w:val="20"/>
                <w:szCs w:val="20"/>
                <w:lang w:val="ga"/>
              </w:rPr>
              <w:t>4.8%</w:t>
            </w:r>
          </w:p>
        </w:tc>
        <w:tc>
          <w:tcPr>
            <w:tcW w:w="1701" w:type="dxa"/>
            <w:tcBorders>
              <w:top w:val="single" w:sz="4" w:space="0" w:color="auto"/>
              <w:left w:val="single" w:sz="4" w:space="0" w:color="auto"/>
              <w:bottom w:val="single" w:sz="4" w:space="0" w:color="auto"/>
              <w:right w:val="single" w:sz="4" w:space="0" w:color="auto"/>
            </w:tcBorders>
          </w:tcPr>
          <w:p w14:paraId="01F4924E" w14:textId="2C9BF643" w:rsidR="00590BEF" w:rsidRPr="007202FA" w:rsidRDefault="000B4F21" w:rsidP="007202FA">
            <w:pPr>
              <w:spacing w:after="0"/>
              <w:jc w:val="right"/>
              <w:rPr>
                <w:sz w:val="20"/>
                <w:szCs w:val="20"/>
              </w:rPr>
            </w:pPr>
            <w:r>
              <w:rPr>
                <w:sz w:val="20"/>
                <w:szCs w:val="20"/>
                <w:lang w:val="ga"/>
              </w:rPr>
              <w:t>130</w:t>
            </w:r>
          </w:p>
        </w:tc>
        <w:tc>
          <w:tcPr>
            <w:tcW w:w="1843" w:type="dxa"/>
            <w:tcBorders>
              <w:top w:val="single" w:sz="4" w:space="0" w:color="auto"/>
              <w:left w:val="single" w:sz="4" w:space="0" w:color="auto"/>
              <w:bottom w:val="single" w:sz="4" w:space="0" w:color="auto"/>
              <w:right w:val="single" w:sz="4" w:space="0" w:color="auto"/>
            </w:tcBorders>
          </w:tcPr>
          <w:p w14:paraId="176B232C" w14:textId="76433FB4" w:rsidR="00590BEF" w:rsidRPr="007202FA" w:rsidRDefault="000B4F21" w:rsidP="007202FA">
            <w:pPr>
              <w:spacing w:after="0"/>
              <w:jc w:val="right"/>
              <w:rPr>
                <w:sz w:val="20"/>
                <w:szCs w:val="20"/>
              </w:rPr>
            </w:pPr>
            <w:r>
              <w:rPr>
                <w:sz w:val="20"/>
                <w:szCs w:val="20"/>
                <w:lang w:val="ga"/>
              </w:rPr>
              <w:t>8</w:t>
            </w:r>
          </w:p>
        </w:tc>
        <w:tc>
          <w:tcPr>
            <w:tcW w:w="1559" w:type="dxa"/>
            <w:tcBorders>
              <w:top w:val="single" w:sz="4" w:space="0" w:color="auto"/>
              <w:left w:val="single" w:sz="4" w:space="0" w:color="auto"/>
              <w:bottom w:val="single" w:sz="4" w:space="0" w:color="auto"/>
              <w:right w:val="single" w:sz="4" w:space="0" w:color="auto"/>
            </w:tcBorders>
          </w:tcPr>
          <w:p w14:paraId="691E04AE" w14:textId="7D287EF7" w:rsidR="00590BEF" w:rsidRPr="007202FA" w:rsidRDefault="000B4F21" w:rsidP="007202FA">
            <w:pPr>
              <w:spacing w:after="0"/>
              <w:jc w:val="right"/>
              <w:rPr>
                <w:sz w:val="20"/>
                <w:szCs w:val="20"/>
              </w:rPr>
            </w:pPr>
            <w:r>
              <w:rPr>
                <w:sz w:val="20"/>
                <w:szCs w:val="20"/>
                <w:lang w:val="ga"/>
              </w:rPr>
              <w:t>6.2%</w:t>
            </w:r>
          </w:p>
        </w:tc>
      </w:tr>
      <w:tr w:rsidR="00F31303" w14:paraId="54ECAB83"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71B16A2B" w14:textId="77777777" w:rsidR="00590BEF" w:rsidRPr="007202FA" w:rsidRDefault="000B4F21" w:rsidP="007202FA">
            <w:pPr>
              <w:spacing w:after="0"/>
              <w:rPr>
                <w:rFonts w:cs="Calibri"/>
                <w:color w:val="000000"/>
                <w:sz w:val="20"/>
                <w:szCs w:val="20"/>
              </w:rPr>
            </w:pPr>
            <w:r>
              <w:rPr>
                <w:rFonts w:cs="Calibri"/>
                <w:color w:val="000000"/>
                <w:sz w:val="20"/>
                <w:szCs w:val="20"/>
                <w:lang w:val="ga"/>
              </w:rPr>
              <w:t>An Chomhairle Ealaíon</w:t>
            </w:r>
          </w:p>
        </w:tc>
        <w:tc>
          <w:tcPr>
            <w:tcW w:w="1456" w:type="dxa"/>
            <w:tcBorders>
              <w:top w:val="single" w:sz="6" w:space="0" w:color="000000"/>
              <w:left w:val="single" w:sz="6" w:space="0" w:color="000000"/>
              <w:bottom w:val="single" w:sz="6" w:space="0" w:color="000000"/>
              <w:right w:val="single" w:sz="6" w:space="0" w:color="000000"/>
            </w:tcBorders>
            <w:hideMark/>
          </w:tcPr>
          <w:p w14:paraId="3E42F865" w14:textId="77777777" w:rsidR="00590BEF" w:rsidRPr="007202FA" w:rsidRDefault="000B4F21" w:rsidP="007202FA">
            <w:pPr>
              <w:spacing w:after="0"/>
              <w:jc w:val="right"/>
              <w:rPr>
                <w:rFonts w:cs="Calibri"/>
                <w:color w:val="000000"/>
                <w:sz w:val="20"/>
                <w:szCs w:val="20"/>
              </w:rPr>
            </w:pPr>
            <w:r>
              <w:rPr>
                <w:sz w:val="20"/>
                <w:szCs w:val="20"/>
                <w:lang w:val="ga"/>
              </w:rPr>
              <w:t>123</w:t>
            </w:r>
          </w:p>
        </w:tc>
        <w:tc>
          <w:tcPr>
            <w:tcW w:w="1557" w:type="dxa"/>
            <w:tcBorders>
              <w:top w:val="single" w:sz="6" w:space="0" w:color="000000"/>
              <w:left w:val="single" w:sz="6" w:space="0" w:color="000000"/>
              <w:bottom w:val="single" w:sz="6" w:space="0" w:color="000000"/>
              <w:right w:val="single" w:sz="6" w:space="0" w:color="000000"/>
            </w:tcBorders>
            <w:hideMark/>
          </w:tcPr>
          <w:p w14:paraId="2A400F70" w14:textId="77777777" w:rsidR="00590BEF" w:rsidRPr="007202FA" w:rsidRDefault="000B4F21" w:rsidP="007202FA">
            <w:pPr>
              <w:spacing w:after="0"/>
              <w:jc w:val="right"/>
              <w:rPr>
                <w:rFonts w:cs="Calibri"/>
                <w:color w:val="000000"/>
                <w:sz w:val="20"/>
                <w:szCs w:val="20"/>
              </w:rPr>
            </w:pPr>
            <w:r>
              <w:rPr>
                <w:sz w:val="20"/>
                <w:szCs w:val="20"/>
                <w:lang w:val="ga"/>
              </w:rPr>
              <w:t>15</w:t>
            </w:r>
          </w:p>
        </w:tc>
        <w:tc>
          <w:tcPr>
            <w:tcW w:w="1559" w:type="dxa"/>
            <w:tcBorders>
              <w:top w:val="single" w:sz="6" w:space="0" w:color="000000"/>
              <w:left w:val="single" w:sz="6" w:space="0" w:color="000000"/>
              <w:bottom w:val="single" w:sz="6" w:space="0" w:color="000000"/>
              <w:right w:val="single" w:sz="6" w:space="0" w:color="000000"/>
            </w:tcBorders>
            <w:hideMark/>
          </w:tcPr>
          <w:p w14:paraId="769CFFDF" w14:textId="77777777" w:rsidR="00590BEF" w:rsidRPr="007202FA" w:rsidRDefault="000B4F21" w:rsidP="007202FA">
            <w:pPr>
              <w:spacing w:after="0"/>
              <w:jc w:val="right"/>
              <w:rPr>
                <w:rFonts w:cs="Calibri"/>
                <w:color w:val="000000"/>
                <w:sz w:val="20"/>
                <w:szCs w:val="20"/>
              </w:rPr>
            </w:pPr>
            <w:r>
              <w:rPr>
                <w:sz w:val="20"/>
                <w:szCs w:val="20"/>
                <w:lang w:val="ga"/>
              </w:rPr>
              <w:t>12.2%</w:t>
            </w:r>
          </w:p>
        </w:tc>
        <w:tc>
          <w:tcPr>
            <w:tcW w:w="1701" w:type="dxa"/>
            <w:tcBorders>
              <w:top w:val="single" w:sz="4" w:space="0" w:color="auto"/>
              <w:left w:val="single" w:sz="4" w:space="0" w:color="auto"/>
              <w:bottom w:val="single" w:sz="4" w:space="0" w:color="auto"/>
              <w:right w:val="single" w:sz="4" w:space="0" w:color="auto"/>
            </w:tcBorders>
          </w:tcPr>
          <w:p w14:paraId="0010F318"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130</w:t>
            </w:r>
          </w:p>
          <w:p w14:paraId="254A948C" w14:textId="77777777" w:rsidR="00590BEF" w:rsidRPr="007202FA" w:rsidRDefault="00590BEF" w:rsidP="007202FA">
            <w:pPr>
              <w:spacing w:after="0"/>
              <w:jc w:val="right"/>
              <w:rPr>
                <w:rFonts w:cs="Calibr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9317483"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14</w:t>
            </w:r>
          </w:p>
          <w:p w14:paraId="394F88CD" w14:textId="77777777" w:rsidR="00590BEF" w:rsidRPr="007202FA" w:rsidRDefault="00590BEF" w:rsidP="007202FA">
            <w:pPr>
              <w:spacing w:after="0"/>
              <w:jc w:val="right"/>
              <w:rPr>
                <w:rFonts w:cs="Calibri"/>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B3FF7B1"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10.8%</w:t>
            </w:r>
          </w:p>
          <w:p w14:paraId="200E0543" w14:textId="77777777" w:rsidR="00590BEF" w:rsidRPr="007202FA" w:rsidRDefault="00590BEF" w:rsidP="007202FA">
            <w:pPr>
              <w:spacing w:after="0"/>
              <w:jc w:val="right"/>
              <w:rPr>
                <w:rFonts w:cs="Calibri"/>
                <w:color w:val="000000"/>
                <w:sz w:val="20"/>
                <w:szCs w:val="20"/>
              </w:rPr>
            </w:pPr>
          </w:p>
        </w:tc>
      </w:tr>
      <w:tr w:rsidR="00F31303" w14:paraId="6AB326DA"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167CA812" w14:textId="77777777" w:rsidR="00590BEF" w:rsidRPr="007202FA" w:rsidRDefault="000B4F21" w:rsidP="007202FA">
            <w:pPr>
              <w:spacing w:after="0"/>
              <w:rPr>
                <w:sz w:val="20"/>
                <w:szCs w:val="20"/>
              </w:rPr>
            </w:pPr>
            <w:r>
              <w:rPr>
                <w:rFonts w:cs="Calibri"/>
                <w:color w:val="000000"/>
                <w:sz w:val="20"/>
                <w:szCs w:val="20"/>
                <w:lang w:val="ga"/>
              </w:rPr>
              <w:t>Turasóireacht Éireann</w:t>
            </w:r>
          </w:p>
        </w:tc>
        <w:tc>
          <w:tcPr>
            <w:tcW w:w="1456" w:type="dxa"/>
            <w:tcBorders>
              <w:top w:val="single" w:sz="6" w:space="0" w:color="000000"/>
              <w:left w:val="single" w:sz="6" w:space="0" w:color="000000"/>
              <w:bottom w:val="single" w:sz="6" w:space="0" w:color="000000"/>
              <w:right w:val="single" w:sz="6" w:space="0" w:color="000000"/>
            </w:tcBorders>
            <w:hideMark/>
          </w:tcPr>
          <w:p w14:paraId="47486818" w14:textId="77777777" w:rsidR="00590BEF" w:rsidRPr="007202FA" w:rsidRDefault="000B4F21" w:rsidP="007202FA">
            <w:pPr>
              <w:spacing w:after="0"/>
              <w:jc w:val="right"/>
              <w:rPr>
                <w:sz w:val="20"/>
                <w:szCs w:val="20"/>
              </w:rPr>
            </w:pPr>
            <w:r>
              <w:rPr>
                <w:rFonts w:cs="Calibri"/>
                <w:color w:val="000000"/>
                <w:sz w:val="20"/>
                <w:szCs w:val="20"/>
                <w:lang w:val="ga"/>
              </w:rPr>
              <w:t>163</w:t>
            </w:r>
          </w:p>
        </w:tc>
        <w:tc>
          <w:tcPr>
            <w:tcW w:w="1557" w:type="dxa"/>
            <w:tcBorders>
              <w:top w:val="single" w:sz="6" w:space="0" w:color="000000"/>
              <w:left w:val="single" w:sz="6" w:space="0" w:color="000000"/>
              <w:bottom w:val="single" w:sz="6" w:space="0" w:color="000000"/>
              <w:right w:val="single" w:sz="6" w:space="0" w:color="000000"/>
            </w:tcBorders>
            <w:hideMark/>
          </w:tcPr>
          <w:p w14:paraId="3FCE4B58" w14:textId="77777777" w:rsidR="00590BEF" w:rsidRPr="007202FA" w:rsidRDefault="000B4F21" w:rsidP="007202FA">
            <w:pPr>
              <w:spacing w:after="0"/>
              <w:jc w:val="right"/>
              <w:rPr>
                <w:sz w:val="20"/>
                <w:szCs w:val="20"/>
              </w:rPr>
            </w:pPr>
            <w:r>
              <w:rPr>
                <w:rFonts w:cs="Calibri"/>
                <w:color w:val="000000"/>
                <w:sz w:val="20"/>
                <w:szCs w:val="20"/>
                <w:lang w:val="ga"/>
              </w:rPr>
              <w:t>12</w:t>
            </w:r>
          </w:p>
        </w:tc>
        <w:tc>
          <w:tcPr>
            <w:tcW w:w="1559" w:type="dxa"/>
            <w:tcBorders>
              <w:top w:val="single" w:sz="6" w:space="0" w:color="000000"/>
              <w:left w:val="single" w:sz="6" w:space="0" w:color="000000"/>
              <w:bottom w:val="single" w:sz="6" w:space="0" w:color="000000"/>
              <w:right w:val="single" w:sz="6" w:space="0" w:color="000000"/>
            </w:tcBorders>
            <w:hideMark/>
          </w:tcPr>
          <w:p w14:paraId="682D34A6" w14:textId="77777777" w:rsidR="00590BEF" w:rsidRPr="007202FA" w:rsidRDefault="000B4F21" w:rsidP="007202FA">
            <w:pPr>
              <w:spacing w:after="0"/>
              <w:jc w:val="right"/>
              <w:rPr>
                <w:sz w:val="20"/>
                <w:szCs w:val="20"/>
              </w:rPr>
            </w:pPr>
            <w:r>
              <w:rPr>
                <w:rFonts w:cs="Calibri"/>
                <w:color w:val="000000"/>
                <w:sz w:val="20"/>
                <w:szCs w:val="20"/>
                <w:lang w:val="ga"/>
              </w:rPr>
              <w:t>7.4%</w:t>
            </w:r>
          </w:p>
        </w:tc>
        <w:tc>
          <w:tcPr>
            <w:tcW w:w="1701" w:type="dxa"/>
            <w:tcBorders>
              <w:top w:val="single" w:sz="4" w:space="0" w:color="auto"/>
              <w:left w:val="single" w:sz="4" w:space="0" w:color="auto"/>
              <w:bottom w:val="single" w:sz="4" w:space="0" w:color="auto"/>
              <w:right w:val="single" w:sz="4" w:space="0" w:color="auto"/>
            </w:tcBorders>
          </w:tcPr>
          <w:p w14:paraId="2949C1A9" w14:textId="77777777" w:rsidR="00590BEF" w:rsidRPr="007202FA" w:rsidRDefault="000B4F21" w:rsidP="007202FA">
            <w:pPr>
              <w:spacing w:after="0"/>
              <w:jc w:val="right"/>
              <w:rPr>
                <w:sz w:val="20"/>
                <w:szCs w:val="20"/>
              </w:rPr>
            </w:pPr>
            <w:r>
              <w:rPr>
                <w:sz w:val="20"/>
                <w:szCs w:val="20"/>
                <w:lang w:val="ga"/>
              </w:rPr>
              <w:t>176</w:t>
            </w:r>
          </w:p>
          <w:p w14:paraId="0D9745D1"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F5E1918" w14:textId="77777777" w:rsidR="00590BEF" w:rsidRPr="007202FA" w:rsidRDefault="000B4F21" w:rsidP="007202FA">
            <w:pPr>
              <w:spacing w:after="0"/>
              <w:jc w:val="right"/>
              <w:rPr>
                <w:sz w:val="20"/>
                <w:szCs w:val="20"/>
              </w:rPr>
            </w:pPr>
            <w:r>
              <w:rPr>
                <w:sz w:val="20"/>
                <w:szCs w:val="20"/>
                <w:lang w:val="ga"/>
              </w:rPr>
              <w:t>14</w:t>
            </w:r>
          </w:p>
          <w:p w14:paraId="57F5BA6F"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8FE12F6" w14:textId="77777777" w:rsidR="00590BEF" w:rsidRPr="007202FA" w:rsidRDefault="000B4F21" w:rsidP="007202FA">
            <w:pPr>
              <w:spacing w:after="0"/>
              <w:jc w:val="right"/>
              <w:rPr>
                <w:sz w:val="20"/>
                <w:szCs w:val="20"/>
              </w:rPr>
            </w:pPr>
            <w:r>
              <w:rPr>
                <w:sz w:val="20"/>
                <w:szCs w:val="20"/>
                <w:lang w:val="ga"/>
              </w:rPr>
              <w:t>8.0%</w:t>
            </w:r>
          </w:p>
          <w:p w14:paraId="162A2AA8" w14:textId="77777777" w:rsidR="00590BEF" w:rsidRPr="007202FA" w:rsidRDefault="00590BEF" w:rsidP="007202FA">
            <w:pPr>
              <w:spacing w:after="0"/>
              <w:jc w:val="right"/>
              <w:rPr>
                <w:sz w:val="20"/>
                <w:szCs w:val="20"/>
              </w:rPr>
            </w:pPr>
          </w:p>
        </w:tc>
      </w:tr>
      <w:tr w:rsidR="00F31303" w14:paraId="4E46FC1F"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75E65F65" w14:textId="77777777" w:rsidR="00590BEF" w:rsidRPr="007202FA" w:rsidRDefault="000B4F21" w:rsidP="007202FA">
            <w:pPr>
              <w:spacing w:after="0"/>
              <w:rPr>
                <w:sz w:val="20"/>
                <w:szCs w:val="20"/>
              </w:rPr>
            </w:pPr>
            <w:r>
              <w:rPr>
                <w:rFonts w:cs="Calibri"/>
                <w:color w:val="000000"/>
                <w:sz w:val="20"/>
                <w:szCs w:val="20"/>
                <w:lang w:val="ga"/>
              </w:rPr>
              <w:t>Údarás na Gaeltachta</w:t>
            </w:r>
          </w:p>
        </w:tc>
        <w:tc>
          <w:tcPr>
            <w:tcW w:w="1456" w:type="dxa"/>
            <w:tcBorders>
              <w:top w:val="single" w:sz="6" w:space="0" w:color="000000"/>
              <w:left w:val="single" w:sz="6" w:space="0" w:color="000000"/>
              <w:bottom w:val="single" w:sz="6" w:space="0" w:color="000000"/>
              <w:right w:val="single" w:sz="6" w:space="0" w:color="000000"/>
            </w:tcBorders>
            <w:hideMark/>
          </w:tcPr>
          <w:p w14:paraId="21E69C9B" w14:textId="77777777" w:rsidR="00590BEF" w:rsidRPr="007202FA" w:rsidRDefault="000B4F21" w:rsidP="007202FA">
            <w:pPr>
              <w:spacing w:after="0"/>
              <w:jc w:val="right"/>
              <w:rPr>
                <w:sz w:val="20"/>
                <w:szCs w:val="20"/>
              </w:rPr>
            </w:pPr>
            <w:r>
              <w:rPr>
                <w:rFonts w:cs="Calibri"/>
                <w:color w:val="000000"/>
                <w:sz w:val="20"/>
                <w:szCs w:val="20"/>
                <w:lang w:val="ga"/>
              </w:rPr>
              <w:t>98</w:t>
            </w:r>
          </w:p>
        </w:tc>
        <w:tc>
          <w:tcPr>
            <w:tcW w:w="1557" w:type="dxa"/>
            <w:tcBorders>
              <w:top w:val="single" w:sz="6" w:space="0" w:color="000000"/>
              <w:left w:val="single" w:sz="6" w:space="0" w:color="000000"/>
              <w:bottom w:val="single" w:sz="6" w:space="0" w:color="000000"/>
              <w:right w:val="single" w:sz="6" w:space="0" w:color="000000"/>
            </w:tcBorders>
            <w:hideMark/>
          </w:tcPr>
          <w:p w14:paraId="2712A3FA" w14:textId="77777777" w:rsidR="00590BEF" w:rsidRPr="007202FA" w:rsidRDefault="000B4F21" w:rsidP="007202FA">
            <w:pPr>
              <w:spacing w:after="0"/>
              <w:jc w:val="right"/>
              <w:rPr>
                <w:sz w:val="20"/>
                <w:szCs w:val="20"/>
              </w:rPr>
            </w:pPr>
            <w:r>
              <w:rPr>
                <w:rFonts w:cs="Calibri"/>
                <w:color w:val="000000"/>
                <w:sz w:val="20"/>
                <w:szCs w:val="20"/>
                <w:lang w:val="ga"/>
              </w:rPr>
              <w:t>2</w:t>
            </w:r>
          </w:p>
        </w:tc>
        <w:tc>
          <w:tcPr>
            <w:tcW w:w="1559" w:type="dxa"/>
            <w:tcBorders>
              <w:top w:val="single" w:sz="6" w:space="0" w:color="000000"/>
              <w:left w:val="single" w:sz="6" w:space="0" w:color="000000"/>
              <w:bottom w:val="single" w:sz="6" w:space="0" w:color="000000"/>
              <w:right w:val="single" w:sz="6" w:space="0" w:color="000000"/>
            </w:tcBorders>
            <w:hideMark/>
          </w:tcPr>
          <w:p w14:paraId="1129741B" w14:textId="77777777" w:rsidR="00590BEF" w:rsidRPr="007202FA" w:rsidRDefault="000B4F21" w:rsidP="007202FA">
            <w:pPr>
              <w:spacing w:after="0"/>
              <w:jc w:val="right"/>
              <w:rPr>
                <w:sz w:val="20"/>
                <w:szCs w:val="20"/>
              </w:rPr>
            </w:pPr>
            <w:r>
              <w:rPr>
                <w:rFonts w:cs="Calibri"/>
                <w:color w:val="000000"/>
                <w:sz w:val="20"/>
                <w:szCs w:val="20"/>
                <w:lang w:val="ga"/>
              </w:rPr>
              <w:t>2.0%</w:t>
            </w:r>
          </w:p>
        </w:tc>
        <w:tc>
          <w:tcPr>
            <w:tcW w:w="1701" w:type="dxa"/>
            <w:tcBorders>
              <w:top w:val="single" w:sz="4" w:space="0" w:color="auto"/>
              <w:left w:val="single" w:sz="4" w:space="0" w:color="auto"/>
              <w:bottom w:val="single" w:sz="4" w:space="0" w:color="auto"/>
              <w:right w:val="single" w:sz="4" w:space="0" w:color="auto"/>
            </w:tcBorders>
          </w:tcPr>
          <w:p w14:paraId="7E57F1D1" w14:textId="77777777" w:rsidR="00590BEF" w:rsidRPr="007202FA" w:rsidRDefault="000B4F21" w:rsidP="007202FA">
            <w:pPr>
              <w:spacing w:after="0"/>
              <w:jc w:val="right"/>
              <w:rPr>
                <w:sz w:val="20"/>
                <w:szCs w:val="20"/>
              </w:rPr>
            </w:pPr>
            <w:r>
              <w:rPr>
                <w:sz w:val="20"/>
                <w:szCs w:val="20"/>
                <w:lang w:val="ga"/>
              </w:rPr>
              <w:t>115</w:t>
            </w:r>
          </w:p>
          <w:p w14:paraId="0EE4E01B"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D7624FA" w14:textId="77777777" w:rsidR="00590BEF" w:rsidRPr="007202FA" w:rsidRDefault="000B4F21" w:rsidP="007202FA">
            <w:pPr>
              <w:spacing w:after="0"/>
              <w:jc w:val="right"/>
              <w:rPr>
                <w:sz w:val="20"/>
                <w:szCs w:val="20"/>
              </w:rPr>
            </w:pPr>
            <w:r>
              <w:rPr>
                <w:sz w:val="20"/>
                <w:szCs w:val="20"/>
                <w:lang w:val="ga"/>
              </w:rPr>
              <w:t>1</w:t>
            </w:r>
          </w:p>
          <w:p w14:paraId="38757B5D"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E0A7209" w14:textId="77777777" w:rsidR="00590BEF" w:rsidRPr="007202FA" w:rsidRDefault="000B4F21" w:rsidP="007202FA">
            <w:pPr>
              <w:spacing w:after="0"/>
              <w:jc w:val="right"/>
              <w:rPr>
                <w:sz w:val="20"/>
                <w:szCs w:val="20"/>
              </w:rPr>
            </w:pPr>
            <w:r>
              <w:rPr>
                <w:sz w:val="20"/>
                <w:szCs w:val="20"/>
                <w:lang w:val="ga"/>
              </w:rPr>
              <w:t>0.9%</w:t>
            </w:r>
          </w:p>
          <w:p w14:paraId="41C56F2D" w14:textId="77777777" w:rsidR="00590BEF" w:rsidRPr="007202FA" w:rsidRDefault="00590BEF" w:rsidP="007202FA">
            <w:pPr>
              <w:spacing w:after="0"/>
              <w:jc w:val="right"/>
              <w:rPr>
                <w:sz w:val="20"/>
                <w:szCs w:val="20"/>
              </w:rPr>
            </w:pPr>
          </w:p>
        </w:tc>
      </w:tr>
      <w:tr w:rsidR="00F31303" w14:paraId="4776AAFE" w14:textId="77777777" w:rsidTr="007D6D30">
        <w:tc>
          <w:tcPr>
            <w:tcW w:w="1665" w:type="dxa"/>
            <w:tcBorders>
              <w:top w:val="single" w:sz="6" w:space="0" w:color="000000"/>
              <w:left w:val="single" w:sz="12" w:space="0" w:color="000000"/>
              <w:bottom w:val="single" w:sz="6" w:space="0" w:color="000000"/>
              <w:right w:val="single" w:sz="6" w:space="0" w:color="000000"/>
            </w:tcBorders>
            <w:hideMark/>
          </w:tcPr>
          <w:p w14:paraId="144304E2" w14:textId="1CFEFFD5" w:rsidR="00590BEF" w:rsidRPr="007202FA" w:rsidRDefault="000B4F21" w:rsidP="007202FA">
            <w:pPr>
              <w:spacing w:after="0"/>
              <w:rPr>
                <w:sz w:val="20"/>
                <w:szCs w:val="20"/>
              </w:rPr>
            </w:pPr>
            <w:r>
              <w:rPr>
                <w:rFonts w:cs="Calibri"/>
                <w:color w:val="000000"/>
                <w:sz w:val="20"/>
                <w:szCs w:val="20"/>
                <w:lang w:val="ga"/>
              </w:rPr>
              <w:t>Gníomh</w:t>
            </w:r>
            <w:r w:rsidR="006C6554">
              <w:rPr>
                <w:rFonts w:cs="Calibri"/>
                <w:color w:val="000000"/>
                <w:sz w:val="20"/>
                <w:szCs w:val="20"/>
                <w:lang w:val="ga"/>
              </w:rPr>
              <w:t>-</w:t>
            </w:r>
            <w:r>
              <w:rPr>
                <w:rFonts w:cs="Calibri"/>
                <w:color w:val="000000"/>
                <w:sz w:val="20"/>
                <w:szCs w:val="20"/>
                <w:lang w:val="ga"/>
              </w:rPr>
              <w:t>aireacht na hUltaise</w:t>
            </w:r>
          </w:p>
        </w:tc>
        <w:tc>
          <w:tcPr>
            <w:tcW w:w="1456" w:type="dxa"/>
            <w:tcBorders>
              <w:top w:val="single" w:sz="6" w:space="0" w:color="000000"/>
              <w:left w:val="single" w:sz="6" w:space="0" w:color="000000"/>
              <w:bottom w:val="single" w:sz="6" w:space="0" w:color="000000"/>
              <w:right w:val="single" w:sz="6" w:space="0" w:color="000000"/>
            </w:tcBorders>
            <w:hideMark/>
          </w:tcPr>
          <w:p w14:paraId="6A1F20D9" w14:textId="77777777" w:rsidR="00590BEF" w:rsidRPr="007202FA" w:rsidRDefault="000B4F21" w:rsidP="007202FA">
            <w:pPr>
              <w:spacing w:after="0"/>
              <w:jc w:val="right"/>
              <w:rPr>
                <w:sz w:val="20"/>
                <w:szCs w:val="20"/>
              </w:rPr>
            </w:pPr>
            <w:r>
              <w:rPr>
                <w:rFonts w:cs="Calibri"/>
                <w:color w:val="000000"/>
                <w:sz w:val="20"/>
                <w:szCs w:val="20"/>
                <w:lang w:val="ga"/>
              </w:rPr>
              <w:t>14</w:t>
            </w:r>
          </w:p>
        </w:tc>
        <w:tc>
          <w:tcPr>
            <w:tcW w:w="1557" w:type="dxa"/>
            <w:tcBorders>
              <w:top w:val="single" w:sz="6" w:space="0" w:color="000000"/>
              <w:left w:val="single" w:sz="6" w:space="0" w:color="000000"/>
              <w:bottom w:val="single" w:sz="6" w:space="0" w:color="000000"/>
              <w:right w:val="single" w:sz="6" w:space="0" w:color="000000"/>
            </w:tcBorders>
            <w:hideMark/>
          </w:tcPr>
          <w:p w14:paraId="473C215D" w14:textId="77777777" w:rsidR="00590BEF" w:rsidRPr="007202FA" w:rsidRDefault="000B4F21" w:rsidP="007202FA">
            <w:pPr>
              <w:spacing w:after="0"/>
              <w:jc w:val="right"/>
              <w:rPr>
                <w:sz w:val="20"/>
                <w:szCs w:val="20"/>
              </w:rPr>
            </w:pPr>
            <w:r>
              <w:rPr>
                <w:rFonts w:cs="Calibri"/>
                <w:color w:val="000000"/>
                <w:sz w:val="20"/>
                <w:szCs w:val="20"/>
                <w:lang w:val="ga"/>
              </w:rPr>
              <w:t>4</w:t>
            </w:r>
          </w:p>
        </w:tc>
        <w:tc>
          <w:tcPr>
            <w:tcW w:w="1559" w:type="dxa"/>
            <w:tcBorders>
              <w:top w:val="single" w:sz="6" w:space="0" w:color="000000"/>
              <w:left w:val="single" w:sz="6" w:space="0" w:color="000000"/>
              <w:bottom w:val="single" w:sz="6" w:space="0" w:color="000000"/>
              <w:right w:val="single" w:sz="6" w:space="0" w:color="000000"/>
            </w:tcBorders>
            <w:hideMark/>
          </w:tcPr>
          <w:p w14:paraId="68D8C247" w14:textId="77777777" w:rsidR="00590BEF" w:rsidRPr="007202FA" w:rsidRDefault="000B4F21" w:rsidP="007202FA">
            <w:pPr>
              <w:spacing w:after="0"/>
              <w:jc w:val="right"/>
              <w:rPr>
                <w:sz w:val="20"/>
                <w:szCs w:val="20"/>
              </w:rPr>
            </w:pPr>
            <w:r>
              <w:rPr>
                <w:rFonts w:cs="Calibri"/>
                <w:color w:val="000000"/>
                <w:sz w:val="20"/>
                <w:szCs w:val="20"/>
                <w:lang w:val="ga"/>
              </w:rPr>
              <w:t>28.6%</w:t>
            </w:r>
          </w:p>
        </w:tc>
        <w:tc>
          <w:tcPr>
            <w:tcW w:w="1701" w:type="dxa"/>
            <w:tcBorders>
              <w:top w:val="single" w:sz="4" w:space="0" w:color="auto"/>
              <w:left w:val="single" w:sz="4" w:space="0" w:color="auto"/>
              <w:bottom w:val="single" w:sz="4" w:space="0" w:color="auto"/>
              <w:right w:val="single" w:sz="4" w:space="0" w:color="auto"/>
            </w:tcBorders>
          </w:tcPr>
          <w:p w14:paraId="5EA2014C" w14:textId="77777777" w:rsidR="00590BEF" w:rsidRPr="007202FA" w:rsidRDefault="000B4F21" w:rsidP="007202FA">
            <w:pPr>
              <w:spacing w:after="0"/>
              <w:jc w:val="right"/>
              <w:rPr>
                <w:sz w:val="20"/>
                <w:szCs w:val="20"/>
              </w:rPr>
            </w:pPr>
            <w:r>
              <w:rPr>
                <w:sz w:val="20"/>
                <w:szCs w:val="20"/>
                <w:lang w:val="ga"/>
              </w:rPr>
              <w:t>15</w:t>
            </w:r>
          </w:p>
          <w:p w14:paraId="0818A2D8"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42BF0F7" w14:textId="77777777" w:rsidR="00590BEF" w:rsidRPr="007202FA" w:rsidRDefault="000B4F21" w:rsidP="007202FA">
            <w:pPr>
              <w:spacing w:after="0"/>
              <w:jc w:val="right"/>
              <w:rPr>
                <w:sz w:val="20"/>
                <w:szCs w:val="20"/>
              </w:rPr>
            </w:pPr>
            <w:r>
              <w:rPr>
                <w:sz w:val="20"/>
                <w:szCs w:val="20"/>
                <w:lang w:val="ga"/>
              </w:rPr>
              <w:t>2</w:t>
            </w:r>
          </w:p>
          <w:p w14:paraId="14C80BED" w14:textId="77777777" w:rsidR="00590BEF" w:rsidRPr="007202FA" w:rsidRDefault="00590BEF" w:rsidP="007202FA">
            <w:pPr>
              <w:spacing w:after="0"/>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97E2E8E" w14:textId="77777777" w:rsidR="00590BEF" w:rsidRPr="007202FA" w:rsidRDefault="000B4F21" w:rsidP="007202FA">
            <w:pPr>
              <w:spacing w:after="0"/>
              <w:jc w:val="right"/>
              <w:rPr>
                <w:sz w:val="20"/>
                <w:szCs w:val="20"/>
              </w:rPr>
            </w:pPr>
            <w:r>
              <w:rPr>
                <w:sz w:val="20"/>
                <w:szCs w:val="20"/>
                <w:lang w:val="ga"/>
              </w:rPr>
              <w:t>13.3%</w:t>
            </w:r>
          </w:p>
          <w:p w14:paraId="58CCE4E9" w14:textId="77777777" w:rsidR="00590BEF" w:rsidRPr="007202FA" w:rsidRDefault="00590BEF" w:rsidP="007202FA">
            <w:pPr>
              <w:spacing w:after="0"/>
              <w:jc w:val="right"/>
              <w:rPr>
                <w:sz w:val="20"/>
                <w:szCs w:val="20"/>
              </w:rPr>
            </w:pPr>
          </w:p>
        </w:tc>
      </w:tr>
      <w:tr w:rsidR="00F31303" w14:paraId="3249CCEC" w14:textId="77777777" w:rsidTr="007D6D30">
        <w:trPr>
          <w:trHeight w:val="455"/>
        </w:trPr>
        <w:tc>
          <w:tcPr>
            <w:tcW w:w="1665" w:type="dxa"/>
            <w:tcBorders>
              <w:top w:val="single" w:sz="6" w:space="0" w:color="000000"/>
              <w:left w:val="single" w:sz="12" w:space="0" w:color="000000"/>
              <w:bottom w:val="single" w:sz="6" w:space="0" w:color="000000"/>
              <w:right w:val="single" w:sz="6" w:space="0" w:color="000000"/>
            </w:tcBorders>
            <w:hideMark/>
          </w:tcPr>
          <w:p w14:paraId="2E8A9EC7" w14:textId="77777777" w:rsidR="00590BEF" w:rsidRPr="007202FA" w:rsidRDefault="000B4F21" w:rsidP="007202FA">
            <w:pPr>
              <w:spacing w:after="0"/>
              <w:rPr>
                <w:sz w:val="20"/>
                <w:szCs w:val="20"/>
              </w:rPr>
            </w:pPr>
            <w:r>
              <w:rPr>
                <w:b/>
                <w:bCs/>
                <w:sz w:val="20"/>
                <w:szCs w:val="20"/>
                <w:lang w:val="ga"/>
              </w:rPr>
              <w:t>Mór-Iomlán</w:t>
            </w:r>
          </w:p>
        </w:tc>
        <w:tc>
          <w:tcPr>
            <w:tcW w:w="1456" w:type="dxa"/>
            <w:tcBorders>
              <w:top w:val="single" w:sz="6" w:space="0" w:color="000000"/>
              <w:left w:val="single" w:sz="6" w:space="0" w:color="000000"/>
              <w:bottom w:val="single" w:sz="6" w:space="0" w:color="000000"/>
              <w:right w:val="single" w:sz="6" w:space="0" w:color="000000"/>
            </w:tcBorders>
            <w:hideMark/>
          </w:tcPr>
          <w:p w14:paraId="16F9FD3B" w14:textId="77777777" w:rsidR="00590BEF" w:rsidRPr="007202FA" w:rsidRDefault="000B4F21" w:rsidP="007202FA">
            <w:pPr>
              <w:spacing w:after="0"/>
              <w:jc w:val="right"/>
              <w:rPr>
                <w:b/>
                <w:sz w:val="20"/>
                <w:szCs w:val="20"/>
              </w:rPr>
            </w:pPr>
            <w:r>
              <w:rPr>
                <w:b/>
                <w:bCs/>
                <w:sz w:val="20"/>
                <w:szCs w:val="20"/>
                <w:lang w:val="ga"/>
              </w:rPr>
              <w:t>3,806</w:t>
            </w:r>
          </w:p>
        </w:tc>
        <w:tc>
          <w:tcPr>
            <w:tcW w:w="1557" w:type="dxa"/>
            <w:tcBorders>
              <w:top w:val="single" w:sz="6" w:space="0" w:color="000000"/>
              <w:left w:val="single" w:sz="6" w:space="0" w:color="000000"/>
              <w:bottom w:val="single" w:sz="6" w:space="0" w:color="000000"/>
              <w:right w:val="single" w:sz="6" w:space="0" w:color="000000"/>
            </w:tcBorders>
            <w:hideMark/>
          </w:tcPr>
          <w:p w14:paraId="0F74781C" w14:textId="77777777" w:rsidR="00590BEF" w:rsidRPr="007202FA" w:rsidRDefault="000B4F21" w:rsidP="007202FA">
            <w:pPr>
              <w:spacing w:after="0"/>
              <w:jc w:val="right"/>
              <w:rPr>
                <w:b/>
                <w:sz w:val="20"/>
                <w:szCs w:val="20"/>
              </w:rPr>
            </w:pPr>
            <w:r>
              <w:rPr>
                <w:b/>
                <w:bCs/>
                <w:sz w:val="20"/>
                <w:szCs w:val="20"/>
                <w:lang w:val="ga"/>
              </w:rPr>
              <w:t>338</w:t>
            </w:r>
          </w:p>
        </w:tc>
        <w:tc>
          <w:tcPr>
            <w:tcW w:w="1559" w:type="dxa"/>
            <w:tcBorders>
              <w:top w:val="single" w:sz="6" w:space="0" w:color="000000"/>
              <w:left w:val="single" w:sz="6" w:space="0" w:color="000000"/>
              <w:bottom w:val="single" w:sz="6" w:space="0" w:color="000000"/>
              <w:right w:val="single" w:sz="6" w:space="0" w:color="000000"/>
            </w:tcBorders>
            <w:hideMark/>
          </w:tcPr>
          <w:p w14:paraId="02307C14" w14:textId="77777777" w:rsidR="00590BEF" w:rsidRPr="007202FA" w:rsidRDefault="000B4F21" w:rsidP="007202FA">
            <w:pPr>
              <w:spacing w:after="0"/>
              <w:jc w:val="right"/>
              <w:rPr>
                <w:b/>
                <w:sz w:val="20"/>
                <w:szCs w:val="20"/>
              </w:rPr>
            </w:pPr>
            <w:r>
              <w:rPr>
                <w:b/>
                <w:bCs/>
                <w:sz w:val="20"/>
                <w:szCs w:val="20"/>
                <w:lang w:val="ga"/>
              </w:rPr>
              <w:t>8.9%</w:t>
            </w:r>
          </w:p>
        </w:tc>
        <w:tc>
          <w:tcPr>
            <w:tcW w:w="1701" w:type="dxa"/>
            <w:tcBorders>
              <w:top w:val="single" w:sz="6" w:space="0" w:color="000000"/>
              <w:left w:val="single" w:sz="6" w:space="0" w:color="000000"/>
              <w:bottom w:val="single" w:sz="6" w:space="0" w:color="000000"/>
              <w:right w:val="single" w:sz="6" w:space="0" w:color="000000"/>
            </w:tcBorders>
          </w:tcPr>
          <w:p w14:paraId="1914BDB2" w14:textId="77777777" w:rsidR="00590BEF" w:rsidRPr="007202FA" w:rsidRDefault="000B4F21" w:rsidP="007202FA">
            <w:pPr>
              <w:spacing w:after="0"/>
              <w:jc w:val="right"/>
              <w:rPr>
                <w:b/>
                <w:bCs/>
                <w:sz w:val="20"/>
                <w:szCs w:val="20"/>
              </w:rPr>
            </w:pPr>
            <w:r>
              <w:rPr>
                <w:b/>
                <w:bCs/>
                <w:sz w:val="20"/>
                <w:szCs w:val="20"/>
                <w:lang w:val="ga"/>
              </w:rPr>
              <w:t>4,185</w:t>
            </w:r>
          </w:p>
          <w:p w14:paraId="4BBE1282" w14:textId="77777777" w:rsidR="00590BEF" w:rsidRPr="007202FA" w:rsidRDefault="00590BEF" w:rsidP="007202FA">
            <w:pPr>
              <w:spacing w:after="0"/>
              <w:jc w:val="right"/>
              <w:rPr>
                <w:b/>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55D8E296" w14:textId="77777777" w:rsidR="00590BEF" w:rsidRPr="007202FA" w:rsidRDefault="000B4F21" w:rsidP="007202FA">
            <w:pPr>
              <w:spacing w:after="0"/>
              <w:jc w:val="right"/>
              <w:rPr>
                <w:b/>
                <w:bCs/>
                <w:sz w:val="20"/>
                <w:szCs w:val="20"/>
              </w:rPr>
            </w:pPr>
            <w:r>
              <w:rPr>
                <w:b/>
                <w:bCs/>
                <w:sz w:val="20"/>
                <w:szCs w:val="20"/>
                <w:lang w:val="ga"/>
              </w:rPr>
              <w:t>393</w:t>
            </w:r>
          </w:p>
          <w:p w14:paraId="7C797AC4" w14:textId="77777777" w:rsidR="00590BEF" w:rsidRPr="007202FA" w:rsidRDefault="00590BEF" w:rsidP="007202FA">
            <w:pPr>
              <w:spacing w:after="0"/>
              <w:jc w:val="right"/>
              <w:rPr>
                <w:b/>
                <w:sz w:val="20"/>
                <w:szCs w:val="20"/>
              </w:rPr>
            </w:pPr>
          </w:p>
        </w:tc>
        <w:tc>
          <w:tcPr>
            <w:tcW w:w="1559" w:type="dxa"/>
            <w:tcBorders>
              <w:top w:val="single" w:sz="6" w:space="0" w:color="000000"/>
              <w:left w:val="single" w:sz="6" w:space="0" w:color="000000"/>
              <w:bottom w:val="single" w:sz="6" w:space="0" w:color="000000"/>
              <w:right w:val="single" w:sz="12" w:space="0" w:color="000000"/>
            </w:tcBorders>
          </w:tcPr>
          <w:p w14:paraId="5B67AF15" w14:textId="77777777" w:rsidR="00590BEF" w:rsidRPr="007202FA" w:rsidRDefault="000B4F21" w:rsidP="007202FA">
            <w:pPr>
              <w:spacing w:after="0"/>
              <w:jc w:val="right"/>
              <w:rPr>
                <w:b/>
                <w:bCs/>
                <w:sz w:val="20"/>
                <w:szCs w:val="20"/>
              </w:rPr>
            </w:pPr>
            <w:r>
              <w:rPr>
                <w:b/>
                <w:bCs/>
                <w:sz w:val="20"/>
                <w:szCs w:val="20"/>
                <w:lang w:val="ga"/>
              </w:rPr>
              <w:t>9.4%</w:t>
            </w:r>
          </w:p>
          <w:p w14:paraId="33B49877" w14:textId="77777777" w:rsidR="00590BEF" w:rsidRPr="007202FA" w:rsidRDefault="00590BEF" w:rsidP="007202FA">
            <w:pPr>
              <w:spacing w:after="0"/>
              <w:jc w:val="right"/>
              <w:rPr>
                <w:b/>
                <w:sz w:val="20"/>
                <w:szCs w:val="20"/>
              </w:rPr>
            </w:pPr>
          </w:p>
        </w:tc>
      </w:tr>
    </w:tbl>
    <w:p w14:paraId="54473C58" w14:textId="77777777" w:rsidR="00590BEF" w:rsidRPr="007202FA" w:rsidRDefault="00590BEF" w:rsidP="007202FA">
      <w:pPr>
        <w:rPr>
          <w:rFonts w:cs="Arial"/>
          <w:b/>
          <w:sz w:val="20"/>
          <w:szCs w:val="20"/>
        </w:rPr>
      </w:pPr>
    </w:p>
    <w:p w14:paraId="4BE2E82A" w14:textId="77777777" w:rsidR="00590BEF" w:rsidRPr="007202FA" w:rsidRDefault="000B4F21" w:rsidP="007202FA">
      <w:pPr>
        <w:spacing w:after="0"/>
        <w:rPr>
          <w:rFonts w:cs="Arial"/>
          <w:b/>
          <w:sz w:val="20"/>
          <w:szCs w:val="20"/>
        </w:rPr>
      </w:pPr>
      <w:r>
        <w:rPr>
          <w:rFonts w:cs="Arial"/>
          <w:b/>
          <w:bCs/>
          <w:kern w:val="0"/>
          <w:sz w:val="20"/>
          <w:szCs w:val="20"/>
          <w:lang w:val="ga"/>
          <w14:ligatures w14:val="none"/>
        </w:rPr>
        <w:br w:type="page"/>
      </w:r>
    </w:p>
    <w:p w14:paraId="5AF1782F" w14:textId="77777777" w:rsidR="00590BEF" w:rsidRPr="007202FA" w:rsidRDefault="000B4F21" w:rsidP="007202FA">
      <w:pPr>
        <w:pStyle w:val="Heading2"/>
        <w:jc w:val="center"/>
      </w:pPr>
      <w:bookmarkStart w:id="236" w:name="_Toc176801637"/>
      <w:bookmarkStart w:id="237" w:name="_Toc214033675"/>
      <w:r>
        <w:rPr>
          <w:bCs/>
          <w:lang w:val="ga"/>
        </w:rPr>
        <w:lastRenderedPageBreak/>
        <w:t>An Roinn Iompair</w:t>
      </w:r>
      <w:bookmarkEnd w:id="236"/>
      <w:bookmarkEnd w:id="237"/>
    </w:p>
    <w:p w14:paraId="7C9C969C" w14:textId="77777777" w:rsidR="00590BEF" w:rsidRPr="007202FA" w:rsidRDefault="00590BEF" w:rsidP="007202FA">
      <w:pPr>
        <w:rPr>
          <w:rFonts w:ascii="Gill Sans" w:hAnsi="Gill Sans"/>
          <w:sz w:val="6"/>
          <w:szCs w:val="6"/>
        </w:rPr>
      </w:pPr>
    </w:p>
    <w:tbl>
      <w:tblPr>
        <w:tblW w:w="1145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702"/>
        <w:gridCol w:w="1559"/>
        <w:gridCol w:w="1701"/>
        <w:gridCol w:w="1559"/>
        <w:gridCol w:w="1559"/>
        <w:gridCol w:w="1843"/>
        <w:gridCol w:w="1529"/>
      </w:tblGrid>
      <w:tr w:rsidR="00F31303" w14:paraId="01F569E5" w14:textId="77777777" w:rsidTr="00AD1735">
        <w:trPr>
          <w:tblHeader/>
          <w:jc w:val="center"/>
        </w:trPr>
        <w:tc>
          <w:tcPr>
            <w:tcW w:w="1702" w:type="dxa"/>
            <w:tcBorders>
              <w:top w:val="single" w:sz="12" w:space="0" w:color="000000"/>
              <w:left w:val="single" w:sz="12" w:space="0" w:color="000000"/>
              <w:bottom w:val="single" w:sz="6" w:space="0" w:color="000000"/>
              <w:right w:val="single" w:sz="6" w:space="0" w:color="000000"/>
            </w:tcBorders>
            <w:hideMark/>
          </w:tcPr>
          <w:p w14:paraId="1E4AE253" w14:textId="77777777" w:rsidR="00590BEF" w:rsidRPr="007202FA" w:rsidRDefault="000B4F21" w:rsidP="007202FA">
            <w:pPr>
              <w:rPr>
                <w:b/>
                <w:sz w:val="20"/>
                <w:szCs w:val="20"/>
              </w:rPr>
            </w:pPr>
            <w:r>
              <w:rPr>
                <w:b/>
                <w:bCs/>
                <w:sz w:val="20"/>
                <w:szCs w:val="20"/>
                <w:lang w:val="ga"/>
              </w:rPr>
              <w:t>Comhlacht Poiblí</w:t>
            </w:r>
          </w:p>
        </w:tc>
        <w:tc>
          <w:tcPr>
            <w:tcW w:w="1559" w:type="dxa"/>
            <w:tcBorders>
              <w:top w:val="single" w:sz="12" w:space="0" w:color="000000"/>
              <w:left w:val="single" w:sz="6" w:space="0" w:color="000000"/>
              <w:bottom w:val="single" w:sz="6" w:space="0" w:color="000000"/>
              <w:right w:val="single" w:sz="6" w:space="0" w:color="000000"/>
            </w:tcBorders>
            <w:hideMark/>
          </w:tcPr>
          <w:p w14:paraId="39D9432C" w14:textId="77777777" w:rsidR="00590BEF" w:rsidRPr="007202FA" w:rsidRDefault="000B4F21" w:rsidP="007202FA">
            <w:pPr>
              <w:spacing w:after="0"/>
              <w:rPr>
                <w:b/>
                <w:sz w:val="20"/>
                <w:szCs w:val="20"/>
              </w:rPr>
            </w:pPr>
            <w:r>
              <w:rPr>
                <w:b/>
                <w:bCs/>
                <w:sz w:val="20"/>
                <w:szCs w:val="20"/>
                <w:lang w:val="ga"/>
              </w:rPr>
              <w:t xml:space="preserve">An líon </w:t>
            </w:r>
          </w:p>
          <w:p w14:paraId="5EF2D197" w14:textId="77777777" w:rsidR="00590BEF" w:rsidRPr="007202FA" w:rsidRDefault="000B4F21" w:rsidP="007202FA">
            <w:pPr>
              <w:spacing w:after="0"/>
              <w:rPr>
                <w:b/>
                <w:sz w:val="20"/>
                <w:szCs w:val="20"/>
              </w:rPr>
            </w:pPr>
            <w:r>
              <w:rPr>
                <w:b/>
                <w:bCs/>
                <w:sz w:val="20"/>
                <w:szCs w:val="20"/>
                <w:lang w:val="ga"/>
              </w:rPr>
              <w:t xml:space="preserve">iomlán </w:t>
            </w:r>
          </w:p>
          <w:p w14:paraId="245F6932" w14:textId="77777777" w:rsidR="00590BEF" w:rsidRPr="007202FA" w:rsidRDefault="000B4F21" w:rsidP="007202FA">
            <w:pPr>
              <w:spacing w:after="0"/>
              <w:rPr>
                <w:b/>
                <w:sz w:val="20"/>
                <w:szCs w:val="20"/>
              </w:rPr>
            </w:pPr>
            <w:r>
              <w:rPr>
                <w:b/>
                <w:bCs/>
                <w:sz w:val="20"/>
                <w:szCs w:val="20"/>
                <w:lang w:val="ga"/>
              </w:rPr>
              <w:t xml:space="preserve">fostaithe </w:t>
            </w:r>
          </w:p>
          <w:p w14:paraId="7B5366BF" w14:textId="77777777" w:rsidR="00590BEF" w:rsidRPr="007202FA" w:rsidRDefault="000B4F21" w:rsidP="007202FA">
            <w:pPr>
              <w:spacing w:after="0"/>
              <w:rPr>
                <w:b/>
                <w:sz w:val="20"/>
                <w:szCs w:val="20"/>
              </w:rPr>
            </w:pPr>
            <w:r>
              <w:rPr>
                <w:b/>
                <w:bCs/>
                <w:sz w:val="20"/>
                <w:szCs w:val="20"/>
                <w:lang w:val="ga"/>
              </w:rPr>
              <w:t>2023</w:t>
            </w:r>
          </w:p>
        </w:tc>
        <w:tc>
          <w:tcPr>
            <w:tcW w:w="1701" w:type="dxa"/>
            <w:tcBorders>
              <w:top w:val="single" w:sz="12" w:space="0" w:color="000000"/>
              <w:left w:val="single" w:sz="6" w:space="0" w:color="000000"/>
              <w:bottom w:val="single" w:sz="6" w:space="0" w:color="000000"/>
              <w:right w:val="single" w:sz="6" w:space="0" w:color="000000"/>
            </w:tcBorders>
            <w:hideMark/>
          </w:tcPr>
          <w:p w14:paraId="4999A772" w14:textId="77777777" w:rsidR="00590BEF" w:rsidRPr="007202FA" w:rsidRDefault="000B4F21" w:rsidP="007202FA">
            <w:pPr>
              <w:spacing w:after="0"/>
              <w:rPr>
                <w:b/>
                <w:sz w:val="20"/>
                <w:szCs w:val="20"/>
              </w:rPr>
            </w:pPr>
            <w:r>
              <w:rPr>
                <w:b/>
                <w:bCs/>
                <w:sz w:val="20"/>
                <w:szCs w:val="20"/>
                <w:lang w:val="ga"/>
              </w:rPr>
              <w:t xml:space="preserve">An líon fostaithe a thuairiscigh míchumas </w:t>
            </w:r>
          </w:p>
          <w:p w14:paraId="26B99635" w14:textId="77777777" w:rsidR="00590BEF" w:rsidRPr="007202FA" w:rsidRDefault="000B4F21" w:rsidP="007202FA">
            <w:pPr>
              <w:rPr>
                <w:b/>
                <w:sz w:val="20"/>
                <w:szCs w:val="20"/>
              </w:rPr>
            </w:pPr>
            <w:r>
              <w:rPr>
                <w:b/>
                <w:bCs/>
                <w:sz w:val="20"/>
                <w:szCs w:val="20"/>
                <w:lang w:val="ga"/>
              </w:rPr>
              <w:t>2023</w:t>
            </w:r>
          </w:p>
        </w:tc>
        <w:tc>
          <w:tcPr>
            <w:tcW w:w="1559" w:type="dxa"/>
            <w:tcBorders>
              <w:top w:val="single" w:sz="12" w:space="0" w:color="000000"/>
              <w:left w:val="single" w:sz="6" w:space="0" w:color="000000"/>
              <w:bottom w:val="single" w:sz="6" w:space="0" w:color="000000"/>
              <w:right w:val="single" w:sz="6" w:space="0" w:color="000000"/>
            </w:tcBorders>
            <w:hideMark/>
          </w:tcPr>
          <w:p w14:paraId="38C44845" w14:textId="77777777" w:rsidR="00590BEF" w:rsidRPr="00C333A9" w:rsidRDefault="000B4F21" w:rsidP="007202FA">
            <w:pPr>
              <w:rPr>
                <w:b/>
                <w:sz w:val="19"/>
                <w:szCs w:val="19"/>
              </w:rPr>
            </w:pPr>
            <w:r w:rsidRPr="00C333A9">
              <w:rPr>
                <w:b/>
                <w:bCs/>
                <w:sz w:val="19"/>
                <w:szCs w:val="19"/>
                <w:lang w:val="ga"/>
              </w:rPr>
              <w:t>An % d’fhostaithe a thuairiscigh míchumas 2023</w:t>
            </w:r>
          </w:p>
        </w:tc>
        <w:tc>
          <w:tcPr>
            <w:tcW w:w="1559" w:type="dxa"/>
            <w:tcBorders>
              <w:top w:val="single" w:sz="12" w:space="0" w:color="000000"/>
              <w:left w:val="single" w:sz="6" w:space="0" w:color="000000"/>
              <w:bottom w:val="single" w:sz="6" w:space="0" w:color="000000"/>
              <w:right w:val="single" w:sz="6" w:space="0" w:color="000000"/>
            </w:tcBorders>
            <w:hideMark/>
          </w:tcPr>
          <w:p w14:paraId="5D1550D0" w14:textId="77777777" w:rsidR="00590BEF" w:rsidRPr="007202FA" w:rsidRDefault="000B4F21" w:rsidP="007202FA">
            <w:pPr>
              <w:spacing w:after="0"/>
              <w:rPr>
                <w:b/>
                <w:sz w:val="20"/>
                <w:szCs w:val="20"/>
              </w:rPr>
            </w:pPr>
            <w:r>
              <w:rPr>
                <w:b/>
                <w:bCs/>
                <w:sz w:val="20"/>
                <w:szCs w:val="20"/>
                <w:lang w:val="ga"/>
              </w:rPr>
              <w:t xml:space="preserve">An líon iomlán </w:t>
            </w:r>
          </w:p>
          <w:p w14:paraId="15CA1BEC" w14:textId="77777777" w:rsidR="00590BEF" w:rsidRPr="007202FA" w:rsidRDefault="000B4F21" w:rsidP="007202FA">
            <w:pPr>
              <w:spacing w:after="0"/>
              <w:rPr>
                <w:b/>
                <w:sz w:val="20"/>
                <w:szCs w:val="20"/>
              </w:rPr>
            </w:pPr>
            <w:r>
              <w:rPr>
                <w:b/>
                <w:bCs/>
                <w:sz w:val="20"/>
                <w:szCs w:val="20"/>
                <w:lang w:val="ga"/>
              </w:rPr>
              <w:t>fostaithe</w:t>
            </w:r>
          </w:p>
          <w:p w14:paraId="059DF6D8" w14:textId="77777777" w:rsidR="00590BEF" w:rsidRPr="007202FA" w:rsidRDefault="000B4F21" w:rsidP="007202FA">
            <w:pPr>
              <w:spacing w:after="0"/>
              <w:rPr>
                <w:b/>
                <w:sz w:val="20"/>
                <w:szCs w:val="20"/>
              </w:rPr>
            </w:pPr>
            <w:r>
              <w:rPr>
                <w:b/>
                <w:bCs/>
                <w:sz w:val="20"/>
                <w:szCs w:val="20"/>
                <w:lang w:val="ga"/>
              </w:rPr>
              <w:t>2024</w:t>
            </w:r>
          </w:p>
        </w:tc>
        <w:tc>
          <w:tcPr>
            <w:tcW w:w="1843" w:type="dxa"/>
            <w:tcBorders>
              <w:top w:val="single" w:sz="12" w:space="0" w:color="000000"/>
              <w:left w:val="single" w:sz="6" w:space="0" w:color="000000"/>
              <w:bottom w:val="single" w:sz="6" w:space="0" w:color="000000"/>
              <w:right w:val="single" w:sz="6" w:space="0" w:color="000000"/>
            </w:tcBorders>
            <w:hideMark/>
          </w:tcPr>
          <w:p w14:paraId="1813623C" w14:textId="3CACC9C6" w:rsidR="00590BEF" w:rsidRPr="007202FA" w:rsidRDefault="000B4F21" w:rsidP="007202FA">
            <w:pPr>
              <w:rPr>
                <w:b/>
                <w:sz w:val="20"/>
                <w:szCs w:val="20"/>
              </w:rPr>
            </w:pPr>
            <w:r>
              <w:rPr>
                <w:b/>
                <w:bCs/>
                <w:sz w:val="20"/>
                <w:szCs w:val="20"/>
                <w:lang w:val="ga"/>
              </w:rPr>
              <w:t>An líon fostaithe a thuairiscigh míchumas 2024</w:t>
            </w:r>
          </w:p>
        </w:tc>
        <w:tc>
          <w:tcPr>
            <w:tcW w:w="1529" w:type="dxa"/>
            <w:tcBorders>
              <w:top w:val="single" w:sz="12" w:space="0" w:color="000000"/>
              <w:left w:val="single" w:sz="6" w:space="0" w:color="000000"/>
              <w:bottom w:val="single" w:sz="6" w:space="0" w:color="000000"/>
              <w:right w:val="single" w:sz="12" w:space="0" w:color="000000"/>
            </w:tcBorders>
            <w:hideMark/>
          </w:tcPr>
          <w:p w14:paraId="3AAC6041" w14:textId="77777777" w:rsidR="00590BEF" w:rsidRPr="00C333A9" w:rsidRDefault="000B4F21" w:rsidP="007202FA">
            <w:pPr>
              <w:rPr>
                <w:b/>
                <w:sz w:val="19"/>
                <w:szCs w:val="19"/>
              </w:rPr>
            </w:pPr>
            <w:r w:rsidRPr="00C333A9">
              <w:rPr>
                <w:b/>
                <w:bCs/>
                <w:sz w:val="19"/>
                <w:szCs w:val="19"/>
                <w:lang w:val="ga"/>
              </w:rPr>
              <w:t>An % d’fhostaithe a thuairiscigh míchumas 2024</w:t>
            </w:r>
          </w:p>
        </w:tc>
      </w:tr>
      <w:tr w:rsidR="00F31303" w14:paraId="5015B6A4"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3EEC2639" w14:textId="77777777" w:rsidR="00590BEF" w:rsidRPr="007202FA" w:rsidRDefault="000B4F21" w:rsidP="007202FA">
            <w:pPr>
              <w:spacing w:after="0"/>
              <w:rPr>
                <w:rFonts w:cs="Calibri"/>
                <w:color w:val="000000"/>
                <w:sz w:val="20"/>
                <w:szCs w:val="20"/>
              </w:rPr>
            </w:pPr>
            <w:r>
              <w:rPr>
                <w:rFonts w:cs="Calibri"/>
                <w:color w:val="000000"/>
                <w:sz w:val="20"/>
                <w:szCs w:val="20"/>
                <w:lang w:val="ga"/>
              </w:rPr>
              <w:t xml:space="preserve">AirNav Éireann </w:t>
            </w:r>
          </w:p>
        </w:tc>
        <w:tc>
          <w:tcPr>
            <w:tcW w:w="1559" w:type="dxa"/>
            <w:tcBorders>
              <w:top w:val="single" w:sz="6" w:space="0" w:color="000000"/>
              <w:left w:val="single" w:sz="6" w:space="0" w:color="000000"/>
              <w:bottom w:val="single" w:sz="6" w:space="0" w:color="000000"/>
              <w:right w:val="single" w:sz="6" w:space="0" w:color="000000"/>
            </w:tcBorders>
            <w:hideMark/>
          </w:tcPr>
          <w:p w14:paraId="04831CC0"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634</w:t>
            </w:r>
          </w:p>
        </w:tc>
        <w:tc>
          <w:tcPr>
            <w:tcW w:w="1701" w:type="dxa"/>
            <w:tcBorders>
              <w:top w:val="single" w:sz="6" w:space="0" w:color="000000"/>
              <w:left w:val="single" w:sz="6" w:space="0" w:color="000000"/>
              <w:bottom w:val="single" w:sz="6" w:space="0" w:color="000000"/>
              <w:right w:val="single" w:sz="6" w:space="0" w:color="000000"/>
            </w:tcBorders>
            <w:hideMark/>
          </w:tcPr>
          <w:p w14:paraId="34F2932B"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27</w:t>
            </w:r>
          </w:p>
        </w:tc>
        <w:tc>
          <w:tcPr>
            <w:tcW w:w="1559" w:type="dxa"/>
            <w:tcBorders>
              <w:top w:val="single" w:sz="6" w:space="0" w:color="000000"/>
              <w:left w:val="single" w:sz="6" w:space="0" w:color="000000"/>
              <w:bottom w:val="single" w:sz="6" w:space="0" w:color="000000"/>
              <w:right w:val="single" w:sz="6" w:space="0" w:color="000000"/>
            </w:tcBorders>
            <w:hideMark/>
          </w:tcPr>
          <w:p w14:paraId="5904B2E9"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4.3%</w:t>
            </w:r>
          </w:p>
        </w:tc>
        <w:tc>
          <w:tcPr>
            <w:tcW w:w="1559" w:type="dxa"/>
            <w:tcBorders>
              <w:top w:val="single" w:sz="4" w:space="0" w:color="auto"/>
              <w:left w:val="single" w:sz="4" w:space="0" w:color="auto"/>
              <w:bottom w:val="single" w:sz="4" w:space="0" w:color="auto"/>
              <w:right w:val="single" w:sz="4" w:space="0" w:color="auto"/>
            </w:tcBorders>
            <w:hideMark/>
          </w:tcPr>
          <w:p w14:paraId="245069C4"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651</w:t>
            </w:r>
          </w:p>
        </w:tc>
        <w:tc>
          <w:tcPr>
            <w:tcW w:w="1843" w:type="dxa"/>
            <w:tcBorders>
              <w:top w:val="single" w:sz="4" w:space="0" w:color="auto"/>
              <w:left w:val="single" w:sz="4" w:space="0" w:color="auto"/>
              <w:bottom w:val="single" w:sz="4" w:space="0" w:color="auto"/>
              <w:right w:val="single" w:sz="4" w:space="0" w:color="auto"/>
            </w:tcBorders>
          </w:tcPr>
          <w:p w14:paraId="3BF644DE"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34</w:t>
            </w:r>
          </w:p>
          <w:p w14:paraId="71BCC91E" w14:textId="77777777" w:rsidR="00590BEF" w:rsidRPr="007202FA" w:rsidRDefault="00590BEF" w:rsidP="007202FA">
            <w:pPr>
              <w:spacing w:after="0"/>
              <w:rPr>
                <w:rFonts w:cs="Calibri"/>
                <w:color w:val="000000"/>
                <w:sz w:val="20"/>
                <w:szCs w:val="20"/>
              </w:rPr>
            </w:pPr>
          </w:p>
        </w:tc>
        <w:tc>
          <w:tcPr>
            <w:tcW w:w="1529" w:type="dxa"/>
            <w:tcBorders>
              <w:top w:val="single" w:sz="4" w:space="0" w:color="auto"/>
              <w:left w:val="single" w:sz="4" w:space="0" w:color="auto"/>
              <w:bottom w:val="single" w:sz="4" w:space="0" w:color="auto"/>
              <w:right w:val="single" w:sz="4" w:space="0" w:color="auto"/>
            </w:tcBorders>
          </w:tcPr>
          <w:p w14:paraId="727C873F"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5.2%</w:t>
            </w:r>
          </w:p>
          <w:p w14:paraId="2E5D65C3" w14:textId="77777777" w:rsidR="00590BEF" w:rsidRPr="007202FA" w:rsidRDefault="00590BEF" w:rsidP="007202FA">
            <w:pPr>
              <w:spacing w:after="0"/>
              <w:rPr>
                <w:rFonts w:cs="Calibri"/>
                <w:color w:val="000000"/>
                <w:sz w:val="20"/>
                <w:szCs w:val="20"/>
              </w:rPr>
            </w:pPr>
          </w:p>
        </w:tc>
      </w:tr>
      <w:tr w:rsidR="00F31303" w14:paraId="30AE25F7"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6C0C9262" w14:textId="77777777" w:rsidR="00590BEF" w:rsidRPr="007202FA" w:rsidRDefault="000B4F21" w:rsidP="007202FA">
            <w:pPr>
              <w:spacing w:after="0"/>
              <w:rPr>
                <w:sz w:val="20"/>
                <w:szCs w:val="20"/>
              </w:rPr>
            </w:pPr>
            <w:r>
              <w:rPr>
                <w:rFonts w:cs="Calibri"/>
                <w:color w:val="000000"/>
                <w:sz w:val="20"/>
                <w:szCs w:val="20"/>
                <w:lang w:val="ga"/>
              </w:rPr>
              <w:t>Bus Éireann</w:t>
            </w:r>
          </w:p>
        </w:tc>
        <w:tc>
          <w:tcPr>
            <w:tcW w:w="1559" w:type="dxa"/>
            <w:tcBorders>
              <w:top w:val="single" w:sz="6" w:space="0" w:color="000000"/>
              <w:left w:val="single" w:sz="6" w:space="0" w:color="000000"/>
              <w:bottom w:val="single" w:sz="6" w:space="0" w:color="000000"/>
              <w:right w:val="single" w:sz="6" w:space="0" w:color="000000"/>
            </w:tcBorders>
            <w:hideMark/>
          </w:tcPr>
          <w:p w14:paraId="3958AD84" w14:textId="77777777" w:rsidR="00590BEF" w:rsidRPr="007202FA" w:rsidRDefault="000B4F21" w:rsidP="007202FA">
            <w:pPr>
              <w:spacing w:after="0"/>
              <w:jc w:val="right"/>
              <w:rPr>
                <w:sz w:val="20"/>
                <w:szCs w:val="20"/>
              </w:rPr>
            </w:pPr>
            <w:r>
              <w:rPr>
                <w:rFonts w:cs="Calibri"/>
                <w:color w:val="000000"/>
                <w:sz w:val="20"/>
                <w:szCs w:val="20"/>
                <w:lang w:val="ga"/>
              </w:rPr>
              <w:t>2,972</w:t>
            </w:r>
          </w:p>
        </w:tc>
        <w:tc>
          <w:tcPr>
            <w:tcW w:w="1701" w:type="dxa"/>
            <w:tcBorders>
              <w:top w:val="single" w:sz="6" w:space="0" w:color="000000"/>
              <w:left w:val="single" w:sz="6" w:space="0" w:color="000000"/>
              <w:bottom w:val="single" w:sz="6" w:space="0" w:color="000000"/>
              <w:right w:val="single" w:sz="6" w:space="0" w:color="000000"/>
            </w:tcBorders>
            <w:hideMark/>
          </w:tcPr>
          <w:p w14:paraId="1A057ACB" w14:textId="77777777" w:rsidR="00590BEF" w:rsidRPr="007202FA" w:rsidRDefault="000B4F21" w:rsidP="007202FA">
            <w:pPr>
              <w:spacing w:after="0"/>
              <w:jc w:val="right"/>
              <w:rPr>
                <w:sz w:val="20"/>
                <w:szCs w:val="20"/>
              </w:rPr>
            </w:pPr>
            <w:r>
              <w:rPr>
                <w:rFonts w:cs="Calibri"/>
                <w:color w:val="000000"/>
                <w:sz w:val="20"/>
                <w:szCs w:val="20"/>
                <w:lang w:val="ga"/>
              </w:rPr>
              <w:t>111</w:t>
            </w:r>
          </w:p>
        </w:tc>
        <w:tc>
          <w:tcPr>
            <w:tcW w:w="1559" w:type="dxa"/>
            <w:tcBorders>
              <w:top w:val="single" w:sz="6" w:space="0" w:color="000000"/>
              <w:left w:val="single" w:sz="6" w:space="0" w:color="000000"/>
              <w:bottom w:val="single" w:sz="6" w:space="0" w:color="000000"/>
              <w:right w:val="single" w:sz="6" w:space="0" w:color="000000"/>
            </w:tcBorders>
            <w:hideMark/>
          </w:tcPr>
          <w:p w14:paraId="5F448F6B" w14:textId="77777777" w:rsidR="00590BEF" w:rsidRPr="007202FA" w:rsidRDefault="000B4F21" w:rsidP="007202FA">
            <w:pPr>
              <w:spacing w:after="0"/>
              <w:jc w:val="right"/>
              <w:rPr>
                <w:sz w:val="20"/>
                <w:szCs w:val="20"/>
              </w:rPr>
            </w:pPr>
            <w:r>
              <w:rPr>
                <w:rFonts w:cs="Calibri"/>
                <w:color w:val="000000"/>
                <w:sz w:val="20"/>
                <w:szCs w:val="20"/>
                <w:lang w:val="ga"/>
              </w:rPr>
              <w:t>3.7%</w:t>
            </w:r>
          </w:p>
        </w:tc>
        <w:tc>
          <w:tcPr>
            <w:tcW w:w="1559" w:type="dxa"/>
            <w:tcBorders>
              <w:top w:val="single" w:sz="4" w:space="0" w:color="auto"/>
              <w:left w:val="single" w:sz="4" w:space="0" w:color="auto"/>
              <w:bottom w:val="single" w:sz="4" w:space="0" w:color="auto"/>
              <w:right w:val="single" w:sz="4" w:space="0" w:color="auto"/>
            </w:tcBorders>
          </w:tcPr>
          <w:p w14:paraId="59883990" w14:textId="229A26B0" w:rsidR="00590BEF" w:rsidRPr="007202FA" w:rsidRDefault="000B4F21" w:rsidP="007202FA">
            <w:pPr>
              <w:spacing w:after="0"/>
              <w:jc w:val="right"/>
              <w:rPr>
                <w:rFonts w:cs="Calibri"/>
                <w:color w:val="000000"/>
                <w:sz w:val="20"/>
                <w:szCs w:val="20"/>
              </w:rPr>
            </w:pPr>
            <w:r>
              <w:rPr>
                <w:rFonts w:cs="Calibri"/>
                <w:color w:val="000000"/>
                <w:sz w:val="20"/>
                <w:szCs w:val="20"/>
                <w:lang w:val="ga"/>
              </w:rPr>
              <w:t>3,151</w:t>
            </w:r>
          </w:p>
        </w:tc>
        <w:tc>
          <w:tcPr>
            <w:tcW w:w="1843" w:type="dxa"/>
            <w:tcBorders>
              <w:top w:val="single" w:sz="4" w:space="0" w:color="auto"/>
              <w:left w:val="single" w:sz="4" w:space="0" w:color="auto"/>
              <w:bottom w:val="single" w:sz="4" w:space="0" w:color="auto"/>
              <w:right w:val="single" w:sz="4" w:space="0" w:color="auto"/>
            </w:tcBorders>
          </w:tcPr>
          <w:p w14:paraId="7B95B6EF" w14:textId="5BDC49E7" w:rsidR="00590BEF" w:rsidRPr="007202FA" w:rsidRDefault="000B4F21" w:rsidP="007202FA">
            <w:pPr>
              <w:spacing w:after="0"/>
              <w:jc w:val="right"/>
              <w:rPr>
                <w:sz w:val="20"/>
                <w:szCs w:val="20"/>
              </w:rPr>
            </w:pPr>
            <w:r>
              <w:rPr>
                <w:sz w:val="20"/>
                <w:szCs w:val="20"/>
                <w:lang w:val="ga"/>
              </w:rPr>
              <w:t>149</w:t>
            </w:r>
          </w:p>
        </w:tc>
        <w:tc>
          <w:tcPr>
            <w:tcW w:w="1529" w:type="dxa"/>
            <w:tcBorders>
              <w:top w:val="single" w:sz="4" w:space="0" w:color="auto"/>
              <w:left w:val="single" w:sz="4" w:space="0" w:color="auto"/>
              <w:bottom w:val="single" w:sz="4" w:space="0" w:color="auto"/>
              <w:right w:val="single" w:sz="4" w:space="0" w:color="auto"/>
            </w:tcBorders>
          </w:tcPr>
          <w:p w14:paraId="15C7E523" w14:textId="5D1F8111" w:rsidR="00590BEF" w:rsidRPr="007202FA" w:rsidRDefault="000B4F21" w:rsidP="007202FA">
            <w:pPr>
              <w:spacing w:after="0"/>
              <w:jc w:val="right"/>
              <w:rPr>
                <w:sz w:val="20"/>
                <w:szCs w:val="20"/>
              </w:rPr>
            </w:pPr>
            <w:r>
              <w:rPr>
                <w:sz w:val="20"/>
                <w:szCs w:val="20"/>
                <w:lang w:val="ga"/>
              </w:rPr>
              <w:t>4.7%</w:t>
            </w:r>
          </w:p>
        </w:tc>
      </w:tr>
      <w:tr w:rsidR="00F31303" w14:paraId="458DC014"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23F33BB1" w14:textId="77777777" w:rsidR="00590BEF" w:rsidRPr="005524D6" w:rsidRDefault="000B4F21" w:rsidP="007202FA">
            <w:pPr>
              <w:spacing w:after="0"/>
              <w:rPr>
                <w:sz w:val="20"/>
                <w:szCs w:val="20"/>
                <w:lang w:val="de-DE"/>
              </w:rPr>
            </w:pPr>
            <w:r>
              <w:rPr>
                <w:rFonts w:cs="Calibri"/>
                <w:color w:val="000000"/>
                <w:sz w:val="20"/>
                <w:szCs w:val="20"/>
                <w:lang w:val="ga"/>
              </w:rPr>
              <w:t>An Coimisiún um Rialáil Iarnróid</w:t>
            </w:r>
          </w:p>
        </w:tc>
        <w:tc>
          <w:tcPr>
            <w:tcW w:w="1559" w:type="dxa"/>
            <w:tcBorders>
              <w:top w:val="single" w:sz="6" w:space="0" w:color="000000"/>
              <w:left w:val="single" w:sz="6" w:space="0" w:color="000000"/>
              <w:bottom w:val="single" w:sz="6" w:space="0" w:color="000000"/>
              <w:right w:val="single" w:sz="6" w:space="0" w:color="000000"/>
            </w:tcBorders>
            <w:hideMark/>
          </w:tcPr>
          <w:p w14:paraId="4545A94D" w14:textId="77777777" w:rsidR="00590BEF" w:rsidRPr="007202FA" w:rsidRDefault="000B4F21" w:rsidP="007202FA">
            <w:pPr>
              <w:spacing w:after="0"/>
              <w:jc w:val="right"/>
              <w:rPr>
                <w:sz w:val="20"/>
                <w:szCs w:val="20"/>
              </w:rPr>
            </w:pPr>
            <w:r>
              <w:rPr>
                <w:rFonts w:cs="Calibri"/>
                <w:color w:val="000000"/>
                <w:sz w:val="20"/>
                <w:szCs w:val="20"/>
                <w:lang w:val="ga"/>
              </w:rPr>
              <w:t>17</w:t>
            </w:r>
          </w:p>
        </w:tc>
        <w:tc>
          <w:tcPr>
            <w:tcW w:w="1701" w:type="dxa"/>
            <w:tcBorders>
              <w:top w:val="single" w:sz="6" w:space="0" w:color="000000"/>
              <w:left w:val="single" w:sz="6" w:space="0" w:color="000000"/>
              <w:bottom w:val="single" w:sz="6" w:space="0" w:color="000000"/>
              <w:right w:val="single" w:sz="6" w:space="0" w:color="000000"/>
            </w:tcBorders>
            <w:hideMark/>
          </w:tcPr>
          <w:p w14:paraId="1C7CCB10" w14:textId="77777777" w:rsidR="00590BEF" w:rsidRPr="007202FA" w:rsidRDefault="000B4F21" w:rsidP="007202FA">
            <w:pPr>
              <w:spacing w:after="0"/>
              <w:jc w:val="right"/>
              <w:rPr>
                <w:sz w:val="20"/>
                <w:szCs w:val="20"/>
              </w:rPr>
            </w:pPr>
            <w:r>
              <w:rPr>
                <w:rFonts w:cs="Calibri"/>
                <w:color w:val="000000"/>
                <w:sz w:val="20"/>
                <w:szCs w:val="20"/>
                <w:lang w:val="ga"/>
              </w:rPr>
              <w:t>0</w:t>
            </w:r>
          </w:p>
        </w:tc>
        <w:tc>
          <w:tcPr>
            <w:tcW w:w="1559" w:type="dxa"/>
            <w:tcBorders>
              <w:top w:val="single" w:sz="6" w:space="0" w:color="000000"/>
              <w:left w:val="single" w:sz="6" w:space="0" w:color="000000"/>
              <w:bottom w:val="single" w:sz="6" w:space="0" w:color="000000"/>
              <w:right w:val="single" w:sz="6" w:space="0" w:color="000000"/>
            </w:tcBorders>
            <w:hideMark/>
          </w:tcPr>
          <w:p w14:paraId="7A86E15A" w14:textId="77777777" w:rsidR="00590BEF" w:rsidRPr="007202FA" w:rsidRDefault="000B4F21" w:rsidP="007202FA">
            <w:pPr>
              <w:spacing w:after="0"/>
              <w:jc w:val="right"/>
              <w:rPr>
                <w:sz w:val="20"/>
                <w:szCs w:val="20"/>
              </w:rPr>
            </w:pPr>
            <w:r>
              <w:rPr>
                <w:rFonts w:cs="Calibri"/>
                <w:color w:val="000000"/>
                <w:sz w:val="20"/>
                <w:szCs w:val="20"/>
                <w:lang w:val="ga"/>
              </w:rPr>
              <w:t>0.0%</w:t>
            </w:r>
          </w:p>
        </w:tc>
        <w:tc>
          <w:tcPr>
            <w:tcW w:w="1559" w:type="dxa"/>
            <w:tcBorders>
              <w:top w:val="single" w:sz="4" w:space="0" w:color="auto"/>
              <w:left w:val="single" w:sz="4" w:space="0" w:color="auto"/>
              <w:bottom w:val="single" w:sz="4" w:space="0" w:color="auto"/>
              <w:right w:val="single" w:sz="4" w:space="0" w:color="auto"/>
            </w:tcBorders>
          </w:tcPr>
          <w:p w14:paraId="238030E9"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14</w:t>
            </w:r>
          </w:p>
          <w:p w14:paraId="07E10DD3" w14:textId="77777777" w:rsidR="00590BEF" w:rsidRPr="007202FA" w:rsidRDefault="00590BEF" w:rsidP="007202FA">
            <w:pPr>
              <w:spacing w:after="0"/>
              <w:jc w:val="right"/>
              <w:rPr>
                <w:rFonts w:cs="Calibr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FDC0D73" w14:textId="77777777" w:rsidR="00590BEF" w:rsidRPr="007202FA" w:rsidRDefault="000B4F21" w:rsidP="007202FA">
            <w:pPr>
              <w:spacing w:after="0"/>
              <w:jc w:val="right"/>
              <w:rPr>
                <w:sz w:val="20"/>
                <w:szCs w:val="20"/>
              </w:rPr>
            </w:pPr>
            <w:r>
              <w:rPr>
                <w:sz w:val="20"/>
                <w:szCs w:val="20"/>
                <w:lang w:val="ga"/>
              </w:rPr>
              <w:t>0</w:t>
            </w:r>
          </w:p>
          <w:p w14:paraId="17FCDEA7"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5AF67965" w14:textId="77777777" w:rsidR="00590BEF" w:rsidRPr="007202FA" w:rsidRDefault="000B4F21" w:rsidP="007202FA">
            <w:pPr>
              <w:spacing w:after="0"/>
              <w:jc w:val="right"/>
              <w:rPr>
                <w:sz w:val="20"/>
                <w:szCs w:val="20"/>
              </w:rPr>
            </w:pPr>
            <w:r>
              <w:rPr>
                <w:sz w:val="20"/>
                <w:szCs w:val="20"/>
                <w:lang w:val="ga"/>
              </w:rPr>
              <w:t>0.0%</w:t>
            </w:r>
          </w:p>
          <w:p w14:paraId="3C9BF188" w14:textId="77777777" w:rsidR="00590BEF" w:rsidRPr="007202FA" w:rsidRDefault="00590BEF" w:rsidP="007202FA">
            <w:pPr>
              <w:spacing w:after="0"/>
              <w:jc w:val="right"/>
              <w:rPr>
                <w:sz w:val="20"/>
                <w:szCs w:val="20"/>
              </w:rPr>
            </w:pPr>
          </w:p>
        </w:tc>
      </w:tr>
      <w:tr w:rsidR="00F31303" w14:paraId="0514F215"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6A0E98A7" w14:textId="77777777" w:rsidR="00590BEF" w:rsidRPr="007202FA" w:rsidRDefault="000B4F21" w:rsidP="007202FA">
            <w:pPr>
              <w:spacing w:after="0"/>
              <w:rPr>
                <w:sz w:val="20"/>
                <w:szCs w:val="20"/>
              </w:rPr>
            </w:pPr>
            <w:r>
              <w:rPr>
                <w:rFonts w:cs="Calibri"/>
                <w:color w:val="000000"/>
                <w:sz w:val="20"/>
                <w:szCs w:val="20"/>
                <w:lang w:val="ga"/>
              </w:rPr>
              <w:t>Córas Iompair Éireann</w:t>
            </w:r>
          </w:p>
        </w:tc>
        <w:tc>
          <w:tcPr>
            <w:tcW w:w="1559" w:type="dxa"/>
            <w:tcBorders>
              <w:top w:val="single" w:sz="6" w:space="0" w:color="000000"/>
              <w:left w:val="single" w:sz="6" w:space="0" w:color="000000"/>
              <w:bottom w:val="single" w:sz="6" w:space="0" w:color="000000"/>
              <w:right w:val="single" w:sz="6" w:space="0" w:color="000000"/>
            </w:tcBorders>
            <w:hideMark/>
          </w:tcPr>
          <w:p w14:paraId="4D033342" w14:textId="77777777" w:rsidR="00590BEF" w:rsidRPr="007202FA" w:rsidRDefault="000B4F21" w:rsidP="007202FA">
            <w:pPr>
              <w:spacing w:after="0"/>
              <w:jc w:val="right"/>
              <w:rPr>
                <w:sz w:val="20"/>
                <w:szCs w:val="20"/>
              </w:rPr>
            </w:pPr>
            <w:r>
              <w:rPr>
                <w:rFonts w:cs="Calibri"/>
                <w:color w:val="000000"/>
                <w:sz w:val="20"/>
                <w:szCs w:val="20"/>
                <w:lang w:val="ga"/>
              </w:rPr>
              <w:t>224</w:t>
            </w:r>
          </w:p>
        </w:tc>
        <w:tc>
          <w:tcPr>
            <w:tcW w:w="1701" w:type="dxa"/>
            <w:tcBorders>
              <w:top w:val="single" w:sz="6" w:space="0" w:color="000000"/>
              <w:left w:val="single" w:sz="6" w:space="0" w:color="000000"/>
              <w:bottom w:val="single" w:sz="6" w:space="0" w:color="000000"/>
              <w:right w:val="single" w:sz="6" w:space="0" w:color="000000"/>
            </w:tcBorders>
            <w:hideMark/>
          </w:tcPr>
          <w:p w14:paraId="0ED236BB" w14:textId="77777777" w:rsidR="00590BEF" w:rsidRPr="007202FA" w:rsidRDefault="000B4F21" w:rsidP="007202FA">
            <w:pPr>
              <w:spacing w:after="0"/>
              <w:jc w:val="right"/>
              <w:rPr>
                <w:sz w:val="20"/>
                <w:szCs w:val="20"/>
              </w:rPr>
            </w:pPr>
            <w:r>
              <w:rPr>
                <w:rFonts w:cs="Calibri"/>
                <w:color w:val="000000"/>
                <w:sz w:val="20"/>
                <w:szCs w:val="20"/>
                <w:lang w:val="ga"/>
              </w:rPr>
              <w:t>11</w:t>
            </w:r>
          </w:p>
        </w:tc>
        <w:tc>
          <w:tcPr>
            <w:tcW w:w="1559" w:type="dxa"/>
            <w:tcBorders>
              <w:top w:val="single" w:sz="6" w:space="0" w:color="000000"/>
              <w:left w:val="single" w:sz="6" w:space="0" w:color="000000"/>
              <w:bottom w:val="single" w:sz="6" w:space="0" w:color="000000"/>
              <w:right w:val="single" w:sz="6" w:space="0" w:color="000000"/>
            </w:tcBorders>
            <w:hideMark/>
          </w:tcPr>
          <w:p w14:paraId="318A6FE9" w14:textId="77777777" w:rsidR="00590BEF" w:rsidRPr="007202FA" w:rsidRDefault="000B4F21" w:rsidP="007202FA">
            <w:pPr>
              <w:spacing w:after="0"/>
              <w:jc w:val="right"/>
              <w:rPr>
                <w:sz w:val="20"/>
                <w:szCs w:val="20"/>
              </w:rPr>
            </w:pPr>
            <w:r>
              <w:rPr>
                <w:rFonts w:cs="Calibri"/>
                <w:color w:val="000000"/>
                <w:sz w:val="20"/>
                <w:szCs w:val="20"/>
                <w:lang w:val="ga"/>
              </w:rPr>
              <w:t>4.9%</w:t>
            </w:r>
          </w:p>
        </w:tc>
        <w:tc>
          <w:tcPr>
            <w:tcW w:w="1559" w:type="dxa"/>
            <w:tcBorders>
              <w:top w:val="single" w:sz="6" w:space="0" w:color="000000"/>
              <w:left w:val="single" w:sz="6" w:space="0" w:color="000000"/>
              <w:bottom w:val="single" w:sz="6" w:space="0" w:color="000000"/>
              <w:right w:val="single" w:sz="6" w:space="0" w:color="000000"/>
            </w:tcBorders>
          </w:tcPr>
          <w:p w14:paraId="26F41E87"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245</w:t>
            </w:r>
          </w:p>
          <w:p w14:paraId="7E43F58F" w14:textId="77777777" w:rsidR="00590BEF" w:rsidRPr="007202FA" w:rsidRDefault="00590BEF" w:rsidP="007202FA">
            <w:pPr>
              <w:spacing w:after="0"/>
              <w:jc w:val="right"/>
              <w:rPr>
                <w:rFonts w:cs="Calibri"/>
                <w:color w:val="000000"/>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10306AF5" w14:textId="77777777" w:rsidR="00590BEF" w:rsidRPr="007202FA" w:rsidRDefault="000B4F21" w:rsidP="007202FA">
            <w:pPr>
              <w:spacing w:after="0"/>
              <w:jc w:val="right"/>
              <w:rPr>
                <w:sz w:val="20"/>
                <w:szCs w:val="20"/>
              </w:rPr>
            </w:pPr>
            <w:r>
              <w:rPr>
                <w:sz w:val="20"/>
                <w:szCs w:val="20"/>
                <w:lang w:val="ga"/>
              </w:rPr>
              <w:t>11</w:t>
            </w:r>
          </w:p>
          <w:p w14:paraId="2C840429" w14:textId="77777777" w:rsidR="00590BEF" w:rsidRPr="007202FA" w:rsidRDefault="00590BEF" w:rsidP="007202FA">
            <w:pPr>
              <w:spacing w:after="0"/>
              <w:jc w:val="right"/>
              <w:rPr>
                <w:sz w:val="20"/>
                <w:szCs w:val="20"/>
              </w:rPr>
            </w:pPr>
          </w:p>
        </w:tc>
        <w:tc>
          <w:tcPr>
            <w:tcW w:w="1529" w:type="dxa"/>
            <w:tcBorders>
              <w:top w:val="single" w:sz="6" w:space="0" w:color="000000"/>
              <w:left w:val="single" w:sz="6" w:space="0" w:color="000000"/>
              <w:bottom w:val="single" w:sz="6" w:space="0" w:color="000000"/>
              <w:right w:val="single" w:sz="12" w:space="0" w:color="000000"/>
            </w:tcBorders>
          </w:tcPr>
          <w:p w14:paraId="5FA0537D" w14:textId="77777777" w:rsidR="00590BEF" w:rsidRPr="007202FA" w:rsidRDefault="000B4F21" w:rsidP="007202FA">
            <w:pPr>
              <w:spacing w:after="0"/>
              <w:jc w:val="right"/>
              <w:rPr>
                <w:sz w:val="20"/>
                <w:szCs w:val="20"/>
              </w:rPr>
            </w:pPr>
            <w:r>
              <w:rPr>
                <w:sz w:val="20"/>
                <w:szCs w:val="20"/>
                <w:lang w:val="ga"/>
              </w:rPr>
              <w:t>4.5%</w:t>
            </w:r>
          </w:p>
          <w:p w14:paraId="24AFBDE6" w14:textId="77777777" w:rsidR="00590BEF" w:rsidRPr="007202FA" w:rsidRDefault="00590BEF" w:rsidP="007202FA">
            <w:pPr>
              <w:spacing w:after="0"/>
              <w:jc w:val="right"/>
              <w:rPr>
                <w:sz w:val="20"/>
                <w:szCs w:val="20"/>
              </w:rPr>
            </w:pPr>
          </w:p>
        </w:tc>
      </w:tr>
      <w:tr w:rsidR="00F31303" w14:paraId="6B2994A7"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0F97B4B9" w14:textId="77777777" w:rsidR="00590BEF" w:rsidRPr="007202FA" w:rsidRDefault="000B4F21" w:rsidP="007202FA">
            <w:pPr>
              <w:spacing w:after="0"/>
              <w:rPr>
                <w:sz w:val="20"/>
                <w:szCs w:val="20"/>
              </w:rPr>
            </w:pPr>
            <w:bookmarkStart w:id="238" w:name="_Hlk145921318"/>
            <w:r>
              <w:rPr>
                <w:rFonts w:cs="Calibri"/>
                <w:color w:val="000000"/>
                <w:sz w:val="20"/>
                <w:szCs w:val="20"/>
                <w:lang w:val="ga"/>
              </w:rPr>
              <w:t>Údarás Aerfort Bhaile Átha Cliath cpt</w:t>
            </w:r>
          </w:p>
        </w:tc>
        <w:tc>
          <w:tcPr>
            <w:tcW w:w="1559" w:type="dxa"/>
            <w:tcBorders>
              <w:top w:val="single" w:sz="6" w:space="0" w:color="000000"/>
              <w:left w:val="single" w:sz="6" w:space="0" w:color="000000"/>
              <w:bottom w:val="single" w:sz="6" w:space="0" w:color="000000"/>
              <w:right w:val="single" w:sz="6" w:space="0" w:color="000000"/>
            </w:tcBorders>
            <w:hideMark/>
          </w:tcPr>
          <w:p w14:paraId="49FCCD50" w14:textId="77777777" w:rsidR="00590BEF" w:rsidRPr="007202FA" w:rsidRDefault="000B4F21" w:rsidP="007202FA">
            <w:pPr>
              <w:spacing w:after="0"/>
              <w:jc w:val="right"/>
              <w:rPr>
                <w:sz w:val="20"/>
                <w:szCs w:val="20"/>
              </w:rPr>
            </w:pPr>
            <w:r>
              <w:rPr>
                <w:rFonts w:cs="Calibri"/>
                <w:color w:val="000000"/>
                <w:sz w:val="20"/>
                <w:szCs w:val="20"/>
                <w:lang w:val="ga"/>
              </w:rPr>
              <w:t>3,415</w:t>
            </w:r>
          </w:p>
        </w:tc>
        <w:tc>
          <w:tcPr>
            <w:tcW w:w="1701" w:type="dxa"/>
            <w:tcBorders>
              <w:top w:val="single" w:sz="6" w:space="0" w:color="000000"/>
              <w:left w:val="single" w:sz="6" w:space="0" w:color="000000"/>
              <w:bottom w:val="single" w:sz="6" w:space="0" w:color="000000"/>
              <w:right w:val="single" w:sz="6" w:space="0" w:color="000000"/>
            </w:tcBorders>
            <w:hideMark/>
          </w:tcPr>
          <w:p w14:paraId="025D4112" w14:textId="77777777" w:rsidR="00590BEF" w:rsidRPr="007202FA" w:rsidRDefault="000B4F21" w:rsidP="007202FA">
            <w:pPr>
              <w:spacing w:after="0"/>
              <w:jc w:val="right"/>
              <w:rPr>
                <w:sz w:val="20"/>
                <w:szCs w:val="20"/>
              </w:rPr>
            </w:pPr>
            <w:r>
              <w:rPr>
                <w:sz w:val="20"/>
                <w:szCs w:val="20"/>
                <w:lang w:val="ga"/>
              </w:rPr>
              <w:t>226</w:t>
            </w:r>
          </w:p>
        </w:tc>
        <w:tc>
          <w:tcPr>
            <w:tcW w:w="1559" w:type="dxa"/>
            <w:tcBorders>
              <w:top w:val="single" w:sz="6" w:space="0" w:color="000000"/>
              <w:left w:val="single" w:sz="6" w:space="0" w:color="000000"/>
              <w:bottom w:val="single" w:sz="6" w:space="0" w:color="000000"/>
              <w:right w:val="single" w:sz="6" w:space="0" w:color="000000"/>
            </w:tcBorders>
            <w:hideMark/>
          </w:tcPr>
          <w:p w14:paraId="4E95FC32" w14:textId="77777777" w:rsidR="00590BEF" w:rsidRPr="007202FA" w:rsidRDefault="000B4F21" w:rsidP="007202FA">
            <w:pPr>
              <w:spacing w:after="0"/>
              <w:jc w:val="right"/>
              <w:rPr>
                <w:sz w:val="20"/>
                <w:szCs w:val="20"/>
              </w:rPr>
            </w:pPr>
            <w:r>
              <w:rPr>
                <w:sz w:val="20"/>
                <w:szCs w:val="20"/>
                <w:lang w:val="ga"/>
              </w:rPr>
              <w:t>6.6%</w:t>
            </w:r>
          </w:p>
        </w:tc>
        <w:tc>
          <w:tcPr>
            <w:tcW w:w="1559" w:type="dxa"/>
            <w:tcBorders>
              <w:top w:val="single" w:sz="6" w:space="0" w:color="000000"/>
              <w:left w:val="single" w:sz="6" w:space="0" w:color="000000"/>
              <w:bottom w:val="single" w:sz="6" w:space="0" w:color="000000"/>
              <w:right w:val="single" w:sz="6" w:space="0" w:color="000000"/>
            </w:tcBorders>
          </w:tcPr>
          <w:p w14:paraId="6ACB51F7" w14:textId="3C45A5D8" w:rsidR="00590BEF" w:rsidRPr="007202FA" w:rsidRDefault="000B4F21" w:rsidP="007202FA">
            <w:pPr>
              <w:spacing w:after="0"/>
              <w:jc w:val="right"/>
              <w:rPr>
                <w:rFonts w:cs="Calibri"/>
                <w:color w:val="000000"/>
                <w:sz w:val="20"/>
                <w:szCs w:val="20"/>
              </w:rPr>
            </w:pPr>
            <w:r>
              <w:rPr>
                <w:rFonts w:cs="Calibri"/>
                <w:color w:val="000000"/>
                <w:sz w:val="20"/>
                <w:szCs w:val="20"/>
                <w:lang w:val="ga"/>
              </w:rPr>
              <w:t>3,536</w:t>
            </w:r>
          </w:p>
        </w:tc>
        <w:tc>
          <w:tcPr>
            <w:tcW w:w="1843" w:type="dxa"/>
            <w:tcBorders>
              <w:top w:val="single" w:sz="6" w:space="0" w:color="000000"/>
              <w:left w:val="single" w:sz="6" w:space="0" w:color="000000"/>
              <w:bottom w:val="single" w:sz="6" w:space="0" w:color="000000"/>
              <w:right w:val="single" w:sz="6" w:space="0" w:color="000000"/>
            </w:tcBorders>
          </w:tcPr>
          <w:p w14:paraId="49CAAEC4" w14:textId="28D914CC" w:rsidR="00590BEF" w:rsidRPr="007202FA" w:rsidRDefault="000B4F21" w:rsidP="007202FA">
            <w:pPr>
              <w:spacing w:after="0"/>
              <w:jc w:val="right"/>
              <w:rPr>
                <w:sz w:val="20"/>
                <w:szCs w:val="20"/>
              </w:rPr>
            </w:pPr>
            <w:r>
              <w:rPr>
                <w:sz w:val="20"/>
                <w:szCs w:val="20"/>
                <w:lang w:val="ga"/>
              </w:rPr>
              <w:t>267</w:t>
            </w:r>
          </w:p>
        </w:tc>
        <w:tc>
          <w:tcPr>
            <w:tcW w:w="1529" w:type="dxa"/>
            <w:tcBorders>
              <w:top w:val="single" w:sz="6" w:space="0" w:color="000000"/>
              <w:left w:val="single" w:sz="6" w:space="0" w:color="000000"/>
              <w:bottom w:val="single" w:sz="6" w:space="0" w:color="000000"/>
              <w:right w:val="single" w:sz="12" w:space="0" w:color="000000"/>
            </w:tcBorders>
          </w:tcPr>
          <w:p w14:paraId="201545F5" w14:textId="2A899115" w:rsidR="00590BEF" w:rsidRPr="007202FA" w:rsidRDefault="000B4F21" w:rsidP="007202FA">
            <w:pPr>
              <w:spacing w:after="0"/>
              <w:jc w:val="right"/>
              <w:rPr>
                <w:sz w:val="20"/>
                <w:szCs w:val="20"/>
              </w:rPr>
            </w:pPr>
            <w:r>
              <w:rPr>
                <w:sz w:val="20"/>
                <w:szCs w:val="20"/>
                <w:lang w:val="ga"/>
              </w:rPr>
              <w:t>7.6%</w:t>
            </w:r>
          </w:p>
        </w:tc>
        <w:bookmarkEnd w:id="238"/>
      </w:tr>
      <w:tr w:rsidR="00F31303" w14:paraId="6F3EDA92"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3538C3E7" w14:textId="77777777" w:rsidR="00590BEF" w:rsidRPr="007202FA" w:rsidRDefault="000B4F21" w:rsidP="007202FA">
            <w:pPr>
              <w:spacing w:after="0"/>
              <w:rPr>
                <w:sz w:val="20"/>
                <w:szCs w:val="20"/>
              </w:rPr>
            </w:pPr>
            <w:r>
              <w:rPr>
                <w:rFonts w:cs="Calibri"/>
                <w:color w:val="000000"/>
                <w:sz w:val="20"/>
                <w:szCs w:val="20"/>
                <w:lang w:val="ga"/>
              </w:rPr>
              <w:t>Bus Átha Cliath</w:t>
            </w:r>
          </w:p>
        </w:tc>
        <w:tc>
          <w:tcPr>
            <w:tcW w:w="1559" w:type="dxa"/>
            <w:tcBorders>
              <w:top w:val="single" w:sz="6" w:space="0" w:color="000000"/>
              <w:left w:val="single" w:sz="6" w:space="0" w:color="000000"/>
              <w:bottom w:val="single" w:sz="6" w:space="0" w:color="000000"/>
              <w:right w:val="single" w:sz="6" w:space="0" w:color="000000"/>
            </w:tcBorders>
            <w:hideMark/>
          </w:tcPr>
          <w:p w14:paraId="5DC04ADC" w14:textId="77777777" w:rsidR="00590BEF" w:rsidRPr="007202FA" w:rsidRDefault="000B4F21" w:rsidP="007202FA">
            <w:pPr>
              <w:spacing w:after="0"/>
              <w:jc w:val="right"/>
              <w:rPr>
                <w:sz w:val="20"/>
                <w:szCs w:val="20"/>
              </w:rPr>
            </w:pPr>
            <w:r>
              <w:rPr>
                <w:rFonts w:cs="Calibri"/>
                <w:color w:val="000000"/>
                <w:sz w:val="20"/>
                <w:szCs w:val="20"/>
                <w:lang w:val="ga"/>
              </w:rPr>
              <w:t>4,077</w:t>
            </w:r>
          </w:p>
        </w:tc>
        <w:tc>
          <w:tcPr>
            <w:tcW w:w="1701" w:type="dxa"/>
            <w:tcBorders>
              <w:top w:val="single" w:sz="6" w:space="0" w:color="000000"/>
              <w:left w:val="single" w:sz="6" w:space="0" w:color="000000"/>
              <w:bottom w:val="single" w:sz="6" w:space="0" w:color="000000"/>
              <w:right w:val="single" w:sz="6" w:space="0" w:color="000000"/>
            </w:tcBorders>
            <w:hideMark/>
          </w:tcPr>
          <w:p w14:paraId="3504C0E0" w14:textId="77777777" w:rsidR="00590BEF" w:rsidRPr="007202FA" w:rsidRDefault="000B4F21" w:rsidP="007202FA">
            <w:pPr>
              <w:spacing w:after="0"/>
              <w:jc w:val="right"/>
              <w:rPr>
                <w:sz w:val="20"/>
                <w:szCs w:val="20"/>
              </w:rPr>
            </w:pPr>
            <w:r>
              <w:rPr>
                <w:rFonts w:cs="Calibri"/>
                <w:color w:val="000000"/>
                <w:sz w:val="20"/>
                <w:szCs w:val="20"/>
                <w:lang w:val="ga"/>
              </w:rPr>
              <w:t>267</w:t>
            </w:r>
          </w:p>
        </w:tc>
        <w:tc>
          <w:tcPr>
            <w:tcW w:w="1559" w:type="dxa"/>
            <w:tcBorders>
              <w:top w:val="single" w:sz="6" w:space="0" w:color="000000"/>
              <w:left w:val="single" w:sz="6" w:space="0" w:color="000000"/>
              <w:bottom w:val="single" w:sz="6" w:space="0" w:color="000000"/>
              <w:right w:val="single" w:sz="6" w:space="0" w:color="000000"/>
            </w:tcBorders>
            <w:hideMark/>
          </w:tcPr>
          <w:p w14:paraId="12681AE2" w14:textId="77777777" w:rsidR="00590BEF" w:rsidRPr="007202FA" w:rsidRDefault="000B4F21" w:rsidP="007202FA">
            <w:pPr>
              <w:spacing w:after="0"/>
              <w:jc w:val="right"/>
              <w:rPr>
                <w:sz w:val="20"/>
                <w:szCs w:val="20"/>
              </w:rPr>
            </w:pPr>
            <w:r>
              <w:rPr>
                <w:rFonts w:cs="Calibri"/>
                <w:color w:val="000000"/>
                <w:sz w:val="20"/>
                <w:szCs w:val="20"/>
                <w:lang w:val="ga"/>
              </w:rPr>
              <w:t>6.5%</w:t>
            </w:r>
          </w:p>
        </w:tc>
        <w:tc>
          <w:tcPr>
            <w:tcW w:w="1559" w:type="dxa"/>
            <w:tcBorders>
              <w:top w:val="single" w:sz="4" w:space="0" w:color="auto"/>
              <w:left w:val="single" w:sz="4" w:space="0" w:color="auto"/>
              <w:bottom w:val="single" w:sz="4" w:space="0" w:color="auto"/>
              <w:right w:val="single" w:sz="4" w:space="0" w:color="auto"/>
            </w:tcBorders>
          </w:tcPr>
          <w:p w14:paraId="1A98E9E5" w14:textId="67E29480" w:rsidR="00590BEF" w:rsidRPr="007202FA" w:rsidRDefault="000B4F21" w:rsidP="007202FA">
            <w:pPr>
              <w:spacing w:after="0"/>
              <w:jc w:val="right"/>
              <w:rPr>
                <w:rFonts w:cs="Calibri"/>
                <w:color w:val="000000"/>
                <w:sz w:val="20"/>
                <w:szCs w:val="20"/>
              </w:rPr>
            </w:pPr>
            <w:r>
              <w:rPr>
                <w:rFonts w:cs="Calibri"/>
                <w:color w:val="000000"/>
                <w:sz w:val="20"/>
                <w:szCs w:val="20"/>
                <w:lang w:val="ga"/>
              </w:rPr>
              <w:t>4,328</w:t>
            </w:r>
          </w:p>
        </w:tc>
        <w:tc>
          <w:tcPr>
            <w:tcW w:w="1843" w:type="dxa"/>
            <w:tcBorders>
              <w:top w:val="single" w:sz="4" w:space="0" w:color="auto"/>
              <w:left w:val="single" w:sz="4" w:space="0" w:color="auto"/>
              <w:bottom w:val="single" w:sz="4" w:space="0" w:color="auto"/>
              <w:right w:val="single" w:sz="4" w:space="0" w:color="auto"/>
            </w:tcBorders>
          </w:tcPr>
          <w:p w14:paraId="162B5129" w14:textId="71224511" w:rsidR="00590BEF" w:rsidRPr="007202FA" w:rsidRDefault="000B4F21" w:rsidP="007202FA">
            <w:pPr>
              <w:spacing w:after="0"/>
              <w:jc w:val="right"/>
              <w:rPr>
                <w:sz w:val="20"/>
                <w:szCs w:val="20"/>
              </w:rPr>
            </w:pPr>
            <w:r>
              <w:rPr>
                <w:sz w:val="20"/>
                <w:szCs w:val="20"/>
                <w:lang w:val="ga"/>
              </w:rPr>
              <w:t>269</w:t>
            </w:r>
          </w:p>
        </w:tc>
        <w:tc>
          <w:tcPr>
            <w:tcW w:w="1529" w:type="dxa"/>
            <w:tcBorders>
              <w:top w:val="single" w:sz="4" w:space="0" w:color="auto"/>
              <w:left w:val="single" w:sz="4" w:space="0" w:color="auto"/>
              <w:bottom w:val="single" w:sz="4" w:space="0" w:color="auto"/>
              <w:right w:val="single" w:sz="4" w:space="0" w:color="auto"/>
            </w:tcBorders>
          </w:tcPr>
          <w:p w14:paraId="13062ED2" w14:textId="658F0890" w:rsidR="00590BEF" w:rsidRPr="007202FA" w:rsidRDefault="000B4F21" w:rsidP="007202FA">
            <w:pPr>
              <w:spacing w:after="0"/>
              <w:jc w:val="right"/>
              <w:rPr>
                <w:sz w:val="20"/>
                <w:szCs w:val="20"/>
              </w:rPr>
            </w:pPr>
            <w:r>
              <w:rPr>
                <w:sz w:val="20"/>
                <w:szCs w:val="20"/>
                <w:lang w:val="ga"/>
              </w:rPr>
              <w:t>6.2%</w:t>
            </w:r>
          </w:p>
        </w:tc>
      </w:tr>
      <w:tr w:rsidR="00F31303" w14:paraId="7659C952"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5953FA4A" w14:textId="77777777" w:rsidR="00590BEF" w:rsidRPr="007202FA" w:rsidRDefault="000B4F21" w:rsidP="007202FA">
            <w:pPr>
              <w:spacing w:after="0"/>
              <w:rPr>
                <w:sz w:val="20"/>
                <w:szCs w:val="20"/>
              </w:rPr>
            </w:pPr>
            <w:r>
              <w:rPr>
                <w:rFonts w:cs="Calibri"/>
                <w:color w:val="000000"/>
                <w:sz w:val="20"/>
                <w:szCs w:val="20"/>
                <w:lang w:val="ga"/>
              </w:rPr>
              <w:t>Cuideachta Poirt Bhaile Átha Cliath</w:t>
            </w:r>
          </w:p>
        </w:tc>
        <w:tc>
          <w:tcPr>
            <w:tcW w:w="1559" w:type="dxa"/>
            <w:tcBorders>
              <w:top w:val="single" w:sz="6" w:space="0" w:color="000000"/>
              <w:left w:val="single" w:sz="6" w:space="0" w:color="000000"/>
              <w:bottom w:val="single" w:sz="6" w:space="0" w:color="000000"/>
              <w:right w:val="single" w:sz="6" w:space="0" w:color="000000"/>
            </w:tcBorders>
            <w:hideMark/>
          </w:tcPr>
          <w:p w14:paraId="05B5CE6A" w14:textId="77777777" w:rsidR="00590BEF" w:rsidRPr="007202FA" w:rsidRDefault="000B4F21" w:rsidP="007202FA">
            <w:pPr>
              <w:spacing w:after="0"/>
              <w:jc w:val="right"/>
              <w:rPr>
                <w:sz w:val="20"/>
                <w:szCs w:val="20"/>
              </w:rPr>
            </w:pPr>
            <w:r>
              <w:rPr>
                <w:rFonts w:cs="Calibri"/>
                <w:color w:val="000000"/>
                <w:sz w:val="20"/>
                <w:szCs w:val="20"/>
                <w:lang w:val="ga"/>
              </w:rPr>
              <w:t>154</w:t>
            </w:r>
          </w:p>
        </w:tc>
        <w:tc>
          <w:tcPr>
            <w:tcW w:w="1701" w:type="dxa"/>
            <w:tcBorders>
              <w:top w:val="single" w:sz="6" w:space="0" w:color="000000"/>
              <w:left w:val="single" w:sz="6" w:space="0" w:color="000000"/>
              <w:bottom w:val="single" w:sz="6" w:space="0" w:color="000000"/>
              <w:right w:val="single" w:sz="6" w:space="0" w:color="000000"/>
            </w:tcBorders>
            <w:hideMark/>
          </w:tcPr>
          <w:p w14:paraId="2ABC70B5" w14:textId="77777777" w:rsidR="00590BEF" w:rsidRPr="007202FA" w:rsidRDefault="000B4F21" w:rsidP="007202FA">
            <w:pPr>
              <w:spacing w:after="0"/>
              <w:jc w:val="right"/>
              <w:rPr>
                <w:sz w:val="20"/>
                <w:szCs w:val="20"/>
              </w:rPr>
            </w:pPr>
            <w:r>
              <w:rPr>
                <w:rFonts w:cs="Calibri"/>
                <w:color w:val="000000"/>
                <w:sz w:val="20"/>
                <w:szCs w:val="20"/>
                <w:lang w:val="ga"/>
              </w:rPr>
              <w:t>6</w:t>
            </w:r>
          </w:p>
        </w:tc>
        <w:tc>
          <w:tcPr>
            <w:tcW w:w="1559" w:type="dxa"/>
            <w:tcBorders>
              <w:top w:val="single" w:sz="6" w:space="0" w:color="000000"/>
              <w:left w:val="single" w:sz="6" w:space="0" w:color="000000"/>
              <w:bottom w:val="single" w:sz="6" w:space="0" w:color="000000"/>
              <w:right w:val="single" w:sz="6" w:space="0" w:color="000000"/>
            </w:tcBorders>
            <w:hideMark/>
          </w:tcPr>
          <w:p w14:paraId="1A3C8C13" w14:textId="77777777" w:rsidR="00590BEF" w:rsidRPr="007202FA" w:rsidRDefault="000B4F21" w:rsidP="007202FA">
            <w:pPr>
              <w:spacing w:after="0"/>
              <w:jc w:val="right"/>
              <w:rPr>
                <w:sz w:val="20"/>
                <w:szCs w:val="20"/>
              </w:rPr>
            </w:pPr>
            <w:r>
              <w:rPr>
                <w:rFonts w:cs="Calibri"/>
                <w:color w:val="000000"/>
                <w:sz w:val="20"/>
                <w:szCs w:val="20"/>
                <w:lang w:val="ga"/>
              </w:rPr>
              <w:t>3.9%</w:t>
            </w:r>
          </w:p>
        </w:tc>
        <w:tc>
          <w:tcPr>
            <w:tcW w:w="1559" w:type="dxa"/>
            <w:tcBorders>
              <w:top w:val="single" w:sz="4" w:space="0" w:color="auto"/>
              <w:left w:val="single" w:sz="4" w:space="0" w:color="auto"/>
              <w:bottom w:val="single" w:sz="4" w:space="0" w:color="auto"/>
              <w:right w:val="single" w:sz="4" w:space="0" w:color="auto"/>
            </w:tcBorders>
          </w:tcPr>
          <w:p w14:paraId="1FD670D9"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158</w:t>
            </w:r>
          </w:p>
          <w:p w14:paraId="00B3F44D" w14:textId="77777777" w:rsidR="00590BEF" w:rsidRPr="007202FA" w:rsidRDefault="00590BEF" w:rsidP="007202FA">
            <w:pPr>
              <w:spacing w:after="0"/>
              <w:jc w:val="right"/>
              <w:rPr>
                <w:rFonts w:cs="Calibr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2AFDBAF" w14:textId="77777777" w:rsidR="00590BEF" w:rsidRPr="007202FA" w:rsidRDefault="000B4F21" w:rsidP="007202FA">
            <w:pPr>
              <w:spacing w:after="0"/>
              <w:jc w:val="right"/>
              <w:rPr>
                <w:sz w:val="20"/>
                <w:szCs w:val="20"/>
              </w:rPr>
            </w:pPr>
            <w:r>
              <w:rPr>
                <w:sz w:val="20"/>
                <w:szCs w:val="20"/>
                <w:lang w:val="ga"/>
              </w:rPr>
              <w:t>8</w:t>
            </w:r>
          </w:p>
          <w:p w14:paraId="7F8B7468"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23FDA917" w14:textId="77777777" w:rsidR="00590BEF" w:rsidRPr="007202FA" w:rsidRDefault="000B4F21" w:rsidP="007202FA">
            <w:pPr>
              <w:spacing w:after="0"/>
              <w:jc w:val="right"/>
              <w:rPr>
                <w:sz w:val="20"/>
                <w:szCs w:val="20"/>
              </w:rPr>
            </w:pPr>
            <w:r>
              <w:rPr>
                <w:sz w:val="20"/>
                <w:szCs w:val="20"/>
                <w:lang w:val="ga"/>
              </w:rPr>
              <w:t>5.1%</w:t>
            </w:r>
          </w:p>
          <w:p w14:paraId="554C976B" w14:textId="77777777" w:rsidR="00590BEF" w:rsidRPr="007202FA" w:rsidRDefault="00590BEF" w:rsidP="007202FA">
            <w:pPr>
              <w:spacing w:after="0"/>
              <w:jc w:val="right"/>
              <w:rPr>
                <w:sz w:val="20"/>
                <w:szCs w:val="20"/>
              </w:rPr>
            </w:pPr>
          </w:p>
        </w:tc>
      </w:tr>
      <w:tr w:rsidR="00F31303" w14:paraId="52FE5203"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6D8D4CBE" w14:textId="77777777" w:rsidR="00590BEF" w:rsidRPr="007202FA" w:rsidRDefault="000B4F21" w:rsidP="007202FA">
            <w:pPr>
              <w:spacing w:after="0"/>
              <w:rPr>
                <w:sz w:val="20"/>
                <w:szCs w:val="20"/>
              </w:rPr>
            </w:pPr>
            <w:r>
              <w:rPr>
                <w:rFonts w:cs="Calibri"/>
                <w:color w:val="000000"/>
                <w:sz w:val="20"/>
                <w:szCs w:val="20"/>
                <w:lang w:val="ga"/>
              </w:rPr>
              <w:t>Iarnród Éireann</w:t>
            </w:r>
          </w:p>
        </w:tc>
        <w:tc>
          <w:tcPr>
            <w:tcW w:w="1559" w:type="dxa"/>
            <w:tcBorders>
              <w:top w:val="single" w:sz="6" w:space="0" w:color="000000"/>
              <w:left w:val="single" w:sz="6" w:space="0" w:color="000000"/>
              <w:bottom w:val="single" w:sz="6" w:space="0" w:color="000000"/>
              <w:right w:val="single" w:sz="6" w:space="0" w:color="000000"/>
            </w:tcBorders>
            <w:hideMark/>
          </w:tcPr>
          <w:p w14:paraId="60C5FBE6" w14:textId="77777777" w:rsidR="00590BEF" w:rsidRPr="007202FA" w:rsidRDefault="000B4F21" w:rsidP="007202FA">
            <w:pPr>
              <w:spacing w:after="0"/>
              <w:jc w:val="right"/>
              <w:rPr>
                <w:sz w:val="20"/>
                <w:szCs w:val="20"/>
              </w:rPr>
            </w:pPr>
            <w:r>
              <w:rPr>
                <w:rFonts w:cs="Calibri"/>
                <w:color w:val="000000"/>
                <w:sz w:val="20"/>
                <w:szCs w:val="20"/>
                <w:lang w:val="ga"/>
              </w:rPr>
              <w:t>4,685</w:t>
            </w:r>
          </w:p>
        </w:tc>
        <w:tc>
          <w:tcPr>
            <w:tcW w:w="1701" w:type="dxa"/>
            <w:tcBorders>
              <w:top w:val="single" w:sz="6" w:space="0" w:color="000000"/>
              <w:left w:val="single" w:sz="6" w:space="0" w:color="000000"/>
              <w:bottom w:val="single" w:sz="6" w:space="0" w:color="000000"/>
              <w:right w:val="single" w:sz="6" w:space="0" w:color="000000"/>
            </w:tcBorders>
            <w:hideMark/>
          </w:tcPr>
          <w:p w14:paraId="265D8F88" w14:textId="77777777" w:rsidR="00590BEF" w:rsidRPr="007202FA" w:rsidRDefault="000B4F21" w:rsidP="007202FA">
            <w:pPr>
              <w:spacing w:after="0"/>
              <w:jc w:val="right"/>
              <w:rPr>
                <w:sz w:val="20"/>
                <w:szCs w:val="20"/>
              </w:rPr>
            </w:pPr>
            <w:r>
              <w:rPr>
                <w:rFonts w:cs="Calibri"/>
                <w:color w:val="000000"/>
                <w:sz w:val="20"/>
                <w:szCs w:val="20"/>
                <w:lang w:val="ga"/>
              </w:rPr>
              <w:t>271</w:t>
            </w:r>
          </w:p>
        </w:tc>
        <w:tc>
          <w:tcPr>
            <w:tcW w:w="1559" w:type="dxa"/>
            <w:tcBorders>
              <w:top w:val="single" w:sz="6" w:space="0" w:color="000000"/>
              <w:left w:val="single" w:sz="6" w:space="0" w:color="000000"/>
              <w:bottom w:val="single" w:sz="6" w:space="0" w:color="000000"/>
              <w:right w:val="single" w:sz="6" w:space="0" w:color="000000"/>
            </w:tcBorders>
            <w:hideMark/>
          </w:tcPr>
          <w:p w14:paraId="6E581A3D" w14:textId="77777777" w:rsidR="00590BEF" w:rsidRPr="007202FA" w:rsidRDefault="000B4F21" w:rsidP="007202FA">
            <w:pPr>
              <w:spacing w:after="0"/>
              <w:jc w:val="right"/>
              <w:rPr>
                <w:sz w:val="20"/>
                <w:szCs w:val="20"/>
              </w:rPr>
            </w:pPr>
            <w:r>
              <w:rPr>
                <w:rFonts w:cs="Calibri"/>
                <w:color w:val="000000"/>
                <w:sz w:val="20"/>
                <w:szCs w:val="20"/>
                <w:lang w:val="ga"/>
              </w:rPr>
              <w:t>5.8%</w:t>
            </w:r>
          </w:p>
        </w:tc>
        <w:tc>
          <w:tcPr>
            <w:tcW w:w="1559" w:type="dxa"/>
            <w:tcBorders>
              <w:top w:val="single" w:sz="4" w:space="0" w:color="auto"/>
              <w:left w:val="single" w:sz="4" w:space="0" w:color="auto"/>
              <w:bottom w:val="single" w:sz="4" w:space="0" w:color="auto"/>
              <w:right w:val="single" w:sz="4" w:space="0" w:color="auto"/>
            </w:tcBorders>
          </w:tcPr>
          <w:p w14:paraId="44F37B17" w14:textId="77777777" w:rsidR="00590BEF" w:rsidRPr="007202FA" w:rsidRDefault="000B4F21" w:rsidP="007202FA">
            <w:pPr>
              <w:spacing w:after="0"/>
              <w:jc w:val="right"/>
              <w:rPr>
                <w:rFonts w:cs="Calibri"/>
                <w:color w:val="000000"/>
                <w:sz w:val="20"/>
                <w:szCs w:val="20"/>
              </w:rPr>
            </w:pPr>
            <w:r>
              <w:rPr>
                <w:rFonts w:cs="Calibri"/>
                <w:color w:val="000000"/>
                <w:sz w:val="20"/>
                <w:szCs w:val="20"/>
                <w:lang w:val="ga"/>
              </w:rPr>
              <w:t>4,943</w:t>
            </w:r>
          </w:p>
          <w:p w14:paraId="4BC5EE9B" w14:textId="77777777" w:rsidR="00590BEF" w:rsidRPr="007202FA" w:rsidRDefault="00590BEF" w:rsidP="007202FA">
            <w:pPr>
              <w:spacing w:after="0"/>
              <w:jc w:val="right"/>
              <w:rPr>
                <w:rFonts w:cs="Calibri"/>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35F9491" w14:textId="77777777" w:rsidR="00590BEF" w:rsidRPr="007202FA" w:rsidRDefault="000B4F21" w:rsidP="007202FA">
            <w:pPr>
              <w:spacing w:after="0"/>
              <w:jc w:val="right"/>
              <w:rPr>
                <w:sz w:val="20"/>
                <w:szCs w:val="20"/>
              </w:rPr>
            </w:pPr>
            <w:r>
              <w:rPr>
                <w:sz w:val="20"/>
                <w:szCs w:val="20"/>
                <w:lang w:val="ga"/>
              </w:rPr>
              <w:t>286</w:t>
            </w:r>
          </w:p>
          <w:p w14:paraId="04D33381"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356B9183" w14:textId="77777777" w:rsidR="00590BEF" w:rsidRPr="007202FA" w:rsidRDefault="000B4F21" w:rsidP="007202FA">
            <w:pPr>
              <w:spacing w:after="0"/>
              <w:jc w:val="right"/>
              <w:rPr>
                <w:sz w:val="20"/>
                <w:szCs w:val="20"/>
              </w:rPr>
            </w:pPr>
            <w:r>
              <w:rPr>
                <w:sz w:val="20"/>
                <w:szCs w:val="20"/>
                <w:lang w:val="ga"/>
              </w:rPr>
              <w:t>5.8%</w:t>
            </w:r>
          </w:p>
          <w:p w14:paraId="7ABA2A86" w14:textId="77777777" w:rsidR="00590BEF" w:rsidRPr="007202FA" w:rsidRDefault="00590BEF" w:rsidP="007202FA">
            <w:pPr>
              <w:spacing w:after="0"/>
              <w:jc w:val="right"/>
              <w:rPr>
                <w:sz w:val="20"/>
                <w:szCs w:val="20"/>
              </w:rPr>
            </w:pPr>
          </w:p>
        </w:tc>
      </w:tr>
      <w:tr w:rsidR="00F31303" w14:paraId="0E18F4D7"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019D1655" w14:textId="77777777" w:rsidR="00590BEF" w:rsidRPr="007202FA" w:rsidRDefault="000B4F21" w:rsidP="007202FA">
            <w:pPr>
              <w:spacing w:after="0"/>
              <w:rPr>
                <w:sz w:val="20"/>
                <w:szCs w:val="20"/>
              </w:rPr>
            </w:pPr>
            <w:r>
              <w:rPr>
                <w:rFonts w:cs="Calibri"/>
                <w:color w:val="000000"/>
                <w:sz w:val="20"/>
                <w:szCs w:val="20"/>
                <w:lang w:val="ga"/>
              </w:rPr>
              <w:t>Údarás Eitlíochta na hÉireann</w:t>
            </w:r>
          </w:p>
        </w:tc>
        <w:tc>
          <w:tcPr>
            <w:tcW w:w="1559" w:type="dxa"/>
            <w:tcBorders>
              <w:top w:val="single" w:sz="6" w:space="0" w:color="000000"/>
              <w:left w:val="single" w:sz="6" w:space="0" w:color="000000"/>
              <w:bottom w:val="single" w:sz="6" w:space="0" w:color="000000"/>
              <w:right w:val="single" w:sz="6" w:space="0" w:color="000000"/>
            </w:tcBorders>
            <w:hideMark/>
          </w:tcPr>
          <w:p w14:paraId="026E7B2C" w14:textId="77777777" w:rsidR="00590BEF" w:rsidRPr="007202FA" w:rsidRDefault="000B4F21" w:rsidP="007202FA">
            <w:pPr>
              <w:spacing w:after="0"/>
              <w:jc w:val="right"/>
              <w:rPr>
                <w:sz w:val="20"/>
                <w:szCs w:val="20"/>
              </w:rPr>
            </w:pPr>
            <w:r>
              <w:rPr>
                <w:rFonts w:cs="Calibri"/>
                <w:color w:val="000000"/>
                <w:sz w:val="20"/>
                <w:szCs w:val="20"/>
                <w:lang w:val="ga"/>
              </w:rPr>
              <w:t>639</w:t>
            </w:r>
          </w:p>
        </w:tc>
        <w:tc>
          <w:tcPr>
            <w:tcW w:w="1701" w:type="dxa"/>
            <w:tcBorders>
              <w:top w:val="single" w:sz="6" w:space="0" w:color="000000"/>
              <w:left w:val="single" w:sz="6" w:space="0" w:color="000000"/>
              <w:bottom w:val="single" w:sz="6" w:space="0" w:color="000000"/>
              <w:right w:val="single" w:sz="6" w:space="0" w:color="000000"/>
            </w:tcBorders>
            <w:hideMark/>
          </w:tcPr>
          <w:p w14:paraId="6377F49D" w14:textId="77777777" w:rsidR="00590BEF" w:rsidRPr="007202FA" w:rsidRDefault="000B4F21" w:rsidP="007202FA">
            <w:pPr>
              <w:spacing w:after="0"/>
              <w:jc w:val="right"/>
              <w:rPr>
                <w:sz w:val="20"/>
                <w:szCs w:val="20"/>
              </w:rPr>
            </w:pPr>
            <w:r>
              <w:rPr>
                <w:rFonts w:cs="Calibri"/>
                <w:color w:val="000000"/>
                <w:sz w:val="20"/>
                <w:szCs w:val="20"/>
                <w:lang w:val="ga"/>
              </w:rPr>
              <w:t>4</w:t>
            </w:r>
          </w:p>
        </w:tc>
        <w:tc>
          <w:tcPr>
            <w:tcW w:w="1559" w:type="dxa"/>
            <w:tcBorders>
              <w:top w:val="single" w:sz="6" w:space="0" w:color="000000"/>
              <w:left w:val="single" w:sz="6" w:space="0" w:color="000000"/>
              <w:bottom w:val="single" w:sz="6" w:space="0" w:color="000000"/>
              <w:right w:val="single" w:sz="6" w:space="0" w:color="000000"/>
            </w:tcBorders>
            <w:hideMark/>
          </w:tcPr>
          <w:p w14:paraId="0BF02821" w14:textId="77777777" w:rsidR="00590BEF" w:rsidRPr="007202FA" w:rsidRDefault="000B4F21" w:rsidP="007202FA">
            <w:pPr>
              <w:spacing w:after="0"/>
              <w:jc w:val="right"/>
              <w:rPr>
                <w:sz w:val="20"/>
                <w:szCs w:val="20"/>
              </w:rPr>
            </w:pPr>
            <w:r>
              <w:rPr>
                <w:rFonts w:cs="Calibri"/>
                <w:color w:val="000000"/>
                <w:sz w:val="20"/>
                <w:szCs w:val="20"/>
                <w:lang w:val="ga"/>
              </w:rPr>
              <w:t>0.0%</w:t>
            </w:r>
          </w:p>
        </w:tc>
        <w:tc>
          <w:tcPr>
            <w:tcW w:w="1559" w:type="dxa"/>
            <w:tcBorders>
              <w:top w:val="single" w:sz="4" w:space="0" w:color="auto"/>
              <w:left w:val="single" w:sz="4" w:space="0" w:color="auto"/>
              <w:bottom w:val="single" w:sz="4" w:space="0" w:color="auto"/>
              <w:right w:val="single" w:sz="4" w:space="0" w:color="auto"/>
            </w:tcBorders>
          </w:tcPr>
          <w:p w14:paraId="1740333C" w14:textId="77777777" w:rsidR="00590BEF" w:rsidRPr="007202FA" w:rsidRDefault="000B4F21" w:rsidP="007202FA">
            <w:pPr>
              <w:spacing w:after="0"/>
              <w:jc w:val="right"/>
              <w:rPr>
                <w:sz w:val="20"/>
                <w:szCs w:val="20"/>
              </w:rPr>
            </w:pPr>
            <w:r>
              <w:rPr>
                <w:sz w:val="20"/>
                <w:szCs w:val="20"/>
                <w:lang w:val="ga"/>
              </w:rPr>
              <w:t>198</w:t>
            </w:r>
          </w:p>
          <w:p w14:paraId="14FA55F2"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2BFF3E3" w14:textId="77777777" w:rsidR="00590BEF" w:rsidRPr="007202FA" w:rsidRDefault="000B4F21" w:rsidP="007202FA">
            <w:pPr>
              <w:spacing w:after="0"/>
              <w:jc w:val="right"/>
              <w:rPr>
                <w:sz w:val="20"/>
                <w:szCs w:val="20"/>
              </w:rPr>
            </w:pPr>
            <w:r>
              <w:rPr>
                <w:sz w:val="20"/>
                <w:szCs w:val="20"/>
                <w:lang w:val="ga"/>
              </w:rPr>
              <w:t>6</w:t>
            </w:r>
          </w:p>
          <w:p w14:paraId="78FC3689"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7EC51542" w14:textId="77777777" w:rsidR="00590BEF" w:rsidRPr="007202FA" w:rsidRDefault="000B4F21" w:rsidP="007202FA">
            <w:pPr>
              <w:spacing w:after="0"/>
              <w:jc w:val="right"/>
              <w:rPr>
                <w:sz w:val="20"/>
                <w:szCs w:val="20"/>
              </w:rPr>
            </w:pPr>
            <w:r>
              <w:rPr>
                <w:sz w:val="20"/>
                <w:szCs w:val="20"/>
                <w:lang w:val="ga"/>
              </w:rPr>
              <w:t>3.0%</w:t>
            </w:r>
          </w:p>
          <w:p w14:paraId="69CD8FF7" w14:textId="77777777" w:rsidR="00590BEF" w:rsidRPr="007202FA" w:rsidRDefault="00590BEF" w:rsidP="007202FA">
            <w:pPr>
              <w:spacing w:after="0"/>
              <w:jc w:val="right"/>
              <w:rPr>
                <w:sz w:val="20"/>
                <w:szCs w:val="20"/>
              </w:rPr>
            </w:pPr>
          </w:p>
        </w:tc>
      </w:tr>
      <w:tr w:rsidR="00F31303" w14:paraId="304A51F6"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6E75841D" w14:textId="77777777" w:rsidR="00590BEF" w:rsidRPr="007202FA" w:rsidRDefault="000B4F21" w:rsidP="007202FA">
            <w:pPr>
              <w:spacing w:after="0"/>
              <w:rPr>
                <w:sz w:val="20"/>
                <w:szCs w:val="20"/>
              </w:rPr>
            </w:pPr>
            <w:r>
              <w:rPr>
                <w:rFonts w:cs="Calibri"/>
                <w:color w:val="000000"/>
                <w:sz w:val="20"/>
                <w:szCs w:val="20"/>
                <w:lang w:val="ga"/>
              </w:rPr>
              <w:t>Údarás Náisiúnta Iompair</w:t>
            </w:r>
          </w:p>
        </w:tc>
        <w:tc>
          <w:tcPr>
            <w:tcW w:w="1559" w:type="dxa"/>
            <w:tcBorders>
              <w:top w:val="single" w:sz="6" w:space="0" w:color="000000"/>
              <w:left w:val="single" w:sz="6" w:space="0" w:color="000000"/>
              <w:bottom w:val="single" w:sz="6" w:space="0" w:color="000000"/>
              <w:right w:val="single" w:sz="6" w:space="0" w:color="000000"/>
            </w:tcBorders>
            <w:hideMark/>
          </w:tcPr>
          <w:p w14:paraId="2D5A4C97" w14:textId="77777777" w:rsidR="00590BEF" w:rsidRPr="007202FA" w:rsidRDefault="000B4F21" w:rsidP="007202FA">
            <w:pPr>
              <w:spacing w:after="0"/>
              <w:jc w:val="right"/>
              <w:rPr>
                <w:sz w:val="20"/>
                <w:szCs w:val="20"/>
              </w:rPr>
            </w:pPr>
            <w:r>
              <w:rPr>
                <w:rFonts w:cs="Calibri"/>
                <w:color w:val="000000"/>
                <w:sz w:val="20"/>
                <w:szCs w:val="20"/>
                <w:lang w:val="ga"/>
              </w:rPr>
              <w:t>261</w:t>
            </w:r>
          </w:p>
        </w:tc>
        <w:tc>
          <w:tcPr>
            <w:tcW w:w="1701" w:type="dxa"/>
            <w:tcBorders>
              <w:top w:val="single" w:sz="6" w:space="0" w:color="000000"/>
              <w:left w:val="single" w:sz="6" w:space="0" w:color="000000"/>
              <w:bottom w:val="single" w:sz="6" w:space="0" w:color="000000"/>
              <w:right w:val="single" w:sz="6" w:space="0" w:color="000000"/>
            </w:tcBorders>
            <w:hideMark/>
          </w:tcPr>
          <w:p w14:paraId="7C3900AA" w14:textId="77777777" w:rsidR="00590BEF" w:rsidRPr="007202FA" w:rsidRDefault="000B4F21" w:rsidP="007202FA">
            <w:pPr>
              <w:spacing w:after="0"/>
              <w:jc w:val="right"/>
              <w:rPr>
                <w:sz w:val="20"/>
                <w:szCs w:val="20"/>
              </w:rPr>
            </w:pPr>
            <w:r>
              <w:rPr>
                <w:rFonts w:cs="Calibri"/>
                <w:color w:val="000000"/>
                <w:sz w:val="20"/>
                <w:szCs w:val="20"/>
                <w:lang w:val="ga"/>
              </w:rPr>
              <w:t>22</w:t>
            </w:r>
          </w:p>
        </w:tc>
        <w:tc>
          <w:tcPr>
            <w:tcW w:w="1559" w:type="dxa"/>
            <w:tcBorders>
              <w:top w:val="single" w:sz="6" w:space="0" w:color="000000"/>
              <w:left w:val="single" w:sz="6" w:space="0" w:color="000000"/>
              <w:bottom w:val="single" w:sz="6" w:space="0" w:color="000000"/>
              <w:right w:val="single" w:sz="6" w:space="0" w:color="000000"/>
            </w:tcBorders>
            <w:hideMark/>
          </w:tcPr>
          <w:p w14:paraId="31DB625C" w14:textId="77777777" w:rsidR="00590BEF" w:rsidRPr="007202FA" w:rsidRDefault="000B4F21" w:rsidP="007202FA">
            <w:pPr>
              <w:spacing w:after="0"/>
              <w:jc w:val="right"/>
              <w:rPr>
                <w:sz w:val="20"/>
                <w:szCs w:val="20"/>
              </w:rPr>
            </w:pPr>
            <w:r>
              <w:rPr>
                <w:rFonts w:cs="Calibri"/>
                <w:color w:val="000000"/>
                <w:sz w:val="20"/>
                <w:szCs w:val="20"/>
                <w:lang w:val="ga"/>
              </w:rPr>
              <w:t>8.4%</w:t>
            </w:r>
          </w:p>
        </w:tc>
        <w:tc>
          <w:tcPr>
            <w:tcW w:w="1559" w:type="dxa"/>
            <w:tcBorders>
              <w:top w:val="single" w:sz="4" w:space="0" w:color="auto"/>
              <w:left w:val="single" w:sz="4" w:space="0" w:color="auto"/>
              <w:bottom w:val="single" w:sz="4" w:space="0" w:color="auto"/>
              <w:right w:val="single" w:sz="4" w:space="0" w:color="auto"/>
            </w:tcBorders>
          </w:tcPr>
          <w:p w14:paraId="48592CC7" w14:textId="77777777" w:rsidR="00590BEF" w:rsidRPr="007202FA" w:rsidRDefault="000B4F21" w:rsidP="007202FA">
            <w:pPr>
              <w:spacing w:after="0"/>
              <w:jc w:val="right"/>
              <w:rPr>
                <w:sz w:val="20"/>
                <w:szCs w:val="20"/>
              </w:rPr>
            </w:pPr>
            <w:r>
              <w:rPr>
                <w:sz w:val="20"/>
                <w:szCs w:val="20"/>
                <w:lang w:val="ga"/>
              </w:rPr>
              <w:t>311</w:t>
            </w:r>
          </w:p>
          <w:p w14:paraId="2017A177"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59A1D89" w14:textId="77777777" w:rsidR="00590BEF" w:rsidRPr="007202FA" w:rsidRDefault="000B4F21" w:rsidP="007202FA">
            <w:pPr>
              <w:spacing w:after="0"/>
              <w:jc w:val="right"/>
              <w:rPr>
                <w:sz w:val="20"/>
                <w:szCs w:val="20"/>
              </w:rPr>
            </w:pPr>
            <w:r>
              <w:rPr>
                <w:sz w:val="20"/>
                <w:szCs w:val="20"/>
                <w:lang w:val="ga"/>
              </w:rPr>
              <w:t>25</w:t>
            </w:r>
          </w:p>
          <w:p w14:paraId="446BD94D"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787C3237" w14:textId="77777777" w:rsidR="00590BEF" w:rsidRPr="007202FA" w:rsidRDefault="000B4F21" w:rsidP="007202FA">
            <w:pPr>
              <w:spacing w:after="0"/>
              <w:jc w:val="right"/>
              <w:rPr>
                <w:sz w:val="20"/>
                <w:szCs w:val="20"/>
              </w:rPr>
            </w:pPr>
            <w:r>
              <w:rPr>
                <w:sz w:val="20"/>
                <w:szCs w:val="20"/>
                <w:lang w:val="ga"/>
              </w:rPr>
              <w:t>8.0%</w:t>
            </w:r>
          </w:p>
          <w:p w14:paraId="4F9F609D" w14:textId="77777777" w:rsidR="00590BEF" w:rsidRPr="007202FA" w:rsidRDefault="00590BEF" w:rsidP="007202FA">
            <w:pPr>
              <w:spacing w:after="0"/>
              <w:jc w:val="right"/>
              <w:rPr>
                <w:sz w:val="20"/>
                <w:szCs w:val="20"/>
              </w:rPr>
            </w:pPr>
          </w:p>
        </w:tc>
      </w:tr>
      <w:tr w:rsidR="00F31303" w14:paraId="6A0E4010"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2E370590" w14:textId="77777777" w:rsidR="00590BEF" w:rsidRPr="007202FA" w:rsidRDefault="000B4F21" w:rsidP="007202FA">
            <w:pPr>
              <w:spacing w:after="0"/>
              <w:rPr>
                <w:sz w:val="20"/>
                <w:szCs w:val="20"/>
              </w:rPr>
            </w:pPr>
            <w:r>
              <w:rPr>
                <w:rFonts w:cs="Calibri"/>
                <w:color w:val="000000"/>
                <w:sz w:val="20"/>
                <w:szCs w:val="20"/>
                <w:lang w:val="ga"/>
              </w:rPr>
              <w:t>Cuideachta Phort Chorcaí</w:t>
            </w:r>
          </w:p>
        </w:tc>
        <w:tc>
          <w:tcPr>
            <w:tcW w:w="1559" w:type="dxa"/>
            <w:tcBorders>
              <w:top w:val="single" w:sz="6" w:space="0" w:color="000000"/>
              <w:left w:val="single" w:sz="6" w:space="0" w:color="000000"/>
              <w:bottom w:val="single" w:sz="6" w:space="0" w:color="000000"/>
              <w:right w:val="single" w:sz="6" w:space="0" w:color="000000"/>
            </w:tcBorders>
            <w:hideMark/>
          </w:tcPr>
          <w:p w14:paraId="0FDD2BD3" w14:textId="77777777" w:rsidR="00590BEF" w:rsidRPr="007202FA" w:rsidRDefault="000B4F21" w:rsidP="007202FA">
            <w:pPr>
              <w:spacing w:after="0"/>
              <w:jc w:val="right"/>
              <w:rPr>
                <w:sz w:val="20"/>
                <w:szCs w:val="20"/>
              </w:rPr>
            </w:pPr>
            <w:r>
              <w:rPr>
                <w:rFonts w:cs="Calibri"/>
                <w:color w:val="000000"/>
                <w:sz w:val="20"/>
                <w:szCs w:val="20"/>
                <w:lang w:val="ga"/>
              </w:rPr>
              <w:t>164</w:t>
            </w:r>
          </w:p>
        </w:tc>
        <w:tc>
          <w:tcPr>
            <w:tcW w:w="1701" w:type="dxa"/>
            <w:tcBorders>
              <w:top w:val="single" w:sz="6" w:space="0" w:color="000000"/>
              <w:left w:val="single" w:sz="6" w:space="0" w:color="000000"/>
              <w:bottom w:val="single" w:sz="6" w:space="0" w:color="000000"/>
              <w:right w:val="single" w:sz="6" w:space="0" w:color="000000"/>
            </w:tcBorders>
            <w:hideMark/>
          </w:tcPr>
          <w:p w14:paraId="32E6EE35" w14:textId="77777777" w:rsidR="00590BEF" w:rsidRPr="007202FA" w:rsidRDefault="000B4F21" w:rsidP="007202FA">
            <w:pPr>
              <w:spacing w:after="0"/>
              <w:jc w:val="right"/>
              <w:rPr>
                <w:sz w:val="20"/>
                <w:szCs w:val="20"/>
              </w:rPr>
            </w:pPr>
            <w:r>
              <w:rPr>
                <w:rFonts w:cs="Calibri"/>
                <w:color w:val="000000"/>
                <w:sz w:val="20"/>
                <w:szCs w:val="20"/>
                <w:lang w:val="ga"/>
              </w:rPr>
              <w:t>9</w:t>
            </w:r>
          </w:p>
        </w:tc>
        <w:tc>
          <w:tcPr>
            <w:tcW w:w="1559" w:type="dxa"/>
            <w:tcBorders>
              <w:top w:val="single" w:sz="6" w:space="0" w:color="000000"/>
              <w:left w:val="single" w:sz="6" w:space="0" w:color="000000"/>
              <w:bottom w:val="single" w:sz="6" w:space="0" w:color="000000"/>
              <w:right w:val="single" w:sz="6" w:space="0" w:color="000000"/>
            </w:tcBorders>
            <w:hideMark/>
          </w:tcPr>
          <w:p w14:paraId="604D35B4" w14:textId="77777777" w:rsidR="00590BEF" w:rsidRPr="007202FA" w:rsidRDefault="000B4F21" w:rsidP="007202FA">
            <w:pPr>
              <w:spacing w:after="0"/>
              <w:jc w:val="right"/>
              <w:rPr>
                <w:sz w:val="20"/>
                <w:szCs w:val="20"/>
              </w:rPr>
            </w:pPr>
            <w:r>
              <w:rPr>
                <w:rFonts w:cs="Calibri"/>
                <w:color w:val="000000"/>
                <w:sz w:val="20"/>
                <w:szCs w:val="20"/>
                <w:lang w:val="ga"/>
              </w:rPr>
              <w:t>5.5%</w:t>
            </w:r>
          </w:p>
        </w:tc>
        <w:tc>
          <w:tcPr>
            <w:tcW w:w="1559" w:type="dxa"/>
            <w:tcBorders>
              <w:top w:val="single" w:sz="4" w:space="0" w:color="auto"/>
              <w:left w:val="single" w:sz="4" w:space="0" w:color="auto"/>
              <w:bottom w:val="single" w:sz="4" w:space="0" w:color="auto"/>
              <w:right w:val="single" w:sz="4" w:space="0" w:color="auto"/>
            </w:tcBorders>
          </w:tcPr>
          <w:p w14:paraId="0D121B0D" w14:textId="77777777" w:rsidR="00590BEF" w:rsidRPr="007202FA" w:rsidRDefault="000B4F21" w:rsidP="007202FA">
            <w:pPr>
              <w:spacing w:after="0"/>
              <w:jc w:val="right"/>
              <w:rPr>
                <w:sz w:val="20"/>
                <w:szCs w:val="20"/>
              </w:rPr>
            </w:pPr>
            <w:r>
              <w:rPr>
                <w:sz w:val="20"/>
                <w:szCs w:val="20"/>
                <w:lang w:val="ga"/>
              </w:rPr>
              <w:t>169</w:t>
            </w:r>
          </w:p>
          <w:p w14:paraId="0AA48157"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6402A23F" w14:textId="77777777" w:rsidR="00590BEF" w:rsidRPr="007202FA" w:rsidRDefault="000B4F21" w:rsidP="007202FA">
            <w:pPr>
              <w:spacing w:after="0"/>
              <w:jc w:val="right"/>
              <w:rPr>
                <w:sz w:val="20"/>
                <w:szCs w:val="20"/>
              </w:rPr>
            </w:pPr>
            <w:r>
              <w:rPr>
                <w:sz w:val="20"/>
                <w:szCs w:val="20"/>
                <w:lang w:val="ga"/>
              </w:rPr>
              <w:t>13</w:t>
            </w:r>
          </w:p>
          <w:p w14:paraId="54173B34"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1A471E72" w14:textId="77777777" w:rsidR="00590BEF" w:rsidRPr="007202FA" w:rsidRDefault="000B4F21" w:rsidP="007202FA">
            <w:pPr>
              <w:spacing w:after="0"/>
              <w:jc w:val="right"/>
              <w:rPr>
                <w:sz w:val="20"/>
                <w:szCs w:val="20"/>
              </w:rPr>
            </w:pPr>
            <w:r>
              <w:rPr>
                <w:sz w:val="20"/>
                <w:szCs w:val="20"/>
                <w:lang w:val="ga"/>
              </w:rPr>
              <w:t>7.7%</w:t>
            </w:r>
          </w:p>
          <w:p w14:paraId="3567CC1D" w14:textId="77777777" w:rsidR="00590BEF" w:rsidRPr="007202FA" w:rsidRDefault="00590BEF" w:rsidP="007202FA">
            <w:pPr>
              <w:spacing w:after="0"/>
              <w:jc w:val="right"/>
              <w:rPr>
                <w:sz w:val="20"/>
                <w:szCs w:val="20"/>
              </w:rPr>
            </w:pPr>
          </w:p>
        </w:tc>
      </w:tr>
      <w:tr w:rsidR="00F31303" w14:paraId="6D5A6EB3"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3FBC8340" w14:textId="77777777" w:rsidR="00590BEF" w:rsidRPr="007202FA" w:rsidRDefault="000B4F21" w:rsidP="007202FA">
            <w:pPr>
              <w:spacing w:after="0"/>
              <w:rPr>
                <w:sz w:val="20"/>
                <w:szCs w:val="20"/>
              </w:rPr>
            </w:pPr>
            <w:r>
              <w:rPr>
                <w:rFonts w:cs="Calibri"/>
                <w:color w:val="000000"/>
                <w:sz w:val="20"/>
                <w:szCs w:val="20"/>
                <w:lang w:val="ga"/>
              </w:rPr>
              <w:t>Cuideachta Chuan Phort Láirge</w:t>
            </w:r>
          </w:p>
        </w:tc>
        <w:tc>
          <w:tcPr>
            <w:tcW w:w="1559" w:type="dxa"/>
            <w:tcBorders>
              <w:top w:val="single" w:sz="6" w:space="0" w:color="000000"/>
              <w:left w:val="single" w:sz="6" w:space="0" w:color="000000"/>
              <w:bottom w:val="single" w:sz="6" w:space="0" w:color="000000"/>
              <w:right w:val="single" w:sz="6" w:space="0" w:color="000000"/>
            </w:tcBorders>
            <w:hideMark/>
          </w:tcPr>
          <w:p w14:paraId="3E03F522" w14:textId="77777777" w:rsidR="00590BEF" w:rsidRPr="007202FA" w:rsidRDefault="000B4F21" w:rsidP="007202FA">
            <w:pPr>
              <w:spacing w:after="0"/>
              <w:jc w:val="right"/>
              <w:rPr>
                <w:sz w:val="20"/>
                <w:szCs w:val="20"/>
              </w:rPr>
            </w:pPr>
            <w:r>
              <w:rPr>
                <w:rFonts w:cs="Calibri"/>
                <w:color w:val="000000"/>
                <w:sz w:val="20"/>
                <w:szCs w:val="20"/>
                <w:lang w:val="ga"/>
              </w:rPr>
              <w:t>42</w:t>
            </w:r>
          </w:p>
        </w:tc>
        <w:tc>
          <w:tcPr>
            <w:tcW w:w="1701" w:type="dxa"/>
            <w:tcBorders>
              <w:top w:val="single" w:sz="6" w:space="0" w:color="000000"/>
              <w:left w:val="single" w:sz="6" w:space="0" w:color="000000"/>
              <w:bottom w:val="single" w:sz="6" w:space="0" w:color="000000"/>
              <w:right w:val="single" w:sz="6" w:space="0" w:color="000000"/>
            </w:tcBorders>
            <w:hideMark/>
          </w:tcPr>
          <w:p w14:paraId="38DFECBF" w14:textId="77777777" w:rsidR="00590BEF" w:rsidRPr="007202FA" w:rsidRDefault="000B4F21" w:rsidP="007202FA">
            <w:pPr>
              <w:spacing w:after="0"/>
              <w:jc w:val="right"/>
              <w:rPr>
                <w:sz w:val="20"/>
                <w:szCs w:val="20"/>
              </w:rPr>
            </w:pPr>
            <w:r>
              <w:rPr>
                <w:rFonts w:cs="Calibri"/>
                <w:color w:val="000000"/>
                <w:sz w:val="20"/>
                <w:szCs w:val="20"/>
                <w:lang w:val="ga"/>
              </w:rPr>
              <w:t>3</w:t>
            </w:r>
          </w:p>
        </w:tc>
        <w:tc>
          <w:tcPr>
            <w:tcW w:w="1559" w:type="dxa"/>
            <w:tcBorders>
              <w:top w:val="single" w:sz="6" w:space="0" w:color="000000"/>
              <w:left w:val="single" w:sz="6" w:space="0" w:color="000000"/>
              <w:bottom w:val="single" w:sz="6" w:space="0" w:color="000000"/>
              <w:right w:val="single" w:sz="6" w:space="0" w:color="000000"/>
            </w:tcBorders>
            <w:hideMark/>
          </w:tcPr>
          <w:p w14:paraId="018A3B99" w14:textId="77777777" w:rsidR="00590BEF" w:rsidRPr="007202FA" w:rsidRDefault="000B4F21" w:rsidP="007202FA">
            <w:pPr>
              <w:spacing w:after="0"/>
              <w:jc w:val="right"/>
              <w:rPr>
                <w:sz w:val="20"/>
                <w:szCs w:val="20"/>
              </w:rPr>
            </w:pPr>
            <w:r>
              <w:rPr>
                <w:rFonts w:cs="Calibri"/>
                <w:color w:val="000000"/>
                <w:sz w:val="20"/>
                <w:szCs w:val="20"/>
                <w:lang w:val="ga"/>
              </w:rPr>
              <w:t>7.1%</w:t>
            </w:r>
          </w:p>
        </w:tc>
        <w:tc>
          <w:tcPr>
            <w:tcW w:w="1559" w:type="dxa"/>
            <w:tcBorders>
              <w:top w:val="single" w:sz="4" w:space="0" w:color="auto"/>
              <w:left w:val="single" w:sz="4" w:space="0" w:color="auto"/>
              <w:bottom w:val="single" w:sz="4" w:space="0" w:color="auto"/>
              <w:right w:val="single" w:sz="4" w:space="0" w:color="auto"/>
            </w:tcBorders>
          </w:tcPr>
          <w:p w14:paraId="2F1D18C0" w14:textId="77777777" w:rsidR="00590BEF" w:rsidRPr="007202FA" w:rsidRDefault="000B4F21" w:rsidP="007202FA">
            <w:pPr>
              <w:spacing w:after="0"/>
              <w:jc w:val="right"/>
              <w:rPr>
                <w:sz w:val="20"/>
                <w:szCs w:val="20"/>
              </w:rPr>
            </w:pPr>
            <w:r>
              <w:rPr>
                <w:sz w:val="20"/>
                <w:szCs w:val="20"/>
                <w:lang w:val="ga"/>
              </w:rPr>
              <w:t>42</w:t>
            </w:r>
          </w:p>
          <w:p w14:paraId="0A4B5220"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69A4279" w14:textId="77777777" w:rsidR="00590BEF" w:rsidRPr="007202FA" w:rsidRDefault="000B4F21" w:rsidP="007202FA">
            <w:pPr>
              <w:spacing w:after="0"/>
              <w:jc w:val="right"/>
              <w:rPr>
                <w:sz w:val="20"/>
                <w:szCs w:val="20"/>
              </w:rPr>
            </w:pPr>
            <w:r>
              <w:rPr>
                <w:sz w:val="20"/>
                <w:szCs w:val="20"/>
                <w:lang w:val="ga"/>
              </w:rPr>
              <w:t>3</w:t>
            </w:r>
          </w:p>
          <w:p w14:paraId="66F4D78F"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59FE88F7" w14:textId="77777777" w:rsidR="00590BEF" w:rsidRPr="007202FA" w:rsidRDefault="000B4F21" w:rsidP="007202FA">
            <w:pPr>
              <w:spacing w:after="0"/>
              <w:jc w:val="right"/>
              <w:rPr>
                <w:sz w:val="20"/>
                <w:szCs w:val="20"/>
              </w:rPr>
            </w:pPr>
            <w:r>
              <w:rPr>
                <w:sz w:val="20"/>
                <w:szCs w:val="20"/>
                <w:lang w:val="ga"/>
              </w:rPr>
              <w:t>7.1%</w:t>
            </w:r>
          </w:p>
          <w:p w14:paraId="14D93F34" w14:textId="77777777" w:rsidR="00590BEF" w:rsidRPr="007202FA" w:rsidRDefault="00590BEF" w:rsidP="007202FA">
            <w:pPr>
              <w:spacing w:after="0"/>
              <w:jc w:val="right"/>
              <w:rPr>
                <w:sz w:val="20"/>
                <w:szCs w:val="20"/>
              </w:rPr>
            </w:pPr>
          </w:p>
        </w:tc>
      </w:tr>
      <w:tr w:rsidR="00F31303" w14:paraId="161A0A6A"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4155CDCD" w14:textId="77777777" w:rsidR="00590BEF" w:rsidRPr="005524D6" w:rsidRDefault="000B4F21" w:rsidP="007202FA">
            <w:pPr>
              <w:spacing w:after="0"/>
              <w:rPr>
                <w:sz w:val="20"/>
                <w:szCs w:val="20"/>
                <w:lang w:val="de-DE"/>
              </w:rPr>
            </w:pPr>
            <w:r>
              <w:rPr>
                <w:rFonts w:cs="Calibri"/>
                <w:color w:val="000000"/>
                <w:sz w:val="20"/>
                <w:szCs w:val="20"/>
                <w:lang w:val="ga"/>
              </w:rPr>
              <w:t>An tÚdarás um Shábháilteacht ar Bhóithre</w:t>
            </w:r>
          </w:p>
        </w:tc>
        <w:tc>
          <w:tcPr>
            <w:tcW w:w="1559" w:type="dxa"/>
            <w:tcBorders>
              <w:top w:val="single" w:sz="6" w:space="0" w:color="000000"/>
              <w:left w:val="single" w:sz="6" w:space="0" w:color="000000"/>
              <w:bottom w:val="single" w:sz="6" w:space="0" w:color="000000"/>
              <w:right w:val="single" w:sz="6" w:space="0" w:color="000000"/>
            </w:tcBorders>
            <w:hideMark/>
          </w:tcPr>
          <w:p w14:paraId="13C50638" w14:textId="77777777" w:rsidR="00590BEF" w:rsidRPr="007202FA" w:rsidRDefault="000B4F21" w:rsidP="007202FA">
            <w:pPr>
              <w:spacing w:after="0"/>
              <w:jc w:val="right"/>
              <w:rPr>
                <w:sz w:val="20"/>
                <w:szCs w:val="20"/>
              </w:rPr>
            </w:pPr>
            <w:r>
              <w:rPr>
                <w:rFonts w:cs="Calibri"/>
                <w:color w:val="000000"/>
                <w:sz w:val="20"/>
                <w:szCs w:val="20"/>
                <w:lang w:val="ga"/>
              </w:rPr>
              <w:t>467</w:t>
            </w:r>
          </w:p>
        </w:tc>
        <w:tc>
          <w:tcPr>
            <w:tcW w:w="1701" w:type="dxa"/>
            <w:tcBorders>
              <w:top w:val="single" w:sz="6" w:space="0" w:color="000000"/>
              <w:left w:val="single" w:sz="6" w:space="0" w:color="000000"/>
              <w:bottom w:val="single" w:sz="6" w:space="0" w:color="000000"/>
              <w:right w:val="single" w:sz="6" w:space="0" w:color="000000"/>
            </w:tcBorders>
            <w:hideMark/>
          </w:tcPr>
          <w:p w14:paraId="088C5688" w14:textId="77777777" w:rsidR="00590BEF" w:rsidRPr="007202FA" w:rsidRDefault="000B4F21" w:rsidP="007202FA">
            <w:pPr>
              <w:spacing w:after="0"/>
              <w:jc w:val="right"/>
              <w:rPr>
                <w:sz w:val="20"/>
                <w:szCs w:val="20"/>
              </w:rPr>
            </w:pPr>
            <w:r>
              <w:rPr>
                <w:rFonts w:cs="Calibri"/>
                <w:color w:val="000000"/>
                <w:sz w:val="20"/>
                <w:szCs w:val="20"/>
                <w:lang w:val="ga"/>
              </w:rPr>
              <w:t>30</w:t>
            </w:r>
          </w:p>
        </w:tc>
        <w:tc>
          <w:tcPr>
            <w:tcW w:w="1559" w:type="dxa"/>
            <w:tcBorders>
              <w:top w:val="single" w:sz="6" w:space="0" w:color="000000"/>
              <w:left w:val="single" w:sz="6" w:space="0" w:color="000000"/>
              <w:bottom w:val="single" w:sz="6" w:space="0" w:color="000000"/>
              <w:right w:val="single" w:sz="6" w:space="0" w:color="000000"/>
            </w:tcBorders>
            <w:hideMark/>
          </w:tcPr>
          <w:p w14:paraId="0AE05E20" w14:textId="77777777" w:rsidR="00590BEF" w:rsidRPr="007202FA" w:rsidRDefault="000B4F21" w:rsidP="007202FA">
            <w:pPr>
              <w:spacing w:after="0"/>
              <w:jc w:val="right"/>
              <w:rPr>
                <w:sz w:val="20"/>
                <w:szCs w:val="20"/>
              </w:rPr>
            </w:pPr>
            <w:r>
              <w:rPr>
                <w:rFonts w:cs="Calibri"/>
                <w:color w:val="000000"/>
                <w:sz w:val="20"/>
                <w:szCs w:val="20"/>
                <w:lang w:val="ga"/>
              </w:rPr>
              <w:t>6.4%</w:t>
            </w:r>
          </w:p>
        </w:tc>
        <w:tc>
          <w:tcPr>
            <w:tcW w:w="1559" w:type="dxa"/>
            <w:tcBorders>
              <w:top w:val="single" w:sz="4" w:space="0" w:color="auto"/>
              <w:left w:val="single" w:sz="4" w:space="0" w:color="auto"/>
              <w:bottom w:val="single" w:sz="4" w:space="0" w:color="auto"/>
              <w:right w:val="single" w:sz="4" w:space="0" w:color="auto"/>
            </w:tcBorders>
          </w:tcPr>
          <w:p w14:paraId="5C87A660" w14:textId="77777777" w:rsidR="00590BEF" w:rsidRPr="007202FA" w:rsidRDefault="000B4F21" w:rsidP="007202FA">
            <w:pPr>
              <w:spacing w:after="0"/>
              <w:jc w:val="right"/>
              <w:rPr>
                <w:sz w:val="20"/>
                <w:szCs w:val="20"/>
              </w:rPr>
            </w:pPr>
            <w:r>
              <w:rPr>
                <w:sz w:val="20"/>
                <w:szCs w:val="20"/>
                <w:lang w:val="ga"/>
              </w:rPr>
              <w:t>445</w:t>
            </w:r>
          </w:p>
          <w:p w14:paraId="5B0685EB" w14:textId="77777777" w:rsidR="00590BEF" w:rsidRPr="007202FA" w:rsidRDefault="00590BEF" w:rsidP="007202FA">
            <w:pPr>
              <w:spacing w:after="0"/>
              <w:jc w:val="right"/>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44C686E" w14:textId="77777777" w:rsidR="00590BEF" w:rsidRPr="007202FA" w:rsidRDefault="000B4F21" w:rsidP="007202FA">
            <w:pPr>
              <w:spacing w:after="0"/>
              <w:jc w:val="right"/>
              <w:rPr>
                <w:sz w:val="20"/>
                <w:szCs w:val="20"/>
              </w:rPr>
            </w:pPr>
            <w:r>
              <w:rPr>
                <w:sz w:val="20"/>
                <w:szCs w:val="20"/>
                <w:lang w:val="ga"/>
              </w:rPr>
              <w:t>39</w:t>
            </w:r>
          </w:p>
          <w:p w14:paraId="224F188F" w14:textId="77777777" w:rsidR="00590BEF" w:rsidRPr="007202FA" w:rsidRDefault="00590BEF" w:rsidP="007202FA">
            <w:pPr>
              <w:spacing w:after="0"/>
              <w:jc w:val="right"/>
              <w:rPr>
                <w:sz w:val="20"/>
                <w:szCs w:val="20"/>
              </w:rPr>
            </w:pPr>
          </w:p>
        </w:tc>
        <w:tc>
          <w:tcPr>
            <w:tcW w:w="1529" w:type="dxa"/>
            <w:tcBorders>
              <w:top w:val="single" w:sz="4" w:space="0" w:color="auto"/>
              <w:left w:val="single" w:sz="4" w:space="0" w:color="auto"/>
              <w:bottom w:val="single" w:sz="4" w:space="0" w:color="auto"/>
              <w:right w:val="single" w:sz="4" w:space="0" w:color="auto"/>
            </w:tcBorders>
          </w:tcPr>
          <w:p w14:paraId="4F6DDC32" w14:textId="77777777" w:rsidR="00590BEF" w:rsidRPr="007202FA" w:rsidRDefault="000B4F21" w:rsidP="007202FA">
            <w:pPr>
              <w:spacing w:after="0"/>
              <w:jc w:val="right"/>
              <w:rPr>
                <w:sz w:val="20"/>
                <w:szCs w:val="20"/>
              </w:rPr>
            </w:pPr>
            <w:r>
              <w:rPr>
                <w:sz w:val="20"/>
                <w:szCs w:val="20"/>
                <w:lang w:val="ga"/>
              </w:rPr>
              <w:t>8.8%</w:t>
            </w:r>
          </w:p>
          <w:p w14:paraId="44A5577C" w14:textId="77777777" w:rsidR="00590BEF" w:rsidRPr="007202FA" w:rsidRDefault="00590BEF" w:rsidP="007202FA">
            <w:pPr>
              <w:spacing w:after="0"/>
              <w:jc w:val="right"/>
              <w:rPr>
                <w:sz w:val="20"/>
                <w:szCs w:val="20"/>
              </w:rPr>
            </w:pPr>
          </w:p>
        </w:tc>
      </w:tr>
      <w:tr w:rsidR="00F31303" w14:paraId="3865D363"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000E3A3C" w14:textId="77777777" w:rsidR="00590BEF" w:rsidRPr="007202FA" w:rsidRDefault="000B4F21" w:rsidP="007202FA">
            <w:pPr>
              <w:spacing w:after="0"/>
              <w:rPr>
                <w:sz w:val="20"/>
                <w:szCs w:val="20"/>
              </w:rPr>
            </w:pPr>
            <w:r>
              <w:rPr>
                <w:rFonts w:cs="Calibri"/>
                <w:color w:val="000000"/>
                <w:sz w:val="20"/>
                <w:szCs w:val="20"/>
                <w:lang w:val="ga"/>
              </w:rPr>
              <w:t>Cuideachta Phort na Sionainne agus Fhainge</w:t>
            </w:r>
          </w:p>
        </w:tc>
        <w:tc>
          <w:tcPr>
            <w:tcW w:w="1559" w:type="dxa"/>
            <w:tcBorders>
              <w:top w:val="single" w:sz="6" w:space="0" w:color="000000"/>
              <w:left w:val="single" w:sz="6" w:space="0" w:color="000000"/>
              <w:bottom w:val="single" w:sz="6" w:space="0" w:color="000000"/>
              <w:right w:val="single" w:sz="6" w:space="0" w:color="000000"/>
            </w:tcBorders>
            <w:hideMark/>
          </w:tcPr>
          <w:p w14:paraId="3CDCCC57" w14:textId="77777777" w:rsidR="00590BEF" w:rsidRPr="007202FA" w:rsidRDefault="000B4F21" w:rsidP="007202FA">
            <w:pPr>
              <w:spacing w:after="0"/>
              <w:jc w:val="right"/>
              <w:rPr>
                <w:sz w:val="20"/>
                <w:szCs w:val="20"/>
              </w:rPr>
            </w:pPr>
            <w:r>
              <w:rPr>
                <w:sz w:val="20"/>
                <w:szCs w:val="20"/>
                <w:lang w:val="ga"/>
              </w:rPr>
              <w:t>65</w:t>
            </w:r>
          </w:p>
        </w:tc>
        <w:tc>
          <w:tcPr>
            <w:tcW w:w="1701" w:type="dxa"/>
            <w:tcBorders>
              <w:top w:val="single" w:sz="6" w:space="0" w:color="000000"/>
              <w:left w:val="single" w:sz="6" w:space="0" w:color="000000"/>
              <w:bottom w:val="single" w:sz="6" w:space="0" w:color="000000"/>
              <w:right w:val="single" w:sz="6" w:space="0" w:color="000000"/>
            </w:tcBorders>
            <w:hideMark/>
          </w:tcPr>
          <w:p w14:paraId="7D97F673" w14:textId="77777777" w:rsidR="00590BEF" w:rsidRPr="007202FA" w:rsidRDefault="000B4F21" w:rsidP="007202FA">
            <w:pPr>
              <w:spacing w:after="0"/>
              <w:jc w:val="right"/>
              <w:rPr>
                <w:sz w:val="20"/>
                <w:szCs w:val="20"/>
              </w:rPr>
            </w:pPr>
            <w:r>
              <w:rPr>
                <w:sz w:val="20"/>
                <w:szCs w:val="20"/>
                <w:lang w:val="ga"/>
              </w:rPr>
              <w:t>4</w:t>
            </w:r>
          </w:p>
        </w:tc>
        <w:tc>
          <w:tcPr>
            <w:tcW w:w="1559" w:type="dxa"/>
            <w:tcBorders>
              <w:top w:val="single" w:sz="6" w:space="0" w:color="000000"/>
              <w:left w:val="single" w:sz="6" w:space="0" w:color="000000"/>
              <w:bottom w:val="single" w:sz="6" w:space="0" w:color="000000"/>
              <w:right w:val="single" w:sz="6" w:space="0" w:color="000000"/>
            </w:tcBorders>
            <w:hideMark/>
          </w:tcPr>
          <w:p w14:paraId="49D6A73E" w14:textId="77777777" w:rsidR="00590BEF" w:rsidRPr="007202FA" w:rsidRDefault="000B4F21" w:rsidP="007202FA">
            <w:pPr>
              <w:spacing w:after="0"/>
              <w:jc w:val="right"/>
              <w:rPr>
                <w:sz w:val="20"/>
                <w:szCs w:val="20"/>
              </w:rPr>
            </w:pPr>
            <w:r>
              <w:rPr>
                <w:sz w:val="20"/>
                <w:szCs w:val="20"/>
                <w:lang w:val="ga"/>
              </w:rPr>
              <w:t>6.2%</w:t>
            </w:r>
          </w:p>
        </w:tc>
        <w:tc>
          <w:tcPr>
            <w:tcW w:w="1559" w:type="dxa"/>
            <w:tcBorders>
              <w:top w:val="single" w:sz="6" w:space="0" w:color="000000"/>
              <w:left w:val="single" w:sz="6" w:space="0" w:color="000000"/>
              <w:bottom w:val="single" w:sz="6" w:space="0" w:color="000000"/>
              <w:right w:val="single" w:sz="6" w:space="0" w:color="000000"/>
            </w:tcBorders>
          </w:tcPr>
          <w:p w14:paraId="4ADACCF7" w14:textId="77777777" w:rsidR="00590BEF" w:rsidRPr="007202FA" w:rsidRDefault="000B4F21" w:rsidP="007202FA">
            <w:pPr>
              <w:spacing w:after="0"/>
              <w:jc w:val="right"/>
              <w:rPr>
                <w:sz w:val="20"/>
                <w:szCs w:val="20"/>
              </w:rPr>
            </w:pPr>
            <w:r>
              <w:rPr>
                <w:sz w:val="20"/>
                <w:szCs w:val="20"/>
                <w:lang w:val="ga"/>
              </w:rPr>
              <w:t>64</w:t>
            </w:r>
          </w:p>
          <w:p w14:paraId="46F5F898" w14:textId="77777777" w:rsidR="00590BEF" w:rsidRPr="007202FA" w:rsidRDefault="00590BEF" w:rsidP="007202FA">
            <w:pPr>
              <w:spacing w:after="0"/>
              <w:jc w:val="right"/>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654EC964" w14:textId="77777777" w:rsidR="00590BEF" w:rsidRPr="007202FA" w:rsidRDefault="000B4F21" w:rsidP="007202FA">
            <w:pPr>
              <w:spacing w:after="0"/>
              <w:jc w:val="right"/>
              <w:rPr>
                <w:sz w:val="20"/>
                <w:szCs w:val="20"/>
              </w:rPr>
            </w:pPr>
            <w:r>
              <w:rPr>
                <w:sz w:val="20"/>
                <w:szCs w:val="20"/>
                <w:lang w:val="ga"/>
              </w:rPr>
              <w:t>4</w:t>
            </w:r>
          </w:p>
          <w:p w14:paraId="1A90E9EE" w14:textId="77777777" w:rsidR="00590BEF" w:rsidRPr="007202FA" w:rsidRDefault="00590BEF" w:rsidP="007202FA">
            <w:pPr>
              <w:spacing w:after="0"/>
              <w:jc w:val="right"/>
              <w:rPr>
                <w:sz w:val="20"/>
                <w:szCs w:val="20"/>
              </w:rPr>
            </w:pPr>
          </w:p>
        </w:tc>
        <w:tc>
          <w:tcPr>
            <w:tcW w:w="1529" w:type="dxa"/>
            <w:tcBorders>
              <w:top w:val="single" w:sz="6" w:space="0" w:color="000000"/>
              <w:left w:val="single" w:sz="6" w:space="0" w:color="000000"/>
              <w:bottom w:val="single" w:sz="6" w:space="0" w:color="000000"/>
              <w:right w:val="single" w:sz="12" w:space="0" w:color="000000"/>
            </w:tcBorders>
          </w:tcPr>
          <w:p w14:paraId="446B18D1" w14:textId="77777777" w:rsidR="00590BEF" w:rsidRPr="007202FA" w:rsidRDefault="000B4F21" w:rsidP="007202FA">
            <w:pPr>
              <w:spacing w:after="0"/>
              <w:jc w:val="right"/>
              <w:rPr>
                <w:sz w:val="20"/>
                <w:szCs w:val="20"/>
              </w:rPr>
            </w:pPr>
            <w:r>
              <w:rPr>
                <w:sz w:val="20"/>
                <w:szCs w:val="20"/>
                <w:lang w:val="ga"/>
              </w:rPr>
              <w:t>6.3%</w:t>
            </w:r>
          </w:p>
          <w:p w14:paraId="5BA3DD18" w14:textId="77777777" w:rsidR="00590BEF" w:rsidRPr="007202FA" w:rsidRDefault="00590BEF" w:rsidP="007202FA">
            <w:pPr>
              <w:spacing w:after="0"/>
              <w:jc w:val="right"/>
              <w:rPr>
                <w:sz w:val="20"/>
                <w:szCs w:val="20"/>
              </w:rPr>
            </w:pPr>
          </w:p>
        </w:tc>
      </w:tr>
      <w:tr w:rsidR="00F31303" w14:paraId="34C67D06"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356B457F" w14:textId="77777777" w:rsidR="00590BEF" w:rsidRPr="007202FA" w:rsidRDefault="000B4F21" w:rsidP="007202FA">
            <w:pPr>
              <w:spacing w:after="0"/>
              <w:rPr>
                <w:sz w:val="20"/>
                <w:szCs w:val="20"/>
              </w:rPr>
            </w:pPr>
            <w:r>
              <w:rPr>
                <w:rFonts w:cs="Calibri"/>
                <w:color w:val="000000"/>
                <w:sz w:val="20"/>
                <w:szCs w:val="20"/>
                <w:lang w:val="ga"/>
              </w:rPr>
              <w:t>Grúpa na Sionainne cpt</w:t>
            </w:r>
          </w:p>
        </w:tc>
        <w:tc>
          <w:tcPr>
            <w:tcW w:w="1559" w:type="dxa"/>
            <w:tcBorders>
              <w:top w:val="single" w:sz="6" w:space="0" w:color="000000"/>
              <w:left w:val="single" w:sz="6" w:space="0" w:color="000000"/>
              <w:bottom w:val="single" w:sz="6" w:space="0" w:color="000000"/>
              <w:right w:val="single" w:sz="6" w:space="0" w:color="000000"/>
            </w:tcBorders>
            <w:hideMark/>
          </w:tcPr>
          <w:p w14:paraId="6F55EC61" w14:textId="77777777" w:rsidR="00590BEF" w:rsidRPr="007202FA" w:rsidRDefault="000B4F21" w:rsidP="007202FA">
            <w:pPr>
              <w:spacing w:after="0"/>
              <w:jc w:val="right"/>
              <w:rPr>
                <w:sz w:val="20"/>
                <w:szCs w:val="20"/>
              </w:rPr>
            </w:pPr>
            <w:r>
              <w:rPr>
                <w:sz w:val="20"/>
                <w:szCs w:val="20"/>
                <w:lang w:val="ga"/>
              </w:rPr>
              <w:t>292</w:t>
            </w:r>
          </w:p>
        </w:tc>
        <w:tc>
          <w:tcPr>
            <w:tcW w:w="1701" w:type="dxa"/>
            <w:tcBorders>
              <w:top w:val="single" w:sz="6" w:space="0" w:color="000000"/>
              <w:left w:val="single" w:sz="6" w:space="0" w:color="000000"/>
              <w:bottom w:val="single" w:sz="6" w:space="0" w:color="000000"/>
              <w:right w:val="single" w:sz="6" w:space="0" w:color="000000"/>
            </w:tcBorders>
            <w:hideMark/>
          </w:tcPr>
          <w:p w14:paraId="4E5A3DDF" w14:textId="77777777" w:rsidR="00590BEF" w:rsidRPr="007202FA" w:rsidRDefault="000B4F21" w:rsidP="007202FA">
            <w:pPr>
              <w:spacing w:after="0"/>
              <w:jc w:val="right"/>
              <w:rPr>
                <w:sz w:val="20"/>
                <w:szCs w:val="20"/>
              </w:rPr>
            </w:pPr>
            <w:r>
              <w:rPr>
                <w:sz w:val="20"/>
                <w:szCs w:val="20"/>
                <w:lang w:val="ga"/>
              </w:rPr>
              <w:t>12</w:t>
            </w:r>
          </w:p>
        </w:tc>
        <w:tc>
          <w:tcPr>
            <w:tcW w:w="1559" w:type="dxa"/>
            <w:tcBorders>
              <w:top w:val="single" w:sz="6" w:space="0" w:color="000000"/>
              <w:left w:val="single" w:sz="6" w:space="0" w:color="000000"/>
              <w:bottom w:val="single" w:sz="6" w:space="0" w:color="000000"/>
              <w:right w:val="single" w:sz="6" w:space="0" w:color="000000"/>
            </w:tcBorders>
            <w:hideMark/>
          </w:tcPr>
          <w:p w14:paraId="77047EEE" w14:textId="77777777" w:rsidR="00590BEF" w:rsidRPr="007202FA" w:rsidRDefault="000B4F21" w:rsidP="007202FA">
            <w:pPr>
              <w:spacing w:after="0"/>
              <w:jc w:val="right"/>
              <w:rPr>
                <w:sz w:val="20"/>
                <w:szCs w:val="20"/>
              </w:rPr>
            </w:pPr>
            <w:r>
              <w:rPr>
                <w:sz w:val="20"/>
                <w:szCs w:val="20"/>
                <w:lang w:val="ga"/>
              </w:rPr>
              <w:t>4.1%</w:t>
            </w:r>
          </w:p>
        </w:tc>
        <w:tc>
          <w:tcPr>
            <w:tcW w:w="1559" w:type="dxa"/>
            <w:tcBorders>
              <w:top w:val="single" w:sz="6" w:space="0" w:color="000000"/>
              <w:left w:val="single" w:sz="6" w:space="0" w:color="000000"/>
              <w:bottom w:val="single" w:sz="6" w:space="0" w:color="000000"/>
              <w:right w:val="single" w:sz="6" w:space="0" w:color="000000"/>
            </w:tcBorders>
          </w:tcPr>
          <w:p w14:paraId="02867863" w14:textId="77777777" w:rsidR="00590BEF" w:rsidRPr="007202FA" w:rsidRDefault="000B4F21" w:rsidP="007202FA">
            <w:pPr>
              <w:spacing w:after="0"/>
              <w:jc w:val="right"/>
              <w:rPr>
                <w:sz w:val="20"/>
                <w:szCs w:val="20"/>
              </w:rPr>
            </w:pPr>
            <w:r>
              <w:rPr>
                <w:sz w:val="20"/>
                <w:szCs w:val="20"/>
                <w:lang w:val="ga"/>
              </w:rPr>
              <w:t>310</w:t>
            </w:r>
          </w:p>
          <w:p w14:paraId="7BC50E41" w14:textId="77777777" w:rsidR="00590BEF" w:rsidRPr="007202FA" w:rsidRDefault="00590BEF" w:rsidP="007202FA">
            <w:pPr>
              <w:spacing w:after="0"/>
              <w:jc w:val="right"/>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51C0DED5" w14:textId="77777777" w:rsidR="00590BEF" w:rsidRPr="007202FA" w:rsidRDefault="000B4F21" w:rsidP="007202FA">
            <w:pPr>
              <w:spacing w:after="0"/>
              <w:jc w:val="right"/>
              <w:rPr>
                <w:sz w:val="20"/>
                <w:szCs w:val="20"/>
              </w:rPr>
            </w:pPr>
            <w:r>
              <w:rPr>
                <w:sz w:val="20"/>
                <w:szCs w:val="20"/>
                <w:lang w:val="ga"/>
              </w:rPr>
              <w:t>12</w:t>
            </w:r>
          </w:p>
          <w:p w14:paraId="6F316EA9" w14:textId="77777777" w:rsidR="00590BEF" w:rsidRPr="007202FA" w:rsidRDefault="00590BEF" w:rsidP="007202FA">
            <w:pPr>
              <w:spacing w:after="0"/>
              <w:jc w:val="right"/>
              <w:rPr>
                <w:sz w:val="20"/>
                <w:szCs w:val="20"/>
              </w:rPr>
            </w:pPr>
          </w:p>
        </w:tc>
        <w:tc>
          <w:tcPr>
            <w:tcW w:w="1529" w:type="dxa"/>
            <w:tcBorders>
              <w:top w:val="single" w:sz="6" w:space="0" w:color="000000"/>
              <w:left w:val="single" w:sz="6" w:space="0" w:color="000000"/>
              <w:bottom w:val="single" w:sz="6" w:space="0" w:color="000000"/>
              <w:right w:val="single" w:sz="12" w:space="0" w:color="000000"/>
            </w:tcBorders>
          </w:tcPr>
          <w:p w14:paraId="566F4F11" w14:textId="77777777" w:rsidR="00590BEF" w:rsidRPr="007202FA" w:rsidRDefault="000B4F21" w:rsidP="007202FA">
            <w:pPr>
              <w:spacing w:after="0"/>
              <w:jc w:val="right"/>
              <w:rPr>
                <w:sz w:val="20"/>
                <w:szCs w:val="20"/>
              </w:rPr>
            </w:pPr>
            <w:r>
              <w:rPr>
                <w:sz w:val="20"/>
                <w:szCs w:val="20"/>
                <w:lang w:val="ga"/>
              </w:rPr>
              <w:t>3.9%</w:t>
            </w:r>
          </w:p>
          <w:p w14:paraId="07391AD1" w14:textId="77777777" w:rsidR="00590BEF" w:rsidRPr="007202FA" w:rsidRDefault="00590BEF" w:rsidP="007202FA">
            <w:pPr>
              <w:spacing w:after="0"/>
              <w:jc w:val="right"/>
              <w:rPr>
                <w:sz w:val="20"/>
                <w:szCs w:val="20"/>
              </w:rPr>
            </w:pPr>
          </w:p>
        </w:tc>
      </w:tr>
      <w:tr w:rsidR="00F31303" w14:paraId="3817DD09" w14:textId="77777777" w:rsidTr="00AD1735">
        <w:trPr>
          <w:jc w:val="center"/>
        </w:trPr>
        <w:tc>
          <w:tcPr>
            <w:tcW w:w="1702" w:type="dxa"/>
            <w:tcBorders>
              <w:top w:val="single" w:sz="6" w:space="0" w:color="000000"/>
              <w:left w:val="single" w:sz="12" w:space="0" w:color="000000"/>
              <w:bottom w:val="single" w:sz="6" w:space="0" w:color="000000"/>
              <w:right w:val="single" w:sz="6" w:space="0" w:color="000000"/>
            </w:tcBorders>
            <w:hideMark/>
          </w:tcPr>
          <w:p w14:paraId="3DB71264" w14:textId="77777777" w:rsidR="00590BEF" w:rsidRPr="007202FA" w:rsidRDefault="000B4F21" w:rsidP="007202FA">
            <w:pPr>
              <w:spacing w:after="0"/>
              <w:rPr>
                <w:sz w:val="20"/>
                <w:szCs w:val="20"/>
              </w:rPr>
            </w:pPr>
            <w:r>
              <w:rPr>
                <w:rFonts w:cs="Calibri"/>
                <w:color w:val="000000"/>
                <w:sz w:val="20"/>
                <w:szCs w:val="20"/>
                <w:lang w:val="ga"/>
              </w:rPr>
              <w:t>Bonneagar Iompair Éireann</w:t>
            </w:r>
          </w:p>
        </w:tc>
        <w:tc>
          <w:tcPr>
            <w:tcW w:w="1559" w:type="dxa"/>
            <w:tcBorders>
              <w:top w:val="single" w:sz="6" w:space="0" w:color="000000"/>
              <w:left w:val="single" w:sz="6" w:space="0" w:color="000000"/>
              <w:bottom w:val="single" w:sz="6" w:space="0" w:color="000000"/>
              <w:right w:val="single" w:sz="6" w:space="0" w:color="000000"/>
            </w:tcBorders>
            <w:hideMark/>
          </w:tcPr>
          <w:p w14:paraId="33495D8C" w14:textId="77777777" w:rsidR="00590BEF" w:rsidRPr="007202FA" w:rsidRDefault="000B4F21" w:rsidP="007202FA">
            <w:pPr>
              <w:spacing w:after="0"/>
              <w:jc w:val="right"/>
              <w:rPr>
                <w:sz w:val="20"/>
                <w:szCs w:val="20"/>
              </w:rPr>
            </w:pPr>
            <w:r>
              <w:rPr>
                <w:sz w:val="20"/>
                <w:szCs w:val="20"/>
                <w:lang w:val="ga"/>
              </w:rPr>
              <w:t>299</w:t>
            </w:r>
          </w:p>
        </w:tc>
        <w:tc>
          <w:tcPr>
            <w:tcW w:w="1701" w:type="dxa"/>
            <w:tcBorders>
              <w:top w:val="single" w:sz="6" w:space="0" w:color="000000"/>
              <w:left w:val="single" w:sz="6" w:space="0" w:color="000000"/>
              <w:bottom w:val="single" w:sz="6" w:space="0" w:color="000000"/>
              <w:right w:val="single" w:sz="6" w:space="0" w:color="000000"/>
            </w:tcBorders>
            <w:hideMark/>
          </w:tcPr>
          <w:p w14:paraId="209687D2" w14:textId="77777777" w:rsidR="00590BEF" w:rsidRPr="007202FA" w:rsidRDefault="000B4F21" w:rsidP="007202FA">
            <w:pPr>
              <w:spacing w:after="0"/>
              <w:jc w:val="right"/>
              <w:rPr>
                <w:sz w:val="20"/>
                <w:szCs w:val="20"/>
              </w:rPr>
            </w:pPr>
            <w:r>
              <w:rPr>
                <w:sz w:val="20"/>
                <w:szCs w:val="20"/>
                <w:lang w:val="ga"/>
              </w:rPr>
              <w:t>14</w:t>
            </w:r>
          </w:p>
        </w:tc>
        <w:tc>
          <w:tcPr>
            <w:tcW w:w="1559" w:type="dxa"/>
            <w:tcBorders>
              <w:top w:val="single" w:sz="6" w:space="0" w:color="000000"/>
              <w:left w:val="single" w:sz="6" w:space="0" w:color="000000"/>
              <w:bottom w:val="single" w:sz="6" w:space="0" w:color="000000"/>
              <w:right w:val="single" w:sz="6" w:space="0" w:color="000000"/>
            </w:tcBorders>
            <w:hideMark/>
          </w:tcPr>
          <w:p w14:paraId="49E55376" w14:textId="77777777" w:rsidR="00590BEF" w:rsidRPr="007202FA" w:rsidRDefault="000B4F21" w:rsidP="007202FA">
            <w:pPr>
              <w:spacing w:after="0"/>
              <w:jc w:val="right"/>
              <w:rPr>
                <w:sz w:val="20"/>
                <w:szCs w:val="20"/>
              </w:rPr>
            </w:pPr>
            <w:r>
              <w:rPr>
                <w:sz w:val="20"/>
                <w:szCs w:val="20"/>
                <w:lang w:val="ga"/>
              </w:rPr>
              <w:t>4.7%</w:t>
            </w:r>
          </w:p>
        </w:tc>
        <w:tc>
          <w:tcPr>
            <w:tcW w:w="1559" w:type="dxa"/>
            <w:tcBorders>
              <w:top w:val="single" w:sz="6" w:space="0" w:color="000000"/>
              <w:left w:val="single" w:sz="6" w:space="0" w:color="000000"/>
              <w:bottom w:val="single" w:sz="6" w:space="0" w:color="000000"/>
              <w:right w:val="single" w:sz="6" w:space="0" w:color="000000"/>
            </w:tcBorders>
          </w:tcPr>
          <w:p w14:paraId="7DBFBD57" w14:textId="77777777" w:rsidR="00590BEF" w:rsidRPr="007202FA" w:rsidRDefault="000B4F21" w:rsidP="007202FA">
            <w:pPr>
              <w:spacing w:after="0"/>
              <w:jc w:val="right"/>
              <w:rPr>
                <w:sz w:val="20"/>
                <w:szCs w:val="20"/>
              </w:rPr>
            </w:pPr>
            <w:r>
              <w:rPr>
                <w:sz w:val="20"/>
                <w:szCs w:val="20"/>
                <w:lang w:val="ga"/>
              </w:rPr>
              <w:t>307</w:t>
            </w:r>
          </w:p>
          <w:p w14:paraId="3FCFACE4" w14:textId="77777777" w:rsidR="00590BEF" w:rsidRPr="007202FA" w:rsidRDefault="00590BEF" w:rsidP="007202FA">
            <w:pPr>
              <w:spacing w:after="0"/>
              <w:jc w:val="right"/>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14:paraId="1D286B17" w14:textId="77777777" w:rsidR="00590BEF" w:rsidRPr="007202FA" w:rsidRDefault="000B4F21" w:rsidP="007202FA">
            <w:pPr>
              <w:spacing w:after="0"/>
              <w:jc w:val="right"/>
              <w:rPr>
                <w:sz w:val="20"/>
                <w:szCs w:val="20"/>
              </w:rPr>
            </w:pPr>
            <w:r>
              <w:rPr>
                <w:sz w:val="20"/>
                <w:szCs w:val="20"/>
                <w:lang w:val="ga"/>
              </w:rPr>
              <w:t>7</w:t>
            </w:r>
          </w:p>
          <w:p w14:paraId="32A1170A" w14:textId="77777777" w:rsidR="00590BEF" w:rsidRPr="007202FA" w:rsidRDefault="00590BEF" w:rsidP="007202FA">
            <w:pPr>
              <w:spacing w:after="0"/>
              <w:jc w:val="right"/>
              <w:rPr>
                <w:sz w:val="20"/>
                <w:szCs w:val="20"/>
              </w:rPr>
            </w:pPr>
          </w:p>
        </w:tc>
        <w:tc>
          <w:tcPr>
            <w:tcW w:w="1529" w:type="dxa"/>
            <w:tcBorders>
              <w:top w:val="single" w:sz="6" w:space="0" w:color="000000"/>
              <w:left w:val="single" w:sz="6" w:space="0" w:color="000000"/>
              <w:bottom w:val="single" w:sz="6" w:space="0" w:color="000000"/>
              <w:right w:val="single" w:sz="12" w:space="0" w:color="000000"/>
            </w:tcBorders>
          </w:tcPr>
          <w:p w14:paraId="68FDB19F" w14:textId="77777777" w:rsidR="00590BEF" w:rsidRPr="007202FA" w:rsidRDefault="000B4F21" w:rsidP="007202FA">
            <w:pPr>
              <w:spacing w:after="0"/>
              <w:jc w:val="right"/>
              <w:rPr>
                <w:sz w:val="20"/>
                <w:szCs w:val="20"/>
              </w:rPr>
            </w:pPr>
            <w:r>
              <w:rPr>
                <w:sz w:val="20"/>
                <w:szCs w:val="20"/>
                <w:lang w:val="ga"/>
              </w:rPr>
              <w:t>2.3%</w:t>
            </w:r>
          </w:p>
          <w:p w14:paraId="67941C8B" w14:textId="77777777" w:rsidR="00590BEF" w:rsidRPr="007202FA" w:rsidRDefault="00590BEF" w:rsidP="007202FA">
            <w:pPr>
              <w:spacing w:after="0"/>
              <w:jc w:val="right"/>
              <w:rPr>
                <w:sz w:val="20"/>
                <w:szCs w:val="20"/>
              </w:rPr>
            </w:pPr>
          </w:p>
        </w:tc>
      </w:tr>
      <w:tr w:rsidR="00F31303" w14:paraId="4A8CC140" w14:textId="77777777" w:rsidTr="00AD1735">
        <w:trPr>
          <w:trHeight w:val="529"/>
          <w:jc w:val="center"/>
        </w:trPr>
        <w:tc>
          <w:tcPr>
            <w:tcW w:w="1702" w:type="dxa"/>
            <w:tcBorders>
              <w:top w:val="single" w:sz="6" w:space="0" w:color="000000"/>
              <w:left w:val="single" w:sz="12" w:space="0" w:color="000000"/>
              <w:bottom w:val="single" w:sz="12" w:space="0" w:color="000000"/>
              <w:right w:val="single" w:sz="6" w:space="0" w:color="000000"/>
            </w:tcBorders>
            <w:vAlign w:val="bottom"/>
          </w:tcPr>
          <w:p w14:paraId="06876243" w14:textId="77777777" w:rsidR="00590BEF" w:rsidRPr="007202FA" w:rsidRDefault="000B4F21" w:rsidP="007202FA">
            <w:pPr>
              <w:spacing w:after="0"/>
              <w:rPr>
                <w:b/>
                <w:sz w:val="20"/>
                <w:szCs w:val="20"/>
              </w:rPr>
            </w:pPr>
            <w:r>
              <w:rPr>
                <w:b/>
                <w:bCs/>
                <w:sz w:val="20"/>
                <w:szCs w:val="20"/>
                <w:lang w:val="ga"/>
              </w:rPr>
              <w:t xml:space="preserve">Mór-Iomlán </w:t>
            </w:r>
          </w:p>
          <w:p w14:paraId="12D15C77" w14:textId="77777777" w:rsidR="00590BEF" w:rsidRPr="007202FA" w:rsidRDefault="00590BEF" w:rsidP="007202FA">
            <w:pPr>
              <w:spacing w:after="0"/>
              <w:rPr>
                <w:sz w:val="20"/>
                <w:szCs w:val="20"/>
              </w:rPr>
            </w:pPr>
          </w:p>
        </w:tc>
        <w:tc>
          <w:tcPr>
            <w:tcW w:w="1559" w:type="dxa"/>
            <w:tcBorders>
              <w:top w:val="single" w:sz="6" w:space="0" w:color="000000"/>
              <w:left w:val="single" w:sz="6" w:space="0" w:color="000000"/>
              <w:bottom w:val="single" w:sz="12" w:space="0" w:color="000000"/>
              <w:right w:val="single" w:sz="6" w:space="0" w:color="000000"/>
            </w:tcBorders>
            <w:hideMark/>
          </w:tcPr>
          <w:p w14:paraId="04D4F695" w14:textId="77777777" w:rsidR="00590BEF" w:rsidRPr="007202FA" w:rsidRDefault="000B4F21" w:rsidP="007202FA">
            <w:pPr>
              <w:spacing w:after="0"/>
              <w:jc w:val="right"/>
              <w:rPr>
                <w:b/>
                <w:sz w:val="20"/>
                <w:szCs w:val="20"/>
              </w:rPr>
            </w:pPr>
            <w:r>
              <w:rPr>
                <w:b/>
                <w:bCs/>
                <w:sz w:val="20"/>
                <w:szCs w:val="20"/>
                <w:lang w:val="ga"/>
              </w:rPr>
              <w:t>18,407</w:t>
            </w:r>
          </w:p>
        </w:tc>
        <w:tc>
          <w:tcPr>
            <w:tcW w:w="1701" w:type="dxa"/>
            <w:tcBorders>
              <w:top w:val="single" w:sz="6" w:space="0" w:color="000000"/>
              <w:left w:val="single" w:sz="6" w:space="0" w:color="000000"/>
              <w:bottom w:val="single" w:sz="12" w:space="0" w:color="000000"/>
              <w:right w:val="single" w:sz="6" w:space="0" w:color="000000"/>
            </w:tcBorders>
            <w:hideMark/>
          </w:tcPr>
          <w:p w14:paraId="79047230" w14:textId="77777777" w:rsidR="00590BEF" w:rsidRPr="007202FA" w:rsidRDefault="000B4F21" w:rsidP="007202FA">
            <w:pPr>
              <w:spacing w:after="0"/>
              <w:jc w:val="right"/>
              <w:rPr>
                <w:b/>
                <w:sz w:val="20"/>
                <w:szCs w:val="20"/>
              </w:rPr>
            </w:pPr>
            <w:r>
              <w:rPr>
                <w:b/>
                <w:bCs/>
                <w:sz w:val="20"/>
                <w:szCs w:val="20"/>
                <w:lang w:val="ga"/>
              </w:rPr>
              <w:t>1,017</w:t>
            </w:r>
          </w:p>
        </w:tc>
        <w:tc>
          <w:tcPr>
            <w:tcW w:w="1559" w:type="dxa"/>
            <w:tcBorders>
              <w:top w:val="single" w:sz="6" w:space="0" w:color="000000"/>
              <w:left w:val="single" w:sz="6" w:space="0" w:color="000000"/>
              <w:bottom w:val="single" w:sz="12" w:space="0" w:color="000000"/>
              <w:right w:val="single" w:sz="6" w:space="0" w:color="000000"/>
            </w:tcBorders>
            <w:hideMark/>
          </w:tcPr>
          <w:p w14:paraId="3A9DA741" w14:textId="77777777" w:rsidR="00590BEF" w:rsidRPr="007202FA" w:rsidRDefault="000B4F21" w:rsidP="007202FA">
            <w:pPr>
              <w:spacing w:after="0"/>
              <w:jc w:val="right"/>
              <w:rPr>
                <w:b/>
                <w:sz w:val="20"/>
                <w:szCs w:val="20"/>
              </w:rPr>
            </w:pPr>
            <w:r>
              <w:rPr>
                <w:b/>
                <w:bCs/>
                <w:sz w:val="20"/>
                <w:szCs w:val="20"/>
                <w:lang w:val="ga"/>
              </w:rPr>
              <w:t>5.5%</w:t>
            </w:r>
          </w:p>
        </w:tc>
        <w:tc>
          <w:tcPr>
            <w:tcW w:w="1559" w:type="dxa"/>
            <w:tcBorders>
              <w:top w:val="single" w:sz="6" w:space="0" w:color="000000"/>
              <w:left w:val="single" w:sz="6" w:space="0" w:color="000000"/>
              <w:bottom w:val="single" w:sz="12" w:space="0" w:color="000000"/>
              <w:right w:val="single" w:sz="6" w:space="0" w:color="000000"/>
            </w:tcBorders>
          </w:tcPr>
          <w:p w14:paraId="4D26405B" w14:textId="77777777" w:rsidR="00590BEF" w:rsidRPr="007202FA" w:rsidRDefault="000B4F21" w:rsidP="007202FA">
            <w:pPr>
              <w:spacing w:after="0"/>
              <w:jc w:val="right"/>
              <w:rPr>
                <w:b/>
                <w:bCs/>
                <w:sz w:val="20"/>
                <w:szCs w:val="20"/>
              </w:rPr>
            </w:pPr>
            <w:r>
              <w:rPr>
                <w:b/>
                <w:bCs/>
                <w:sz w:val="20"/>
                <w:szCs w:val="20"/>
                <w:lang w:val="ga"/>
              </w:rPr>
              <w:t>18,872</w:t>
            </w:r>
          </w:p>
          <w:p w14:paraId="4F7FB16F" w14:textId="77777777" w:rsidR="00590BEF" w:rsidRPr="007202FA" w:rsidRDefault="00590BEF" w:rsidP="007202FA">
            <w:pPr>
              <w:spacing w:after="0"/>
              <w:jc w:val="right"/>
              <w:rPr>
                <w:b/>
                <w:sz w:val="20"/>
                <w:szCs w:val="20"/>
              </w:rPr>
            </w:pPr>
          </w:p>
        </w:tc>
        <w:tc>
          <w:tcPr>
            <w:tcW w:w="1843" w:type="dxa"/>
            <w:tcBorders>
              <w:top w:val="single" w:sz="6" w:space="0" w:color="000000"/>
              <w:left w:val="single" w:sz="6" w:space="0" w:color="000000"/>
              <w:bottom w:val="single" w:sz="12" w:space="0" w:color="000000"/>
              <w:right w:val="single" w:sz="6" w:space="0" w:color="000000"/>
            </w:tcBorders>
          </w:tcPr>
          <w:p w14:paraId="70C6C903" w14:textId="77777777" w:rsidR="00590BEF" w:rsidRPr="007202FA" w:rsidRDefault="000B4F21" w:rsidP="007202FA">
            <w:pPr>
              <w:spacing w:after="0"/>
              <w:jc w:val="right"/>
              <w:rPr>
                <w:b/>
                <w:bCs/>
                <w:sz w:val="20"/>
                <w:szCs w:val="20"/>
              </w:rPr>
            </w:pPr>
            <w:r>
              <w:rPr>
                <w:b/>
                <w:bCs/>
                <w:sz w:val="20"/>
                <w:szCs w:val="20"/>
                <w:lang w:val="ga"/>
              </w:rPr>
              <w:t>1,133</w:t>
            </w:r>
          </w:p>
          <w:p w14:paraId="151A6231" w14:textId="77777777" w:rsidR="00590BEF" w:rsidRPr="007202FA" w:rsidRDefault="00590BEF" w:rsidP="007202FA">
            <w:pPr>
              <w:spacing w:after="0"/>
              <w:jc w:val="right"/>
              <w:rPr>
                <w:b/>
                <w:sz w:val="20"/>
                <w:szCs w:val="20"/>
              </w:rPr>
            </w:pPr>
          </w:p>
        </w:tc>
        <w:tc>
          <w:tcPr>
            <w:tcW w:w="1529" w:type="dxa"/>
            <w:tcBorders>
              <w:top w:val="single" w:sz="6" w:space="0" w:color="000000"/>
              <w:left w:val="single" w:sz="6" w:space="0" w:color="000000"/>
              <w:bottom w:val="single" w:sz="12" w:space="0" w:color="000000"/>
              <w:right w:val="single" w:sz="12" w:space="0" w:color="000000"/>
            </w:tcBorders>
          </w:tcPr>
          <w:p w14:paraId="3035AD12" w14:textId="77777777" w:rsidR="00590BEF" w:rsidRPr="007202FA" w:rsidRDefault="000B4F21" w:rsidP="007202FA">
            <w:pPr>
              <w:spacing w:after="0"/>
              <w:jc w:val="right"/>
              <w:rPr>
                <w:b/>
                <w:bCs/>
                <w:sz w:val="20"/>
                <w:szCs w:val="20"/>
              </w:rPr>
            </w:pPr>
            <w:r>
              <w:rPr>
                <w:b/>
                <w:bCs/>
                <w:sz w:val="20"/>
                <w:szCs w:val="20"/>
                <w:lang w:val="ga"/>
              </w:rPr>
              <w:t>6.0%</w:t>
            </w:r>
          </w:p>
          <w:p w14:paraId="163D5905" w14:textId="77777777" w:rsidR="00590BEF" w:rsidRPr="007202FA" w:rsidRDefault="00590BEF" w:rsidP="007202FA">
            <w:pPr>
              <w:spacing w:after="0"/>
              <w:jc w:val="right"/>
              <w:rPr>
                <w:b/>
                <w:sz w:val="20"/>
                <w:szCs w:val="20"/>
              </w:rPr>
            </w:pPr>
          </w:p>
        </w:tc>
      </w:tr>
    </w:tbl>
    <w:p w14:paraId="14DE8314" w14:textId="77777777" w:rsidR="00590BEF" w:rsidRPr="007202FA" w:rsidRDefault="000B4F21" w:rsidP="007202FA">
      <w:pPr>
        <w:jc w:val="both"/>
        <w:rPr>
          <w:sz w:val="20"/>
          <w:szCs w:val="20"/>
        </w:rPr>
      </w:pPr>
      <w:r>
        <w:rPr>
          <w:kern w:val="0"/>
          <w:sz w:val="20"/>
          <w:szCs w:val="20"/>
          <w:lang w:val="ga"/>
          <w14:ligatures w14:val="none"/>
        </w:rPr>
        <w:br w:type="page"/>
      </w:r>
    </w:p>
    <w:p w14:paraId="37574D0A" w14:textId="77777777" w:rsidR="00590BEF" w:rsidRPr="007202FA" w:rsidRDefault="000B4F21" w:rsidP="007202FA">
      <w:pPr>
        <w:pStyle w:val="Heading1"/>
        <w:rPr>
          <w:color w:val="BF2296"/>
        </w:rPr>
      </w:pPr>
      <w:bookmarkStart w:id="239" w:name="_Toc214033676"/>
      <w:r>
        <w:rPr>
          <w:bCs/>
          <w:color w:val="BF2296"/>
          <w:lang w:val="ga"/>
        </w:rPr>
        <w:lastRenderedPageBreak/>
        <w:t>Aguisín C – Rátaí Freagartha don Áireamh Foirne</w:t>
      </w:r>
      <w:bookmarkEnd w:id="239"/>
      <w:r>
        <w:rPr>
          <w:bCs/>
          <w:color w:val="BF2296"/>
          <w:lang w:val="ga"/>
        </w:rPr>
        <w:t xml:space="preserve"> </w:t>
      </w:r>
    </w:p>
    <w:p w14:paraId="2B334A02" w14:textId="2C75C5F0" w:rsidR="00590BEF" w:rsidRPr="007202FA" w:rsidRDefault="000B4F21" w:rsidP="007202FA">
      <w:pPr>
        <w:rPr>
          <w:bCs/>
          <w:sz w:val="20"/>
          <w:szCs w:val="20"/>
        </w:rPr>
      </w:pPr>
      <w:r>
        <w:rPr>
          <w:sz w:val="20"/>
          <w:szCs w:val="20"/>
          <w:lang w:val="ga"/>
        </w:rPr>
        <w:t>Sa bhliain 2024, thuairiscigh 163 chomhlacht phoiblí (75.5%), an chuid is mó díobh, go seolann siad áireamh foirne gach bliain, ach ní dhéanann comhlachtaí poiblí eile amhlaidh. Liostaítear sa tábla anseo na comhlachtaí poiblí a sheol áireamh foirne sa bhliain 2024 agus an céatadán d’fhostaithe i ngach ceann de na comhlachtaí poiblí sin a thug freagra ar an áireamh foirne. Bhí sé sin sa raon idir 1.5% agus 100%.</w:t>
      </w:r>
    </w:p>
    <w:tbl>
      <w:tblPr>
        <w:tblStyle w:val="TableGrid"/>
        <w:tblW w:w="0" w:type="auto"/>
        <w:tblLook w:val="04A0" w:firstRow="1" w:lastRow="0" w:firstColumn="1" w:lastColumn="0" w:noHBand="0" w:noVBand="1"/>
      </w:tblPr>
      <w:tblGrid>
        <w:gridCol w:w="4147"/>
        <w:gridCol w:w="4127"/>
      </w:tblGrid>
      <w:tr w:rsidR="00F31303" w14:paraId="77A7F90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9AAEC3E" w14:textId="77777777" w:rsidR="00590BEF" w:rsidRPr="007202FA" w:rsidRDefault="000B4F21" w:rsidP="007202FA">
            <w:pPr>
              <w:rPr>
                <w:sz w:val="20"/>
                <w:szCs w:val="20"/>
              </w:rPr>
            </w:pPr>
            <w:r>
              <w:rPr>
                <w:rFonts w:cs="Arial"/>
                <w:b/>
                <w:bCs/>
                <w:color w:val="000000"/>
                <w:sz w:val="20"/>
                <w:szCs w:val="20"/>
                <w:lang w:val="ga"/>
              </w:rPr>
              <w:t>Comhlacht Poiblí</w:t>
            </w:r>
          </w:p>
        </w:tc>
        <w:tc>
          <w:tcPr>
            <w:tcW w:w="4127" w:type="dxa"/>
            <w:tcBorders>
              <w:top w:val="single" w:sz="4" w:space="0" w:color="auto"/>
              <w:left w:val="single" w:sz="4" w:space="0" w:color="auto"/>
              <w:bottom w:val="single" w:sz="4" w:space="0" w:color="auto"/>
              <w:right w:val="single" w:sz="4" w:space="0" w:color="auto"/>
            </w:tcBorders>
            <w:hideMark/>
          </w:tcPr>
          <w:p w14:paraId="5D35E53B" w14:textId="77777777" w:rsidR="00590BEF" w:rsidRPr="007202FA" w:rsidRDefault="000B4F21" w:rsidP="007202FA">
            <w:pPr>
              <w:rPr>
                <w:sz w:val="20"/>
                <w:szCs w:val="20"/>
              </w:rPr>
            </w:pPr>
            <w:r>
              <w:rPr>
                <w:rFonts w:cs="Arial"/>
                <w:b/>
                <w:bCs/>
                <w:color w:val="000000"/>
                <w:sz w:val="20"/>
                <w:szCs w:val="20"/>
                <w:lang w:val="ga"/>
              </w:rPr>
              <w:t>An fhreagairt mar %</w:t>
            </w:r>
          </w:p>
        </w:tc>
      </w:tr>
      <w:tr w:rsidR="00F31303" w14:paraId="0792545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20A41CA" w14:textId="77777777" w:rsidR="00590BEF" w:rsidRPr="007202FA" w:rsidRDefault="000B4F21" w:rsidP="007202FA">
            <w:pPr>
              <w:rPr>
                <w:sz w:val="20"/>
                <w:szCs w:val="20"/>
              </w:rPr>
            </w:pPr>
            <w:r>
              <w:rPr>
                <w:rFonts w:cs="Calibri"/>
                <w:color w:val="000000"/>
                <w:sz w:val="20"/>
                <w:szCs w:val="20"/>
                <w:lang w:val="ga"/>
              </w:rPr>
              <w:t>Údarás Uchtála na hÉireann</w:t>
            </w:r>
          </w:p>
        </w:tc>
        <w:tc>
          <w:tcPr>
            <w:tcW w:w="4127" w:type="dxa"/>
            <w:tcBorders>
              <w:top w:val="single" w:sz="4" w:space="0" w:color="auto"/>
              <w:left w:val="single" w:sz="4" w:space="0" w:color="auto"/>
              <w:bottom w:val="single" w:sz="4" w:space="0" w:color="auto"/>
              <w:right w:val="single" w:sz="4" w:space="0" w:color="auto"/>
            </w:tcBorders>
            <w:hideMark/>
          </w:tcPr>
          <w:p w14:paraId="5E8AA2BF" w14:textId="77777777" w:rsidR="00590BEF" w:rsidRPr="007202FA" w:rsidRDefault="000B4F21" w:rsidP="007202FA">
            <w:pPr>
              <w:jc w:val="right"/>
              <w:rPr>
                <w:sz w:val="20"/>
                <w:szCs w:val="20"/>
              </w:rPr>
            </w:pPr>
            <w:r>
              <w:rPr>
                <w:rFonts w:cs="Calibri"/>
                <w:color w:val="000000"/>
                <w:sz w:val="20"/>
                <w:szCs w:val="20"/>
                <w:lang w:val="ga"/>
              </w:rPr>
              <w:t>42.1%</w:t>
            </w:r>
          </w:p>
        </w:tc>
      </w:tr>
      <w:tr w:rsidR="00F31303" w14:paraId="0DC5DB3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3BADECF" w14:textId="2CE1C952" w:rsidR="00590BEF" w:rsidRPr="007202FA" w:rsidRDefault="000B4F21" w:rsidP="007202FA">
            <w:pPr>
              <w:rPr>
                <w:sz w:val="20"/>
                <w:szCs w:val="20"/>
              </w:rPr>
            </w:pPr>
            <w:r>
              <w:rPr>
                <w:rFonts w:cs="Calibri"/>
                <w:color w:val="000000"/>
                <w:sz w:val="20"/>
                <w:szCs w:val="20"/>
                <w:lang w:val="ga"/>
              </w:rPr>
              <w:t>AirNav Éireann</w:t>
            </w:r>
          </w:p>
        </w:tc>
        <w:tc>
          <w:tcPr>
            <w:tcW w:w="4127" w:type="dxa"/>
            <w:tcBorders>
              <w:top w:val="single" w:sz="4" w:space="0" w:color="auto"/>
              <w:left w:val="single" w:sz="4" w:space="0" w:color="auto"/>
              <w:bottom w:val="single" w:sz="4" w:space="0" w:color="auto"/>
              <w:right w:val="single" w:sz="4" w:space="0" w:color="auto"/>
            </w:tcBorders>
            <w:hideMark/>
          </w:tcPr>
          <w:p w14:paraId="03026413" w14:textId="77777777" w:rsidR="00590BEF" w:rsidRPr="007202FA" w:rsidRDefault="000B4F21" w:rsidP="007202FA">
            <w:pPr>
              <w:jc w:val="right"/>
              <w:rPr>
                <w:sz w:val="20"/>
                <w:szCs w:val="20"/>
              </w:rPr>
            </w:pPr>
            <w:r>
              <w:rPr>
                <w:rFonts w:cs="Calibri"/>
                <w:color w:val="000000"/>
                <w:sz w:val="20"/>
                <w:szCs w:val="20"/>
                <w:lang w:val="ga"/>
              </w:rPr>
              <w:t>30.6%</w:t>
            </w:r>
          </w:p>
        </w:tc>
      </w:tr>
      <w:tr w:rsidR="00F31303" w14:paraId="4E2A3FE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A7763D5" w14:textId="77777777" w:rsidR="00590BEF" w:rsidRPr="007202FA" w:rsidRDefault="000B4F21" w:rsidP="007202FA">
            <w:pPr>
              <w:rPr>
                <w:sz w:val="20"/>
                <w:szCs w:val="20"/>
              </w:rPr>
            </w:pPr>
            <w:r>
              <w:rPr>
                <w:rFonts w:cs="Calibri"/>
                <w:color w:val="000000"/>
                <w:sz w:val="20"/>
                <w:szCs w:val="20"/>
                <w:lang w:val="ga"/>
              </w:rPr>
              <w:t>An Bord Pleanála</w:t>
            </w:r>
          </w:p>
        </w:tc>
        <w:tc>
          <w:tcPr>
            <w:tcW w:w="4127" w:type="dxa"/>
            <w:tcBorders>
              <w:top w:val="single" w:sz="4" w:space="0" w:color="auto"/>
              <w:left w:val="single" w:sz="4" w:space="0" w:color="auto"/>
              <w:bottom w:val="single" w:sz="4" w:space="0" w:color="auto"/>
              <w:right w:val="single" w:sz="4" w:space="0" w:color="auto"/>
            </w:tcBorders>
            <w:hideMark/>
          </w:tcPr>
          <w:p w14:paraId="513DE295" w14:textId="77777777" w:rsidR="00590BEF" w:rsidRPr="007202FA" w:rsidRDefault="000B4F21" w:rsidP="007202FA">
            <w:pPr>
              <w:jc w:val="right"/>
              <w:rPr>
                <w:sz w:val="20"/>
                <w:szCs w:val="20"/>
              </w:rPr>
            </w:pPr>
            <w:r>
              <w:rPr>
                <w:rFonts w:cs="Calibri"/>
                <w:color w:val="000000"/>
                <w:sz w:val="20"/>
                <w:szCs w:val="20"/>
                <w:lang w:val="ga"/>
              </w:rPr>
              <w:t>59.7%</w:t>
            </w:r>
          </w:p>
        </w:tc>
      </w:tr>
      <w:tr w:rsidR="00F31303" w14:paraId="72708D8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5E154BC" w14:textId="77777777" w:rsidR="00590BEF" w:rsidRPr="007202FA" w:rsidRDefault="000B4F21" w:rsidP="007202FA">
            <w:pPr>
              <w:rPr>
                <w:rFonts w:cs="Calibri"/>
                <w:color w:val="000000"/>
                <w:sz w:val="20"/>
                <w:szCs w:val="20"/>
              </w:rPr>
            </w:pPr>
            <w:r>
              <w:rPr>
                <w:rFonts w:cs="Calibri"/>
                <w:color w:val="000000"/>
                <w:sz w:val="20"/>
                <w:szCs w:val="20"/>
                <w:lang w:val="ga"/>
              </w:rPr>
              <w:t>An Chomhairle um Oideachas Gaeltachta agus Gaelscolaíochta</w:t>
            </w:r>
          </w:p>
        </w:tc>
        <w:tc>
          <w:tcPr>
            <w:tcW w:w="4127" w:type="dxa"/>
            <w:tcBorders>
              <w:top w:val="single" w:sz="4" w:space="0" w:color="auto"/>
              <w:left w:val="single" w:sz="4" w:space="0" w:color="auto"/>
              <w:bottom w:val="single" w:sz="4" w:space="0" w:color="auto"/>
              <w:right w:val="single" w:sz="4" w:space="0" w:color="auto"/>
            </w:tcBorders>
            <w:hideMark/>
          </w:tcPr>
          <w:p w14:paraId="707C7A66" w14:textId="77777777" w:rsidR="00590BEF" w:rsidRPr="007202FA" w:rsidRDefault="000B4F21" w:rsidP="007202FA">
            <w:pPr>
              <w:jc w:val="right"/>
              <w:rPr>
                <w:rFonts w:cs="Calibri"/>
                <w:color w:val="000000"/>
                <w:sz w:val="20"/>
                <w:szCs w:val="20"/>
              </w:rPr>
            </w:pPr>
            <w:r>
              <w:rPr>
                <w:rFonts w:cs="Calibri"/>
                <w:color w:val="000000"/>
                <w:sz w:val="20"/>
                <w:szCs w:val="20"/>
                <w:lang w:val="ga"/>
              </w:rPr>
              <w:t>100.0%</w:t>
            </w:r>
          </w:p>
        </w:tc>
      </w:tr>
      <w:tr w:rsidR="00F31303" w14:paraId="3F875EA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2F2FC50" w14:textId="77777777" w:rsidR="00590BEF" w:rsidRPr="007202FA" w:rsidRDefault="000B4F21" w:rsidP="007202FA">
            <w:pPr>
              <w:rPr>
                <w:sz w:val="20"/>
                <w:szCs w:val="20"/>
              </w:rPr>
            </w:pPr>
            <w:r>
              <w:rPr>
                <w:rFonts w:cs="Calibri"/>
                <w:color w:val="000000"/>
                <w:sz w:val="20"/>
                <w:szCs w:val="20"/>
                <w:lang w:val="ga"/>
              </w:rPr>
              <w:t>An Coimisinéir Teanga</w:t>
            </w:r>
          </w:p>
        </w:tc>
        <w:tc>
          <w:tcPr>
            <w:tcW w:w="4127" w:type="dxa"/>
            <w:tcBorders>
              <w:top w:val="single" w:sz="4" w:space="0" w:color="auto"/>
              <w:left w:val="single" w:sz="4" w:space="0" w:color="auto"/>
              <w:bottom w:val="single" w:sz="4" w:space="0" w:color="auto"/>
              <w:right w:val="single" w:sz="4" w:space="0" w:color="auto"/>
            </w:tcBorders>
            <w:hideMark/>
          </w:tcPr>
          <w:p w14:paraId="1EC67BC8" w14:textId="77777777" w:rsidR="00590BEF" w:rsidRPr="007202FA" w:rsidRDefault="000B4F21" w:rsidP="007202FA">
            <w:pPr>
              <w:jc w:val="right"/>
              <w:rPr>
                <w:sz w:val="20"/>
                <w:szCs w:val="20"/>
              </w:rPr>
            </w:pPr>
            <w:r>
              <w:rPr>
                <w:rFonts w:cs="Calibri"/>
                <w:color w:val="000000"/>
                <w:sz w:val="20"/>
                <w:szCs w:val="20"/>
                <w:lang w:val="ga"/>
              </w:rPr>
              <w:t>63.6%</w:t>
            </w:r>
          </w:p>
        </w:tc>
      </w:tr>
      <w:tr w:rsidR="00F31303" w14:paraId="230D4CC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74712F2" w14:textId="77777777" w:rsidR="00590BEF" w:rsidRPr="007202FA" w:rsidRDefault="000B4F21" w:rsidP="007202FA">
            <w:pPr>
              <w:rPr>
                <w:sz w:val="20"/>
                <w:szCs w:val="20"/>
              </w:rPr>
            </w:pPr>
            <w:r>
              <w:rPr>
                <w:rFonts w:cs="Calibri"/>
                <w:color w:val="000000"/>
                <w:sz w:val="20"/>
                <w:szCs w:val="20"/>
                <w:lang w:val="ga"/>
              </w:rPr>
              <w:t>An Coimisiún Toghcháin</w:t>
            </w:r>
          </w:p>
        </w:tc>
        <w:tc>
          <w:tcPr>
            <w:tcW w:w="4127" w:type="dxa"/>
            <w:tcBorders>
              <w:top w:val="single" w:sz="4" w:space="0" w:color="auto"/>
              <w:left w:val="single" w:sz="4" w:space="0" w:color="auto"/>
              <w:bottom w:val="single" w:sz="4" w:space="0" w:color="auto"/>
              <w:right w:val="single" w:sz="4" w:space="0" w:color="auto"/>
            </w:tcBorders>
            <w:hideMark/>
          </w:tcPr>
          <w:p w14:paraId="0CAEA56F" w14:textId="77777777" w:rsidR="00590BEF" w:rsidRPr="007202FA" w:rsidRDefault="000B4F21" w:rsidP="007202FA">
            <w:pPr>
              <w:jc w:val="right"/>
              <w:rPr>
                <w:sz w:val="20"/>
                <w:szCs w:val="20"/>
              </w:rPr>
            </w:pPr>
            <w:r>
              <w:rPr>
                <w:rFonts w:cs="Calibri"/>
                <w:color w:val="000000"/>
                <w:sz w:val="20"/>
                <w:szCs w:val="20"/>
                <w:lang w:val="ga"/>
              </w:rPr>
              <w:t>96.7%</w:t>
            </w:r>
          </w:p>
        </w:tc>
      </w:tr>
      <w:tr w:rsidR="00F31303" w14:paraId="638FD5D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047EDCC" w14:textId="1AA80F0F" w:rsidR="00590BEF" w:rsidRPr="007202FA" w:rsidRDefault="000B4F21" w:rsidP="007202FA">
            <w:pPr>
              <w:rPr>
                <w:sz w:val="20"/>
                <w:szCs w:val="20"/>
              </w:rPr>
            </w:pPr>
            <w:r>
              <w:rPr>
                <w:rFonts w:cs="Calibri"/>
                <w:color w:val="000000"/>
                <w:sz w:val="20"/>
                <w:szCs w:val="20"/>
                <w:lang w:val="ga"/>
              </w:rPr>
              <w:t>An Garda Síochána (Fostaithe is Sibhialtaigh)</w:t>
            </w:r>
            <w:r>
              <w:rPr>
                <w:rStyle w:val="FootnoteReference"/>
                <w:rFonts w:cs="Calibri"/>
                <w:color w:val="000000"/>
                <w:sz w:val="20"/>
                <w:szCs w:val="20"/>
                <w:lang w:val="ga"/>
              </w:rPr>
              <w:footnoteReference w:id="19"/>
            </w:r>
          </w:p>
        </w:tc>
        <w:tc>
          <w:tcPr>
            <w:tcW w:w="4127" w:type="dxa"/>
            <w:tcBorders>
              <w:top w:val="single" w:sz="4" w:space="0" w:color="auto"/>
              <w:left w:val="single" w:sz="4" w:space="0" w:color="auto"/>
              <w:bottom w:val="single" w:sz="4" w:space="0" w:color="auto"/>
              <w:right w:val="single" w:sz="4" w:space="0" w:color="auto"/>
            </w:tcBorders>
            <w:hideMark/>
          </w:tcPr>
          <w:p w14:paraId="727A9415" w14:textId="77777777" w:rsidR="00590BEF" w:rsidRPr="007202FA" w:rsidRDefault="000B4F21" w:rsidP="007202FA">
            <w:pPr>
              <w:jc w:val="right"/>
              <w:rPr>
                <w:sz w:val="20"/>
                <w:szCs w:val="20"/>
              </w:rPr>
            </w:pPr>
            <w:r>
              <w:rPr>
                <w:rFonts w:cs="Calibri"/>
                <w:color w:val="000000"/>
                <w:sz w:val="20"/>
                <w:szCs w:val="20"/>
                <w:lang w:val="ga"/>
              </w:rPr>
              <w:t>36.4%</w:t>
            </w:r>
          </w:p>
        </w:tc>
      </w:tr>
      <w:tr w:rsidR="00F31303" w14:paraId="7CA28E9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00AE495" w14:textId="77777777" w:rsidR="00590BEF" w:rsidRPr="007202FA" w:rsidRDefault="000B4F21" w:rsidP="007202FA">
            <w:pPr>
              <w:rPr>
                <w:sz w:val="20"/>
                <w:szCs w:val="20"/>
              </w:rPr>
            </w:pPr>
            <w:r>
              <w:rPr>
                <w:rFonts w:cs="Calibri"/>
                <w:color w:val="000000"/>
                <w:sz w:val="20"/>
                <w:szCs w:val="20"/>
                <w:lang w:val="ga"/>
              </w:rPr>
              <w:t>An Post</w:t>
            </w:r>
          </w:p>
        </w:tc>
        <w:tc>
          <w:tcPr>
            <w:tcW w:w="4127" w:type="dxa"/>
            <w:tcBorders>
              <w:top w:val="single" w:sz="4" w:space="0" w:color="auto"/>
              <w:left w:val="single" w:sz="4" w:space="0" w:color="auto"/>
              <w:bottom w:val="single" w:sz="4" w:space="0" w:color="auto"/>
              <w:right w:val="single" w:sz="4" w:space="0" w:color="auto"/>
            </w:tcBorders>
            <w:hideMark/>
          </w:tcPr>
          <w:p w14:paraId="5CEFF54E" w14:textId="77777777" w:rsidR="00590BEF" w:rsidRPr="007202FA" w:rsidRDefault="000B4F21" w:rsidP="007202FA">
            <w:pPr>
              <w:jc w:val="right"/>
              <w:rPr>
                <w:sz w:val="20"/>
                <w:szCs w:val="20"/>
              </w:rPr>
            </w:pPr>
            <w:r>
              <w:rPr>
                <w:rFonts w:cs="Calibri"/>
                <w:color w:val="000000"/>
                <w:sz w:val="20"/>
                <w:szCs w:val="20"/>
                <w:lang w:val="ga"/>
              </w:rPr>
              <w:t>11.5%</w:t>
            </w:r>
          </w:p>
        </w:tc>
      </w:tr>
      <w:tr w:rsidR="00F31303" w14:paraId="2BE284C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3464913" w14:textId="77777777" w:rsidR="00590BEF" w:rsidRPr="007202FA" w:rsidRDefault="000B4F21" w:rsidP="007202FA">
            <w:pPr>
              <w:rPr>
                <w:sz w:val="20"/>
                <w:szCs w:val="20"/>
              </w:rPr>
            </w:pPr>
            <w:r>
              <w:rPr>
                <w:rFonts w:cs="Calibri"/>
                <w:color w:val="000000"/>
                <w:sz w:val="20"/>
                <w:szCs w:val="20"/>
                <w:lang w:val="ga"/>
              </w:rPr>
              <w:t>An Rialálaí Agraibhia</w:t>
            </w:r>
            <w:r>
              <w:rPr>
                <w:rStyle w:val="FootnoteReference"/>
                <w:rFonts w:cs="Calibri"/>
                <w:color w:val="000000"/>
                <w:sz w:val="20"/>
                <w:szCs w:val="20"/>
                <w:lang w:val="ga"/>
              </w:rPr>
              <w:footnoteReference w:id="20"/>
            </w:r>
          </w:p>
        </w:tc>
        <w:tc>
          <w:tcPr>
            <w:tcW w:w="4127" w:type="dxa"/>
            <w:tcBorders>
              <w:top w:val="single" w:sz="4" w:space="0" w:color="auto"/>
              <w:left w:val="single" w:sz="4" w:space="0" w:color="auto"/>
              <w:bottom w:val="single" w:sz="4" w:space="0" w:color="auto"/>
              <w:right w:val="single" w:sz="4" w:space="0" w:color="auto"/>
            </w:tcBorders>
            <w:hideMark/>
          </w:tcPr>
          <w:p w14:paraId="3A6E132D" w14:textId="77777777" w:rsidR="00590BEF" w:rsidRPr="007202FA" w:rsidRDefault="000B4F21" w:rsidP="007202FA">
            <w:pPr>
              <w:jc w:val="right"/>
              <w:rPr>
                <w:sz w:val="20"/>
                <w:szCs w:val="20"/>
              </w:rPr>
            </w:pPr>
            <w:r>
              <w:rPr>
                <w:rFonts w:cs="Calibri"/>
                <w:color w:val="000000"/>
                <w:sz w:val="20"/>
                <w:szCs w:val="20"/>
                <w:lang w:val="ga"/>
              </w:rPr>
              <w:t>66.7%</w:t>
            </w:r>
          </w:p>
        </w:tc>
      </w:tr>
      <w:tr w:rsidR="00F31303" w14:paraId="6F53B32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C0DD36A" w14:textId="77777777" w:rsidR="00590BEF" w:rsidRPr="007202FA" w:rsidRDefault="000B4F21" w:rsidP="007202FA">
            <w:pPr>
              <w:rPr>
                <w:sz w:val="20"/>
                <w:szCs w:val="20"/>
              </w:rPr>
            </w:pPr>
            <w:r>
              <w:rPr>
                <w:rFonts w:cs="Calibri"/>
                <w:color w:val="000000"/>
                <w:sz w:val="20"/>
                <w:szCs w:val="20"/>
                <w:lang w:val="ga"/>
              </w:rPr>
              <w:t>Údarás Rialála na gComhlachtaí Tithíochta Ceadaithe</w:t>
            </w:r>
          </w:p>
        </w:tc>
        <w:tc>
          <w:tcPr>
            <w:tcW w:w="4127" w:type="dxa"/>
            <w:tcBorders>
              <w:top w:val="single" w:sz="4" w:space="0" w:color="auto"/>
              <w:left w:val="single" w:sz="4" w:space="0" w:color="auto"/>
              <w:bottom w:val="single" w:sz="4" w:space="0" w:color="auto"/>
              <w:right w:val="single" w:sz="4" w:space="0" w:color="auto"/>
            </w:tcBorders>
            <w:hideMark/>
          </w:tcPr>
          <w:p w14:paraId="297457A9" w14:textId="77777777" w:rsidR="00590BEF" w:rsidRPr="007202FA" w:rsidRDefault="000B4F21" w:rsidP="007202FA">
            <w:pPr>
              <w:jc w:val="right"/>
              <w:rPr>
                <w:sz w:val="20"/>
                <w:szCs w:val="20"/>
              </w:rPr>
            </w:pPr>
            <w:r>
              <w:rPr>
                <w:rFonts w:cs="Calibri"/>
                <w:color w:val="000000"/>
                <w:sz w:val="20"/>
                <w:szCs w:val="20"/>
                <w:lang w:val="ga"/>
              </w:rPr>
              <w:t>66.7%</w:t>
            </w:r>
          </w:p>
        </w:tc>
      </w:tr>
      <w:tr w:rsidR="00F31303" w14:paraId="31F1DBB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90DBBCE" w14:textId="77777777" w:rsidR="00590BEF" w:rsidRPr="007202FA" w:rsidRDefault="000B4F21" w:rsidP="007202FA">
            <w:pPr>
              <w:rPr>
                <w:sz w:val="20"/>
                <w:szCs w:val="20"/>
              </w:rPr>
            </w:pPr>
            <w:r>
              <w:rPr>
                <w:rFonts w:cs="Calibri"/>
                <w:color w:val="000000"/>
                <w:sz w:val="20"/>
                <w:szCs w:val="20"/>
                <w:lang w:val="ga"/>
              </w:rPr>
              <w:t>Bord Bia</w:t>
            </w:r>
          </w:p>
        </w:tc>
        <w:tc>
          <w:tcPr>
            <w:tcW w:w="4127" w:type="dxa"/>
            <w:tcBorders>
              <w:top w:val="single" w:sz="4" w:space="0" w:color="auto"/>
              <w:left w:val="single" w:sz="4" w:space="0" w:color="auto"/>
              <w:bottom w:val="single" w:sz="4" w:space="0" w:color="auto"/>
              <w:right w:val="single" w:sz="4" w:space="0" w:color="auto"/>
            </w:tcBorders>
            <w:hideMark/>
          </w:tcPr>
          <w:p w14:paraId="1EEAD4C9" w14:textId="77777777" w:rsidR="00590BEF" w:rsidRPr="007202FA" w:rsidRDefault="000B4F21" w:rsidP="007202FA">
            <w:pPr>
              <w:jc w:val="right"/>
              <w:rPr>
                <w:sz w:val="20"/>
                <w:szCs w:val="20"/>
              </w:rPr>
            </w:pPr>
            <w:r>
              <w:rPr>
                <w:rFonts w:cs="Calibri"/>
                <w:color w:val="000000"/>
                <w:sz w:val="20"/>
                <w:szCs w:val="20"/>
                <w:lang w:val="ga"/>
              </w:rPr>
              <w:t>34.0%</w:t>
            </w:r>
          </w:p>
        </w:tc>
      </w:tr>
      <w:tr w:rsidR="00F31303" w14:paraId="6504924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687CEC2" w14:textId="77777777" w:rsidR="00590BEF" w:rsidRPr="007202FA" w:rsidRDefault="000B4F21" w:rsidP="007202FA">
            <w:pPr>
              <w:rPr>
                <w:sz w:val="20"/>
                <w:szCs w:val="20"/>
              </w:rPr>
            </w:pPr>
            <w:r>
              <w:rPr>
                <w:rFonts w:cs="Calibri"/>
                <w:color w:val="000000"/>
                <w:sz w:val="20"/>
                <w:szCs w:val="20"/>
                <w:lang w:val="ga"/>
              </w:rPr>
              <w:t>Bord Iascaigh Mhara</w:t>
            </w:r>
          </w:p>
        </w:tc>
        <w:tc>
          <w:tcPr>
            <w:tcW w:w="4127" w:type="dxa"/>
            <w:tcBorders>
              <w:top w:val="single" w:sz="4" w:space="0" w:color="auto"/>
              <w:left w:val="single" w:sz="4" w:space="0" w:color="auto"/>
              <w:bottom w:val="single" w:sz="4" w:space="0" w:color="auto"/>
              <w:right w:val="single" w:sz="4" w:space="0" w:color="auto"/>
            </w:tcBorders>
            <w:hideMark/>
          </w:tcPr>
          <w:p w14:paraId="4313ADEF" w14:textId="77777777" w:rsidR="00590BEF" w:rsidRPr="007202FA" w:rsidRDefault="000B4F21" w:rsidP="007202FA">
            <w:pPr>
              <w:jc w:val="right"/>
              <w:rPr>
                <w:sz w:val="20"/>
                <w:szCs w:val="20"/>
              </w:rPr>
            </w:pPr>
            <w:r>
              <w:rPr>
                <w:rFonts w:cs="Calibri"/>
                <w:color w:val="000000"/>
                <w:sz w:val="20"/>
                <w:szCs w:val="20"/>
                <w:lang w:val="ga"/>
              </w:rPr>
              <w:t>68.3%</w:t>
            </w:r>
          </w:p>
        </w:tc>
      </w:tr>
      <w:tr w:rsidR="00F31303" w14:paraId="565FB57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B6C6935" w14:textId="77777777" w:rsidR="00590BEF" w:rsidRPr="007202FA" w:rsidRDefault="000B4F21" w:rsidP="007202FA">
            <w:pPr>
              <w:rPr>
                <w:sz w:val="20"/>
                <w:szCs w:val="20"/>
              </w:rPr>
            </w:pPr>
            <w:r>
              <w:rPr>
                <w:rFonts w:cs="Calibri"/>
                <w:color w:val="000000"/>
                <w:sz w:val="20"/>
                <w:szCs w:val="20"/>
                <w:lang w:val="ga"/>
              </w:rPr>
              <w:t>Bord na Móna</w:t>
            </w:r>
          </w:p>
        </w:tc>
        <w:tc>
          <w:tcPr>
            <w:tcW w:w="4127" w:type="dxa"/>
            <w:tcBorders>
              <w:top w:val="single" w:sz="4" w:space="0" w:color="auto"/>
              <w:left w:val="single" w:sz="4" w:space="0" w:color="auto"/>
              <w:bottom w:val="single" w:sz="4" w:space="0" w:color="auto"/>
              <w:right w:val="single" w:sz="4" w:space="0" w:color="auto"/>
            </w:tcBorders>
            <w:hideMark/>
          </w:tcPr>
          <w:p w14:paraId="090D1809" w14:textId="77777777" w:rsidR="00590BEF" w:rsidRPr="007202FA" w:rsidRDefault="000B4F21" w:rsidP="007202FA">
            <w:pPr>
              <w:jc w:val="right"/>
              <w:rPr>
                <w:sz w:val="20"/>
                <w:szCs w:val="20"/>
              </w:rPr>
            </w:pPr>
            <w:r>
              <w:rPr>
                <w:rFonts w:cs="Calibri"/>
                <w:color w:val="000000"/>
                <w:sz w:val="20"/>
                <w:szCs w:val="20"/>
                <w:lang w:val="ga"/>
              </w:rPr>
              <w:t>25.0%</w:t>
            </w:r>
          </w:p>
        </w:tc>
      </w:tr>
      <w:tr w:rsidR="00F31303" w14:paraId="545E61F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0C13F71" w14:textId="77777777" w:rsidR="00590BEF" w:rsidRPr="007202FA" w:rsidRDefault="000B4F21" w:rsidP="007202FA">
            <w:pPr>
              <w:rPr>
                <w:sz w:val="20"/>
                <w:szCs w:val="20"/>
              </w:rPr>
            </w:pPr>
            <w:r>
              <w:rPr>
                <w:rFonts w:cs="Calibri"/>
                <w:color w:val="000000"/>
                <w:sz w:val="20"/>
                <w:szCs w:val="20"/>
                <w:lang w:val="ga"/>
              </w:rPr>
              <w:t>Comhairle Contae Cheatharlach</w:t>
            </w:r>
          </w:p>
        </w:tc>
        <w:tc>
          <w:tcPr>
            <w:tcW w:w="4127" w:type="dxa"/>
            <w:tcBorders>
              <w:top w:val="single" w:sz="4" w:space="0" w:color="auto"/>
              <w:left w:val="single" w:sz="4" w:space="0" w:color="auto"/>
              <w:bottom w:val="single" w:sz="4" w:space="0" w:color="auto"/>
              <w:right w:val="single" w:sz="4" w:space="0" w:color="auto"/>
            </w:tcBorders>
            <w:hideMark/>
          </w:tcPr>
          <w:p w14:paraId="00ABA826" w14:textId="77777777" w:rsidR="00590BEF" w:rsidRPr="007202FA" w:rsidRDefault="000B4F21" w:rsidP="007202FA">
            <w:pPr>
              <w:jc w:val="right"/>
              <w:rPr>
                <w:sz w:val="20"/>
                <w:szCs w:val="20"/>
              </w:rPr>
            </w:pPr>
            <w:r>
              <w:rPr>
                <w:rFonts w:cs="Calibri"/>
                <w:color w:val="000000"/>
                <w:sz w:val="20"/>
                <w:szCs w:val="20"/>
                <w:lang w:val="ga"/>
              </w:rPr>
              <w:t>42.0%</w:t>
            </w:r>
          </w:p>
        </w:tc>
      </w:tr>
      <w:tr w:rsidR="00F31303" w14:paraId="43721B9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3E1285C" w14:textId="77777777" w:rsidR="00590BEF" w:rsidRPr="007202FA" w:rsidRDefault="000B4F21" w:rsidP="007202FA">
            <w:pPr>
              <w:rPr>
                <w:sz w:val="20"/>
                <w:szCs w:val="20"/>
              </w:rPr>
            </w:pPr>
            <w:r>
              <w:rPr>
                <w:rFonts w:cs="Calibri"/>
                <w:color w:val="000000"/>
                <w:sz w:val="20"/>
                <w:szCs w:val="20"/>
                <w:lang w:val="ga"/>
              </w:rPr>
              <w:t>An Phríomh-Oifig Staidrimh</w:t>
            </w:r>
          </w:p>
        </w:tc>
        <w:tc>
          <w:tcPr>
            <w:tcW w:w="4127" w:type="dxa"/>
            <w:tcBorders>
              <w:top w:val="single" w:sz="4" w:space="0" w:color="auto"/>
              <w:left w:val="single" w:sz="4" w:space="0" w:color="auto"/>
              <w:bottom w:val="single" w:sz="4" w:space="0" w:color="auto"/>
              <w:right w:val="single" w:sz="4" w:space="0" w:color="auto"/>
            </w:tcBorders>
            <w:hideMark/>
          </w:tcPr>
          <w:p w14:paraId="2FD61861" w14:textId="77777777" w:rsidR="00590BEF" w:rsidRPr="007202FA" w:rsidRDefault="000B4F21" w:rsidP="007202FA">
            <w:pPr>
              <w:jc w:val="right"/>
              <w:rPr>
                <w:sz w:val="20"/>
                <w:szCs w:val="20"/>
              </w:rPr>
            </w:pPr>
            <w:r>
              <w:rPr>
                <w:rFonts w:cs="Calibri"/>
                <w:color w:val="000000"/>
                <w:sz w:val="20"/>
                <w:szCs w:val="20"/>
                <w:lang w:val="ga"/>
              </w:rPr>
              <w:t>73.9%</w:t>
            </w:r>
          </w:p>
        </w:tc>
      </w:tr>
      <w:tr w:rsidR="00F31303" w14:paraId="2521946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B99BF09" w14:textId="77777777" w:rsidR="00590BEF" w:rsidRPr="007202FA" w:rsidRDefault="000B4F21" w:rsidP="007202FA">
            <w:pPr>
              <w:rPr>
                <w:sz w:val="20"/>
                <w:szCs w:val="20"/>
              </w:rPr>
            </w:pPr>
            <w:r>
              <w:rPr>
                <w:rFonts w:cs="Calibri"/>
                <w:color w:val="000000"/>
                <w:sz w:val="20"/>
                <w:szCs w:val="20"/>
                <w:lang w:val="ga"/>
              </w:rPr>
              <w:t>An Rialálaí Carthanas</w:t>
            </w:r>
            <w:r>
              <w:rPr>
                <w:rStyle w:val="FootnoteReference"/>
                <w:rFonts w:cs="Calibri"/>
                <w:color w:val="000000"/>
                <w:sz w:val="20"/>
                <w:szCs w:val="20"/>
                <w:lang w:val="ga"/>
              </w:rPr>
              <w:footnoteReference w:id="21"/>
            </w:r>
            <w:r>
              <w:rPr>
                <w:rFonts w:cs="Calibri"/>
                <w:color w:val="000000"/>
                <w:sz w:val="20"/>
                <w:szCs w:val="20"/>
                <w:lang w:val="ga"/>
              </w:rPr>
              <w:t xml:space="preserve"> </w:t>
            </w:r>
          </w:p>
        </w:tc>
        <w:tc>
          <w:tcPr>
            <w:tcW w:w="4127" w:type="dxa"/>
            <w:tcBorders>
              <w:top w:val="single" w:sz="4" w:space="0" w:color="auto"/>
              <w:left w:val="single" w:sz="4" w:space="0" w:color="auto"/>
              <w:bottom w:val="single" w:sz="4" w:space="0" w:color="auto"/>
              <w:right w:val="single" w:sz="4" w:space="0" w:color="auto"/>
            </w:tcBorders>
            <w:hideMark/>
          </w:tcPr>
          <w:p w14:paraId="244278D0" w14:textId="77777777" w:rsidR="00590BEF" w:rsidRPr="007202FA" w:rsidRDefault="000B4F21" w:rsidP="007202FA">
            <w:pPr>
              <w:jc w:val="right"/>
              <w:rPr>
                <w:sz w:val="20"/>
                <w:szCs w:val="20"/>
              </w:rPr>
            </w:pPr>
            <w:r>
              <w:rPr>
                <w:rFonts w:cs="Calibri"/>
                <w:color w:val="000000"/>
                <w:sz w:val="20"/>
                <w:szCs w:val="20"/>
                <w:lang w:val="ga"/>
              </w:rPr>
              <w:t>76.6%</w:t>
            </w:r>
          </w:p>
        </w:tc>
      </w:tr>
      <w:tr w:rsidR="00F31303" w14:paraId="56ED2E4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447599D" w14:textId="77777777" w:rsidR="00590BEF" w:rsidRPr="007202FA" w:rsidRDefault="000B4F21" w:rsidP="007202FA">
            <w:pPr>
              <w:rPr>
                <w:sz w:val="20"/>
                <w:szCs w:val="20"/>
              </w:rPr>
            </w:pPr>
            <w:r>
              <w:rPr>
                <w:rFonts w:cs="Calibri"/>
                <w:color w:val="000000"/>
                <w:sz w:val="20"/>
                <w:szCs w:val="20"/>
                <w:lang w:val="ga"/>
              </w:rPr>
              <w:t>Leabharlann Chester Beatty</w:t>
            </w:r>
          </w:p>
        </w:tc>
        <w:tc>
          <w:tcPr>
            <w:tcW w:w="4127" w:type="dxa"/>
            <w:tcBorders>
              <w:top w:val="single" w:sz="4" w:space="0" w:color="auto"/>
              <w:left w:val="single" w:sz="4" w:space="0" w:color="auto"/>
              <w:bottom w:val="single" w:sz="4" w:space="0" w:color="auto"/>
              <w:right w:val="single" w:sz="4" w:space="0" w:color="auto"/>
            </w:tcBorders>
            <w:hideMark/>
          </w:tcPr>
          <w:p w14:paraId="10458ADE" w14:textId="77777777" w:rsidR="00590BEF" w:rsidRPr="007202FA" w:rsidRDefault="000B4F21" w:rsidP="007202FA">
            <w:pPr>
              <w:jc w:val="right"/>
              <w:rPr>
                <w:sz w:val="20"/>
                <w:szCs w:val="20"/>
              </w:rPr>
            </w:pPr>
            <w:r>
              <w:rPr>
                <w:rFonts w:cs="Calibri"/>
                <w:color w:val="000000"/>
                <w:sz w:val="20"/>
                <w:szCs w:val="20"/>
                <w:lang w:val="ga"/>
              </w:rPr>
              <w:t>70.7%</w:t>
            </w:r>
          </w:p>
        </w:tc>
      </w:tr>
      <w:tr w:rsidR="00F31303" w14:paraId="44C804C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4154C82" w14:textId="77777777" w:rsidR="00590BEF" w:rsidRPr="007202FA" w:rsidRDefault="000B4F21" w:rsidP="007202FA">
            <w:pPr>
              <w:rPr>
                <w:sz w:val="20"/>
                <w:szCs w:val="20"/>
              </w:rPr>
            </w:pPr>
            <w:r>
              <w:rPr>
                <w:rFonts w:cs="Calibri"/>
                <w:color w:val="000000"/>
                <w:sz w:val="20"/>
                <w:szCs w:val="20"/>
                <w:lang w:val="ga"/>
              </w:rPr>
              <w:t>Oifig an Phríomh-Aturnae Stáit</w:t>
            </w:r>
          </w:p>
        </w:tc>
        <w:tc>
          <w:tcPr>
            <w:tcW w:w="4127" w:type="dxa"/>
            <w:tcBorders>
              <w:top w:val="single" w:sz="4" w:space="0" w:color="auto"/>
              <w:left w:val="single" w:sz="4" w:space="0" w:color="auto"/>
              <w:bottom w:val="single" w:sz="4" w:space="0" w:color="auto"/>
              <w:right w:val="single" w:sz="4" w:space="0" w:color="auto"/>
            </w:tcBorders>
            <w:hideMark/>
          </w:tcPr>
          <w:p w14:paraId="2024F497" w14:textId="77777777" w:rsidR="00590BEF" w:rsidRPr="007202FA" w:rsidRDefault="000B4F21" w:rsidP="007202FA">
            <w:pPr>
              <w:jc w:val="right"/>
              <w:rPr>
                <w:sz w:val="20"/>
                <w:szCs w:val="20"/>
              </w:rPr>
            </w:pPr>
            <w:r>
              <w:rPr>
                <w:rFonts w:cs="Calibri"/>
                <w:color w:val="000000"/>
                <w:sz w:val="20"/>
                <w:szCs w:val="20"/>
                <w:lang w:val="ga"/>
              </w:rPr>
              <w:t>39.0%</w:t>
            </w:r>
          </w:p>
        </w:tc>
      </w:tr>
      <w:tr w:rsidR="00F31303" w14:paraId="35A27EE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86BD115" w14:textId="77777777" w:rsidR="00590BEF" w:rsidRPr="005524D6" w:rsidRDefault="000B4F21" w:rsidP="007202FA">
            <w:pPr>
              <w:rPr>
                <w:sz w:val="20"/>
                <w:szCs w:val="20"/>
                <w:lang w:val="de-DE"/>
              </w:rPr>
            </w:pPr>
            <w:r>
              <w:rPr>
                <w:rFonts w:cs="Calibri"/>
                <w:color w:val="000000"/>
                <w:sz w:val="20"/>
                <w:szCs w:val="20"/>
                <w:lang w:val="ga"/>
              </w:rPr>
              <w:t>An Ghníomhaireacht um Leanaí agus an Teaghlach (TUSLA)</w:t>
            </w:r>
          </w:p>
        </w:tc>
        <w:tc>
          <w:tcPr>
            <w:tcW w:w="4127" w:type="dxa"/>
            <w:tcBorders>
              <w:top w:val="single" w:sz="4" w:space="0" w:color="auto"/>
              <w:left w:val="single" w:sz="4" w:space="0" w:color="auto"/>
              <w:bottom w:val="single" w:sz="4" w:space="0" w:color="auto"/>
              <w:right w:val="single" w:sz="4" w:space="0" w:color="auto"/>
            </w:tcBorders>
            <w:hideMark/>
          </w:tcPr>
          <w:p w14:paraId="6B40F276" w14:textId="77777777" w:rsidR="00590BEF" w:rsidRPr="007202FA" w:rsidRDefault="000B4F21" w:rsidP="007202FA">
            <w:pPr>
              <w:jc w:val="right"/>
              <w:rPr>
                <w:sz w:val="20"/>
                <w:szCs w:val="20"/>
              </w:rPr>
            </w:pPr>
            <w:r>
              <w:rPr>
                <w:rFonts w:cs="Calibri"/>
                <w:color w:val="000000"/>
                <w:sz w:val="20"/>
                <w:szCs w:val="20"/>
                <w:lang w:val="ga"/>
              </w:rPr>
              <w:t>14.5%</w:t>
            </w:r>
          </w:p>
        </w:tc>
      </w:tr>
      <w:tr w:rsidR="00F31303" w14:paraId="4949C5F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5EBE67F" w14:textId="77777777" w:rsidR="00590BEF" w:rsidRPr="007202FA" w:rsidRDefault="000B4F21" w:rsidP="007202FA">
            <w:pPr>
              <w:rPr>
                <w:sz w:val="20"/>
                <w:szCs w:val="20"/>
              </w:rPr>
            </w:pPr>
            <w:r>
              <w:rPr>
                <w:rFonts w:cs="Calibri"/>
                <w:color w:val="000000"/>
                <w:sz w:val="20"/>
                <w:szCs w:val="20"/>
                <w:lang w:val="ga"/>
              </w:rPr>
              <w:t>An Bord um Fhaisnéis do Shaoránaigh</w:t>
            </w:r>
          </w:p>
        </w:tc>
        <w:tc>
          <w:tcPr>
            <w:tcW w:w="4127" w:type="dxa"/>
            <w:tcBorders>
              <w:top w:val="single" w:sz="4" w:space="0" w:color="auto"/>
              <w:left w:val="single" w:sz="4" w:space="0" w:color="auto"/>
              <w:bottom w:val="single" w:sz="4" w:space="0" w:color="auto"/>
              <w:right w:val="single" w:sz="4" w:space="0" w:color="auto"/>
            </w:tcBorders>
            <w:hideMark/>
          </w:tcPr>
          <w:p w14:paraId="35F669E8" w14:textId="77777777" w:rsidR="00590BEF" w:rsidRPr="007202FA" w:rsidRDefault="000B4F21" w:rsidP="007202FA">
            <w:pPr>
              <w:jc w:val="right"/>
              <w:rPr>
                <w:sz w:val="20"/>
                <w:szCs w:val="20"/>
              </w:rPr>
            </w:pPr>
            <w:r>
              <w:rPr>
                <w:rFonts w:cs="Calibri"/>
                <w:color w:val="000000"/>
                <w:sz w:val="20"/>
                <w:szCs w:val="20"/>
                <w:lang w:val="ga"/>
              </w:rPr>
              <w:t>65.4%</w:t>
            </w:r>
          </w:p>
        </w:tc>
      </w:tr>
      <w:tr w:rsidR="00F31303" w14:paraId="28EF2AE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E3C8905" w14:textId="77777777" w:rsidR="00590BEF" w:rsidRPr="007202FA" w:rsidRDefault="000B4F21" w:rsidP="007202FA">
            <w:pPr>
              <w:rPr>
                <w:sz w:val="20"/>
                <w:szCs w:val="20"/>
              </w:rPr>
            </w:pPr>
            <w:r>
              <w:rPr>
                <w:rFonts w:cs="Calibri"/>
                <w:color w:val="000000"/>
                <w:sz w:val="20"/>
                <w:szCs w:val="20"/>
                <w:lang w:val="ga"/>
              </w:rPr>
              <w:t>Comhairle Contae an Chláir</w:t>
            </w:r>
          </w:p>
        </w:tc>
        <w:tc>
          <w:tcPr>
            <w:tcW w:w="4127" w:type="dxa"/>
            <w:tcBorders>
              <w:top w:val="single" w:sz="4" w:space="0" w:color="auto"/>
              <w:left w:val="single" w:sz="4" w:space="0" w:color="auto"/>
              <w:bottom w:val="single" w:sz="4" w:space="0" w:color="auto"/>
              <w:right w:val="single" w:sz="4" w:space="0" w:color="auto"/>
            </w:tcBorders>
            <w:hideMark/>
          </w:tcPr>
          <w:p w14:paraId="63615B0F" w14:textId="77777777" w:rsidR="00590BEF" w:rsidRPr="007202FA" w:rsidRDefault="000B4F21" w:rsidP="007202FA">
            <w:pPr>
              <w:jc w:val="right"/>
              <w:rPr>
                <w:sz w:val="20"/>
                <w:szCs w:val="20"/>
              </w:rPr>
            </w:pPr>
            <w:r>
              <w:rPr>
                <w:rFonts w:cs="Calibri"/>
                <w:color w:val="000000"/>
                <w:sz w:val="20"/>
                <w:szCs w:val="20"/>
                <w:lang w:val="ga"/>
              </w:rPr>
              <w:t>35.6%</w:t>
            </w:r>
          </w:p>
        </w:tc>
      </w:tr>
      <w:tr w:rsidR="00F31303" w14:paraId="1ABFCC2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A4E0C06" w14:textId="77777777" w:rsidR="00590BEF" w:rsidRPr="007202FA" w:rsidRDefault="000B4F21" w:rsidP="007202FA">
            <w:pPr>
              <w:rPr>
                <w:sz w:val="20"/>
                <w:szCs w:val="20"/>
              </w:rPr>
            </w:pPr>
            <w:r>
              <w:rPr>
                <w:rFonts w:cs="Calibri"/>
                <w:color w:val="000000"/>
                <w:sz w:val="20"/>
                <w:szCs w:val="20"/>
                <w:lang w:val="ga"/>
              </w:rPr>
              <w:t>Coillte</w:t>
            </w:r>
          </w:p>
        </w:tc>
        <w:tc>
          <w:tcPr>
            <w:tcW w:w="4127" w:type="dxa"/>
            <w:tcBorders>
              <w:top w:val="single" w:sz="4" w:space="0" w:color="auto"/>
              <w:left w:val="single" w:sz="4" w:space="0" w:color="auto"/>
              <w:bottom w:val="single" w:sz="4" w:space="0" w:color="auto"/>
              <w:right w:val="single" w:sz="4" w:space="0" w:color="auto"/>
            </w:tcBorders>
            <w:hideMark/>
          </w:tcPr>
          <w:p w14:paraId="1F304B27" w14:textId="77777777" w:rsidR="00590BEF" w:rsidRPr="007202FA" w:rsidRDefault="000B4F21" w:rsidP="007202FA">
            <w:pPr>
              <w:jc w:val="right"/>
              <w:rPr>
                <w:sz w:val="20"/>
                <w:szCs w:val="20"/>
              </w:rPr>
            </w:pPr>
            <w:r>
              <w:rPr>
                <w:rFonts w:cs="Calibri"/>
                <w:color w:val="000000"/>
                <w:sz w:val="20"/>
                <w:szCs w:val="20"/>
                <w:lang w:val="ga"/>
              </w:rPr>
              <w:t>34.4%</w:t>
            </w:r>
          </w:p>
        </w:tc>
      </w:tr>
      <w:tr w:rsidR="00F31303" w14:paraId="36325CE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B076B07" w14:textId="77777777" w:rsidR="00590BEF" w:rsidRPr="007202FA" w:rsidRDefault="000B4F21" w:rsidP="007202FA">
            <w:pPr>
              <w:rPr>
                <w:sz w:val="20"/>
                <w:szCs w:val="20"/>
              </w:rPr>
            </w:pPr>
            <w:r>
              <w:rPr>
                <w:rFonts w:cs="Calibri"/>
                <w:color w:val="000000"/>
                <w:sz w:val="20"/>
                <w:szCs w:val="20"/>
                <w:lang w:val="ga"/>
              </w:rPr>
              <w:t>Coimisiún na Meán</w:t>
            </w:r>
          </w:p>
        </w:tc>
        <w:tc>
          <w:tcPr>
            <w:tcW w:w="4127" w:type="dxa"/>
            <w:tcBorders>
              <w:top w:val="single" w:sz="4" w:space="0" w:color="auto"/>
              <w:left w:val="single" w:sz="4" w:space="0" w:color="auto"/>
              <w:bottom w:val="single" w:sz="4" w:space="0" w:color="auto"/>
              <w:right w:val="single" w:sz="4" w:space="0" w:color="auto"/>
            </w:tcBorders>
            <w:hideMark/>
          </w:tcPr>
          <w:p w14:paraId="76A1BF3C" w14:textId="77777777" w:rsidR="00590BEF" w:rsidRPr="007202FA" w:rsidRDefault="000B4F21" w:rsidP="007202FA">
            <w:pPr>
              <w:jc w:val="right"/>
              <w:rPr>
                <w:sz w:val="20"/>
                <w:szCs w:val="20"/>
              </w:rPr>
            </w:pPr>
            <w:r>
              <w:rPr>
                <w:rFonts w:cs="Calibri"/>
                <w:color w:val="000000"/>
                <w:sz w:val="20"/>
                <w:szCs w:val="20"/>
                <w:lang w:val="ga"/>
              </w:rPr>
              <w:t>57.4%</w:t>
            </w:r>
          </w:p>
        </w:tc>
      </w:tr>
      <w:tr w:rsidR="00F31303" w14:paraId="7E8BE57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521F5C9" w14:textId="77777777" w:rsidR="00590BEF" w:rsidRPr="007202FA" w:rsidRDefault="000B4F21" w:rsidP="007202FA">
            <w:pPr>
              <w:rPr>
                <w:sz w:val="20"/>
                <w:szCs w:val="20"/>
              </w:rPr>
            </w:pPr>
            <w:r>
              <w:rPr>
                <w:rFonts w:cs="Calibri"/>
                <w:color w:val="000000"/>
                <w:sz w:val="20"/>
                <w:szCs w:val="20"/>
                <w:lang w:val="ga"/>
              </w:rPr>
              <w:t>An Coimisiún um Rialáil Cumarsáide (ComReg)</w:t>
            </w:r>
          </w:p>
        </w:tc>
        <w:tc>
          <w:tcPr>
            <w:tcW w:w="4127" w:type="dxa"/>
            <w:tcBorders>
              <w:top w:val="single" w:sz="4" w:space="0" w:color="auto"/>
              <w:left w:val="single" w:sz="4" w:space="0" w:color="auto"/>
              <w:bottom w:val="single" w:sz="4" w:space="0" w:color="auto"/>
              <w:right w:val="single" w:sz="4" w:space="0" w:color="auto"/>
            </w:tcBorders>
            <w:hideMark/>
          </w:tcPr>
          <w:p w14:paraId="42DEF5E3" w14:textId="77777777" w:rsidR="00590BEF" w:rsidRPr="007202FA" w:rsidRDefault="000B4F21" w:rsidP="007202FA">
            <w:pPr>
              <w:jc w:val="right"/>
              <w:rPr>
                <w:sz w:val="20"/>
                <w:szCs w:val="20"/>
              </w:rPr>
            </w:pPr>
            <w:r>
              <w:rPr>
                <w:rFonts w:cs="Calibri"/>
                <w:color w:val="000000"/>
                <w:sz w:val="20"/>
                <w:szCs w:val="20"/>
                <w:lang w:val="ga"/>
              </w:rPr>
              <w:t>74.1%</w:t>
            </w:r>
          </w:p>
        </w:tc>
      </w:tr>
      <w:tr w:rsidR="00F31303" w14:paraId="591938C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7EE3A67" w14:textId="77777777" w:rsidR="00590BEF" w:rsidRPr="005524D6" w:rsidRDefault="000B4F21" w:rsidP="007202FA">
            <w:pPr>
              <w:rPr>
                <w:sz w:val="20"/>
                <w:szCs w:val="20"/>
                <w:lang w:val="de-DE"/>
              </w:rPr>
            </w:pPr>
            <w:r>
              <w:rPr>
                <w:rFonts w:cs="Calibri"/>
                <w:color w:val="000000"/>
                <w:sz w:val="20"/>
                <w:szCs w:val="20"/>
                <w:lang w:val="ga"/>
              </w:rPr>
              <w:t>An Coimisiún um Rialáil Fóntais</w:t>
            </w:r>
          </w:p>
        </w:tc>
        <w:tc>
          <w:tcPr>
            <w:tcW w:w="4127" w:type="dxa"/>
            <w:tcBorders>
              <w:top w:val="single" w:sz="4" w:space="0" w:color="auto"/>
              <w:left w:val="single" w:sz="4" w:space="0" w:color="auto"/>
              <w:bottom w:val="single" w:sz="4" w:space="0" w:color="auto"/>
              <w:right w:val="single" w:sz="4" w:space="0" w:color="auto"/>
            </w:tcBorders>
            <w:hideMark/>
          </w:tcPr>
          <w:p w14:paraId="69436226" w14:textId="77777777" w:rsidR="00590BEF" w:rsidRPr="007202FA" w:rsidRDefault="000B4F21" w:rsidP="007202FA">
            <w:pPr>
              <w:jc w:val="right"/>
              <w:rPr>
                <w:sz w:val="20"/>
                <w:szCs w:val="20"/>
              </w:rPr>
            </w:pPr>
            <w:r>
              <w:rPr>
                <w:rFonts w:cs="Calibri"/>
                <w:color w:val="000000"/>
                <w:sz w:val="20"/>
                <w:szCs w:val="20"/>
                <w:lang w:val="ga"/>
              </w:rPr>
              <w:t>68.5%</w:t>
            </w:r>
          </w:p>
        </w:tc>
      </w:tr>
      <w:tr w:rsidR="00F31303" w14:paraId="4516C38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7A2FBA3" w14:textId="77777777" w:rsidR="00590BEF" w:rsidRPr="007202FA" w:rsidRDefault="000B4F21" w:rsidP="007202FA">
            <w:pPr>
              <w:rPr>
                <w:sz w:val="20"/>
                <w:szCs w:val="20"/>
              </w:rPr>
            </w:pPr>
            <w:r>
              <w:rPr>
                <w:rFonts w:cs="Calibri"/>
                <w:color w:val="000000"/>
                <w:sz w:val="20"/>
                <w:szCs w:val="20"/>
                <w:lang w:val="ga"/>
              </w:rPr>
              <w:t>An Coimisiún um Iomaíocht agus Cosaint Tomhaltóirí</w:t>
            </w:r>
          </w:p>
        </w:tc>
        <w:tc>
          <w:tcPr>
            <w:tcW w:w="4127" w:type="dxa"/>
            <w:tcBorders>
              <w:top w:val="single" w:sz="4" w:space="0" w:color="auto"/>
              <w:left w:val="single" w:sz="4" w:space="0" w:color="auto"/>
              <w:bottom w:val="single" w:sz="4" w:space="0" w:color="auto"/>
              <w:right w:val="single" w:sz="4" w:space="0" w:color="auto"/>
            </w:tcBorders>
            <w:hideMark/>
          </w:tcPr>
          <w:p w14:paraId="029C668C" w14:textId="77777777" w:rsidR="00590BEF" w:rsidRPr="007202FA" w:rsidRDefault="000B4F21" w:rsidP="007202FA">
            <w:pPr>
              <w:jc w:val="right"/>
              <w:rPr>
                <w:sz w:val="20"/>
                <w:szCs w:val="20"/>
              </w:rPr>
            </w:pPr>
            <w:r>
              <w:rPr>
                <w:rFonts w:cs="Calibri"/>
                <w:color w:val="000000"/>
                <w:sz w:val="20"/>
                <w:szCs w:val="20"/>
                <w:lang w:val="ga"/>
              </w:rPr>
              <w:t>50.6%</w:t>
            </w:r>
          </w:p>
        </w:tc>
      </w:tr>
      <w:tr w:rsidR="00F31303" w14:paraId="75B4A50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557F481" w14:textId="77777777" w:rsidR="00590BEF" w:rsidRPr="007202FA" w:rsidRDefault="000B4F21" w:rsidP="007202FA">
            <w:pPr>
              <w:rPr>
                <w:sz w:val="20"/>
                <w:szCs w:val="20"/>
              </w:rPr>
            </w:pPr>
            <w:r>
              <w:rPr>
                <w:rFonts w:cs="Calibri"/>
                <w:color w:val="000000"/>
                <w:sz w:val="20"/>
                <w:szCs w:val="20"/>
                <w:lang w:val="ga"/>
              </w:rPr>
              <w:t>Córas Iompair Éireann</w:t>
            </w:r>
          </w:p>
        </w:tc>
        <w:tc>
          <w:tcPr>
            <w:tcW w:w="4127" w:type="dxa"/>
            <w:tcBorders>
              <w:top w:val="single" w:sz="4" w:space="0" w:color="auto"/>
              <w:left w:val="single" w:sz="4" w:space="0" w:color="auto"/>
              <w:bottom w:val="single" w:sz="4" w:space="0" w:color="auto"/>
              <w:right w:val="single" w:sz="4" w:space="0" w:color="auto"/>
            </w:tcBorders>
            <w:hideMark/>
          </w:tcPr>
          <w:p w14:paraId="6A4BB6E7" w14:textId="77777777" w:rsidR="00590BEF" w:rsidRPr="007202FA" w:rsidRDefault="000B4F21" w:rsidP="007202FA">
            <w:pPr>
              <w:jc w:val="right"/>
              <w:rPr>
                <w:sz w:val="20"/>
                <w:szCs w:val="20"/>
              </w:rPr>
            </w:pPr>
            <w:r>
              <w:rPr>
                <w:rFonts w:cs="Calibri"/>
                <w:color w:val="000000"/>
                <w:sz w:val="20"/>
                <w:szCs w:val="20"/>
                <w:lang w:val="ga"/>
              </w:rPr>
              <w:t>49.4%</w:t>
            </w:r>
          </w:p>
        </w:tc>
      </w:tr>
      <w:tr w:rsidR="00F31303" w14:paraId="5F6F617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E2C6AC4" w14:textId="77777777" w:rsidR="00590BEF" w:rsidRPr="007202FA" w:rsidRDefault="000B4F21" w:rsidP="007202FA">
            <w:pPr>
              <w:rPr>
                <w:sz w:val="20"/>
                <w:szCs w:val="20"/>
              </w:rPr>
            </w:pPr>
            <w:r>
              <w:rPr>
                <w:rFonts w:cs="Calibri"/>
                <w:color w:val="000000"/>
                <w:sz w:val="20"/>
                <w:szCs w:val="20"/>
                <w:lang w:val="ga"/>
              </w:rPr>
              <w:t>Comhairle Cathrach Chorcaí</w:t>
            </w:r>
          </w:p>
        </w:tc>
        <w:tc>
          <w:tcPr>
            <w:tcW w:w="4127" w:type="dxa"/>
            <w:tcBorders>
              <w:top w:val="single" w:sz="4" w:space="0" w:color="auto"/>
              <w:left w:val="single" w:sz="4" w:space="0" w:color="auto"/>
              <w:bottom w:val="single" w:sz="4" w:space="0" w:color="auto"/>
              <w:right w:val="single" w:sz="4" w:space="0" w:color="auto"/>
            </w:tcBorders>
            <w:hideMark/>
          </w:tcPr>
          <w:p w14:paraId="7908BE09" w14:textId="77777777" w:rsidR="00590BEF" w:rsidRPr="007202FA" w:rsidRDefault="000B4F21" w:rsidP="007202FA">
            <w:pPr>
              <w:jc w:val="right"/>
              <w:rPr>
                <w:sz w:val="20"/>
                <w:szCs w:val="20"/>
              </w:rPr>
            </w:pPr>
            <w:r>
              <w:rPr>
                <w:rFonts w:cs="Calibri"/>
                <w:color w:val="000000"/>
                <w:sz w:val="20"/>
                <w:szCs w:val="20"/>
                <w:lang w:val="ga"/>
              </w:rPr>
              <w:t>5.3%</w:t>
            </w:r>
          </w:p>
        </w:tc>
      </w:tr>
      <w:tr w:rsidR="00F31303" w14:paraId="4844EA3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EFC1349" w14:textId="77777777" w:rsidR="00590BEF" w:rsidRPr="007202FA" w:rsidRDefault="000B4F21" w:rsidP="007202FA">
            <w:pPr>
              <w:rPr>
                <w:sz w:val="20"/>
                <w:szCs w:val="20"/>
              </w:rPr>
            </w:pPr>
            <w:r>
              <w:rPr>
                <w:rFonts w:cs="Calibri"/>
                <w:color w:val="000000"/>
                <w:sz w:val="20"/>
                <w:szCs w:val="20"/>
                <w:lang w:val="ga"/>
              </w:rPr>
              <w:t>Comhairle Contae Chorcaí</w:t>
            </w:r>
          </w:p>
        </w:tc>
        <w:tc>
          <w:tcPr>
            <w:tcW w:w="4127" w:type="dxa"/>
            <w:tcBorders>
              <w:top w:val="single" w:sz="4" w:space="0" w:color="auto"/>
              <w:left w:val="single" w:sz="4" w:space="0" w:color="auto"/>
              <w:bottom w:val="single" w:sz="4" w:space="0" w:color="auto"/>
              <w:right w:val="single" w:sz="4" w:space="0" w:color="auto"/>
            </w:tcBorders>
            <w:hideMark/>
          </w:tcPr>
          <w:p w14:paraId="377CC2AB" w14:textId="77777777" w:rsidR="00590BEF" w:rsidRPr="007202FA" w:rsidRDefault="000B4F21" w:rsidP="007202FA">
            <w:pPr>
              <w:jc w:val="right"/>
              <w:rPr>
                <w:sz w:val="20"/>
                <w:szCs w:val="20"/>
              </w:rPr>
            </w:pPr>
            <w:r>
              <w:rPr>
                <w:rFonts w:cs="Calibri"/>
                <w:color w:val="000000"/>
                <w:sz w:val="20"/>
                <w:szCs w:val="20"/>
                <w:lang w:val="ga"/>
              </w:rPr>
              <w:t>33.8%</w:t>
            </w:r>
          </w:p>
        </w:tc>
      </w:tr>
      <w:tr w:rsidR="00F31303" w14:paraId="0D1F750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6DA46DB" w14:textId="77777777" w:rsidR="00590BEF" w:rsidRPr="007202FA" w:rsidRDefault="000B4F21" w:rsidP="007202FA">
            <w:pPr>
              <w:rPr>
                <w:sz w:val="20"/>
                <w:szCs w:val="20"/>
              </w:rPr>
            </w:pPr>
            <w:r>
              <w:rPr>
                <w:rFonts w:cs="Calibri"/>
                <w:color w:val="000000"/>
                <w:sz w:val="20"/>
                <w:szCs w:val="20"/>
                <w:lang w:val="ga"/>
              </w:rPr>
              <w:t>Seirbhís Chúirteanna na hÉireann</w:t>
            </w:r>
          </w:p>
        </w:tc>
        <w:tc>
          <w:tcPr>
            <w:tcW w:w="4127" w:type="dxa"/>
            <w:tcBorders>
              <w:top w:val="single" w:sz="4" w:space="0" w:color="auto"/>
              <w:left w:val="single" w:sz="4" w:space="0" w:color="auto"/>
              <w:bottom w:val="single" w:sz="4" w:space="0" w:color="auto"/>
              <w:right w:val="single" w:sz="4" w:space="0" w:color="auto"/>
            </w:tcBorders>
            <w:hideMark/>
          </w:tcPr>
          <w:p w14:paraId="4EDCF13C" w14:textId="77777777" w:rsidR="00590BEF" w:rsidRPr="007202FA" w:rsidRDefault="000B4F21" w:rsidP="007202FA">
            <w:pPr>
              <w:jc w:val="right"/>
              <w:rPr>
                <w:sz w:val="20"/>
                <w:szCs w:val="20"/>
              </w:rPr>
            </w:pPr>
            <w:r>
              <w:rPr>
                <w:rFonts w:cs="Calibri"/>
                <w:color w:val="000000"/>
                <w:sz w:val="20"/>
                <w:szCs w:val="20"/>
                <w:lang w:val="ga"/>
              </w:rPr>
              <w:t>64.0%</w:t>
            </w:r>
          </w:p>
        </w:tc>
      </w:tr>
      <w:tr w:rsidR="00F31303" w14:paraId="070B273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ADA1691" w14:textId="77777777" w:rsidR="00590BEF" w:rsidRPr="007202FA" w:rsidRDefault="000B4F21" w:rsidP="007202FA">
            <w:pPr>
              <w:rPr>
                <w:sz w:val="20"/>
                <w:szCs w:val="20"/>
              </w:rPr>
            </w:pPr>
            <w:r>
              <w:rPr>
                <w:rFonts w:cs="Calibri"/>
                <w:color w:val="000000"/>
                <w:sz w:val="20"/>
                <w:szCs w:val="20"/>
                <w:lang w:val="ga"/>
              </w:rPr>
              <w:t>Cuan</w:t>
            </w:r>
            <w:r>
              <w:rPr>
                <w:rStyle w:val="FootnoteReference"/>
                <w:rFonts w:cs="Calibri"/>
                <w:color w:val="000000"/>
                <w:sz w:val="20"/>
                <w:szCs w:val="20"/>
                <w:lang w:val="ga"/>
              </w:rPr>
              <w:footnoteReference w:id="22"/>
            </w:r>
            <w:r>
              <w:rPr>
                <w:rFonts w:cs="Calibri"/>
                <w:color w:val="000000"/>
                <w:sz w:val="20"/>
                <w:szCs w:val="20"/>
                <w:lang w:val="ga"/>
              </w:rPr>
              <w:t xml:space="preserve"> </w:t>
            </w:r>
          </w:p>
        </w:tc>
        <w:tc>
          <w:tcPr>
            <w:tcW w:w="4127" w:type="dxa"/>
            <w:tcBorders>
              <w:top w:val="single" w:sz="4" w:space="0" w:color="auto"/>
              <w:left w:val="single" w:sz="4" w:space="0" w:color="auto"/>
              <w:bottom w:val="single" w:sz="4" w:space="0" w:color="auto"/>
              <w:right w:val="single" w:sz="4" w:space="0" w:color="auto"/>
            </w:tcBorders>
            <w:hideMark/>
          </w:tcPr>
          <w:p w14:paraId="6BA07DE8" w14:textId="77777777" w:rsidR="00590BEF" w:rsidRPr="007202FA" w:rsidRDefault="000B4F21" w:rsidP="007202FA">
            <w:pPr>
              <w:jc w:val="right"/>
              <w:rPr>
                <w:sz w:val="20"/>
                <w:szCs w:val="20"/>
              </w:rPr>
            </w:pPr>
            <w:r>
              <w:rPr>
                <w:rFonts w:cs="Calibri"/>
                <w:color w:val="000000"/>
                <w:sz w:val="20"/>
                <w:szCs w:val="20"/>
                <w:lang w:val="ga"/>
              </w:rPr>
              <w:t>34.6%</w:t>
            </w:r>
          </w:p>
        </w:tc>
      </w:tr>
      <w:tr w:rsidR="00F31303" w14:paraId="5B5E17E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1EB4AA8" w14:textId="77777777" w:rsidR="00590BEF" w:rsidRPr="007202FA" w:rsidRDefault="000B4F21" w:rsidP="007202FA">
            <w:pPr>
              <w:rPr>
                <w:sz w:val="20"/>
                <w:szCs w:val="20"/>
              </w:rPr>
            </w:pPr>
            <w:r>
              <w:rPr>
                <w:rFonts w:cs="Calibri"/>
                <w:color w:val="000000"/>
                <w:sz w:val="20"/>
                <w:szCs w:val="20"/>
                <w:lang w:val="ga"/>
              </w:rPr>
              <w:t>Údarás Aerfort Bhaile Átha Cliath cpt</w:t>
            </w:r>
          </w:p>
        </w:tc>
        <w:tc>
          <w:tcPr>
            <w:tcW w:w="4127" w:type="dxa"/>
            <w:tcBorders>
              <w:top w:val="single" w:sz="4" w:space="0" w:color="auto"/>
              <w:left w:val="single" w:sz="4" w:space="0" w:color="auto"/>
              <w:bottom w:val="single" w:sz="4" w:space="0" w:color="auto"/>
              <w:right w:val="single" w:sz="4" w:space="0" w:color="auto"/>
            </w:tcBorders>
            <w:hideMark/>
          </w:tcPr>
          <w:p w14:paraId="4A9BF04A" w14:textId="77777777" w:rsidR="00590BEF" w:rsidRPr="007202FA" w:rsidRDefault="000B4F21" w:rsidP="007202FA">
            <w:pPr>
              <w:jc w:val="right"/>
              <w:rPr>
                <w:sz w:val="20"/>
                <w:szCs w:val="20"/>
              </w:rPr>
            </w:pPr>
            <w:r>
              <w:rPr>
                <w:rFonts w:cs="Calibri"/>
                <w:color w:val="000000"/>
                <w:sz w:val="20"/>
                <w:szCs w:val="20"/>
                <w:lang w:val="ga"/>
              </w:rPr>
              <w:t>29.5%</w:t>
            </w:r>
          </w:p>
        </w:tc>
      </w:tr>
      <w:tr w:rsidR="00F31303" w14:paraId="47E26F4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3C6FA24" w14:textId="77777777" w:rsidR="00590BEF" w:rsidRPr="007202FA" w:rsidRDefault="000B4F21" w:rsidP="007202FA">
            <w:pPr>
              <w:rPr>
                <w:sz w:val="20"/>
                <w:szCs w:val="20"/>
              </w:rPr>
            </w:pPr>
            <w:r>
              <w:rPr>
                <w:rFonts w:cs="Calibri"/>
                <w:color w:val="000000"/>
                <w:sz w:val="20"/>
                <w:szCs w:val="20"/>
                <w:lang w:val="ga"/>
              </w:rPr>
              <w:lastRenderedPageBreak/>
              <w:t>An Roinn Leanaí, Comhionannais, Míchumais, Lánpháirtíochta agus Óige</w:t>
            </w:r>
          </w:p>
        </w:tc>
        <w:tc>
          <w:tcPr>
            <w:tcW w:w="4127" w:type="dxa"/>
            <w:tcBorders>
              <w:top w:val="single" w:sz="4" w:space="0" w:color="auto"/>
              <w:left w:val="single" w:sz="4" w:space="0" w:color="auto"/>
              <w:bottom w:val="single" w:sz="4" w:space="0" w:color="auto"/>
              <w:right w:val="single" w:sz="4" w:space="0" w:color="auto"/>
            </w:tcBorders>
            <w:hideMark/>
          </w:tcPr>
          <w:p w14:paraId="43770408" w14:textId="77777777" w:rsidR="00590BEF" w:rsidRPr="007202FA" w:rsidRDefault="000B4F21" w:rsidP="007202FA">
            <w:pPr>
              <w:jc w:val="right"/>
              <w:rPr>
                <w:sz w:val="20"/>
                <w:szCs w:val="20"/>
              </w:rPr>
            </w:pPr>
            <w:r>
              <w:rPr>
                <w:rFonts w:cs="Calibri"/>
                <w:color w:val="000000"/>
                <w:sz w:val="20"/>
                <w:szCs w:val="20"/>
                <w:lang w:val="ga"/>
              </w:rPr>
              <w:t>34.7%</w:t>
            </w:r>
          </w:p>
        </w:tc>
      </w:tr>
      <w:tr w:rsidR="00F31303" w14:paraId="4326F81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4D42F31" w14:textId="77777777" w:rsidR="00590BEF" w:rsidRPr="007202FA" w:rsidRDefault="000B4F21" w:rsidP="007202FA">
            <w:pPr>
              <w:rPr>
                <w:sz w:val="20"/>
                <w:szCs w:val="20"/>
              </w:rPr>
            </w:pPr>
            <w:r>
              <w:rPr>
                <w:rFonts w:cs="Calibri"/>
                <w:color w:val="000000"/>
                <w:sz w:val="20"/>
                <w:szCs w:val="20"/>
                <w:lang w:val="ga"/>
              </w:rPr>
              <w:t>An Roinn Oideachais</w:t>
            </w:r>
          </w:p>
        </w:tc>
        <w:tc>
          <w:tcPr>
            <w:tcW w:w="4127" w:type="dxa"/>
            <w:tcBorders>
              <w:top w:val="single" w:sz="4" w:space="0" w:color="auto"/>
              <w:left w:val="single" w:sz="4" w:space="0" w:color="auto"/>
              <w:bottom w:val="single" w:sz="4" w:space="0" w:color="auto"/>
              <w:right w:val="single" w:sz="4" w:space="0" w:color="auto"/>
            </w:tcBorders>
            <w:hideMark/>
          </w:tcPr>
          <w:p w14:paraId="6B234550" w14:textId="77777777" w:rsidR="00590BEF" w:rsidRPr="007202FA" w:rsidRDefault="000B4F21" w:rsidP="007202FA">
            <w:pPr>
              <w:jc w:val="right"/>
              <w:rPr>
                <w:sz w:val="20"/>
                <w:szCs w:val="20"/>
              </w:rPr>
            </w:pPr>
            <w:r>
              <w:rPr>
                <w:rFonts w:cs="Calibri"/>
                <w:color w:val="000000"/>
                <w:sz w:val="20"/>
                <w:szCs w:val="20"/>
                <w:lang w:val="ga"/>
              </w:rPr>
              <w:t>26.6%</w:t>
            </w:r>
          </w:p>
        </w:tc>
      </w:tr>
      <w:tr w:rsidR="00F31303" w14:paraId="392B50C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9083EBB" w14:textId="77777777" w:rsidR="00590BEF" w:rsidRPr="007202FA" w:rsidRDefault="000B4F21" w:rsidP="007202FA">
            <w:pPr>
              <w:rPr>
                <w:sz w:val="20"/>
                <w:szCs w:val="20"/>
              </w:rPr>
            </w:pPr>
            <w:r>
              <w:rPr>
                <w:rFonts w:cs="Calibri"/>
                <w:color w:val="000000"/>
                <w:sz w:val="20"/>
                <w:szCs w:val="20"/>
                <w:lang w:val="ga"/>
              </w:rPr>
              <w:t>An Roinn Fiontar, Trádála agus Fostaíochta</w:t>
            </w:r>
          </w:p>
        </w:tc>
        <w:tc>
          <w:tcPr>
            <w:tcW w:w="4127" w:type="dxa"/>
            <w:tcBorders>
              <w:top w:val="single" w:sz="4" w:space="0" w:color="auto"/>
              <w:left w:val="single" w:sz="4" w:space="0" w:color="auto"/>
              <w:bottom w:val="single" w:sz="4" w:space="0" w:color="auto"/>
              <w:right w:val="single" w:sz="4" w:space="0" w:color="auto"/>
            </w:tcBorders>
            <w:hideMark/>
          </w:tcPr>
          <w:p w14:paraId="5C5B647F" w14:textId="77777777" w:rsidR="00590BEF" w:rsidRPr="007202FA" w:rsidRDefault="000B4F21" w:rsidP="007202FA">
            <w:pPr>
              <w:jc w:val="right"/>
              <w:rPr>
                <w:sz w:val="20"/>
                <w:szCs w:val="20"/>
              </w:rPr>
            </w:pPr>
            <w:r>
              <w:rPr>
                <w:rFonts w:cs="Calibri"/>
                <w:color w:val="000000"/>
                <w:sz w:val="20"/>
                <w:szCs w:val="20"/>
                <w:lang w:val="ga"/>
              </w:rPr>
              <w:t>23.0%</w:t>
            </w:r>
          </w:p>
        </w:tc>
      </w:tr>
      <w:tr w:rsidR="00F31303" w14:paraId="07F6C21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DC79B31" w14:textId="77777777" w:rsidR="00590BEF" w:rsidRPr="007202FA" w:rsidRDefault="000B4F21" w:rsidP="007202FA">
            <w:pPr>
              <w:rPr>
                <w:sz w:val="20"/>
                <w:szCs w:val="20"/>
              </w:rPr>
            </w:pPr>
            <w:r>
              <w:rPr>
                <w:rFonts w:cs="Calibri"/>
                <w:color w:val="000000"/>
                <w:sz w:val="20"/>
                <w:szCs w:val="20"/>
                <w:lang w:val="ga"/>
              </w:rPr>
              <w:t>An Roinn Airgeadais</w:t>
            </w:r>
          </w:p>
        </w:tc>
        <w:tc>
          <w:tcPr>
            <w:tcW w:w="4127" w:type="dxa"/>
            <w:tcBorders>
              <w:top w:val="single" w:sz="4" w:space="0" w:color="auto"/>
              <w:left w:val="single" w:sz="4" w:space="0" w:color="auto"/>
              <w:bottom w:val="single" w:sz="4" w:space="0" w:color="auto"/>
              <w:right w:val="single" w:sz="4" w:space="0" w:color="auto"/>
            </w:tcBorders>
            <w:hideMark/>
          </w:tcPr>
          <w:p w14:paraId="7D999504" w14:textId="77777777" w:rsidR="00590BEF" w:rsidRPr="007202FA" w:rsidRDefault="000B4F21" w:rsidP="007202FA">
            <w:pPr>
              <w:jc w:val="right"/>
              <w:rPr>
                <w:sz w:val="20"/>
                <w:szCs w:val="20"/>
              </w:rPr>
            </w:pPr>
            <w:r>
              <w:rPr>
                <w:rFonts w:cs="Calibri"/>
                <w:color w:val="000000"/>
                <w:sz w:val="20"/>
                <w:szCs w:val="20"/>
                <w:lang w:val="ga"/>
              </w:rPr>
              <w:t>54.4%</w:t>
            </w:r>
          </w:p>
        </w:tc>
      </w:tr>
      <w:tr w:rsidR="00F31303" w14:paraId="1B59F8B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080240D" w14:textId="77777777" w:rsidR="00590BEF" w:rsidRPr="007202FA" w:rsidRDefault="000B4F21" w:rsidP="007202FA">
            <w:pPr>
              <w:rPr>
                <w:sz w:val="20"/>
                <w:szCs w:val="20"/>
              </w:rPr>
            </w:pPr>
            <w:r>
              <w:rPr>
                <w:rFonts w:cs="Calibri"/>
                <w:color w:val="000000"/>
                <w:sz w:val="20"/>
                <w:szCs w:val="20"/>
                <w:lang w:val="ga"/>
              </w:rPr>
              <w:t xml:space="preserve">An Roinn Breisoideachais agus Ardoideachais, Taighde, Nuálaíochta agus Eolaíochta </w:t>
            </w:r>
          </w:p>
        </w:tc>
        <w:tc>
          <w:tcPr>
            <w:tcW w:w="4127" w:type="dxa"/>
            <w:tcBorders>
              <w:top w:val="single" w:sz="4" w:space="0" w:color="auto"/>
              <w:left w:val="single" w:sz="4" w:space="0" w:color="auto"/>
              <w:bottom w:val="single" w:sz="4" w:space="0" w:color="auto"/>
              <w:right w:val="single" w:sz="4" w:space="0" w:color="auto"/>
            </w:tcBorders>
            <w:hideMark/>
          </w:tcPr>
          <w:p w14:paraId="6EF3D5B2" w14:textId="77777777" w:rsidR="00590BEF" w:rsidRPr="007202FA" w:rsidRDefault="000B4F21" w:rsidP="007202FA">
            <w:pPr>
              <w:jc w:val="right"/>
              <w:rPr>
                <w:sz w:val="20"/>
                <w:szCs w:val="20"/>
              </w:rPr>
            </w:pPr>
            <w:r>
              <w:rPr>
                <w:rFonts w:cs="Calibri"/>
                <w:color w:val="000000"/>
                <w:sz w:val="20"/>
                <w:szCs w:val="20"/>
                <w:lang w:val="ga"/>
              </w:rPr>
              <w:t>48.0%</w:t>
            </w:r>
          </w:p>
        </w:tc>
      </w:tr>
      <w:tr w:rsidR="00F31303" w14:paraId="5BF501A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5A833DD" w14:textId="77777777" w:rsidR="00590BEF" w:rsidRPr="007202FA" w:rsidRDefault="000B4F21" w:rsidP="007202FA">
            <w:pPr>
              <w:rPr>
                <w:sz w:val="20"/>
                <w:szCs w:val="20"/>
              </w:rPr>
            </w:pPr>
            <w:r>
              <w:rPr>
                <w:rFonts w:cs="Calibri"/>
                <w:color w:val="000000"/>
                <w:sz w:val="20"/>
                <w:szCs w:val="20"/>
                <w:lang w:val="ga"/>
              </w:rPr>
              <w:t>An Roinn Sláinte</w:t>
            </w:r>
          </w:p>
        </w:tc>
        <w:tc>
          <w:tcPr>
            <w:tcW w:w="4127" w:type="dxa"/>
            <w:tcBorders>
              <w:top w:val="single" w:sz="4" w:space="0" w:color="auto"/>
              <w:left w:val="single" w:sz="4" w:space="0" w:color="auto"/>
              <w:bottom w:val="single" w:sz="4" w:space="0" w:color="auto"/>
              <w:right w:val="single" w:sz="4" w:space="0" w:color="auto"/>
            </w:tcBorders>
            <w:hideMark/>
          </w:tcPr>
          <w:p w14:paraId="00DA90E3" w14:textId="77777777" w:rsidR="00590BEF" w:rsidRPr="007202FA" w:rsidRDefault="000B4F21" w:rsidP="007202FA">
            <w:pPr>
              <w:jc w:val="right"/>
              <w:rPr>
                <w:sz w:val="20"/>
                <w:szCs w:val="20"/>
              </w:rPr>
            </w:pPr>
            <w:r>
              <w:rPr>
                <w:rFonts w:cs="Calibri"/>
                <w:color w:val="000000"/>
                <w:sz w:val="20"/>
                <w:szCs w:val="20"/>
                <w:lang w:val="ga"/>
              </w:rPr>
              <w:t>42.3%</w:t>
            </w:r>
          </w:p>
        </w:tc>
      </w:tr>
      <w:tr w:rsidR="00F31303" w14:paraId="547B267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14D0516" w14:textId="77777777" w:rsidR="00590BEF" w:rsidRPr="007202FA" w:rsidRDefault="000B4F21" w:rsidP="007202FA">
            <w:pPr>
              <w:rPr>
                <w:sz w:val="20"/>
                <w:szCs w:val="20"/>
              </w:rPr>
            </w:pPr>
            <w:r>
              <w:rPr>
                <w:rFonts w:cs="Calibri"/>
                <w:color w:val="000000"/>
                <w:sz w:val="20"/>
                <w:szCs w:val="20"/>
                <w:lang w:val="ga"/>
              </w:rPr>
              <w:t>An Roinn Tithíochta, Rialtais Áitiúil agus Oidhreachta</w:t>
            </w:r>
          </w:p>
        </w:tc>
        <w:tc>
          <w:tcPr>
            <w:tcW w:w="4127" w:type="dxa"/>
            <w:tcBorders>
              <w:top w:val="single" w:sz="4" w:space="0" w:color="auto"/>
              <w:left w:val="single" w:sz="4" w:space="0" w:color="auto"/>
              <w:bottom w:val="single" w:sz="4" w:space="0" w:color="auto"/>
              <w:right w:val="single" w:sz="4" w:space="0" w:color="auto"/>
            </w:tcBorders>
            <w:hideMark/>
          </w:tcPr>
          <w:p w14:paraId="62C902BE" w14:textId="77777777" w:rsidR="00590BEF" w:rsidRPr="007202FA" w:rsidRDefault="000B4F21" w:rsidP="007202FA">
            <w:pPr>
              <w:jc w:val="right"/>
              <w:rPr>
                <w:sz w:val="20"/>
                <w:szCs w:val="20"/>
              </w:rPr>
            </w:pPr>
            <w:r>
              <w:rPr>
                <w:rFonts w:cs="Calibri"/>
                <w:color w:val="000000"/>
                <w:sz w:val="20"/>
                <w:szCs w:val="20"/>
                <w:lang w:val="ga"/>
              </w:rPr>
              <w:t>37.0%</w:t>
            </w:r>
          </w:p>
        </w:tc>
      </w:tr>
      <w:tr w:rsidR="00F31303" w14:paraId="7CBB494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3805FBB" w14:textId="77777777" w:rsidR="00590BEF" w:rsidRPr="007202FA" w:rsidRDefault="000B4F21" w:rsidP="007202FA">
            <w:pPr>
              <w:rPr>
                <w:sz w:val="20"/>
                <w:szCs w:val="20"/>
              </w:rPr>
            </w:pPr>
            <w:r>
              <w:rPr>
                <w:rFonts w:cs="Calibri"/>
                <w:color w:val="000000"/>
                <w:sz w:val="20"/>
                <w:szCs w:val="20"/>
                <w:lang w:val="ga"/>
              </w:rPr>
              <w:t>An Roinn Dlí agus Cirt</w:t>
            </w:r>
          </w:p>
        </w:tc>
        <w:tc>
          <w:tcPr>
            <w:tcW w:w="4127" w:type="dxa"/>
            <w:tcBorders>
              <w:top w:val="single" w:sz="4" w:space="0" w:color="auto"/>
              <w:left w:val="single" w:sz="4" w:space="0" w:color="auto"/>
              <w:bottom w:val="single" w:sz="4" w:space="0" w:color="auto"/>
              <w:right w:val="single" w:sz="4" w:space="0" w:color="auto"/>
            </w:tcBorders>
            <w:hideMark/>
          </w:tcPr>
          <w:p w14:paraId="3EE54600" w14:textId="77777777" w:rsidR="00590BEF" w:rsidRPr="007202FA" w:rsidRDefault="000B4F21" w:rsidP="007202FA">
            <w:pPr>
              <w:jc w:val="right"/>
              <w:rPr>
                <w:sz w:val="20"/>
                <w:szCs w:val="20"/>
              </w:rPr>
            </w:pPr>
            <w:r>
              <w:rPr>
                <w:rFonts w:cs="Calibri"/>
                <w:color w:val="000000"/>
                <w:sz w:val="20"/>
                <w:szCs w:val="20"/>
                <w:lang w:val="ga"/>
              </w:rPr>
              <w:t>62.8%</w:t>
            </w:r>
          </w:p>
        </w:tc>
      </w:tr>
      <w:tr w:rsidR="00F31303" w14:paraId="1ED76E8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7F67252" w14:textId="77777777" w:rsidR="00590BEF" w:rsidRPr="007202FA" w:rsidRDefault="000B4F21" w:rsidP="007202FA">
            <w:pPr>
              <w:rPr>
                <w:sz w:val="20"/>
                <w:szCs w:val="20"/>
              </w:rPr>
            </w:pPr>
            <w:r>
              <w:rPr>
                <w:rFonts w:cs="Calibri"/>
                <w:color w:val="000000"/>
                <w:sz w:val="20"/>
                <w:szCs w:val="20"/>
                <w:lang w:val="ga"/>
              </w:rPr>
              <w:t>An Roinn Caiteachais Phoiblí, Seachadta ar an bPlean Forbartha Náisiúnta, agus Athchóirithe</w:t>
            </w:r>
          </w:p>
        </w:tc>
        <w:tc>
          <w:tcPr>
            <w:tcW w:w="4127" w:type="dxa"/>
            <w:tcBorders>
              <w:top w:val="single" w:sz="4" w:space="0" w:color="auto"/>
              <w:left w:val="single" w:sz="4" w:space="0" w:color="auto"/>
              <w:bottom w:val="single" w:sz="4" w:space="0" w:color="auto"/>
              <w:right w:val="single" w:sz="4" w:space="0" w:color="auto"/>
            </w:tcBorders>
            <w:hideMark/>
          </w:tcPr>
          <w:p w14:paraId="048C8BAF" w14:textId="77777777" w:rsidR="00590BEF" w:rsidRPr="007202FA" w:rsidRDefault="000B4F21" w:rsidP="007202FA">
            <w:pPr>
              <w:jc w:val="right"/>
              <w:rPr>
                <w:sz w:val="20"/>
                <w:szCs w:val="20"/>
              </w:rPr>
            </w:pPr>
            <w:r>
              <w:rPr>
                <w:rFonts w:cs="Calibri"/>
                <w:color w:val="000000"/>
                <w:sz w:val="20"/>
                <w:szCs w:val="20"/>
                <w:lang w:val="ga"/>
              </w:rPr>
              <w:t>45.4%</w:t>
            </w:r>
          </w:p>
        </w:tc>
      </w:tr>
      <w:tr w:rsidR="00F31303" w14:paraId="5459D68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9B7DC20" w14:textId="77777777" w:rsidR="00590BEF" w:rsidRPr="007202FA" w:rsidRDefault="000B4F21" w:rsidP="007202FA">
            <w:pPr>
              <w:rPr>
                <w:sz w:val="20"/>
                <w:szCs w:val="20"/>
              </w:rPr>
            </w:pPr>
            <w:r>
              <w:rPr>
                <w:rFonts w:cs="Calibri"/>
                <w:color w:val="000000"/>
                <w:sz w:val="20"/>
                <w:szCs w:val="20"/>
                <w:lang w:val="ga"/>
              </w:rPr>
              <w:t>An Roinn Forbartha Tuaithe agus Pobail</w:t>
            </w:r>
          </w:p>
        </w:tc>
        <w:tc>
          <w:tcPr>
            <w:tcW w:w="4127" w:type="dxa"/>
            <w:tcBorders>
              <w:top w:val="single" w:sz="4" w:space="0" w:color="auto"/>
              <w:left w:val="single" w:sz="4" w:space="0" w:color="auto"/>
              <w:bottom w:val="single" w:sz="4" w:space="0" w:color="auto"/>
              <w:right w:val="single" w:sz="4" w:space="0" w:color="auto"/>
            </w:tcBorders>
            <w:hideMark/>
          </w:tcPr>
          <w:p w14:paraId="2D84A279" w14:textId="77777777" w:rsidR="00590BEF" w:rsidRPr="007202FA" w:rsidRDefault="000B4F21" w:rsidP="007202FA">
            <w:pPr>
              <w:jc w:val="right"/>
              <w:rPr>
                <w:sz w:val="20"/>
                <w:szCs w:val="20"/>
              </w:rPr>
            </w:pPr>
            <w:r>
              <w:rPr>
                <w:rFonts w:cs="Calibri"/>
                <w:color w:val="000000"/>
                <w:sz w:val="20"/>
                <w:szCs w:val="20"/>
                <w:lang w:val="ga"/>
              </w:rPr>
              <w:t>69.8%</w:t>
            </w:r>
          </w:p>
        </w:tc>
      </w:tr>
      <w:tr w:rsidR="00F31303" w14:paraId="1314EA9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588837E" w14:textId="77777777" w:rsidR="00590BEF" w:rsidRPr="007202FA" w:rsidRDefault="000B4F21" w:rsidP="007202FA">
            <w:pPr>
              <w:rPr>
                <w:sz w:val="20"/>
                <w:szCs w:val="20"/>
              </w:rPr>
            </w:pPr>
            <w:r>
              <w:rPr>
                <w:rFonts w:cs="Calibri"/>
                <w:color w:val="000000"/>
                <w:sz w:val="20"/>
                <w:szCs w:val="20"/>
                <w:lang w:val="ga"/>
              </w:rPr>
              <w:t>An Roinn Coimirce Sóisialaí</w:t>
            </w:r>
          </w:p>
        </w:tc>
        <w:tc>
          <w:tcPr>
            <w:tcW w:w="4127" w:type="dxa"/>
            <w:tcBorders>
              <w:top w:val="single" w:sz="4" w:space="0" w:color="auto"/>
              <w:left w:val="single" w:sz="4" w:space="0" w:color="auto"/>
              <w:bottom w:val="single" w:sz="4" w:space="0" w:color="auto"/>
              <w:right w:val="single" w:sz="4" w:space="0" w:color="auto"/>
            </w:tcBorders>
            <w:hideMark/>
          </w:tcPr>
          <w:p w14:paraId="312928F4" w14:textId="77777777" w:rsidR="00590BEF" w:rsidRPr="007202FA" w:rsidRDefault="000B4F21" w:rsidP="007202FA">
            <w:pPr>
              <w:jc w:val="right"/>
              <w:rPr>
                <w:sz w:val="20"/>
                <w:szCs w:val="20"/>
              </w:rPr>
            </w:pPr>
            <w:r>
              <w:rPr>
                <w:rFonts w:cs="Calibri"/>
                <w:color w:val="000000"/>
                <w:sz w:val="20"/>
                <w:szCs w:val="20"/>
                <w:lang w:val="ga"/>
              </w:rPr>
              <w:t>42.3%</w:t>
            </w:r>
          </w:p>
        </w:tc>
      </w:tr>
      <w:tr w:rsidR="00F31303" w14:paraId="581A2AB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47957F0" w14:textId="77777777" w:rsidR="00590BEF" w:rsidRPr="007202FA" w:rsidRDefault="000B4F21" w:rsidP="007202FA">
            <w:pPr>
              <w:rPr>
                <w:sz w:val="20"/>
                <w:szCs w:val="20"/>
              </w:rPr>
            </w:pPr>
            <w:r>
              <w:rPr>
                <w:rFonts w:cs="Calibri"/>
                <w:color w:val="000000"/>
                <w:sz w:val="20"/>
                <w:szCs w:val="20"/>
                <w:lang w:val="ga"/>
              </w:rPr>
              <w:t>An Roinn Comhshaoil, Aeráide agus Cumarsáide</w:t>
            </w:r>
          </w:p>
        </w:tc>
        <w:tc>
          <w:tcPr>
            <w:tcW w:w="4127" w:type="dxa"/>
            <w:tcBorders>
              <w:top w:val="single" w:sz="4" w:space="0" w:color="auto"/>
              <w:left w:val="single" w:sz="4" w:space="0" w:color="auto"/>
              <w:bottom w:val="single" w:sz="4" w:space="0" w:color="auto"/>
              <w:right w:val="single" w:sz="4" w:space="0" w:color="auto"/>
            </w:tcBorders>
            <w:hideMark/>
          </w:tcPr>
          <w:p w14:paraId="5E2F4FED" w14:textId="77777777" w:rsidR="00590BEF" w:rsidRPr="007202FA" w:rsidRDefault="000B4F21" w:rsidP="007202FA">
            <w:pPr>
              <w:jc w:val="right"/>
              <w:rPr>
                <w:sz w:val="20"/>
                <w:szCs w:val="20"/>
              </w:rPr>
            </w:pPr>
            <w:r>
              <w:rPr>
                <w:rFonts w:cs="Calibri"/>
                <w:color w:val="000000"/>
                <w:sz w:val="20"/>
                <w:szCs w:val="20"/>
                <w:lang w:val="ga"/>
              </w:rPr>
              <w:t>53.0%</w:t>
            </w:r>
          </w:p>
        </w:tc>
      </w:tr>
      <w:tr w:rsidR="00F31303" w14:paraId="1046D61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EE56C5E" w14:textId="77777777" w:rsidR="00590BEF" w:rsidRPr="007202FA" w:rsidRDefault="000B4F21" w:rsidP="007202FA">
            <w:pPr>
              <w:rPr>
                <w:sz w:val="20"/>
                <w:szCs w:val="20"/>
              </w:rPr>
            </w:pPr>
            <w:r>
              <w:rPr>
                <w:rFonts w:cs="Calibri"/>
                <w:color w:val="000000"/>
                <w:sz w:val="20"/>
                <w:szCs w:val="20"/>
                <w:lang w:val="ga"/>
              </w:rPr>
              <w:t>Roinn an Taoisigh</w:t>
            </w:r>
          </w:p>
        </w:tc>
        <w:tc>
          <w:tcPr>
            <w:tcW w:w="4127" w:type="dxa"/>
            <w:tcBorders>
              <w:top w:val="single" w:sz="4" w:space="0" w:color="auto"/>
              <w:left w:val="single" w:sz="4" w:space="0" w:color="auto"/>
              <w:bottom w:val="single" w:sz="4" w:space="0" w:color="auto"/>
              <w:right w:val="single" w:sz="4" w:space="0" w:color="auto"/>
            </w:tcBorders>
            <w:hideMark/>
          </w:tcPr>
          <w:p w14:paraId="427B53B3" w14:textId="77777777" w:rsidR="00590BEF" w:rsidRPr="007202FA" w:rsidRDefault="000B4F21" w:rsidP="007202FA">
            <w:pPr>
              <w:jc w:val="right"/>
              <w:rPr>
                <w:sz w:val="20"/>
                <w:szCs w:val="20"/>
              </w:rPr>
            </w:pPr>
            <w:r>
              <w:rPr>
                <w:rFonts w:cs="Calibri"/>
                <w:color w:val="000000"/>
                <w:sz w:val="20"/>
                <w:szCs w:val="20"/>
                <w:lang w:val="ga"/>
              </w:rPr>
              <w:t>46.7%</w:t>
            </w:r>
          </w:p>
        </w:tc>
      </w:tr>
      <w:tr w:rsidR="00F31303" w14:paraId="6800350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890F972" w14:textId="77777777" w:rsidR="00590BEF" w:rsidRPr="007202FA" w:rsidRDefault="000B4F21" w:rsidP="007202FA">
            <w:pPr>
              <w:rPr>
                <w:sz w:val="20"/>
                <w:szCs w:val="20"/>
              </w:rPr>
            </w:pPr>
            <w:r>
              <w:rPr>
                <w:rFonts w:cs="Calibri"/>
                <w:color w:val="000000"/>
                <w:sz w:val="20"/>
                <w:szCs w:val="20"/>
                <w:lang w:val="ga"/>
              </w:rPr>
              <w:t>An Roinn Turasóireachta, Cultúir, Ealaíon, Gaeltachta, Spóirt agus Meán</w:t>
            </w:r>
          </w:p>
        </w:tc>
        <w:tc>
          <w:tcPr>
            <w:tcW w:w="4127" w:type="dxa"/>
            <w:tcBorders>
              <w:top w:val="single" w:sz="4" w:space="0" w:color="auto"/>
              <w:left w:val="single" w:sz="4" w:space="0" w:color="auto"/>
              <w:bottom w:val="single" w:sz="4" w:space="0" w:color="auto"/>
              <w:right w:val="single" w:sz="4" w:space="0" w:color="auto"/>
            </w:tcBorders>
            <w:hideMark/>
          </w:tcPr>
          <w:p w14:paraId="3CBE34E6" w14:textId="77777777" w:rsidR="00590BEF" w:rsidRPr="007202FA" w:rsidRDefault="000B4F21" w:rsidP="007202FA">
            <w:pPr>
              <w:jc w:val="right"/>
              <w:rPr>
                <w:sz w:val="20"/>
                <w:szCs w:val="20"/>
              </w:rPr>
            </w:pPr>
            <w:r>
              <w:rPr>
                <w:rFonts w:cs="Calibri"/>
                <w:color w:val="000000"/>
                <w:sz w:val="20"/>
                <w:szCs w:val="20"/>
                <w:lang w:val="ga"/>
              </w:rPr>
              <w:t>67.7%</w:t>
            </w:r>
          </w:p>
        </w:tc>
      </w:tr>
      <w:tr w:rsidR="00F31303" w14:paraId="35A69D8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AFED602" w14:textId="77777777" w:rsidR="00590BEF" w:rsidRPr="007202FA" w:rsidRDefault="000B4F21" w:rsidP="007202FA">
            <w:pPr>
              <w:rPr>
                <w:sz w:val="20"/>
                <w:szCs w:val="20"/>
              </w:rPr>
            </w:pPr>
            <w:r>
              <w:rPr>
                <w:rFonts w:cs="Calibri"/>
                <w:color w:val="000000"/>
                <w:sz w:val="20"/>
                <w:szCs w:val="20"/>
                <w:lang w:val="ga"/>
              </w:rPr>
              <w:t>An Roinn Iompair</w:t>
            </w:r>
          </w:p>
        </w:tc>
        <w:tc>
          <w:tcPr>
            <w:tcW w:w="4127" w:type="dxa"/>
            <w:tcBorders>
              <w:top w:val="single" w:sz="4" w:space="0" w:color="auto"/>
              <w:left w:val="single" w:sz="4" w:space="0" w:color="auto"/>
              <w:bottom w:val="single" w:sz="4" w:space="0" w:color="auto"/>
              <w:right w:val="single" w:sz="4" w:space="0" w:color="auto"/>
            </w:tcBorders>
            <w:hideMark/>
          </w:tcPr>
          <w:p w14:paraId="4D64F8B9" w14:textId="77777777" w:rsidR="00590BEF" w:rsidRPr="007202FA" w:rsidRDefault="000B4F21" w:rsidP="007202FA">
            <w:pPr>
              <w:jc w:val="right"/>
              <w:rPr>
                <w:sz w:val="20"/>
                <w:szCs w:val="20"/>
              </w:rPr>
            </w:pPr>
            <w:r>
              <w:rPr>
                <w:rFonts w:cs="Calibri"/>
                <w:color w:val="000000"/>
                <w:sz w:val="20"/>
                <w:szCs w:val="20"/>
                <w:lang w:val="ga"/>
              </w:rPr>
              <w:t>29.9%</w:t>
            </w:r>
          </w:p>
        </w:tc>
      </w:tr>
      <w:tr w:rsidR="00F31303" w14:paraId="514B8E5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3F7544F" w14:textId="77777777" w:rsidR="00590BEF" w:rsidRPr="007202FA" w:rsidRDefault="000B4F21" w:rsidP="007202FA">
            <w:pPr>
              <w:rPr>
                <w:sz w:val="20"/>
                <w:szCs w:val="20"/>
              </w:rPr>
            </w:pPr>
            <w:r>
              <w:rPr>
                <w:rFonts w:cs="Calibri"/>
                <w:color w:val="000000"/>
                <w:sz w:val="20"/>
                <w:szCs w:val="20"/>
                <w:lang w:val="ga"/>
              </w:rPr>
              <w:t>Ospidéal Ollscoile Déidliachta Bhaile Átha Cliath</w:t>
            </w:r>
          </w:p>
        </w:tc>
        <w:tc>
          <w:tcPr>
            <w:tcW w:w="4127" w:type="dxa"/>
            <w:tcBorders>
              <w:top w:val="single" w:sz="4" w:space="0" w:color="auto"/>
              <w:left w:val="single" w:sz="4" w:space="0" w:color="auto"/>
              <w:bottom w:val="single" w:sz="4" w:space="0" w:color="auto"/>
              <w:right w:val="single" w:sz="4" w:space="0" w:color="auto"/>
            </w:tcBorders>
            <w:hideMark/>
          </w:tcPr>
          <w:p w14:paraId="526A40FA" w14:textId="77777777" w:rsidR="00590BEF" w:rsidRPr="007202FA" w:rsidRDefault="000B4F21" w:rsidP="007202FA">
            <w:pPr>
              <w:jc w:val="right"/>
              <w:rPr>
                <w:sz w:val="20"/>
                <w:szCs w:val="20"/>
              </w:rPr>
            </w:pPr>
            <w:r>
              <w:rPr>
                <w:rFonts w:cs="Calibri"/>
                <w:color w:val="000000"/>
                <w:sz w:val="20"/>
                <w:szCs w:val="20"/>
                <w:lang w:val="ga"/>
              </w:rPr>
              <w:t>51.7%</w:t>
            </w:r>
          </w:p>
        </w:tc>
      </w:tr>
      <w:tr w:rsidR="00F31303" w14:paraId="36B8609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AA05913" w14:textId="77777777" w:rsidR="00590BEF" w:rsidRPr="007202FA" w:rsidRDefault="000B4F21" w:rsidP="007202FA">
            <w:pPr>
              <w:rPr>
                <w:sz w:val="20"/>
                <w:szCs w:val="20"/>
              </w:rPr>
            </w:pPr>
            <w:r>
              <w:rPr>
                <w:rFonts w:cs="Calibri"/>
                <w:color w:val="000000"/>
                <w:sz w:val="20"/>
                <w:szCs w:val="20"/>
                <w:lang w:val="ga"/>
              </w:rPr>
              <w:t>Cuideachta Poirt Bhaile Átha Cliath</w:t>
            </w:r>
          </w:p>
        </w:tc>
        <w:tc>
          <w:tcPr>
            <w:tcW w:w="4127" w:type="dxa"/>
            <w:tcBorders>
              <w:top w:val="single" w:sz="4" w:space="0" w:color="auto"/>
              <w:left w:val="single" w:sz="4" w:space="0" w:color="auto"/>
              <w:bottom w:val="single" w:sz="4" w:space="0" w:color="auto"/>
              <w:right w:val="single" w:sz="4" w:space="0" w:color="auto"/>
            </w:tcBorders>
            <w:hideMark/>
          </w:tcPr>
          <w:p w14:paraId="548613F4" w14:textId="77777777" w:rsidR="00590BEF" w:rsidRPr="007202FA" w:rsidRDefault="000B4F21" w:rsidP="007202FA">
            <w:pPr>
              <w:jc w:val="right"/>
              <w:rPr>
                <w:sz w:val="20"/>
                <w:szCs w:val="20"/>
              </w:rPr>
            </w:pPr>
            <w:r>
              <w:rPr>
                <w:rFonts w:cs="Calibri"/>
                <w:color w:val="000000"/>
                <w:sz w:val="20"/>
                <w:szCs w:val="20"/>
                <w:lang w:val="ga"/>
              </w:rPr>
              <w:t>63.3%</w:t>
            </w:r>
          </w:p>
        </w:tc>
      </w:tr>
      <w:tr w:rsidR="00F31303" w14:paraId="6E0733F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A5F533B" w14:textId="77777777" w:rsidR="00590BEF" w:rsidRPr="007202FA" w:rsidRDefault="000B4F21" w:rsidP="007202FA">
            <w:pPr>
              <w:rPr>
                <w:sz w:val="20"/>
                <w:szCs w:val="20"/>
              </w:rPr>
            </w:pPr>
            <w:r>
              <w:rPr>
                <w:rFonts w:cs="Calibri"/>
                <w:color w:val="000000"/>
                <w:sz w:val="20"/>
                <w:szCs w:val="20"/>
                <w:lang w:val="ga"/>
              </w:rPr>
              <w:t>Institiúid Ealaíne, Deartha agus Teicneolaíochta Dhún Laoghaire</w:t>
            </w:r>
          </w:p>
        </w:tc>
        <w:tc>
          <w:tcPr>
            <w:tcW w:w="4127" w:type="dxa"/>
            <w:tcBorders>
              <w:top w:val="single" w:sz="4" w:space="0" w:color="auto"/>
              <w:left w:val="single" w:sz="4" w:space="0" w:color="auto"/>
              <w:bottom w:val="single" w:sz="4" w:space="0" w:color="auto"/>
              <w:right w:val="single" w:sz="4" w:space="0" w:color="auto"/>
            </w:tcBorders>
            <w:hideMark/>
          </w:tcPr>
          <w:p w14:paraId="1608E35D" w14:textId="77777777" w:rsidR="00590BEF" w:rsidRPr="007202FA" w:rsidRDefault="000B4F21" w:rsidP="007202FA">
            <w:pPr>
              <w:jc w:val="right"/>
              <w:rPr>
                <w:sz w:val="20"/>
                <w:szCs w:val="20"/>
              </w:rPr>
            </w:pPr>
            <w:r>
              <w:rPr>
                <w:rFonts w:cs="Calibri"/>
                <w:color w:val="000000"/>
                <w:sz w:val="20"/>
                <w:szCs w:val="20"/>
                <w:lang w:val="ga"/>
              </w:rPr>
              <w:t>32.6%</w:t>
            </w:r>
          </w:p>
        </w:tc>
      </w:tr>
      <w:tr w:rsidR="00F31303" w14:paraId="3D506C5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56141A8" w14:textId="77777777" w:rsidR="00590BEF" w:rsidRPr="007202FA" w:rsidRDefault="000B4F21" w:rsidP="007202FA">
            <w:pPr>
              <w:rPr>
                <w:sz w:val="20"/>
                <w:szCs w:val="20"/>
              </w:rPr>
            </w:pPr>
            <w:r>
              <w:rPr>
                <w:rFonts w:cs="Calibri"/>
                <w:color w:val="000000"/>
                <w:sz w:val="20"/>
                <w:szCs w:val="20"/>
                <w:lang w:val="ga"/>
              </w:rPr>
              <w:t>Comhairle Contae Dhún Laoghaire-Ráth an Dúin</w:t>
            </w:r>
          </w:p>
        </w:tc>
        <w:tc>
          <w:tcPr>
            <w:tcW w:w="4127" w:type="dxa"/>
            <w:tcBorders>
              <w:top w:val="single" w:sz="4" w:space="0" w:color="auto"/>
              <w:left w:val="single" w:sz="4" w:space="0" w:color="auto"/>
              <w:bottom w:val="single" w:sz="4" w:space="0" w:color="auto"/>
              <w:right w:val="single" w:sz="4" w:space="0" w:color="auto"/>
            </w:tcBorders>
            <w:hideMark/>
          </w:tcPr>
          <w:p w14:paraId="1F20830E" w14:textId="77777777" w:rsidR="00590BEF" w:rsidRPr="007202FA" w:rsidRDefault="000B4F21" w:rsidP="007202FA">
            <w:pPr>
              <w:jc w:val="right"/>
              <w:rPr>
                <w:sz w:val="20"/>
                <w:szCs w:val="20"/>
              </w:rPr>
            </w:pPr>
            <w:r>
              <w:rPr>
                <w:rFonts w:cs="Calibri"/>
                <w:color w:val="000000"/>
                <w:sz w:val="20"/>
                <w:szCs w:val="20"/>
                <w:lang w:val="ga"/>
              </w:rPr>
              <w:t>33.3%</w:t>
            </w:r>
          </w:p>
        </w:tc>
      </w:tr>
      <w:tr w:rsidR="00F31303" w14:paraId="2818552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158ADDA" w14:textId="77777777" w:rsidR="00590BEF" w:rsidRPr="007202FA" w:rsidRDefault="000B4F21" w:rsidP="007202FA">
            <w:pPr>
              <w:rPr>
                <w:sz w:val="20"/>
                <w:szCs w:val="20"/>
              </w:rPr>
            </w:pPr>
            <w:r>
              <w:rPr>
                <w:rFonts w:cs="Calibri"/>
                <w:color w:val="000000"/>
                <w:sz w:val="20"/>
                <w:szCs w:val="20"/>
                <w:lang w:val="ga"/>
              </w:rPr>
              <w:t>EirGrid cpt</w:t>
            </w:r>
          </w:p>
        </w:tc>
        <w:tc>
          <w:tcPr>
            <w:tcW w:w="4127" w:type="dxa"/>
            <w:tcBorders>
              <w:top w:val="single" w:sz="4" w:space="0" w:color="auto"/>
              <w:left w:val="single" w:sz="4" w:space="0" w:color="auto"/>
              <w:bottom w:val="single" w:sz="4" w:space="0" w:color="auto"/>
              <w:right w:val="single" w:sz="4" w:space="0" w:color="auto"/>
            </w:tcBorders>
            <w:hideMark/>
          </w:tcPr>
          <w:p w14:paraId="52126E25" w14:textId="77777777" w:rsidR="00590BEF" w:rsidRPr="007202FA" w:rsidRDefault="000B4F21" w:rsidP="007202FA">
            <w:pPr>
              <w:jc w:val="right"/>
              <w:rPr>
                <w:sz w:val="20"/>
                <w:szCs w:val="20"/>
              </w:rPr>
            </w:pPr>
            <w:r>
              <w:rPr>
                <w:rFonts w:cs="Calibri"/>
                <w:color w:val="000000"/>
                <w:sz w:val="20"/>
                <w:szCs w:val="20"/>
                <w:lang w:val="ga"/>
              </w:rPr>
              <w:t>54.6%</w:t>
            </w:r>
          </w:p>
        </w:tc>
      </w:tr>
      <w:tr w:rsidR="00F31303" w14:paraId="33DD936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886F56F" w14:textId="77777777" w:rsidR="00590BEF" w:rsidRPr="007202FA" w:rsidRDefault="000B4F21" w:rsidP="007202FA">
            <w:pPr>
              <w:rPr>
                <w:sz w:val="20"/>
                <w:szCs w:val="20"/>
              </w:rPr>
            </w:pPr>
            <w:r>
              <w:rPr>
                <w:rFonts w:cs="Calibri"/>
                <w:color w:val="000000"/>
                <w:sz w:val="20"/>
                <w:szCs w:val="20"/>
                <w:lang w:val="ga"/>
              </w:rPr>
              <w:t>Bord Soláthair an Leictreachais (BSL)</w:t>
            </w:r>
          </w:p>
        </w:tc>
        <w:tc>
          <w:tcPr>
            <w:tcW w:w="4127" w:type="dxa"/>
            <w:tcBorders>
              <w:top w:val="single" w:sz="4" w:space="0" w:color="auto"/>
              <w:left w:val="single" w:sz="4" w:space="0" w:color="auto"/>
              <w:bottom w:val="single" w:sz="4" w:space="0" w:color="auto"/>
              <w:right w:val="single" w:sz="4" w:space="0" w:color="auto"/>
            </w:tcBorders>
            <w:hideMark/>
          </w:tcPr>
          <w:p w14:paraId="7C82755E" w14:textId="77777777" w:rsidR="00590BEF" w:rsidRPr="007202FA" w:rsidRDefault="000B4F21" w:rsidP="007202FA">
            <w:pPr>
              <w:jc w:val="right"/>
              <w:rPr>
                <w:sz w:val="20"/>
                <w:szCs w:val="20"/>
              </w:rPr>
            </w:pPr>
            <w:r>
              <w:rPr>
                <w:rFonts w:cs="Calibri"/>
                <w:color w:val="000000"/>
                <w:sz w:val="20"/>
                <w:szCs w:val="20"/>
                <w:lang w:val="ga"/>
              </w:rPr>
              <w:t>35.4%</w:t>
            </w:r>
          </w:p>
        </w:tc>
      </w:tr>
      <w:tr w:rsidR="00F31303" w14:paraId="1CADB96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66BD05F" w14:textId="77777777" w:rsidR="00590BEF" w:rsidRPr="007202FA" w:rsidRDefault="000B4F21" w:rsidP="007202FA">
            <w:pPr>
              <w:rPr>
                <w:sz w:val="20"/>
                <w:szCs w:val="20"/>
              </w:rPr>
            </w:pPr>
            <w:r>
              <w:rPr>
                <w:rFonts w:cs="Calibri"/>
                <w:color w:val="000000"/>
                <w:sz w:val="20"/>
                <w:szCs w:val="20"/>
                <w:lang w:val="ga"/>
              </w:rPr>
              <w:t>Fiontraíocht Éireann</w:t>
            </w:r>
          </w:p>
        </w:tc>
        <w:tc>
          <w:tcPr>
            <w:tcW w:w="4127" w:type="dxa"/>
            <w:tcBorders>
              <w:top w:val="single" w:sz="4" w:space="0" w:color="auto"/>
              <w:left w:val="single" w:sz="4" w:space="0" w:color="auto"/>
              <w:bottom w:val="single" w:sz="4" w:space="0" w:color="auto"/>
              <w:right w:val="single" w:sz="4" w:space="0" w:color="auto"/>
            </w:tcBorders>
            <w:hideMark/>
          </w:tcPr>
          <w:p w14:paraId="0125A814" w14:textId="77777777" w:rsidR="00590BEF" w:rsidRPr="007202FA" w:rsidRDefault="000B4F21" w:rsidP="007202FA">
            <w:pPr>
              <w:jc w:val="right"/>
              <w:rPr>
                <w:sz w:val="20"/>
                <w:szCs w:val="20"/>
              </w:rPr>
            </w:pPr>
            <w:r>
              <w:rPr>
                <w:rFonts w:cs="Calibri"/>
                <w:color w:val="000000"/>
                <w:sz w:val="20"/>
                <w:szCs w:val="20"/>
                <w:lang w:val="ga"/>
              </w:rPr>
              <w:t>41.2%</w:t>
            </w:r>
          </w:p>
        </w:tc>
      </w:tr>
      <w:tr w:rsidR="00F31303" w14:paraId="386BE9D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FAE1F06" w14:textId="77777777" w:rsidR="00590BEF" w:rsidRPr="007202FA" w:rsidRDefault="000B4F21" w:rsidP="007202FA">
            <w:pPr>
              <w:rPr>
                <w:sz w:val="20"/>
                <w:szCs w:val="20"/>
              </w:rPr>
            </w:pPr>
            <w:r>
              <w:rPr>
                <w:rFonts w:cs="Calibri"/>
                <w:color w:val="000000"/>
                <w:sz w:val="20"/>
                <w:szCs w:val="20"/>
                <w:lang w:val="ga"/>
              </w:rPr>
              <w:t>An Ghníomhaireacht um Chaomhnú Comhshaoil</w:t>
            </w:r>
          </w:p>
        </w:tc>
        <w:tc>
          <w:tcPr>
            <w:tcW w:w="4127" w:type="dxa"/>
            <w:tcBorders>
              <w:top w:val="single" w:sz="4" w:space="0" w:color="auto"/>
              <w:left w:val="single" w:sz="4" w:space="0" w:color="auto"/>
              <w:bottom w:val="single" w:sz="4" w:space="0" w:color="auto"/>
              <w:right w:val="single" w:sz="4" w:space="0" w:color="auto"/>
            </w:tcBorders>
            <w:hideMark/>
          </w:tcPr>
          <w:p w14:paraId="65E90B85" w14:textId="77777777" w:rsidR="00590BEF" w:rsidRPr="007202FA" w:rsidRDefault="000B4F21" w:rsidP="007202FA">
            <w:pPr>
              <w:jc w:val="right"/>
              <w:rPr>
                <w:sz w:val="20"/>
                <w:szCs w:val="20"/>
              </w:rPr>
            </w:pPr>
            <w:r>
              <w:rPr>
                <w:rFonts w:cs="Calibri"/>
                <w:color w:val="000000"/>
                <w:sz w:val="20"/>
                <w:szCs w:val="20"/>
                <w:lang w:val="ga"/>
              </w:rPr>
              <w:t>75.9%</w:t>
            </w:r>
          </w:p>
        </w:tc>
      </w:tr>
      <w:tr w:rsidR="00F31303" w14:paraId="20DC6D4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EF6FF54" w14:textId="77777777" w:rsidR="00590BEF" w:rsidRPr="007202FA" w:rsidRDefault="000B4F21" w:rsidP="007202FA">
            <w:pPr>
              <w:rPr>
                <w:sz w:val="20"/>
                <w:szCs w:val="20"/>
              </w:rPr>
            </w:pPr>
            <w:r>
              <w:rPr>
                <w:rFonts w:cs="Calibri"/>
                <w:color w:val="000000"/>
                <w:sz w:val="20"/>
                <w:szCs w:val="20"/>
                <w:lang w:val="ga"/>
              </w:rPr>
              <w:t>Fáilte Éireann</w:t>
            </w:r>
          </w:p>
        </w:tc>
        <w:tc>
          <w:tcPr>
            <w:tcW w:w="4127" w:type="dxa"/>
            <w:tcBorders>
              <w:top w:val="single" w:sz="4" w:space="0" w:color="auto"/>
              <w:left w:val="single" w:sz="4" w:space="0" w:color="auto"/>
              <w:bottom w:val="single" w:sz="4" w:space="0" w:color="auto"/>
              <w:right w:val="single" w:sz="4" w:space="0" w:color="auto"/>
            </w:tcBorders>
            <w:hideMark/>
          </w:tcPr>
          <w:p w14:paraId="04ADF6A9" w14:textId="77777777" w:rsidR="00590BEF" w:rsidRPr="007202FA" w:rsidRDefault="000B4F21" w:rsidP="007202FA">
            <w:pPr>
              <w:jc w:val="right"/>
              <w:rPr>
                <w:sz w:val="20"/>
                <w:szCs w:val="20"/>
              </w:rPr>
            </w:pPr>
            <w:r>
              <w:rPr>
                <w:rFonts w:cs="Calibri"/>
                <w:color w:val="000000"/>
                <w:sz w:val="20"/>
                <w:szCs w:val="20"/>
                <w:lang w:val="ga"/>
              </w:rPr>
              <w:t>71.4%</w:t>
            </w:r>
          </w:p>
        </w:tc>
      </w:tr>
      <w:tr w:rsidR="00F31303" w14:paraId="327982A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3588233" w14:textId="77777777" w:rsidR="00590BEF" w:rsidRPr="007202FA" w:rsidRDefault="000B4F21" w:rsidP="007202FA">
            <w:pPr>
              <w:rPr>
                <w:sz w:val="20"/>
                <w:szCs w:val="20"/>
              </w:rPr>
            </w:pPr>
            <w:r>
              <w:rPr>
                <w:rFonts w:cs="Calibri"/>
                <w:color w:val="000000"/>
                <w:sz w:val="20"/>
                <w:szCs w:val="20"/>
                <w:lang w:val="ga"/>
              </w:rPr>
              <w:t>Comhairle Contae Fhine Gall</w:t>
            </w:r>
          </w:p>
        </w:tc>
        <w:tc>
          <w:tcPr>
            <w:tcW w:w="4127" w:type="dxa"/>
            <w:tcBorders>
              <w:top w:val="single" w:sz="4" w:space="0" w:color="auto"/>
              <w:left w:val="single" w:sz="4" w:space="0" w:color="auto"/>
              <w:bottom w:val="single" w:sz="4" w:space="0" w:color="auto"/>
              <w:right w:val="single" w:sz="4" w:space="0" w:color="auto"/>
            </w:tcBorders>
            <w:hideMark/>
          </w:tcPr>
          <w:p w14:paraId="3587B6B8" w14:textId="77777777" w:rsidR="00590BEF" w:rsidRPr="007202FA" w:rsidRDefault="000B4F21" w:rsidP="007202FA">
            <w:pPr>
              <w:jc w:val="right"/>
              <w:rPr>
                <w:sz w:val="20"/>
                <w:szCs w:val="20"/>
              </w:rPr>
            </w:pPr>
            <w:r>
              <w:rPr>
                <w:rFonts w:cs="Calibri"/>
                <w:color w:val="000000"/>
                <w:sz w:val="20"/>
                <w:szCs w:val="20"/>
                <w:lang w:val="ga"/>
              </w:rPr>
              <w:t>22.4%</w:t>
            </w:r>
          </w:p>
        </w:tc>
      </w:tr>
      <w:tr w:rsidR="00F31303" w14:paraId="683D237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A969B15" w14:textId="77777777" w:rsidR="00590BEF" w:rsidRPr="007202FA" w:rsidRDefault="000B4F21" w:rsidP="007202FA">
            <w:pPr>
              <w:rPr>
                <w:sz w:val="20"/>
                <w:szCs w:val="20"/>
              </w:rPr>
            </w:pPr>
            <w:r>
              <w:rPr>
                <w:rFonts w:cs="Calibri"/>
                <w:color w:val="000000"/>
                <w:sz w:val="20"/>
                <w:szCs w:val="20"/>
                <w:lang w:val="ga"/>
              </w:rPr>
              <w:t>Foras na Gaeilge</w:t>
            </w:r>
          </w:p>
        </w:tc>
        <w:tc>
          <w:tcPr>
            <w:tcW w:w="4127" w:type="dxa"/>
            <w:tcBorders>
              <w:top w:val="single" w:sz="4" w:space="0" w:color="auto"/>
              <w:left w:val="single" w:sz="4" w:space="0" w:color="auto"/>
              <w:bottom w:val="single" w:sz="4" w:space="0" w:color="auto"/>
              <w:right w:val="single" w:sz="4" w:space="0" w:color="auto"/>
            </w:tcBorders>
            <w:hideMark/>
          </w:tcPr>
          <w:p w14:paraId="7EC860F9" w14:textId="77777777" w:rsidR="00590BEF" w:rsidRPr="007202FA" w:rsidRDefault="000B4F21" w:rsidP="007202FA">
            <w:pPr>
              <w:jc w:val="right"/>
              <w:rPr>
                <w:sz w:val="20"/>
                <w:szCs w:val="20"/>
              </w:rPr>
            </w:pPr>
            <w:r>
              <w:rPr>
                <w:rFonts w:cs="Calibri"/>
                <w:color w:val="000000"/>
                <w:sz w:val="20"/>
                <w:szCs w:val="20"/>
                <w:lang w:val="ga"/>
              </w:rPr>
              <w:t>80.3%</w:t>
            </w:r>
          </w:p>
        </w:tc>
      </w:tr>
      <w:tr w:rsidR="00F31303" w14:paraId="5E7D7D1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C86ABE8" w14:textId="77777777" w:rsidR="00590BEF" w:rsidRPr="007202FA" w:rsidRDefault="000B4F21" w:rsidP="007202FA">
            <w:pPr>
              <w:rPr>
                <w:sz w:val="20"/>
                <w:szCs w:val="20"/>
              </w:rPr>
            </w:pPr>
            <w:r>
              <w:rPr>
                <w:rFonts w:cs="Calibri"/>
                <w:color w:val="000000"/>
                <w:sz w:val="20"/>
                <w:szCs w:val="20"/>
                <w:lang w:val="ga"/>
              </w:rPr>
              <w:t>Comhairle Cathrach na Gaillimhe</w:t>
            </w:r>
          </w:p>
        </w:tc>
        <w:tc>
          <w:tcPr>
            <w:tcW w:w="4127" w:type="dxa"/>
            <w:tcBorders>
              <w:top w:val="single" w:sz="4" w:space="0" w:color="auto"/>
              <w:left w:val="single" w:sz="4" w:space="0" w:color="auto"/>
              <w:bottom w:val="single" w:sz="4" w:space="0" w:color="auto"/>
              <w:right w:val="single" w:sz="4" w:space="0" w:color="auto"/>
            </w:tcBorders>
            <w:hideMark/>
          </w:tcPr>
          <w:p w14:paraId="257D99AE" w14:textId="77777777" w:rsidR="00590BEF" w:rsidRPr="007202FA" w:rsidRDefault="000B4F21" w:rsidP="007202FA">
            <w:pPr>
              <w:jc w:val="right"/>
              <w:rPr>
                <w:sz w:val="20"/>
                <w:szCs w:val="20"/>
              </w:rPr>
            </w:pPr>
            <w:r>
              <w:rPr>
                <w:rFonts w:cs="Calibri"/>
                <w:color w:val="000000"/>
                <w:sz w:val="20"/>
                <w:szCs w:val="20"/>
                <w:lang w:val="ga"/>
              </w:rPr>
              <w:t>38.8%</w:t>
            </w:r>
          </w:p>
        </w:tc>
      </w:tr>
      <w:tr w:rsidR="00F31303" w14:paraId="2F45407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F3546EF" w14:textId="77777777" w:rsidR="00590BEF" w:rsidRPr="007202FA" w:rsidRDefault="000B4F21" w:rsidP="007202FA">
            <w:pPr>
              <w:rPr>
                <w:sz w:val="20"/>
                <w:szCs w:val="20"/>
              </w:rPr>
            </w:pPr>
            <w:r>
              <w:rPr>
                <w:rFonts w:cs="Calibri"/>
                <w:color w:val="000000"/>
                <w:sz w:val="20"/>
                <w:szCs w:val="20"/>
                <w:lang w:val="ga"/>
              </w:rPr>
              <w:t>Cigireacht an Gharda Síochána</w:t>
            </w:r>
          </w:p>
        </w:tc>
        <w:tc>
          <w:tcPr>
            <w:tcW w:w="4127" w:type="dxa"/>
            <w:tcBorders>
              <w:top w:val="single" w:sz="4" w:space="0" w:color="auto"/>
              <w:left w:val="single" w:sz="4" w:space="0" w:color="auto"/>
              <w:bottom w:val="single" w:sz="4" w:space="0" w:color="auto"/>
              <w:right w:val="single" w:sz="4" w:space="0" w:color="auto"/>
            </w:tcBorders>
            <w:hideMark/>
          </w:tcPr>
          <w:p w14:paraId="09EEF54D" w14:textId="77777777" w:rsidR="00590BEF" w:rsidRPr="007202FA" w:rsidRDefault="000B4F21" w:rsidP="007202FA">
            <w:pPr>
              <w:jc w:val="right"/>
              <w:rPr>
                <w:sz w:val="20"/>
                <w:szCs w:val="20"/>
              </w:rPr>
            </w:pPr>
            <w:r>
              <w:rPr>
                <w:rFonts w:cs="Calibri"/>
                <w:color w:val="000000"/>
                <w:sz w:val="20"/>
                <w:szCs w:val="20"/>
                <w:lang w:val="ga"/>
              </w:rPr>
              <w:t>60.0%</w:t>
            </w:r>
          </w:p>
        </w:tc>
      </w:tr>
      <w:tr w:rsidR="00F31303" w14:paraId="1126C15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EC72FF6" w14:textId="77777777" w:rsidR="00590BEF" w:rsidRPr="007202FA" w:rsidRDefault="000B4F21" w:rsidP="007202FA">
            <w:pPr>
              <w:rPr>
                <w:sz w:val="20"/>
                <w:szCs w:val="20"/>
              </w:rPr>
            </w:pPr>
            <w:r>
              <w:rPr>
                <w:rFonts w:cs="Calibri"/>
                <w:color w:val="000000"/>
                <w:sz w:val="20"/>
                <w:szCs w:val="20"/>
                <w:lang w:val="ga"/>
              </w:rPr>
              <w:t>Coimisiún Ombudsman an Gharda Síochána</w:t>
            </w:r>
          </w:p>
        </w:tc>
        <w:tc>
          <w:tcPr>
            <w:tcW w:w="4127" w:type="dxa"/>
            <w:tcBorders>
              <w:top w:val="single" w:sz="4" w:space="0" w:color="auto"/>
              <w:left w:val="single" w:sz="4" w:space="0" w:color="auto"/>
              <w:bottom w:val="single" w:sz="4" w:space="0" w:color="auto"/>
              <w:right w:val="single" w:sz="4" w:space="0" w:color="auto"/>
            </w:tcBorders>
            <w:hideMark/>
          </w:tcPr>
          <w:p w14:paraId="0A87A738" w14:textId="77777777" w:rsidR="00590BEF" w:rsidRPr="007202FA" w:rsidRDefault="000B4F21" w:rsidP="007202FA">
            <w:pPr>
              <w:jc w:val="right"/>
              <w:rPr>
                <w:sz w:val="20"/>
                <w:szCs w:val="20"/>
              </w:rPr>
            </w:pPr>
            <w:r>
              <w:rPr>
                <w:rFonts w:cs="Calibri"/>
                <w:color w:val="000000"/>
                <w:sz w:val="20"/>
                <w:szCs w:val="20"/>
                <w:lang w:val="ga"/>
              </w:rPr>
              <w:t>71.9%</w:t>
            </w:r>
          </w:p>
        </w:tc>
      </w:tr>
      <w:tr w:rsidR="00F31303" w14:paraId="1D42D5A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6D3468D" w14:textId="77777777" w:rsidR="00590BEF" w:rsidRPr="007202FA" w:rsidRDefault="000B4F21" w:rsidP="007202FA">
            <w:pPr>
              <w:rPr>
                <w:sz w:val="20"/>
                <w:szCs w:val="20"/>
              </w:rPr>
            </w:pPr>
            <w:r>
              <w:rPr>
                <w:rFonts w:cs="Calibri"/>
                <w:color w:val="000000"/>
                <w:sz w:val="20"/>
                <w:szCs w:val="20"/>
                <w:lang w:val="ga"/>
              </w:rPr>
              <w:t>An tÚdarás Sláinte agus Sábháilteachta</w:t>
            </w:r>
          </w:p>
        </w:tc>
        <w:tc>
          <w:tcPr>
            <w:tcW w:w="4127" w:type="dxa"/>
            <w:tcBorders>
              <w:top w:val="single" w:sz="4" w:space="0" w:color="auto"/>
              <w:left w:val="single" w:sz="4" w:space="0" w:color="auto"/>
              <w:bottom w:val="single" w:sz="4" w:space="0" w:color="auto"/>
              <w:right w:val="single" w:sz="4" w:space="0" w:color="auto"/>
            </w:tcBorders>
            <w:hideMark/>
          </w:tcPr>
          <w:p w14:paraId="424647F2" w14:textId="77777777" w:rsidR="00590BEF" w:rsidRPr="007202FA" w:rsidRDefault="000B4F21" w:rsidP="007202FA">
            <w:pPr>
              <w:jc w:val="right"/>
              <w:rPr>
                <w:sz w:val="20"/>
                <w:szCs w:val="20"/>
              </w:rPr>
            </w:pPr>
            <w:r>
              <w:rPr>
                <w:rFonts w:cs="Calibri"/>
                <w:color w:val="000000"/>
                <w:sz w:val="20"/>
                <w:szCs w:val="20"/>
                <w:lang w:val="ga"/>
              </w:rPr>
              <w:t>71.6%</w:t>
            </w:r>
          </w:p>
        </w:tc>
      </w:tr>
      <w:tr w:rsidR="00F31303" w14:paraId="4861ABA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80B06C4" w14:textId="77777777" w:rsidR="00590BEF" w:rsidRPr="007202FA" w:rsidRDefault="000B4F21" w:rsidP="007202FA">
            <w:pPr>
              <w:rPr>
                <w:sz w:val="20"/>
                <w:szCs w:val="20"/>
              </w:rPr>
            </w:pPr>
            <w:r>
              <w:rPr>
                <w:rFonts w:cs="Calibri"/>
                <w:color w:val="000000"/>
                <w:sz w:val="20"/>
                <w:szCs w:val="20"/>
                <w:lang w:val="ga"/>
              </w:rPr>
              <w:t>An tÚdarás um Fhaisnéis agus Cáilíocht Sláinte</w:t>
            </w:r>
          </w:p>
        </w:tc>
        <w:tc>
          <w:tcPr>
            <w:tcW w:w="4127" w:type="dxa"/>
            <w:tcBorders>
              <w:top w:val="single" w:sz="4" w:space="0" w:color="auto"/>
              <w:left w:val="single" w:sz="4" w:space="0" w:color="auto"/>
              <w:bottom w:val="single" w:sz="4" w:space="0" w:color="auto"/>
              <w:right w:val="single" w:sz="4" w:space="0" w:color="auto"/>
            </w:tcBorders>
            <w:hideMark/>
          </w:tcPr>
          <w:p w14:paraId="4A0F4F4A" w14:textId="77777777" w:rsidR="00590BEF" w:rsidRPr="007202FA" w:rsidRDefault="000B4F21" w:rsidP="007202FA">
            <w:pPr>
              <w:jc w:val="right"/>
              <w:rPr>
                <w:sz w:val="20"/>
                <w:szCs w:val="20"/>
              </w:rPr>
            </w:pPr>
            <w:r>
              <w:rPr>
                <w:rFonts w:cs="Calibri"/>
                <w:color w:val="000000"/>
                <w:sz w:val="20"/>
                <w:szCs w:val="20"/>
                <w:lang w:val="ga"/>
              </w:rPr>
              <w:t>59.5%</w:t>
            </w:r>
          </w:p>
        </w:tc>
      </w:tr>
      <w:tr w:rsidR="00F31303" w14:paraId="03122BB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603742B" w14:textId="77777777" w:rsidR="00590BEF" w:rsidRPr="007202FA" w:rsidRDefault="000B4F21" w:rsidP="007202FA">
            <w:pPr>
              <w:rPr>
                <w:sz w:val="20"/>
                <w:szCs w:val="20"/>
              </w:rPr>
            </w:pPr>
            <w:r>
              <w:rPr>
                <w:rFonts w:cs="Calibri"/>
                <w:color w:val="000000"/>
                <w:sz w:val="20"/>
                <w:szCs w:val="20"/>
                <w:lang w:val="ga"/>
              </w:rPr>
              <w:t>An tÚdarás Árachas Sláinte</w:t>
            </w:r>
          </w:p>
        </w:tc>
        <w:tc>
          <w:tcPr>
            <w:tcW w:w="4127" w:type="dxa"/>
            <w:tcBorders>
              <w:top w:val="single" w:sz="4" w:space="0" w:color="auto"/>
              <w:left w:val="single" w:sz="4" w:space="0" w:color="auto"/>
              <w:bottom w:val="single" w:sz="4" w:space="0" w:color="auto"/>
              <w:right w:val="single" w:sz="4" w:space="0" w:color="auto"/>
            </w:tcBorders>
            <w:hideMark/>
          </w:tcPr>
          <w:p w14:paraId="2D8C868A" w14:textId="77777777" w:rsidR="00590BEF" w:rsidRPr="007202FA" w:rsidRDefault="000B4F21" w:rsidP="007202FA">
            <w:pPr>
              <w:jc w:val="right"/>
              <w:rPr>
                <w:sz w:val="20"/>
                <w:szCs w:val="20"/>
              </w:rPr>
            </w:pPr>
            <w:r>
              <w:rPr>
                <w:rFonts w:cs="Calibri"/>
                <w:color w:val="000000"/>
                <w:sz w:val="20"/>
                <w:szCs w:val="20"/>
                <w:lang w:val="ga"/>
              </w:rPr>
              <w:t>100.0%</w:t>
            </w:r>
          </w:p>
        </w:tc>
      </w:tr>
      <w:tr w:rsidR="00F31303" w14:paraId="0416FCC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B2394D8" w14:textId="77777777" w:rsidR="00590BEF" w:rsidRPr="007202FA" w:rsidRDefault="000B4F21" w:rsidP="007202FA">
            <w:pPr>
              <w:rPr>
                <w:sz w:val="20"/>
                <w:szCs w:val="20"/>
              </w:rPr>
            </w:pPr>
            <w:r>
              <w:rPr>
                <w:rFonts w:cs="Calibri"/>
                <w:color w:val="000000"/>
                <w:sz w:val="20"/>
                <w:szCs w:val="20"/>
                <w:lang w:val="ga"/>
              </w:rPr>
              <w:t>An tÚdarás Rialála Táirgí Sláinte</w:t>
            </w:r>
          </w:p>
        </w:tc>
        <w:tc>
          <w:tcPr>
            <w:tcW w:w="4127" w:type="dxa"/>
            <w:tcBorders>
              <w:top w:val="single" w:sz="4" w:space="0" w:color="auto"/>
              <w:left w:val="single" w:sz="4" w:space="0" w:color="auto"/>
              <w:bottom w:val="single" w:sz="4" w:space="0" w:color="auto"/>
              <w:right w:val="single" w:sz="4" w:space="0" w:color="auto"/>
            </w:tcBorders>
            <w:hideMark/>
          </w:tcPr>
          <w:p w14:paraId="4F12175C" w14:textId="77777777" w:rsidR="00590BEF" w:rsidRPr="007202FA" w:rsidRDefault="000B4F21" w:rsidP="007202FA">
            <w:pPr>
              <w:jc w:val="right"/>
              <w:rPr>
                <w:sz w:val="20"/>
                <w:szCs w:val="20"/>
              </w:rPr>
            </w:pPr>
            <w:r>
              <w:rPr>
                <w:rFonts w:cs="Calibri"/>
                <w:color w:val="000000"/>
                <w:sz w:val="20"/>
                <w:szCs w:val="20"/>
                <w:lang w:val="ga"/>
              </w:rPr>
              <w:t>30.9%</w:t>
            </w:r>
          </w:p>
        </w:tc>
      </w:tr>
      <w:tr w:rsidR="00F31303" w14:paraId="548746D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0EBA49A" w14:textId="77777777" w:rsidR="00590BEF" w:rsidRPr="007202FA" w:rsidRDefault="000B4F21" w:rsidP="007202FA">
            <w:pPr>
              <w:rPr>
                <w:sz w:val="20"/>
                <w:szCs w:val="20"/>
              </w:rPr>
            </w:pPr>
            <w:r>
              <w:rPr>
                <w:rFonts w:cs="Calibri"/>
                <w:color w:val="000000"/>
                <w:sz w:val="20"/>
                <w:szCs w:val="20"/>
                <w:lang w:val="ga"/>
              </w:rPr>
              <w:t>An Bord Taighde Sláinte</w:t>
            </w:r>
          </w:p>
        </w:tc>
        <w:tc>
          <w:tcPr>
            <w:tcW w:w="4127" w:type="dxa"/>
            <w:tcBorders>
              <w:top w:val="single" w:sz="4" w:space="0" w:color="auto"/>
              <w:left w:val="single" w:sz="4" w:space="0" w:color="auto"/>
              <w:bottom w:val="single" w:sz="4" w:space="0" w:color="auto"/>
              <w:right w:val="single" w:sz="4" w:space="0" w:color="auto"/>
            </w:tcBorders>
            <w:hideMark/>
          </w:tcPr>
          <w:p w14:paraId="6B1660AA" w14:textId="77777777" w:rsidR="00590BEF" w:rsidRPr="007202FA" w:rsidRDefault="000B4F21" w:rsidP="007202FA">
            <w:pPr>
              <w:jc w:val="right"/>
              <w:rPr>
                <w:sz w:val="20"/>
                <w:szCs w:val="20"/>
              </w:rPr>
            </w:pPr>
            <w:r>
              <w:rPr>
                <w:rFonts w:cs="Calibri"/>
                <w:color w:val="000000"/>
                <w:sz w:val="20"/>
                <w:szCs w:val="20"/>
                <w:lang w:val="ga"/>
              </w:rPr>
              <w:t>75.6%</w:t>
            </w:r>
          </w:p>
        </w:tc>
      </w:tr>
      <w:tr w:rsidR="00F31303" w14:paraId="7633FCD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4B6108E" w14:textId="77777777" w:rsidR="00590BEF" w:rsidRPr="007202FA" w:rsidRDefault="000B4F21" w:rsidP="007202FA">
            <w:pPr>
              <w:rPr>
                <w:sz w:val="20"/>
                <w:szCs w:val="20"/>
              </w:rPr>
            </w:pPr>
            <w:r>
              <w:rPr>
                <w:rFonts w:cs="Calibri"/>
                <w:color w:val="000000"/>
                <w:sz w:val="20"/>
                <w:szCs w:val="20"/>
                <w:lang w:val="ga"/>
              </w:rPr>
              <w:t>Feidhmeannacht na Seirbhíse Sláinte</w:t>
            </w:r>
          </w:p>
        </w:tc>
        <w:tc>
          <w:tcPr>
            <w:tcW w:w="4127" w:type="dxa"/>
            <w:tcBorders>
              <w:top w:val="single" w:sz="4" w:space="0" w:color="auto"/>
              <w:left w:val="single" w:sz="4" w:space="0" w:color="auto"/>
              <w:bottom w:val="single" w:sz="4" w:space="0" w:color="auto"/>
              <w:right w:val="single" w:sz="4" w:space="0" w:color="auto"/>
            </w:tcBorders>
            <w:hideMark/>
          </w:tcPr>
          <w:p w14:paraId="37A5FEFD" w14:textId="77777777" w:rsidR="00590BEF" w:rsidRPr="007202FA" w:rsidRDefault="000B4F21" w:rsidP="007202FA">
            <w:pPr>
              <w:jc w:val="right"/>
              <w:rPr>
                <w:sz w:val="20"/>
                <w:szCs w:val="20"/>
              </w:rPr>
            </w:pPr>
            <w:r>
              <w:rPr>
                <w:rFonts w:cs="Calibri"/>
                <w:color w:val="000000"/>
                <w:sz w:val="20"/>
                <w:szCs w:val="20"/>
                <w:lang w:val="ga"/>
              </w:rPr>
              <w:t>20.9%</w:t>
            </w:r>
          </w:p>
        </w:tc>
      </w:tr>
      <w:tr w:rsidR="00F31303" w14:paraId="1ECF493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37872AB" w14:textId="77777777" w:rsidR="00590BEF" w:rsidRPr="007202FA" w:rsidRDefault="000B4F21" w:rsidP="007202FA">
            <w:pPr>
              <w:rPr>
                <w:sz w:val="20"/>
                <w:szCs w:val="20"/>
              </w:rPr>
            </w:pPr>
            <w:r>
              <w:rPr>
                <w:rFonts w:cs="Calibri"/>
                <w:color w:val="000000"/>
                <w:sz w:val="20"/>
                <w:szCs w:val="20"/>
                <w:lang w:val="ga"/>
              </w:rPr>
              <w:t>An Chomhairle Oidhreachta</w:t>
            </w:r>
          </w:p>
        </w:tc>
        <w:tc>
          <w:tcPr>
            <w:tcW w:w="4127" w:type="dxa"/>
            <w:tcBorders>
              <w:top w:val="single" w:sz="4" w:space="0" w:color="auto"/>
              <w:left w:val="single" w:sz="4" w:space="0" w:color="auto"/>
              <w:bottom w:val="single" w:sz="4" w:space="0" w:color="auto"/>
              <w:right w:val="single" w:sz="4" w:space="0" w:color="auto"/>
            </w:tcBorders>
            <w:hideMark/>
          </w:tcPr>
          <w:p w14:paraId="7ED3CF93" w14:textId="77777777" w:rsidR="00590BEF" w:rsidRPr="007202FA" w:rsidRDefault="000B4F21" w:rsidP="007202FA">
            <w:pPr>
              <w:jc w:val="right"/>
              <w:rPr>
                <w:sz w:val="20"/>
                <w:szCs w:val="20"/>
              </w:rPr>
            </w:pPr>
            <w:r>
              <w:rPr>
                <w:rFonts w:cs="Calibri"/>
                <w:color w:val="000000"/>
                <w:sz w:val="20"/>
                <w:szCs w:val="20"/>
                <w:lang w:val="ga"/>
              </w:rPr>
              <w:t>64.0%</w:t>
            </w:r>
          </w:p>
        </w:tc>
      </w:tr>
      <w:tr w:rsidR="00F31303" w14:paraId="477163F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138A4EA" w14:textId="77777777" w:rsidR="00590BEF" w:rsidRPr="007202FA" w:rsidRDefault="000B4F21" w:rsidP="007202FA">
            <w:pPr>
              <w:rPr>
                <w:sz w:val="20"/>
                <w:szCs w:val="20"/>
              </w:rPr>
            </w:pPr>
            <w:r>
              <w:rPr>
                <w:rFonts w:cs="Calibri"/>
                <w:color w:val="000000"/>
                <w:sz w:val="20"/>
                <w:szCs w:val="20"/>
                <w:lang w:val="ga"/>
              </w:rPr>
              <w:t xml:space="preserve">Tithe an Oireachtais </w:t>
            </w:r>
          </w:p>
        </w:tc>
        <w:tc>
          <w:tcPr>
            <w:tcW w:w="4127" w:type="dxa"/>
            <w:tcBorders>
              <w:top w:val="single" w:sz="4" w:space="0" w:color="auto"/>
              <w:left w:val="single" w:sz="4" w:space="0" w:color="auto"/>
              <w:bottom w:val="single" w:sz="4" w:space="0" w:color="auto"/>
              <w:right w:val="single" w:sz="4" w:space="0" w:color="auto"/>
            </w:tcBorders>
            <w:hideMark/>
          </w:tcPr>
          <w:p w14:paraId="451B67FE" w14:textId="77777777" w:rsidR="00590BEF" w:rsidRPr="007202FA" w:rsidRDefault="000B4F21" w:rsidP="007202FA">
            <w:pPr>
              <w:jc w:val="right"/>
              <w:rPr>
                <w:sz w:val="20"/>
                <w:szCs w:val="20"/>
              </w:rPr>
            </w:pPr>
            <w:r>
              <w:rPr>
                <w:rFonts w:cs="Calibri"/>
                <w:color w:val="000000"/>
                <w:sz w:val="20"/>
                <w:szCs w:val="20"/>
                <w:lang w:val="ga"/>
              </w:rPr>
              <w:t>37.0%</w:t>
            </w:r>
          </w:p>
        </w:tc>
      </w:tr>
      <w:tr w:rsidR="00F31303" w14:paraId="55CF955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4143199" w14:textId="77777777" w:rsidR="00590BEF" w:rsidRPr="007202FA" w:rsidRDefault="000B4F21" w:rsidP="007202FA">
            <w:pPr>
              <w:rPr>
                <w:sz w:val="20"/>
                <w:szCs w:val="20"/>
              </w:rPr>
            </w:pPr>
            <w:r>
              <w:rPr>
                <w:rFonts w:cs="Calibri"/>
                <w:color w:val="000000"/>
                <w:sz w:val="20"/>
                <w:szCs w:val="20"/>
                <w:lang w:val="ga"/>
              </w:rPr>
              <w:lastRenderedPageBreak/>
              <w:t>An Ghníomhaireacht um Thithíocht agus Pobail Inbhuanaithe</w:t>
            </w:r>
          </w:p>
        </w:tc>
        <w:tc>
          <w:tcPr>
            <w:tcW w:w="4127" w:type="dxa"/>
            <w:tcBorders>
              <w:top w:val="single" w:sz="4" w:space="0" w:color="auto"/>
              <w:left w:val="single" w:sz="4" w:space="0" w:color="auto"/>
              <w:bottom w:val="single" w:sz="4" w:space="0" w:color="auto"/>
              <w:right w:val="single" w:sz="4" w:space="0" w:color="auto"/>
            </w:tcBorders>
            <w:hideMark/>
          </w:tcPr>
          <w:p w14:paraId="75BFAFFE" w14:textId="77777777" w:rsidR="00590BEF" w:rsidRPr="007202FA" w:rsidRDefault="000B4F21" w:rsidP="007202FA">
            <w:pPr>
              <w:jc w:val="right"/>
              <w:rPr>
                <w:sz w:val="20"/>
                <w:szCs w:val="20"/>
              </w:rPr>
            </w:pPr>
            <w:r>
              <w:rPr>
                <w:rFonts w:cs="Calibri"/>
                <w:color w:val="000000"/>
                <w:sz w:val="20"/>
                <w:szCs w:val="20"/>
                <w:lang w:val="ga"/>
              </w:rPr>
              <w:t>67.7%</w:t>
            </w:r>
          </w:p>
        </w:tc>
      </w:tr>
      <w:tr w:rsidR="00F31303" w14:paraId="1DB65A7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7A00996" w14:textId="77777777" w:rsidR="00590BEF" w:rsidRPr="007202FA" w:rsidRDefault="000B4F21" w:rsidP="007202FA">
            <w:pPr>
              <w:rPr>
                <w:sz w:val="20"/>
                <w:szCs w:val="20"/>
              </w:rPr>
            </w:pPr>
            <w:r>
              <w:rPr>
                <w:rFonts w:cs="Calibri"/>
                <w:color w:val="000000"/>
                <w:sz w:val="20"/>
                <w:szCs w:val="20"/>
                <w:lang w:val="ga"/>
              </w:rPr>
              <w:t>An Ghníomhaireacht Airgeadais do Thithe</w:t>
            </w:r>
          </w:p>
        </w:tc>
        <w:tc>
          <w:tcPr>
            <w:tcW w:w="4127" w:type="dxa"/>
            <w:tcBorders>
              <w:top w:val="single" w:sz="4" w:space="0" w:color="auto"/>
              <w:left w:val="single" w:sz="4" w:space="0" w:color="auto"/>
              <w:bottom w:val="single" w:sz="4" w:space="0" w:color="auto"/>
              <w:right w:val="single" w:sz="4" w:space="0" w:color="auto"/>
            </w:tcBorders>
            <w:hideMark/>
          </w:tcPr>
          <w:p w14:paraId="719C8C11" w14:textId="77777777" w:rsidR="00590BEF" w:rsidRPr="007202FA" w:rsidRDefault="000B4F21" w:rsidP="007202FA">
            <w:pPr>
              <w:jc w:val="right"/>
              <w:rPr>
                <w:sz w:val="20"/>
                <w:szCs w:val="20"/>
              </w:rPr>
            </w:pPr>
            <w:r>
              <w:rPr>
                <w:rFonts w:cs="Calibri"/>
                <w:color w:val="000000"/>
                <w:sz w:val="20"/>
                <w:szCs w:val="20"/>
                <w:lang w:val="ga"/>
              </w:rPr>
              <w:t>100.0%</w:t>
            </w:r>
          </w:p>
        </w:tc>
      </w:tr>
      <w:tr w:rsidR="00F31303" w14:paraId="091031A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7B87B09" w14:textId="77777777" w:rsidR="00590BEF" w:rsidRPr="007202FA" w:rsidRDefault="000B4F21" w:rsidP="007202FA">
            <w:pPr>
              <w:rPr>
                <w:sz w:val="20"/>
                <w:szCs w:val="20"/>
              </w:rPr>
            </w:pPr>
            <w:r>
              <w:rPr>
                <w:rFonts w:cs="Calibri"/>
                <w:color w:val="000000"/>
                <w:sz w:val="20"/>
                <w:szCs w:val="20"/>
                <w:lang w:val="ga"/>
              </w:rPr>
              <w:t>GFT Éireann</w:t>
            </w:r>
          </w:p>
        </w:tc>
        <w:tc>
          <w:tcPr>
            <w:tcW w:w="4127" w:type="dxa"/>
            <w:tcBorders>
              <w:top w:val="single" w:sz="4" w:space="0" w:color="auto"/>
              <w:left w:val="single" w:sz="4" w:space="0" w:color="auto"/>
              <w:bottom w:val="single" w:sz="4" w:space="0" w:color="auto"/>
              <w:right w:val="single" w:sz="4" w:space="0" w:color="auto"/>
            </w:tcBorders>
            <w:hideMark/>
          </w:tcPr>
          <w:p w14:paraId="7B550E3D" w14:textId="77777777" w:rsidR="00590BEF" w:rsidRPr="007202FA" w:rsidRDefault="000B4F21" w:rsidP="007202FA">
            <w:pPr>
              <w:jc w:val="right"/>
              <w:rPr>
                <w:sz w:val="20"/>
                <w:szCs w:val="20"/>
              </w:rPr>
            </w:pPr>
            <w:r>
              <w:rPr>
                <w:rFonts w:cs="Calibri"/>
                <w:color w:val="000000"/>
                <w:sz w:val="20"/>
                <w:szCs w:val="20"/>
                <w:lang w:val="ga"/>
              </w:rPr>
              <w:t>46.3%</w:t>
            </w:r>
          </w:p>
        </w:tc>
      </w:tr>
      <w:tr w:rsidR="00F31303" w14:paraId="177019C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D4E6289" w14:textId="6CF52062" w:rsidR="00590BEF" w:rsidRPr="005524D6" w:rsidRDefault="000B4F21" w:rsidP="007202FA">
            <w:pPr>
              <w:rPr>
                <w:sz w:val="20"/>
                <w:szCs w:val="20"/>
                <w:lang w:val="de-DE"/>
              </w:rPr>
            </w:pPr>
            <w:r>
              <w:rPr>
                <w:rFonts w:cs="Calibri"/>
                <w:color w:val="000000"/>
                <w:sz w:val="20"/>
                <w:szCs w:val="20"/>
                <w:lang w:val="ga"/>
              </w:rPr>
              <w:t>An Bord um Réiteach Díobhálacha</w:t>
            </w:r>
            <w:r>
              <w:rPr>
                <w:rStyle w:val="FootnoteReference"/>
                <w:rFonts w:cs="Calibri"/>
                <w:color w:val="000000"/>
                <w:sz w:val="20"/>
                <w:szCs w:val="20"/>
                <w:lang w:val="ga"/>
              </w:rPr>
              <w:footnoteReference w:id="23"/>
            </w:r>
            <w:r>
              <w:rPr>
                <w:rFonts w:cs="Calibri"/>
                <w:color w:val="000000"/>
                <w:sz w:val="20"/>
                <w:szCs w:val="20"/>
                <w:lang w:val="ga"/>
              </w:rPr>
              <w:t xml:space="preserve"> </w:t>
            </w:r>
          </w:p>
        </w:tc>
        <w:tc>
          <w:tcPr>
            <w:tcW w:w="4127" w:type="dxa"/>
            <w:tcBorders>
              <w:top w:val="single" w:sz="4" w:space="0" w:color="auto"/>
              <w:left w:val="single" w:sz="4" w:space="0" w:color="auto"/>
              <w:bottom w:val="single" w:sz="4" w:space="0" w:color="auto"/>
              <w:right w:val="single" w:sz="4" w:space="0" w:color="auto"/>
            </w:tcBorders>
            <w:hideMark/>
          </w:tcPr>
          <w:p w14:paraId="5326ED72" w14:textId="77777777" w:rsidR="00590BEF" w:rsidRPr="007202FA" w:rsidRDefault="000B4F21" w:rsidP="007202FA">
            <w:pPr>
              <w:jc w:val="right"/>
              <w:rPr>
                <w:sz w:val="20"/>
                <w:szCs w:val="20"/>
              </w:rPr>
            </w:pPr>
            <w:r>
              <w:rPr>
                <w:rFonts w:cs="Calibri"/>
                <w:color w:val="000000"/>
                <w:sz w:val="20"/>
                <w:szCs w:val="20"/>
                <w:lang w:val="ga"/>
              </w:rPr>
              <w:t>75.3%</w:t>
            </w:r>
          </w:p>
        </w:tc>
      </w:tr>
      <w:tr w:rsidR="00F31303" w14:paraId="2F247C5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29A1906" w14:textId="77777777" w:rsidR="00590BEF" w:rsidRPr="007202FA" w:rsidRDefault="000B4F21" w:rsidP="007202FA">
            <w:pPr>
              <w:rPr>
                <w:sz w:val="20"/>
                <w:szCs w:val="20"/>
              </w:rPr>
            </w:pPr>
            <w:r>
              <w:rPr>
                <w:rFonts w:cs="Calibri"/>
                <w:color w:val="000000"/>
                <w:sz w:val="20"/>
                <w:szCs w:val="20"/>
                <w:lang w:val="ga"/>
              </w:rPr>
              <w:t>Iascach Intíre Éireann</w:t>
            </w:r>
            <w:r>
              <w:rPr>
                <w:rFonts w:cs="Calibri"/>
                <w:color w:val="000000"/>
                <w:sz w:val="20"/>
                <w:szCs w:val="20"/>
                <w:lang w:val="ga"/>
              </w:rPr>
              <w:br/>
            </w:r>
          </w:p>
        </w:tc>
        <w:tc>
          <w:tcPr>
            <w:tcW w:w="4127" w:type="dxa"/>
            <w:tcBorders>
              <w:top w:val="single" w:sz="4" w:space="0" w:color="auto"/>
              <w:left w:val="single" w:sz="4" w:space="0" w:color="auto"/>
              <w:bottom w:val="single" w:sz="4" w:space="0" w:color="auto"/>
              <w:right w:val="single" w:sz="4" w:space="0" w:color="auto"/>
            </w:tcBorders>
            <w:hideMark/>
          </w:tcPr>
          <w:p w14:paraId="2CBECF53" w14:textId="77777777" w:rsidR="00590BEF" w:rsidRPr="007202FA" w:rsidRDefault="000B4F21" w:rsidP="007202FA">
            <w:pPr>
              <w:jc w:val="right"/>
              <w:rPr>
                <w:sz w:val="20"/>
                <w:szCs w:val="20"/>
              </w:rPr>
            </w:pPr>
            <w:r>
              <w:rPr>
                <w:rFonts w:cs="Calibri"/>
                <w:color w:val="000000"/>
                <w:sz w:val="20"/>
                <w:szCs w:val="20"/>
                <w:lang w:val="ga"/>
              </w:rPr>
              <w:t>51.5%</w:t>
            </w:r>
          </w:p>
        </w:tc>
      </w:tr>
      <w:tr w:rsidR="00F31303" w14:paraId="13354AB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5C20F1C" w14:textId="77777777" w:rsidR="00590BEF" w:rsidRPr="007202FA" w:rsidRDefault="000B4F21" w:rsidP="007202FA">
            <w:pPr>
              <w:rPr>
                <w:sz w:val="20"/>
                <w:szCs w:val="20"/>
              </w:rPr>
            </w:pPr>
            <w:r>
              <w:rPr>
                <w:rFonts w:cs="Calibri"/>
                <w:color w:val="000000"/>
                <w:sz w:val="20"/>
                <w:szCs w:val="20"/>
                <w:lang w:val="ga"/>
              </w:rPr>
              <w:t>Seirbhís Dócmhainneachta na hÉireann</w:t>
            </w:r>
          </w:p>
        </w:tc>
        <w:tc>
          <w:tcPr>
            <w:tcW w:w="4127" w:type="dxa"/>
            <w:tcBorders>
              <w:top w:val="single" w:sz="4" w:space="0" w:color="auto"/>
              <w:left w:val="single" w:sz="4" w:space="0" w:color="auto"/>
              <w:bottom w:val="single" w:sz="4" w:space="0" w:color="auto"/>
              <w:right w:val="single" w:sz="4" w:space="0" w:color="auto"/>
            </w:tcBorders>
            <w:hideMark/>
          </w:tcPr>
          <w:p w14:paraId="20CA7D4A" w14:textId="77777777" w:rsidR="00590BEF" w:rsidRPr="007202FA" w:rsidRDefault="000B4F21" w:rsidP="007202FA">
            <w:pPr>
              <w:jc w:val="right"/>
              <w:rPr>
                <w:sz w:val="20"/>
                <w:szCs w:val="20"/>
              </w:rPr>
            </w:pPr>
            <w:r>
              <w:rPr>
                <w:rFonts w:cs="Calibri"/>
                <w:color w:val="000000"/>
                <w:sz w:val="20"/>
                <w:szCs w:val="20"/>
                <w:lang w:val="ga"/>
              </w:rPr>
              <w:t>40.0%</w:t>
            </w:r>
          </w:p>
        </w:tc>
      </w:tr>
      <w:tr w:rsidR="00F31303" w14:paraId="702CDBB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E80F9BE" w14:textId="77777777" w:rsidR="00590BEF" w:rsidRPr="005524D6" w:rsidRDefault="000B4F21" w:rsidP="007202FA">
            <w:pPr>
              <w:rPr>
                <w:sz w:val="20"/>
                <w:szCs w:val="20"/>
                <w:lang w:val="de-DE"/>
              </w:rPr>
            </w:pPr>
            <w:r>
              <w:rPr>
                <w:rFonts w:cs="Calibri"/>
                <w:color w:val="000000"/>
                <w:sz w:val="20"/>
                <w:szCs w:val="20"/>
                <w:lang w:val="ga"/>
              </w:rPr>
              <w:t>An Institiúid um Shláinte Phoiblí</w:t>
            </w:r>
          </w:p>
        </w:tc>
        <w:tc>
          <w:tcPr>
            <w:tcW w:w="4127" w:type="dxa"/>
            <w:tcBorders>
              <w:top w:val="single" w:sz="4" w:space="0" w:color="auto"/>
              <w:left w:val="single" w:sz="4" w:space="0" w:color="auto"/>
              <w:bottom w:val="single" w:sz="4" w:space="0" w:color="auto"/>
              <w:right w:val="single" w:sz="4" w:space="0" w:color="auto"/>
            </w:tcBorders>
            <w:hideMark/>
          </w:tcPr>
          <w:p w14:paraId="34F9D9FF" w14:textId="77777777" w:rsidR="00590BEF" w:rsidRPr="007202FA" w:rsidRDefault="000B4F21" w:rsidP="007202FA">
            <w:pPr>
              <w:jc w:val="right"/>
              <w:rPr>
                <w:sz w:val="20"/>
                <w:szCs w:val="20"/>
              </w:rPr>
            </w:pPr>
            <w:r>
              <w:rPr>
                <w:rFonts w:cs="Calibri"/>
                <w:color w:val="000000"/>
                <w:sz w:val="20"/>
                <w:szCs w:val="20"/>
                <w:lang w:val="ga"/>
              </w:rPr>
              <w:t>85.7%</w:t>
            </w:r>
          </w:p>
        </w:tc>
      </w:tr>
      <w:tr w:rsidR="00F31303" w14:paraId="49224CA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3F69BCF" w14:textId="77777777" w:rsidR="00590BEF" w:rsidRPr="007202FA" w:rsidRDefault="000B4F21" w:rsidP="007202FA">
            <w:pPr>
              <w:rPr>
                <w:sz w:val="20"/>
                <w:szCs w:val="20"/>
              </w:rPr>
            </w:pPr>
            <w:r>
              <w:rPr>
                <w:rFonts w:cs="Calibri"/>
                <w:color w:val="000000"/>
                <w:sz w:val="20"/>
                <w:szCs w:val="20"/>
                <w:lang w:val="ga"/>
              </w:rPr>
              <w:t>An Binse um Achomhairc i dtaobh Cosaint Idirnáisiúnta</w:t>
            </w:r>
          </w:p>
        </w:tc>
        <w:tc>
          <w:tcPr>
            <w:tcW w:w="4127" w:type="dxa"/>
            <w:tcBorders>
              <w:top w:val="single" w:sz="4" w:space="0" w:color="auto"/>
              <w:left w:val="single" w:sz="4" w:space="0" w:color="auto"/>
              <w:bottom w:val="single" w:sz="4" w:space="0" w:color="auto"/>
              <w:right w:val="single" w:sz="4" w:space="0" w:color="auto"/>
            </w:tcBorders>
            <w:hideMark/>
          </w:tcPr>
          <w:p w14:paraId="26C405E1" w14:textId="77777777" w:rsidR="00590BEF" w:rsidRPr="007202FA" w:rsidRDefault="000B4F21" w:rsidP="007202FA">
            <w:pPr>
              <w:jc w:val="right"/>
              <w:rPr>
                <w:sz w:val="20"/>
                <w:szCs w:val="20"/>
              </w:rPr>
            </w:pPr>
            <w:r>
              <w:rPr>
                <w:rFonts w:cs="Calibri"/>
                <w:color w:val="000000"/>
                <w:sz w:val="20"/>
                <w:szCs w:val="20"/>
                <w:lang w:val="ga"/>
              </w:rPr>
              <w:t>23.5%</w:t>
            </w:r>
          </w:p>
        </w:tc>
      </w:tr>
      <w:tr w:rsidR="00F31303" w14:paraId="0A80FD1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3E25F54" w14:textId="77777777" w:rsidR="00590BEF" w:rsidRPr="007202FA" w:rsidRDefault="000B4F21" w:rsidP="007202FA">
            <w:pPr>
              <w:rPr>
                <w:sz w:val="20"/>
                <w:szCs w:val="20"/>
              </w:rPr>
            </w:pPr>
            <w:r>
              <w:rPr>
                <w:rFonts w:cs="Calibri"/>
                <w:color w:val="000000"/>
                <w:sz w:val="20"/>
                <w:szCs w:val="20"/>
                <w:lang w:val="ga"/>
              </w:rPr>
              <w:t>Idir-Thrádáil Éireann</w:t>
            </w:r>
          </w:p>
        </w:tc>
        <w:tc>
          <w:tcPr>
            <w:tcW w:w="4127" w:type="dxa"/>
            <w:tcBorders>
              <w:top w:val="single" w:sz="4" w:space="0" w:color="auto"/>
              <w:left w:val="single" w:sz="4" w:space="0" w:color="auto"/>
              <w:bottom w:val="single" w:sz="4" w:space="0" w:color="auto"/>
              <w:right w:val="single" w:sz="4" w:space="0" w:color="auto"/>
            </w:tcBorders>
            <w:hideMark/>
          </w:tcPr>
          <w:p w14:paraId="5E70051C" w14:textId="77777777" w:rsidR="00590BEF" w:rsidRPr="007202FA" w:rsidRDefault="000B4F21" w:rsidP="007202FA">
            <w:pPr>
              <w:jc w:val="right"/>
              <w:rPr>
                <w:sz w:val="20"/>
                <w:szCs w:val="20"/>
              </w:rPr>
            </w:pPr>
            <w:r>
              <w:rPr>
                <w:rFonts w:cs="Calibri"/>
                <w:color w:val="000000"/>
                <w:sz w:val="20"/>
                <w:szCs w:val="20"/>
                <w:lang w:val="ga"/>
              </w:rPr>
              <w:t>100.0%</w:t>
            </w:r>
          </w:p>
        </w:tc>
      </w:tr>
      <w:tr w:rsidR="00F31303" w14:paraId="086AFB7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179D66A" w14:textId="77777777" w:rsidR="00590BEF" w:rsidRPr="007202FA" w:rsidRDefault="000B4F21" w:rsidP="007202FA">
            <w:pPr>
              <w:rPr>
                <w:sz w:val="20"/>
                <w:szCs w:val="20"/>
              </w:rPr>
            </w:pPr>
            <w:r>
              <w:rPr>
                <w:rFonts w:cs="Calibri"/>
                <w:color w:val="000000"/>
                <w:sz w:val="20"/>
                <w:szCs w:val="20"/>
                <w:lang w:val="ga"/>
              </w:rPr>
              <w:t>Údarás Eitlíochta na hÉireann</w:t>
            </w:r>
          </w:p>
        </w:tc>
        <w:tc>
          <w:tcPr>
            <w:tcW w:w="4127" w:type="dxa"/>
            <w:tcBorders>
              <w:top w:val="single" w:sz="4" w:space="0" w:color="auto"/>
              <w:left w:val="single" w:sz="4" w:space="0" w:color="auto"/>
              <w:bottom w:val="single" w:sz="4" w:space="0" w:color="auto"/>
              <w:right w:val="single" w:sz="4" w:space="0" w:color="auto"/>
            </w:tcBorders>
            <w:hideMark/>
          </w:tcPr>
          <w:p w14:paraId="0A235470" w14:textId="77777777" w:rsidR="00590BEF" w:rsidRPr="007202FA" w:rsidRDefault="000B4F21" w:rsidP="007202FA">
            <w:pPr>
              <w:jc w:val="right"/>
              <w:rPr>
                <w:sz w:val="20"/>
                <w:szCs w:val="20"/>
              </w:rPr>
            </w:pPr>
            <w:r>
              <w:rPr>
                <w:rFonts w:cs="Calibri"/>
                <w:color w:val="000000"/>
                <w:sz w:val="20"/>
                <w:szCs w:val="20"/>
                <w:lang w:val="ga"/>
              </w:rPr>
              <w:t>8.1%</w:t>
            </w:r>
          </w:p>
        </w:tc>
      </w:tr>
      <w:tr w:rsidR="00F31303" w14:paraId="633B4FA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B3D0515" w14:textId="77777777" w:rsidR="00590BEF" w:rsidRPr="007202FA" w:rsidRDefault="000B4F21" w:rsidP="007202FA">
            <w:pPr>
              <w:rPr>
                <w:sz w:val="20"/>
                <w:szCs w:val="20"/>
              </w:rPr>
            </w:pPr>
            <w:r>
              <w:rPr>
                <w:rFonts w:cs="Calibri"/>
                <w:color w:val="000000"/>
                <w:sz w:val="20"/>
                <w:szCs w:val="20"/>
                <w:lang w:val="ga"/>
              </w:rPr>
              <w:t>Seirbhís Fuilaistriúcháin na hÉireann</w:t>
            </w:r>
          </w:p>
        </w:tc>
        <w:tc>
          <w:tcPr>
            <w:tcW w:w="4127" w:type="dxa"/>
            <w:tcBorders>
              <w:top w:val="single" w:sz="4" w:space="0" w:color="auto"/>
              <w:left w:val="single" w:sz="4" w:space="0" w:color="auto"/>
              <w:bottom w:val="single" w:sz="4" w:space="0" w:color="auto"/>
              <w:right w:val="single" w:sz="4" w:space="0" w:color="auto"/>
            </w:tcBorders>
            <w:hideMark/>
          </w:tcPr>
          <w:p w14:paraId="3EF8A0BD" w14:textId="77777777" w:rsidR="00590BEF" w:rsidRPr="007202FA" w:rsidRDefault="000B4F21" w:rsidP="007202FA">
            <w:pPr>
              <w:jc w:val="right"/>
              <w:rPr>
                <w:sz w:val="20"/>
                <w:szCs w:val="20"/>
              </w:rPr>
            </w:pPr>
            <w:r>
              <w:rPr>
                <w:rFonts w:cs="Calibri"/>
                <w:color w:val="000000"/>
                <w:sz w:val="20"/>
                <w:szCs w:val="20"/>
                <w:lang w:val="ga"/>
              </w:rPr>
              <w:t>34.7%</w:t>
            </w:r>
          </w:p>
        </w:tc>
      </w:tr>
      <w:tr w:rsidR="00F31303" w14:paraId="321EE2B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56B56BD" w14:textId="77777777" w:rsidR="00590BEF" w:rsidRPr="007202FA" w:rsidRDefault="000B4F21" w:rsidP="007202FA">
            <w:pPr>
              <w:rPr>
                <w:sz w:val="20"/>
                <w:szCs w:val="20"/>
              </w:rPr>
            </w:pPr>
            <w:r>
              <w:rPr>
                <w:rFonts w:cs="Calibri"/>
                <w:color w:val="000000"/>
                <w:sz w:val="20"/>
                <w:szCs w:val="20"/>
                <w:lang w:val="ga"/>
              </w:rPr>
              <w:t xml:space="preserve">Oifig Aicmithe Scannán na hÉireann </w:t>
            </w:r>
          </w:p>
        </w:tc>
        <w:tc>
          <w:tcPr>
            <w:tcW w:w="4127" w:type="dxa"/>
            <w:tcBorders>
              <w:top w:val="single" w:sz="4" w:space="0" w:color="auto"/>
              <w:left w:val="single" w:sz="4" w:space="0" w:color="auto"/>
              <w:bottom w:val="single" w:sz="4" w:space="0" w:color="auto"/>
              <w:right w:val="single" w:sz="4" w:space="0" w:color="auto"/>
            </w:tcBorders>
            <w:hideMark/>
          </w:tcPr>
          <w:p w14:paraId="31EB7CC8" w14:textId="77777777" w:rsidR="00590BEF" w:rsidRPr="007202FA" w:rsidRDefault="000B4F21" w:rsidP="007202FA">
            <w:pPr>
              <w:jc w:val="right"/>
              <w:rPr>
                <w:sz w:val="20"/>
                <w:szCs w:val="20"/>
              </w:rPr>
            </w:pPr>
            <w:r>
              <w:rPr>
                <w:rFonts w:cs="Calibri"/>
                <w:color w:val="000000"/>
                <w:sz w:val="20"/>
                <w:szCs w:val="20"/>
                <w:lang w:val="ga"/>
              </w:rPr>
              <w:t>40.0%</w:t>
            </w:r>
          </w:p>
        </w:tc>
      </w:tr>
      <w:tr w:rsidR="00F31303" w14:paraId="7DF9576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5EB7890" w14:textId="77777777" w:rsidR="00590BEF" w:rsidRPr="007202FA" w:rsidRDefault="000B4F21" w:rsidP="007202FA">
            <w:pPr>
              <w:rPr>
                <w:sz w:val="20"/>
                <w:szCs w:val="20"/>
              </w:rPr>
            </w:pPr>
            <w:r>
              <w:rPr>
                <w:rFonts w:cs="Calibri"/>
                <w:color w:val="000000"/>
                <w:sz w:val="20"/>
                <w:szCs w:val="20"/>
                <w:lang w:val="ga"/>
              </w:rPr>
              <w:t>Coimisiún na hÉireann um Chearta an Duine agus Comhionannas</w:t>
            </w:r>
          </w:p>
        </w:tc>
        <w:tc>
          <w:tcPr>
            <w:tcW w:w="4127" w:type="dxa"/>
            <w:tcBorders>
              <w:top w:val="single" w:sz="4" w:space="0" w:color="auto"/>
              <w:left w:val="single" w:sz="4" w:space="0" w:color="auto"/>
              <w:bottom w:val="single" w:sz="4" w:space="0" w:color="auto"/>
              <w:right w:val="single" w:sz="4" w:space="0" w:color="auto"/>
            </w:tcBorders>
            <w:hideMark/>
          </w:tcPr>
          <w:p w14:paraId="157D2B78" w14:textId="77777777" w:rsidR="00590BEF" w:rsidRPr="007202FA" w:rsidRDefault="000B4F21" w:rsidP="007202FA">
            <w:pPr>
              <w:jc w:val="right"/>
              <w:rPr>
                <w:sz w:val="20"/>
                <w:szCs w:val="20"/>
              </w:rPr>
            </w:pPr>
            <w:r>
              <w:rPr>
                <w:rFonts w:cs="Calibri"/>
                <w:color w:val="000000"/>
                <w:sz w:val="20"/>
                <w:szCs w:val="20"/>
                <w:lang w:val="ga"/>
              </w:rPr>
              <w:t>74.1%</w:t>
            </w:r>
          </w:p>
        </w:tc>
      </w:tr>
      <w:tr w:rsidR="00F31303" w14:paraId="5E25DB2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19C2A0B" w14:textId="77777777" w:rsidR="00590BEF" w:rsidRPr="007202FA" w:rsidRDefault="000B4F21" w:rsidP="007202FA">
            <w:pPr>
              <w:rPr>
                <w:sz w:val="20"/>
                <w:szCs w:val="20"/>
              </w:rPr>
            </w:pPr>
            <w:r>
              <w:rPr>
                <w:rFonts w:cs="Calibri"/>
                <w:color w:val="000000"/>
                <w:sz w:val="20"/>
                <w:szCs w:val="20"/>
                <w:lang w:val="ga"/>
              </w:rPr>
              <w:t>Áras Nua-Ealaíne na hÉireann (IMMA)</w:t>
            </w:r>
          </w:p>
        </w:tc>
        <w:tc>
          <w:tcPr>
            <w:tcW w:w="4127" w:type="dxa"/>
            <w:tcBorders>
              <w:top w:val="single" w:sz="4" w:space="0" w:color="auto"/>
              <w:left w:val="single" w:sz="4" w:space="0" w:color="auto"/>
              <w:bottom w:val="single" w:sz="4" w:space="0" w:color="auto"/>
              <w:right w:val="single" w:sz="4" w:space="0" w:color="auto"/>
            </w:tcBorders>
            <w:hideMark/>
          </w:tcPr>
          <w:p w14:paraId="3F05D76A" w14:textId="77777777" w:rsidR="00590BEF" w:rsidRPr="007202FA" w:rsidRDefault="000B4F21" w:rsidP="007202FA">
            <w:pPr>
              <w:jc w:val="right"/>
              <w:rPr>
                <w:sz w:val="20"/>
                <w:szCs w:val="20"/>
              </w:rPr>
            </w:pPr>
            <w:r>
              <w:rPr>
                <w:rFonts w:cs="Calibri"/>
                <w:color w:val="000000"/>
                <w:sz w:val="20"/>
                <w:szCs w:val="20"/>
                <w:lang w:val="ga"/>
              </w:rPr>
              <w:t>62.9%</w:t>
            </w:r>
          </w:p>
        </w:tc>
      </w:tr>
      <w:tr w:rsidR="00F31303" w14:paraId="0FB6F2A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D55DC68" w14:textId="77777777" w:rsidR="00590BEF" w:rsidRPr="007202FA" w:rsidRDefault="000B4F21" w:rsidP="007202FA">
            <w:pPr>
              <w:rPr>
                <w:sz w:val="20"/>
                <w:szCs w:val="20"/>
              </w:rPr>
            </w:pPr>
            <w:r>
              <w:rPr>
                <w:rFonts w:cs="Calibri"/>
                <w:color w:val="000000"/>
                <w:sz w:val="20"/>
                <w:szCs w:val="20"/>
                <w:lang w:val="ga"/>
              </w:rPr>
              <w:t>Graí Náisiúnta na hÉireann</w:t>
            </w:r>
          </w:p>
        </w:tc>
        <w:tc>
          <w:tcPr>
            <w:tcW w:w="4127" w:type="dxa"/>
            <w:tcBorders>
              <w:top w:val="single" w:sz="4" w:space="0" w:color="auto"/>
              <w:left w:val="single" w:sz="4" w:space="0" w:color="auto"/>
              <w:bottom w:val="single" w:sz="4" w:space="0" w:color="auto"/>
              <w:right w:val="single" w:sz="4" w:space="0" w:color="auto"/>
            </w:tcBorders>
            <w:hideMark/>
          </w:tcPr>
          <w:p w14:paraId="11F56F2E" w14:textId="77777777" w:rsidR="00590BEF" w:rsidRPr="007202FA" w:rsidRDefault="000B4F21" w:rsidP="007202FA">
            <w:pPr>
              <w:jc w:val="right"/>
              <w:rPr>
                <w:sz w:val="20"/>
                <w:szCs w:val="20"/>
              </w:rPr>
            </w:pPr>
            <w:r>
              <w:rPr>
                <w:rFonts w:cs="Calibri"/>
                <w:color w:val="000000"/>
                <w:sz w:val="20"/>
                <w:szCs w:val="20"/>
                <w:lang w:val="ga"/>
              </w:rPr>
              <w:t>70.6%</w:t>
            </w:r>
          </w:p>
        </w:tc>
      </w:tr>
      <w:tr w:rsidR="00F31303" w14:paraId="6EDCA7E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888D52C" w14:textId="77777777" w:rsidR="00590BEF" w:rsidRPr="007202FA" w:rsidRDefault="000B4F21" w:rsidP="007202FA">
            <w:pPr>
              <w:rPr>
                <w:sz w:val="20"/>
                <w:szCs w:val="20"/>
              </w:rPr>
            </w:pPr>
            <w:r>
              <w:rPr>
                <w:rFonts w:cs="Calibri"/>
                <w:color w:val="000000"/>
                <w:sz w:val="20"/>
                <w:szCs w:val="20"/>
                <w:lang w:val="ga"/>
              </w:rPr>
              <w:t>Institiúid Teicneolaíochta Dhún Dealgan</w:t>
            </w:r>
          </w:p>
        </w:tc>
        <w:tc>
          <w:tcPr>
            <w:tcW w:w="4127" w:type="dxa"/>
            <w:tcBorders>
              <w:top w:val="single" w:sz="4" w:space="0" w:color="auto"/>
              <w:left w:val="single" w:sz="4" w:space="0" w:color="auto"/>
              <w:bottom w:val="single" w:sz="4" w:space="0" w:color="auto"/>
              <w:right w:val="single" w:sz="4" w:space="0" w:color="auto"/>
            </w:tcBorders>
            <w:hideMark/>
          </w:tcPr>
          <w:p w14:paraId="346702A1" w14:textId="77777777" w:rsidR="00590BEF" w:rsidRPr="007202FA" w:rsidRDefault="000B4F21" w:rsidP="007202FA">
            <w:pPr>
              <w:jc w:val="right"/>
              <w:rPr>
                <w:sz w:val="20"/>
                <w:szCs w:val="20"/>
              </w:rPr>
            </w:pPr>
            <w:r>
              <w:rPr>
                <w:rFonts w:cs="Calibri"/>
                <w:color w:val="000000"/>
                <w:sz w:val="20"/>
                <w:szCs w:val="20"/>
                <w:lang w:val="ga"/>
              </w:rPr>
              <w:t>6.5%</w:t>
            </w:r>
          </w:p>
        </w:tc>
      </w:tr>
      <w:tr w:rsidR="00F31303" w14:paraId="5B1E5F9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221A1A8" w14:textId="77777777" w:rsidR="00590BEF" w:rsidRPr="007202FA" w:rsidRDefault="000B4F21" w:rsidP="007202FA">
            <w:pPr>
              <w:rPr>
                <w:sz w:val="20"/>
                <w:szCs w:val="20"/>
              </w:rPr>
            </w:pPr>
            <w:r>
              <w:rPr>
                <w:rFonts w:cs="Calibri"/>
                <w:color w:val="000000"/>
                <w:sz w:val="20"/>
                <w:szCs w:val="20"/>
                <w:lang w:val="ga"/>
              </w:rPr>
              <w:t>Comhairle Contae Chiarraí</w:t>
            </w:r>
          </w:p>
        </w:tc>
        <w:tc>
          <w:tcPr>
            <w:tcW w:w="4127" w:type="dxa"/>
            <w:tcBorders>
              <w:top w:val="single" w:sz="4" w:space="0" w:color="auto"/>
              <w:left w:val="single" w:sz="4" w:space="0" w:color="auto"/>
              <w:bottom w:val="single" w:sz="4" w:space="0" w:color="auto"/>
              <w:right w:val="single" w:sz="4" w:space="0" w:color="auto"/>
            </w:tcBorders>
            <w:hideMark/>
          </w:tcPr>
          <w:p w14:paraId="7F437CF9" w14:textId="77777777" w:rsidR="00590BEF" w:rsidRPr="007202FA" w:rsidRDefault="000B4F21" w:rsidP="007202FA">
            <w:pPr>
              <w:jc w:val="right"/>
              <w:rPr>
                <w:sz w:val="20"/>
                <w:szCs w:val="20"/>
              </w:rPr>
            </w:pPr>
            <w:r>
              <w:rPr>
                <w:rFonts w:cs="Calibri"/>
                <w:color w:val="000000"/>
                <w:sz w:val="20"/>
                <w:szCs w:val="20"/>
                <w:lang w:val="ga"/>
              </w:rPr>
              <w:t>26.9%</w:t>
            </w:r>
          </w:p>
        </w:tc>
      </w:tr>
      <w:tr w:rsidR="00F31303" w14:paraId="7EA11E9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745AC2C" w14:textId="77777777" w:rsidR="00590BEF" w:rsidRPr="007202FA" w:rsidRDefault="000B4F21" w:rsidP="007202FA">
            <w:pPr>
              <w:rPr>
                <w:sz w:val="20"/>
                <w:szCs w:val="20"/>
              </w:rPr>
            </w:pPr>
            <w:r>
              <w:rPr>
                <w:rFonts w:cs="Calibri"/>
                <w:color w:val="000000"/>
                <w:sz w:val="20"/>
                <w:szCs w:val="20"/>
                <w:lang w:val="ga"/>
              </w:rPr>
              <w:t>Comhairle Contae Chill Dara</w:t>
            </w:r>
          </w:p>
        </w:tc>
        <w:tc>
          <w:tcPr>
            <w:tcW w:w="4127" w:type="dxa"/>
            <w:tcBorders>
              <w:top w:val="single" w:sz="4" w:space="0" w:color="auto"/>
              <w:left w:val="single" w:sz="4" w:space="0" w:color="auto"/>
              <w:bottom w:val="single" w:sz="4" w:space="0" w:color="auto"/>
              <w:right w:val="single" w:sz="4" w:space="0" w:color="auto"/>
            </w:tcBorders>
            <w:hideMark/>
          </w:tcPr>
          <w:p w14:paraId="06EAF40C" w14:textId="77777777" w:rsidR="00590BEF" w:rsidRPr="007202FA" w:rsidRDefault="000B4F21" w:rsidP="007202FA">
            <w:pPr>
              <w:jc w:val="right"/>
              <w:rPr>
                <w:sz w:val="20"/>
                <w:szCs w:val="20"/>
              </w:rPr>
            </w:pPr>
            <w:r>
              <w:rPr>
                <w:rFonts w:cs="Calibri"/>
                <w:color w:val="000000"/>
                <w:sz w:val="20"/>
                <w:szCs w:val="20"/>
                <w:lang w:val="ga"/>
              </w:rPr>
              <w:t>34.7%</w:t>
            </w:r>
          </w:p>
        </w:tc>
      </w:tr>
      <w:tr w:rsidR="00F31303" w14:paraId="5DD6309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61F6378" w14:textId="77777777" w:rsidR="00590BEF" w:rsidRPr="005524D6" w:rsidRDefault="000B4F21" w:rsidP="007202FA">
            <w:pPr>
              <w:rPr>
                <w:sz w:val="20"/>
                <w:szCs w:val="20"/>
                <w:lang w:val="de-DE"/>
              </w:rPr>
            </w:pPr>
            <w:r>
              <w:rPr>
                <w:rFonts w:cs="Calibri"/>
                <w:color w:val="000000"/>
                <w:sz w:val="20"/>
                <w:szCs w:val="20"/>
                <w:lang w:val="ga"/>
              </w:rPr>
              <w:t>An Ghníomhaireacht um Fhorbairt Talún</w:t>
            </w:r>
          </w:p>
        </w:tc>
        <w:tc>
          <w:tcPr>
            <w:tcW w:w="4127" w:type="dxa"/>
            <w:tcBorders>
              <w:top w:val="single" w:sz="4" w:space="0" w:color="auto"/>
              <w:left w:val="single" w:sz="4" w:space="0" w:color="auto"/>
              <w:bottom w:val="single" w:sz="4" w:space="0" w:color="auto"/>
              <w:right w:val="single" w:sz="4" w:space="0" w:color="auto"/>
            </w:tcBorders>
            <w:hideMark/>
          </w:tcPr>
          <w:p w14:paraId="7D37B98C" w14:textId="77777777" w:rsidR="00590BEF" w:rsidRPr="007202FA" w:rsidRDefault="000B4F21" w:rsidP="007202FA">
            <w:pPr>
              <w:jc w:val="right"/>
              <w:rPr>
                <w:sz w:val="20"/>
                <w:szCs w:val="20"/>
              </w:rPr>
            </w:pPr>
            <w:r>
              <w:rPr>
                <w:rFonts w:cs="Calibri"/>
                <w:color w:val="000000"/>
                <w:sz w:val="20"/>
                <w:szCs w:val="20"/>
                <w:lang w:val="ga"/>
              </w:rPr>
              <w:t>65.6%</w:t>
            </w:r>
          </w:p>
        </w:tc>
      </w:tr>
      <w:tr w:rsidR="00F31303" w14:paraId="51BBB14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D12C6BA" w14:textId="77777777" w:rsidR="00590BEF" w:rsidRPr="005524D6" w:rsidRDefault="000B4F21" w:rsidP="007202FA">
            <w:pPr>
              <w:rPr>
                <w:sz w:val="20"/>
                <w:szCs w:val="20"/>
                <w:lang w:val="de-DE"/>
              </w:rPr>
            </w:pPr>
            <w:r>
              <w:rPr>
                <w:rFonts w:cs="Calibri"/>
                <w:color w:val="000000"/>
                <w:sz w:val="20"/>
                <w:szCs w:val="20"/>
                <w:lang w:val="ga"/>
              </w:rPr>
              <w:t>An Coimisiún um Athchóiriú an Dlí</w:t>
            </w:r>
          </w:p>
        </w:tc>
        <w:tc>
          <w:tcPr>
            <w:tcW w:w="4127" w:type="dxa"/>
            <w:tcBorders>
              <w:top w:val="single" w:sz="4" w:space="0" w:color="auto"/>
              <w:left w:val="single" w:sz="4" w:space="0" w:color="auto"/>
              <w:bottom w:val="single" w:sz="4" w:space="0" w:color="auto"/>
              <w:right w:val="single" w:sz="4" w:space="0" w:color="auto"/>
            </w:tcBorders>
            <w:hideMark/>
          </w:tcPr>
          <w:p w14:paraId="545EBE69" w14:textId="77777777" w:rsidR="00590BEF" w:rsidRPr="007202FA" w:rsidRDefault="000B4F21" w:rsidP="007202FA">
            <w:pPr>
              <w:jc w:val="right"/>
              <w:rPr>
                <w:sz w:val="20"/>
                <w:szCs w:val="20"/>
              </w:rPr>
            </w:pPr>
            <w:r>
              <w:rPr>
                <w:rFonts w:cs="Calibri"/>
                <w:color w:val="000000"/>
                <w:sz w:val="20"/>
                <w:szCs w:val="20"/>
                <w:lang w:val="ga"/>
              </w:rPr>
              <w:t>95.8%</w:t>
            </w:r>
          </w:p>
        </w:tc>
      </w:tr>
      <w:tr w:rsidR="00F31303" w14:paraId="0A11211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88C3F7E" w14:textId="77777777" w:rsidR="00590BEF" w:rsidRPr="007202FA" w:rsidRDefault="000B4F21" w:rsidP="007202FA">
            <w:pPr>
              <w:rPr>
                <w:sz w:val="20"/>
                <w:szCs w:val="20"/>
              </w:rPr>
            </w:pPr>
            <w:r>
              <w:rPr>
                <w:rFonts w:cs="Calibri"/>
                <w:color w:val="000000"/>
                <w:sz w:val="20"/>
                <w:szCs w:val="20"/>
                <w:lang w:val="ga"/>
              </w:rPr>
              <w:t>Léargas</w:t>
            </w:r>
          </w:p>
        </w:tc>
        <w:tc>
          <w:tcPr>
            <w:tcW w:w="4127" w:type="dxa"/>
            <w:tcBorders>
              <w:top w:val="single" w:sz="4" w:space="0" w:color="auto"/>
              <w:left w:val="single" w:sz="4" w:space="0" w:color="auto"/>
              <w:bottom w:val="single" w:sz="4" w:space="0" w:color="auto"/>
              <w:right w:val="single" w:sz="4" w:space="0" w:color="auto"/>
            </w:tcBorders>
            <w:hideMark/>
          </w:tcPr>
          <w:p w14:paraId="276C8AAF" w14:textId="77777777" w:rsidR="00590BEF" w:rsidRPr="007202FA" w:rsidRDefault="000B4F21" w:rsidP="007202FA">
            <w:pPr>
              <w:jc w:val="right"/>
              <w:rPr>
                <w:sz w:val="20"/>
                <w:szCs w:val="20"/>
              </w:rPr>
            </w:pPr>
            <w:r>
              <w:rPr>
                <w:rFonts w:cs="Calibri"/>
                <w:color w:val="000000"/>
                <w:sz w:val="20"/>
                <w:szCs w:val="20"/>
                <w:lang w:val="ga"/>
              </w:rPr>
              <w:t>59.3%</w:t>
            </w:r>
          </w:p>
        </w:tc>
      </w:tr>
      <w:tr w:rsidR="00F31303" w14:paraId="7AD32FB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E2FF83A" w14:textId="77777777" w:rsidR="00590BEF" w:rsidRPr="005524D6" w:rsidRDefault="000B4F21" w:rsidP="007202FA">
            <w:pPr>
              <w:rPr>
                <w:sz w:val="20"/>
                <w:szCs w:val="20"/>
                <w:lang w:val="de-DE"/>
              </w:rPr>
            </w:pPr>
            <w:r>
              <w:rPr>
                <w:rFonts w:cs="Calibri"/>
                <w:color w:val="000000"/>
                <w:sz w:val="20"/>
                <w:szCs w:val="20"/>
                <w:lang w:val="ga"/>
              </w:rPr>
              <w:t>An Bord um Chúnamh Dlíthiúil</w:t>
            </w:r>
          </w:p>
        </w:tc>
        <w:tc>
          <w:tcPr>
            <w:tcW w:w="4127" w:type="dxa"/>
            <w:tcBorders>
              <w:top w:val="single" w:sz="4" w:space="0" w:color="auto"/>
              <w:left w:val="single" w:sz="4" w:space="0" w:color="auto"/>
              <w:bottom w:val="single" w:sz="4" w:space="0" w:color="auto"/>
              <w:right w:val="single" w:sz="4" w:space="0" w:color="auto"/>
            </w:tcBorders>
            <w:hideMark/>
          </w:tcPr>
          <w:p w14:paraId="2152A6BC" w14:textId="77777777" w:rsidR="00590BEF" w:rsidRPr="007202FA" w:rsidRDefault="000B4F21" w:rsidP="007202FA">
            <w:pPr>
              <w:jc w:val="right"/>
              <w:rPr>
                <w:sz w:val="20"/>
                <w:szCs w:val="20"/>
              </w:rPr>
            </w:pPr>
            <w:r>
              <w:rPr>
                <w:rFonts w:cs="Calibri"/>
                <w:color w:val="000000"/>
                <w:sz w:val="20"/>
                <w:szCs w:val="20"/>
                <w:lang w:val="ga"/>
              </w:rPr>
              <w:t>44.5%</w:t>
            </w:r>
          </w:p>
        </w:tc>
      </w:tr>
      <w:tr w:rsidR="00F31303" w14:paraId="1001F5B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2DA933E" w14:textId="77777777" w:rsidR="00590BEF" w:rsidRPr="007202FA" w:rsidRDefault="000B4F21" w:rsidP="007202FA">
            <w:pPr>
              <w:rPr>
                <w:sz w:val="20"/>
                <w:szCs w:val="20"/>
              </w:rPr>
            </w:pPr>
            <w:r>
              <w:rPr>
                <w:rFonts w:cs="Calibri"/>
                <w:color w:val="000000"/>
                <w:sz w:val="20"/>
                <w:szCs w:val="20"/>
                <w:lang w:val="ga"/>
              </w:rPr>
              <w:t>Ospidéal Pháirc Bhaile na Lobhar</w:t>
            </w:r>
          </w:p>
        </w:tc>
        <w:tc>
          <w:tcPr>
            <w:tcW w:w="4127" w:type="dxa"/>
            <w:tcBorders>
              <w:top w:val="single" w:sz="4" w:space="0" w:color="auto"/>
              <w:left w:val="single" w:sz="4" w:space="0" w:color="auto"/>
              <w:bottom w:val="single" w:sz="4" w:space="0" w:color="auto"/>
              <w:right w:val="single" w:sz="4" w:space="0" w:color="auto"/>
            </w:tcBorders>
            <w:hideMark/>
          </w:tcPr>
          <w:p w14:paraId="664F6C7D" w14:textId="77777777" w:rsidR="00590BEF" w:rsidRPr="007202FA" w:rsidRDefault="000B4F21" w:rsidP="007202FA">
            <w:pPr>
              <w:jc w:val="right"/>
              <w:rPr>
                <w:sz w:val="20"/>
                <w:szCs w:val="20"/>
              </w:rPr>
            </w:pPr>
            <w:r>
              <w:rPr>
                <w:rFonts w:cs="Calibri"/>
                <w:color w:val="000000"/>
                <w:sz w:val="20"/>
                <w:szCs w:val="20"/>
                <w:lang w:val="ga"/>
              </w:rPr>
              <w:t>100.0%</w:t>
            </w:r>
          </w:p>
        </w:tc>
      </w:tr>
      <w:tr w:rsidR="00F31303" w14:paraId="4F9CE49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63D36F1" w14:textId="77777777" w:rsidR="00590BEF" w:rsidRPr="007202FA" w:rsidRDefault="000B4F21" w:rsidP="007202FA">
            <w:pPr>
              <w:rPr>
                <w:sz w:val="20"/>
                <w:szCs w:val="20"/>
              </w:rPr>
            </w:pPr>
            <w:r>
              <w:rPr>
                <w:rFonts w:cs="Calibri"/>
                <w:color w:val="000000"/>
                <w:sz w:val="20"/>
                <w:szCs w:val="20"/>
                <w:lang w:val="ga"/>
              </w:rPr>
              <w:t>An Ghníomhaireacht Bainistíochta Rialtais Áitiúil</w:t>
            </w:r>
          </w:p>
        </w:tc>
        <w:tc>
          <w:tcPr>
            <w:tcW w:w="4127" w:type="dxa"/>
            <w:tcBorders>
              <w:top w:val="single" w:sz="4" w:space="0" w:color="auto"/>
              <w:left w:val="single" w:sz="4" w:space="0" w:color="auto"/>
              <w:bottom w:val="single" w:sz="4" w:space="0" w:color="auto"/>
              <w:right w:val="single" w:sz="4" w:space="0" w:color="auto"/>
            </w:tcBorders>
            <w:hideMark/>
          </w:tcPr>
          <w:p w14:paraId="657188E0" w14:textId="77777777" w:rsidR="00590BEF" w:rsidRPr="007202FA" w:rsidRDefault="000B4F21" w:rsidP="007202FA">
            <w:pPr>
              <w:jc w:val="right"/>
              <w:rPr>
                <w:sz w:val="20"/>
                <w:szCs w:val="20"/>
              </w:rPr>
            </w:pPr>
            <w:r>
              <w:rPr>
                <w:rFonts w:cs="Calibri"/>
                <w:color w:val="000000"/>
                <w:sz w:val="20"/>
                <w:szCs w:val="20"/>
                <w:lang w:val="ga"/>
              </w:rPr>
              <w:t>55.6%</w:t>
            </w:r>
          </w:p>
        </w:tc>
      </w:tr>
      <w:tr w:rsidR="00F31303" w14:paraId="10BE02B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0FA98A6" w14:textId="77777777" w:rsidR="00590BEF" w:rsidRPr="007202FA" w:rsidRDefault="000B4F21" w:rsidP="007202FA">
            <w:pPr>
              <w:rPr>
                <w:sz w:val="20"/>
                <w:szCs w:val="20"/>
              </w:rPr>
            </w:pPr>
            <w:r>
              <w:rPr>
                <w:rFonts w:cs="Calibri"/>
                <w:color w:val="000000"/>
                <w:sz w:val="20"/>
                <w:szCs w:val="20"/>
                <w:lang w:val="ga"/>
              </w:rPr>
              <w:t>Comhairle Contae Lú</w:t>
            </w:r>
          </w:p>
        </w:tc>
        <w:tc>
          <w:tcPr>
            <w:tcW w:w="4127" w:type="dxa"/>
            <w:tcBorders>
              <w:top w:val="single" w:sz="4" w:space="0" w:color="auto"/>
              <w:left w:val="single" w:sz="4" w:space="0" w:color="auto"/>
              <w:bottom w:val="single" w:sz="4" w:space="0" w:color="auto"/>
              <w:right w:val="single" w:sz="4" w:space="0" w:color="auto"/>
            </w:tcBorders>
            <w:hideMark/>
          </w:tcPr>
          <w:p w14:paraId="38BEF4B1" w14:textId="77777777" w:rsidR="00590BEF" w:rsidRPr="007202FA" w:rsidRDefault="000B4F21" w:rsidP="007202FA">
            <w:pPr>
              <w:jc w:val="right"/>
              <w:rPr>
                <w:sz w:val="20"/>
                <w:szCs w:val="20"/>
              </w:rPr>
            </w:pPr>
            <w:r>
              <w:rPr>
                <w:rFonts w:cs="Calibri"/>
                <w:color w:val="000000"/>
                <w:sz w:val="20"/>
                <w:szCs w:val="20"/>
                <w:lang w:val="ga"/>
              </w:rPr>
              <w:t>40.8%</w:t>
            </w:r>
          </w:p>
        </w:tc>
      </w:tr>
      <w:tr w:rsidR="00F31303" w14:paraId="78217C7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47B0D35" w14:textId="77777777" w:rsidR="00590BEF" w:rsidRPr="007202FA" w:rsidRDefault="000B4F21" w:rsidP="007202FA">
            <w:pPr>
              <w:rPr>
                <w:sz w:val="20"/>
                <w:szCs w:val="20"/>
              </w:rPr>
            </w:pPr>
            <w:r>
              <w:rPr>
                <w:rFonts w:cs="Calibri"/>
                <w:color w:val="000000"/>
                <w:sz w:val="20"/>
                <w:szCs w:val="20"/>
                <w:lang w:val="ga"/>
              </w:rPr>
              <w:t xml:space="preserve">Foras na Mara </w:t>
            </w:r>
          </w:p>
        </w:tc>
        <w:tc>
          <w:tcPr>
            <w:tcW w:w="4127" w:type="dxa"/>
            <w:tcBorders>
              <w:top w:val="single" w:sz="4" w:space="0" w:color="auto"/>
              <w:left w:val="single" w:sz="4" w:space="0" w:color="auto"/>
              <w:bottom w:val="single" w:sz="4" w:space="0" w:color="auto"/>
              <w:right w:val="single" w:sz="4" w:space="0" w:color="auto"/>
            </w:tcBorders>
            <w:hideMark/>
          </w:tcPr>
          <w:p w14:paraId="5FB68537" w14:textId="77777777" w:rsidR="00590BEF" w:rsidRPr="007202FA" w:rsidRDefault="000B4F21" w:rsidP="007202FA">
            <w:pPr>
              <w:jc w:val="right"/>
              <w:rPr>
                <w:sz w:val="20"/>
                <w:szCs w:val="20"/>
              </w:rPr>
            </w:pPr>
            <w:r>
              <w:rPr>
                <w:rFonts w:cs="Calibri"/>
                <w:color w:val="000000"/>
                <w:sz w:val="20"/>
                <w:szCs w:val="20"/>
                <w:lang w:val="ga"/>
              </w:rPr>
              <w:t>44.2%</w:t>
            </w:r>
          </w:p>
        </w:tc>
      </w:tr>
      <w:tr w:rsidR="00F31303" w14:paraId="65E86CD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7B03014" w14:textId="77777777" w:rsidR="00590BEF" w:rsidRPr="007202FA" w:rsidRDefault="000B4F21" w:rsidP="007202FA">
            <w:pPr>
              <w:rPr>
                <w:sz w:val="20"/>
                <w:szCs w:val="20"/>
              </w:rPr>
            </w:pPr>
            <w:r>
              <w:rPr>
                <w:rFonts w:cs="Calibri"/>
                <w:color w:val="000000"/>
                <w:sz w:val="20"/>
                <w:szCs w:val="20"/>
                <w:lang w:val="ga"/>
              </w:rPr>
              <w:t>An tÚdarás Rialála Limistéir Mhuirí</w:t>
            </w:r>
            <w:r>
              <w:rPr>
                <w:rStyle w:val="FootnoteReference"/>
                <w:rFonts w:cs="Calibri"/>
                <w:color w:val="000000"/>
                <w:sz w:val="20"/>
                <w:szCs w:val="20"/>
                <w:lang w:val="ga"/>
              </w:rPr>
              <w:footnoteReference w:id="24"/>
            </w:r>
            <w:r>
              <w:rPr>
                <w:rFonts w:cs="Calibri"/>
                <w:color w:val="000000"/>
                <w:sz w:val="20"/>
                <w:szCs w:val="20"/>
                <w:lang w:val="ga"/>
              </w:rPr>
              <w:t xml:space="preserve"> </w:t>
            </w:r>
          </w:p>
        </w:tc>
        <w:tc>
          <w:tcPr>
            <w:tcW w:w="4127" w:type="dxa"/>
            <w:tcBorders>
              <w:top w:val="single" w:sz="4" w:space="0" w:color="auto"/>
              <w:left w:val="single" w:sz="4" w:space="0" w:color="auto"/>
              <w:bottom w:val="single" w:sz="4" w:space="0" w:color="auto"/>
              <w:right w:val="single" w:sz="4" w:space="0" w:color="auto"/>
            </w:tcBorders>
            <w:hideMark/>
          </w:tcPr>
          <w:p w14:paraId="7D31431B" w14:textId="77777777" w:rsidR="00590BEF" w:rsidRPr="007202FA" w:rsidRDefault="000B4F21" w:rsidP="007202FA">
            <w:pPr>
              <w:jc w:val="right"/>
              <w:rPr>
                <w:sz w:val="20"/>
                <w:szCs w:val="20"/>
              </w:rPr>
            </w:pPr>
            <w:r>
              <w:rPr>
                <w:rFonts w:cs="Calibri"/>
                <w:color w:val="000000"/>
                <w:sz w:val="20"/>
                <w:szCs w:val="20"/>
                <w:lang w:val="ga"/>
              </w:rPr>
              <w:t>76.5%</w:t>
            </w:r>
          </w:p>
        </w:tc>
      </w:tr>
      <w:tr w:rsidR="00F31303" w14:paraId="2D24610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0A3CAF9" w14:textId="77777777" w:rsidR="00590BEF" w:rsidRPr="007202FA" w:rsidRDefault="000B4F21" w:rsidP="007202FA">
            <w:pPr>
              <w:rPr>
                <w:sz w:val="20"/>
                <w:szCs w:val="20"/>
              </w:rPr>
            </w:pPr>
            <w:r>
              <w:rPr>
                <w:rFonts w:cs="Calibri"/>
                <w:color w:val="000000"/>
                <w:sz w:val="20"/>
                <w:szCs w:val="20"/>
                <w:lang w:val="ga"/>
              </w:rPr>
              <w:t>Comhairle Contae Mhaigh Eo</w:t>
            </w:r>
          </w:p>
        </w:tc>
        <w:tc>
          <w:tcPr>
            <w:tcW w:w="4127" w:type="dxa"/>
            <w:tcBorders>
              <w:top w:val="single" w:sz="4" w:space="0" w:color="auto"/>
              <w:left w:val="single" w:sz="4" w:space="0" w:color="auto"/>
              <w:bottom w:val="single" w:sz="4" w:space="0" w:color="auto"/>
              <w:right w:val="single" w:sz="4" w:space="0" w:color="auto"/>
            </w:tcBorders>
            <w:hideMark/>
          </w:tcPr>
          <w:p w14:paraId="46AE70A6" w14:textId="77777777" w:rsidR="00590BEF" w:rsidRPr="007202FA" w:rsidRDefault="000B4F21" w:rsidP="007202FA">
            <w:pPr>
              <w:jc w:val="right"/>
              <w:rPr>
                <w:sz w:val="20"/>
                <w:szCs w:val="20"/>
              </w:rPr>
            </w:pPr>
            <w:r>
              <w:rPr>
                <w:rFonts w:cs="Calibri"/>
                <w:color w:val="000000"/>
                <w:sz w:val="20"/>
                <w:szCs w:val="20"/>
                <w:lang w:val="ga"/>
              </w:rPr>
              <w:t>36.8%</w:t>
            </w:r>
          </w:p>
        </w:tc>
      </w:tr>
      <w:tr w:rsidR="00F31303" w14:paraId="50F0FD9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7AA2EE4" w14:textId="77777777" w:rsidR="00590BEF" w:rsidRPr="007202FA" w:rsidRDefault="000B4F21" w:rsidP="007202FA">
            <w:pPr>
              <w:rPr>
                <w:sz w:val="20"/>
                <w:szCs w:val="20"/>
              </w:rPr>
            </w:pPr>
            <w:r>
              <w:rPr>
                <w:rFonts w:cs="Calibri"/>
                <w:color w:val="000000"/>
                <w:sz w:val="20"/>
                <w:szCs w:val="20"/>
                <w:lang w:val="ga"/>
              </w:rPr>
              <w:t>Comhairle na nDochtúirí Leighis</w:t>
            </w:r>
          </w:p>
        </w:tc>
        <w:tc>
          <w:tcPr>
            <w:tcW w:w="4127" w:type="dxa"/>
            <w:tcBorders>
              <w:top w:val="single" w:sz="4" w:space="0" w:color="auto"/>
              <w:left w:val="single" w:sz="4" w:space="0" w:color="auto"/>
              <w:bottom w:val="single" w:sz="4" w:space="0" w:color="auto"/>
              <w:right w:val="single" w:sz="4" w:space="0" w:color="auto"/>
            </w:tcBorders>
            <w:hideMark/>
          </w:tcPr>
          <w:p w14:paraId="06D5BE44" w14:textId="77777777" w:rsidR="00590BEF" w:rsidRPr="007202FA" w:rsidRDefault="000B4F21" w:rsidP="007202FA">
            <w:pPr>
              <w:jc w:val="right"/>
              <w:rPr>
                <w:sz w:val="20"/>
                <w:szCs w:val="20"/>
              </w:rPr>
            </w:pPr>
            <w:r>
              <w:rPr>
                <w:rFonts w:cs="Calibri"/>
                <w:color w:val="000000"/>
                <w:sz w:val="20"/>
                <w:szCs w:val="20"/>
                <w:lang w:val="ga"/>
              </w:rPr>
              <w:t>57.4%</w:t>
            </w:r>
          </w:p>
        </w:tc>
      </w:tr>
      <w:tr w:rsidR="00F31303" w14:paraId="23F4E30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83D36E3" w14:textId="77777777" w:rsidR="00590BEF" w:rsidRPr="007202FA" w:rsidRDefault="000B4F21" w:rsidP="007202FA">
            <w:pPr>
              <w:rPr>
                <w:sz w:val="20"/>
                <w:szCs w:val="20"/>
              </w:rPr>
            </w:pPr>
            <w:r>
              <w:rPr>
                <w:rFonts w:cs="Calibri"/>
                <w:color w:val="000000"/>
                <w:sz w:val="20"/>
                <w:szCs w:val="20"/>
                <w:lang w:val="ga"/>
              </w:rPr>
              <w:t>An Coimisiún Meabhair-Shláinte</w:t>
            </w:r>
          </w:p>
        </w:tc>
        <w:tc>
          <w:tcPr>
            <w:tcW w:w="4127" w:type="dxa"/>
            <w:tcBorders>
              <w:top w:val="single" w:sz="4" w:space="0" w:color="auto"/>
              <w:left w:val="single" w:sz="4" w:space="0" w:color="auto"/>
              <w:bottom w:val="single" w:sz="4" w:space="0" w:color="auto"/>
              <w:right w:val="single" w:sz="4" w:space="0" w:color="auto"/>
            </w:tcBorders>
            <w:hideMark/>
          </w:tcPr>
          <w:p w14:paraId="6F6F82AC" w14:textId="77777777" w:rsidR="00590BEF" w:rsidRPr="007202FA" w:rsidRDefault="000B4F21" w:rsidP="007202FA">
            <w:pPr>
              <w:jc w:val="right"/>
              <w:rPr>
                <w:sz w:val="20"/>
                <w:szCs w:val="20"/>
              </w:rPr>
            </w:pPr>
            <w:r>
              <w:rPr>
                <w:rFonts w:cs="Calibri"/>
                <w:color w:val="000000"/>
                <w:sz w:val="20"/>
                <w:szCs w:val="20"/>
                <w:lang w:val="ga"/>
              </w:rPr>
              <w:t>60.7%</w:t>
            </w:r>
          </w:p>
        </w:tc>
      </w:tr>
      <w:tr w:rsidR="00F31303" w14:paraId="17CA18A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4B5E4E7" w14:textId="77777777" w:rsidR="00590BEF" w:rsidRPr="007202FA" w:rsidRDefault="000B4F21" w:rsidP="007202FA">
            <w:pPr>
              <w:rPr>
                <w:sz w:val="20"/>
                <w:szCs w:val="20"/>
              </w:rPr>
            </w:pPr>
            <w:r>
              <w:rPr>
                <w:rFonts w:cs="Calibri"/>
                <w:color w:val="000000"/>
                <w:sz w:val="20"/>
                <w:szCs w:val="20"/>
                <w:lang w:val="ga"/>
              </w:rPr>
              <w:t>Comhairle Contae Mhuineacháin</w:t>
            </w:r>
          </w:p>
        </w:tc>
        <w:tc>
          <w:tcPr>
            <w:tcW w:w="4127" w:type="dxa"/>
            <w:tcBorders>
              <w:top w:val="single" w:sz="4" w:space="0" w:color="auto"/>
              <w:left w:val="single" w:sz="4" w:space="0" w:color="auto"/>
              <w:bottom w:val="single" w:sz="4" w:space="0" w:color="auto"/>
              <w:right w:val="single" w:sz="4" w:space="0" w:color="auto"/>
            </w:tcBorders>
            <w:hideMark/>
          </w:tcPr>
          <w:p w14:paraId="511B1A3B" w14:textId="77777777" w:rsidR="00590BEF" w:rsidRPr="007202FA" w:rsidRDefault="000B4F21" w:rsidP="007202FA">
            <w:pPr>
              <w:jc w:val="right"/>
              <w:rPr>
                <w:sz w:val="20"/>
                <w:szCs w:val="20"/>
              </w:rPr>
            </w:pPr>
            <w:r>
              <w:rPr>
                <w:rFonts w:cs="Calibri"/>
                <w:color w:val="000000"/>
                <w:sz w:val="20"/>
                <w:szCs w:val="20"/>
                <w:lang w:val="ga"/>
              </w:rPr>
              <w:t>17.1%</w:t>
            </w:r>
          </w:p>
        </w:tc>
      </w:tr>
      <w:tr w:rsidR="00F31303" w14:paraId="3F0C1F2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F1FD877" w14:textId="77777777" w:rsidR="00590BEF" w:rsidRPr="007202FA" w:rsidRDefault="000B4F21" w:rsidP="007202FA">
            <w:pPr>
              <w:rPr>
                <w:sz w:val="20"/>
                <w:szCs w:val="20"/>
              </w:rPr>
            </w:pPr>
            <w:r>
              <w:rPr>
                <w:rFonts w:cs="Calibri"/>
                <w:color w:val="000000"/>
                <w:sz w:val="20"/>
                <w:szCs w:val="20"/>
                <w:lang w:val="ga"/>
              </w:rPr>
              <w:t>Ollscoil Teicneolaíochta na Mumhan (MTU)</w:t>
            </w:r>
          </w:p>
        </w:tc>
        <w:tc>
          <w:tcPr>
            <w:tcW w:w="4127" w:type="dxa"/>
            <w:tcBorders>
              <w:top w:val="single" w:sz="4" w:space="0" w:color="auto"/>
              <w:left w:val="single" w:sz="4" w:space="0" w:color="auto"/>
              <w:bottom w:val="single" w:sz="4" w:space="0" w:color="auto"/>
              <w:right w:val="single" w:sz="4" w:space="0" w:color="auto"/>
            </w:tcBorders>
            <w:hideMark/>
          </w:tcPr>
          <w:p w14:paraId="43C0305C" w14:textId="77777777" w:rsidR="00590BEF" w:rsidRPr="007202FA" w:rsidRDefault="000B4F21" w:rsidP="007202FA">
            <w:pPr>
              <w:jc w:val="right"/>
              <w:rPr>
                <w:sz w:val="20"/>
                <w:szCs w:val="20"/>
              </w:rPr>
            </w:pPr>
            <w:r>
              <w:rPr>
                <w:rFonts w:cs="Calibri"/>
                <w:color w:val="000000"/>
                <w:sz w:val="20"/>
                <w:szCs w:val="20"/>
                <w:lang w:val="ga"/>
              </w:rPr>
              <w:t>14.7%</w:t>
            </w:r>
          </w:p>
        </w:tc>
      </w:tr>
      <w:tr w:rsidR="00F31303" w14:paraId="1114C42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F14CE73" w14:textId="77777777" w:rsidR="00590BEF" w:rsidRPr="005524D6" w:rsidRDefault="000B4F21" w:rsidP="007202FA">
            <w:pPr>
              <w:rPr>
                <w:sz w:val="20"/>
                <w:szCs w:val="20"/>
                <w:lang w:val="de-DE"/>
              </w:rPr>
            </w:pPr>
            <w:r>
              <w:rPr>
                <w:rFonts w:cs="Calibri"/>
                <w:color w:val="000000"/>
                <w:sz w:val="20"/>
                <w:szCs w:val="20"/>
                <w:lang w:val="ga"/>
              </w:rPr>
              <w:t>An Bord um an gClárlann Náisiúnta Ailse</w:t>
            </w:r>
          </w:p>
        </w:tc>
        <w:tc>
          <w:tcPr>
            <w:tcW w:w="4127" w:type="dxa"/>
            <w:tcBorders>
              <w:top w:val="single" w:sz="4" w:space="0" w:color="auto"/>
              <w:left w:val="single" w:sz="4" w:space="0" w:color="auto"/>
              <w:bottom w:val="single" w:sz="4" w:space="0" w:color="auto"/>
              <w:right w:val="single" w:sz="4" w:space="0" w:color="auto"/>
            </w:tcBorders>
            <w:hideMark/>
          </w:tcPr>
          <w:p w14:paraId="6C40E818" w14:textId="77777777" w:rsidR="00590BEF" w:rsidRPr="007202FA" w:rsidRDefault="000B4F21" w:rsidP="007202FA">
            <w:pPr>
              <w:jc w:val="right"/>
              <w:rPr>
                <w:sz w:val="20"/>
                <w:szCs w:val="20"/>
              </w:rPr>
            </w:pPr>
            <w:r>
              <w:rPr>
                <w:rFonts w:cs="Calibri"/>
                <w:color w:val="000000"/>
                <w:sz w:val="20"/>
                <w:szCs w:val="20"/>
                <w:lang w:val="ga"/>
              </w:rPr>
              <w:t>98.1%</w:t>
            </w:r>
          </w:p>
        </w:tc>
      </w:tr>
      <w:tr w:rsidR="00F31303" w14:paraId="69A01C3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4B5C124" w14:textId="77777777" w:rsidR="00590BEF" w:rsidRPr="007202FA" w:rsidRDefault="000B4F21" w:rsidP="007202FA">
            <w:pPr>
              <w:rPr>
                <w:sz w:val="20"/>
                <w:szCs w:val="20"/>
              </w:rPr>
            </w:pPr>
            <w:r>
              <w:rPr>
                <w:rFonts w:cs="Calibri"/>
                <w:color w:val="000000"/>
                <w:sz w:val="20"/>
                <w:szCs w:val="20"/>
                <w:lang w:val="ga"/>
              </w:rPr>
              <w:t>An Ceoláras Náisiúnta</w:t>
            </w:r>
          </w:p>
        </w:tc>
        <w:tc>
          <w:tcPr>
            <w:tcW w:w="4127" w:type="dxa"/>
            <w:tcBorders>
              <w:top w:val="single" w:sz="4" w:space="0" w:color="auto"/>
              <w:left w:val="single" w:sz="4" w:space="0" w:color="auto"/>
              <w:bottom w:val="single" w:sz="4" w:space="0" w:color="auto"/>
              <w:right w:val="single" w:sz="4" w:space="0" w:color="auto"/>
            </w:tcBorders>
            <w:hideMark/>
          </w:tcPr>
          <w:p w14:paraId="2BBF6C07" w14:textId="77777777" w:rsidR="00590BEF" w:rsidRPr="007202FA" w:rsidRDefault="000B4F21" w:rsidP="007202FA">
            <w:pPr>
              <w:jc w:val="right"/>
              <w:rPr>
                <w:sz w:val="20"/>
                <w:szCs w:val="20"/>
              </w:rPr>
            </w:pPr>
            <w:r>
              <w:rPr>
                <w:rFonts w:cs="Calibri"/>
                <w:color w:val="000000"/>
                <w:sz w:val="20"/>
                <w:szCs w:val="20"/>
                <w:lang w:val="ga"/>
              </w:rPr>
              <w:t>50.9%</w:t>
            </w:r>
          </w:p>
        </w:tc>
      </w:tr>
      <w:tr w:rsidR="00F31303" w14:paraId="617EC6E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E6825E1" w14:textId="77777777" w:rsidR="00590BEF" w:rsidRPr="007202FA" w:rsidRDefault="000B4F21" w:rsidP="007202FA">
            <w:pPr>
              <w:rPr>
                <w:sz w:val="20"/>
                <w:szCs w:val="20"/>
              </w:rPr>
            </w:pPr>
            <w:r>
              <w:rPr>
                <w:rFonts w:cs="Calibri"/>
                <w:color w:val="000000"/>
                <w:sz w:val="20"/>
                <w:szCs w:val="20"/>
                <w:lang w:val="ga"/>
              </w:rPr>
              <w:t>An Chomhairle Náisiúnta Curaclaim agus Measúnachta</w:t>
            </w:r>
          </w:p>
        </w:tc>
        <w:tc>
          <w:tcPr>
            <w:tcW w:w="4127" w:type="dxa"/>
            <w:tcBorders>
              <w:top w:val="single" w:sz="4" w:space="0" w:color="auto"/>
              <w:left w:val="single" w:sz="4" w:space="0" w:color="auto"/>
              <w:bottom w:val="single" w:sz="4" w:space="0" w:color="auto"/>
              <w:right w:val="single" w:sz="4" w:space="0" w:color="auto"/>
            </w:tcBorders>
            <w:hideMark/>
          </w:tcPr>
          <w:p w14:paraId="3C81FAC9" w14:textId="77777777" w:rsidR="00590BEF" w:rsidRPr="007202FA" w:rsidRDefault="000B4F21" w:rsidP="007202FA">
            <w:pPr>
              <w:jc w:val="right"/>
              <w:rPr>
                <w:sz w:val="20"/>
                <w:szCs w:val="20"/>
              </w:rPr>
            </w:pPr>
            <w:r>
              <w:rPr>
                <w:rFonts w:cs="Calibri"/>
                <w:color w:val="000000"/>
                <w:sz w:val="20"/>
                <w:szCs w:val="20"/>
                <w:lang w:val="ga"/>
              </w:rPr>
              <w:t>5.7%</w:t>
            </w:r>
          </w:p>
        </w:tc>
      </w:tr>
      <w:tr w:rsidR="00F31303" w14:paraId="20AA772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7A0D272" w14:textId="77777777" w:rsidR="00590BEF" w:rsidRPr="007202FA" w:rsidRDefault="000B4F21" w:rsidP="007202FA">
            <w:pPr>
              <w:rPr>
                <w:sz w:val="20"/>
                <w:szCs w:val="20"/>
              </w:rPr>
            </w:pPr>
            <w:r>
              <w:rPr>
                <w:rFonts w:cs="Calibri"/>
                <w:color w:val="000000"/>
                <w:sz w:val="20"/>
                <w:szCs w:val="20"/>
                <w:lang w:val="ga"/>
              </w:rPr>
              <w:t>An Chomhairle Náisiúnta um Oideachas Speisialta</w:t>
            </w:r>
          </w:p>
        </w:tc>
        <w:tc>
          <w:tcPr>
            <w:tcW w:w="4127" w:type="dxa"/>
            <w:tcBorders>
              <w:top w:val="single" w:sz="4" w:space="0" w:color="auto"/>
              <w:left w:val="single" w:sz="4" w:space="0" w:color="auto"/>
              <w:bottom w:val="single" w:sz="4" w:space="0" w:color="auto"/>
              <w:right w:val="single" w:sz="4" w:space="0" w:color="auto"/>
            </w:tcBorders>
            <w:hideMark/>
          </w:tcPr>
          <w:p w14:paraId="4FB65367" w14:textId="77777777" w:rsidR="00590BEF" w:rsidRPr="007202FA" w:rsidRDefault="000B4F21" w:rsidP="007202FA">
            <w:pPr>
              <w:jc w:val="right"/>
              <w:rPr>
                <w:sz w:val="20"/>
                <w:szCs w:val="20"/>
              </w:rPr>
            </w:pPr>
            <w:r>
              <w:rPr>
                <w:rFonts w:cs="Calibri"/>
                <w:color w:val="000000"/>
                <w:sz w:val="20"/>
                <w:szCs w:val="20"/>
                <w:lang w:val="ga"/>
              </w:rPr>
              <w:t>82.1%</w:t>
            </w:r>
          </w:p>
        </w:tc>
      </w:tr>
      <w:tr w:rsidR="00F31303" w14:paraId="6F07CF8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6A9D9C0" w14:textId="77777777" w:rsidR="00590BEF" w:rsidRPr="007202FA" w:rsidRDefault="000B4F21" w:rsidP="007202FA">
            <w:pPr>
              <w:rPr>
                <w:sz w:val="20"/>
                <w:szCs w:val="20"/>
              </w:rPr>
            </w:pPr>
            <w:r>
              <w:rPr>
                <w:rFonts w:cs="Calibri"/>
                <w:color w:val="000000"/>
                <w:sz w:val="20"/>
                <w:szCs w:val="20"/>
                <w:lang w:val="ga"/>
              </w:rPr>
              <w:t>An tÚdarás Náisiúnta Míchumais</w:t>
            </w:r>
          </w:p>
        </w:tc>
        <w:tc>
          <w:tcPr>
            <w:tcW w:w="4127" w:type="dxa"/>
            <w:tcBorders>
              <w:top w:val="single" w:sz="4" w:space="0" w:color="auto"/>
              <w:left w:val="single" w:sz="4" w:space="0" w:color="auto"/>
              <w:bottom w:val="single" w:sz="4" w:space="0" w:color="auto"/>
              <w:right w:val="single" w:sz="4" w:space="0" w:color="auto"/>
            </w:tcBorders>
            <w:hideMark/>
          </w:tcPr>
          <w:p w14:paraId="7D1378A2" w14:textId="77777777" w:rsidR="00590BEF" w:rsidRPr="007202FA" w:rsidRDefault="000B4F21" w:rsidP="007202FA">
            <w:pPr>
              <w:jc w:val="right"/>
              <w:rPr>
                <w:sz w:val="20"/>
                <w:szCs w:val="20"/>
              </w:rPr>
            </w:pPr>
            <w:r>
              <w:rPr>
                <w:rFonts w:cs="Calibri"/>
                <w:color w:val="000000"/>
                <w:sz w:val="20"/>
                <w:szCs w:val="20"/>
                <w:lang w:val="ga"/>
              </w:rPr>
              <w:t>64.7%</w:t>
            </w:r>
          </w:p>
        </w:tc>
      </w:tr>
      <w:tr w:rsidR="00F31303" w14:paraId="7D6F8CC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9B1E888" w14:textId="77777777" w:rsidR="00590BEF" w:rsidRPr="007202FA" w:rsidRDefault="000B4F21" w:rsidP="007202FA">
            <w:pPr>
              <w:rPr>
                <w:sz w:val="20"/>
                <w:szCs w:val="20"/>
              </w:rPr>
            </w:pPr>
            <w:r>
              <w:rPr>
                <w:rFonts w:cs="Calibri"/>
                <w:color w:val="000000"/>
                <w:sz w:val="20"/>
                <w:szCs w:val="20"/>
                <w:lang w:val="ga"/>
              </w:rPr>
              <w:t>An Oifig Náisiúnta d'Fhorbairt Eacnamaíoch agus Shóisialach</w:t>
            </w:r>
          </w:p>
        </w:tc>
        <w:tc>
          <w:tcPr>
            <w:tcW w:w="4127" w:type="dxa"/>
            <w:tcBorders>
              <w:top w:val="single" w:sz="4" w:space="0" w:color="auto"/>
              <w:left w:val="single" w:sz="4" w:space="0" w:color="auto"/>
              <w:bottom w:val="single" w:sz="4" w:space="0" w:color="auto"/>
              <w:right w:val="single" w:sz="4" w:space="0" w:color="auto"/>
            </w:tcBorders>
            <w:hideMark/>
          </w:tcPr>
          <w:p w14:paraId="59326593" w14:textId="77777777" w:rsidR="00590BEF" w:rsidRPr="007202FA" w:rsidRDefault="000B4F21" w:rsidP="007202FA">
            <w:pPr>
              <w:jc w:val="right"/>
              <w:rPr>
                <w:sz w:val="20"/>
                <w:szCs w:val="20"/>
              </w:rPr>
            </w:pPr>
            <w:r>
              <w:rPr>
                <w:rFonts w:cs="Calibri"/>
                <w:color w:val="000000"/>
                <w:sz w:val="20"/>
                <w:szCs w:val="20"/>
                <w:lang w:val="ga"/>
              </w:rPr>
              <w:t>100.0%</w:t>
            </w:r>
          </w:p>
        </w:tc>
      </w:tr>
      <w:tr w:rsidR="00F31303" w14:paraId="73F587E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B784FA3" w14:textId="77777777" w:rsidR="00590BEF" w:rsidRPr="007202FA" w:rsidRDefault="000B4F21" w:rsidP="007202FA">
            <w:pPr>
              <w:rPr>
                <w:sz w:val="20"/>
                <w:szCs w:val="20"/>
              </w:rPr>
            </w:pPr>
            <w:r>
              <w:rPr>
                <w:rFonts w:cs="Calibri"/>
                <w:color w:val="000000"/>
                <w:sz w:val="20"/>
                <w:szCs w:val="20"/>
                <w:lang w:val="ga"/>
              </w:rPr>
              <w:lastRenderedPageBreak/>
              <w:t>Gailearaí Náisiúnta na hÉireann</w:t>
            </w:r>
          </w:p>
        </w:tc>
        <w:tc>
          <w:tcPr>
            <w:tcW w:w="4127" w:type="dxa"/>
            <w:tcBorders>
              <w:top w:val="single" w:sz="4" w:space="0" w:color="auto"/>
              <w:left w:val="single" w:sz="4" w:space="0" w:color="auto"/>
              <w:bottom w:val="single" w:sz="4" w:space="0" w:color="auto"/>
              <w:right w:val="single" w:sz="4" w:space="0" w:color="auto"/>
            </w:tcBorders>
            <w:hideMark/>
          </w:tcPr>
          <w:p w14:paraId="1193F39D" w14:textId="77777777" w:rsidR="00590BEF" w:rsidRPr="007202FA" w:rsidRDefault="000B4F21" w:rsidP="007202FA">
            <w:pPr>
              <w:jc w:val="right"/>
              <w:rPr>
                <w:sz w:val="20"/>
                <w:szCs w:val="20"/>
              </w:rPr>
            </w:pPr>
            <w:r>
              <w:rPr>
                <w:rFonts w:cs="Calibri"/>
                <w:color w:val="000000"/>
                <w:sz w:val="20"/>
                <w:szCs w:val="20"/>
                <w:lang w:val="ga"/>
              </w:rPr>
              <w:t>73.1%</w:t>
            </w:r>
          </w:p>
        </w:tc>
      </w:tr>
      <w:tr w:rsidR="00F31303" w14:paraId="62799C4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D6AA545" w14:textId="77777777" w:rsidR="00590BEF" w:rsidRPr="007202FA" w:rsidRDefault="000B4F21" w:rsidP="007202FA">
            <w:pPr>
              <w:rPr>
                <w:sz w:val="20"/>
                <w:szCs w:val="20"/>
              </w:rPr>
            </w:pPr>
            <w:r>
              <w:rPr>
                <w:rFonts w:cs="Calibri"/>
                <w:color w:val="000000"/>
                <w:sz w:val="20"/>
                <w:szCs w:val="20"/>
                <w:lang w:val="ga"/>
              </w:rPr>
              <w:t>Leabharlann Náisiúnta na hÉireann</w:t>
            </w:r>
          </w:p>
        </w:tc>
        <w:tc>
          <w:tcPr>
            <w:tcW w:w="4127" w:type="dxa"/>
            <w:tcBorders>
              <w:top w:val="single" w:sz="4" w:space="0" w:color="auto"/>
              <w:left w:val="single" w:sz="4" w:space="0" w:color="auto"/>
              <w:bottom w:val="single" w:sz="4" w:space="0" w:color="auto"/>
              <w:right w:val="single" w:sz="4" w:space="0" w:color="auto"/>
            </w:tcBorders>
            <w:hideMark/>
          </w:tcPr>
          <w:p w14:paraId="6F531C82" w14:textId="77777777" w:rsidR="00590BEF" w:rsidRPr="007202FA" w:rsidRDefault="000B4F21" w:rsidP="007202FA">
            <w:pPr>
              <w:jc w:val="right"/>
              <w:rPr>
                <w:sz w:val="20"/>
                <w:szCs w:val="20"/>
              </w:rPr>
            </w:pPr>
            <w:r>
              <w:rPr>
                <w:rFonts w:cs="Calibri"/>
                <w:color w:val="000000"/>
                <w:sz w:val="20"/>
                <w:szCs w:val="20"/>
                <w:lang w:val="ga"/>
              </w:rPr>
              <w:t>90.8%</w:t>
            </w:r>
          </w:p>
        </w:tc>
      </w:tr>
      <w:tr w:rsidR="00F31303" w14:paraId="6627967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E6CAC0D" w14:textId="77777777" w:rsidR="00590BEF" w:rsidRPr="007202FA" w:rsidRDefault="000B4F21" w:rsidP="007202FA">
            <w:pPr>
              <w:rPr>
                <w:sz w:val="20"/>
                <w:szCs w:val="20"/>
              </w:rPr>
            </w:pPr>
            <w:r>
              <w:rPr>
                <w:rFonts w:cs="Calibri"/>
                <w:color w:val="000000"/>
                <w:sz w:val="20"/>
                <w:szCs w:val="20"/>
                <w:lang w:val="ga"/>
              </w:rPr>
              <w:t>An Ghníomhaireacht Náisiúnta Bainne</w:t>
            </w:r>
          </w:p>
        </w:tc>
        <w:tc>
          <w:tcPr>
            <w:tcW w:w="4127" w:type="dxa"/>
            <w:tcBorders>
              <w:top w:val="single" w:sz="4" w:space="0" w:color="auto"/>
              <w:left w:val="single" w:sz="4" w:space="0" w:color="auto"/>
              <w:bottom w:val="single" w:sz="4" w:space="0" w:color="auto"/>
              <w:right w:val="single" w:sz="4" w:space="0" w:color="auto"/>
            </w:tcBorders>
            <w:hideMark/>
          </w:tcPr>
          <w:p w14:paraId="5A115646" w14:textId="77777777" w:rsidR="00590BEF" w:rsidRPr="007202FA" w:rsidRDefault="000B4F21" w:rsidP="007202FA">
            <w:pPr>
              <w:jc w:val="right"/>
              <w:rPr>
                <w:sz w:val="20"/>
                <w:szCs w:val="20"/>
              </w:rPr>
            </w:pPr>
            <w:r>
              <w:rPr>
                <w:rFonts w:cs="Calibri"/>
                <w:color w:val="000000"/>
                <w:sz w:val="20"/>
                <w:szCs w:val="20"/>
                <w:lang w:val="ga"/>
              </w:rPr>
              <w:t>100.0%</w:t>
            </w:r>
          </w:p>
        </w:tc>
      </w:tr>
      <w:tr w:rsidR="00F31303" w14:paraId="3A35113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7C447AC" w14:textId="77777777" w:rsidR="00590BEF" w:rsidRPr="007202FA" w:rsidRDefault="000B4F21" w:rsidP="007202FA">
            <w:pPr>
              <w:rPr>
                <w:sz w:val="20"/>
                <w:szCs w:val="20"/>
              </w:rPr>
            </w:pPr>
            <w:r>
              <w:rPr>
                <w:rFonts w:cs="Calibri"/>
                <w:color w:val="000000"/>
                <w:sz w:val="20"/>
                <w:szCs w:val="20"/>
                <w:lang w:val="ga"/>
              </w:rPr>
              <w:t>Ard-Mhúsaem na hÉireann</w:t>
            </w:r>
          </w:p>
        </w:tc>
        <w:tc>
          <w:tcPr>
            <w:tcW w:w="4127" w:type="dxa"/>
            <w:tcBorders>
              <w:top w:val="single" w:sz="4" w:space="0" w:color="auto"/>
              <w:left w:val="single" w:sz="4" w:space="0" w:color="auto"/>
              <w:bottom w:val="single" w:sz="4" w:space="0" w:color="auto"/>
              <w:right w:val="single" w:sz="4" w:space="0" w:color="auto"/>
            </w:tcBorders>
            <w:hideMark/>
          </w:tcPr>
          <w:p w14:paraId="5FFE4F4C" w14:textId="77777777" w:rsidR="00590BEF" w:rsidRPr="007202FA" w:rsidRDefault="000B4F21" w:rsidP="007202FA">
            <w:pPr>
              <w:jc w:val="right"/>
              <w:rPr>
                <w:sz w:val="20"/>
                <w:szCs w:val="20"/>
              </w:rPr>
            </w:pPr>
            <w:r>
              <w:rPr>
                <w:rFonts w:cs="Calibri"/>
                <w:color w:val="000000"/>
                <w:sz w:val="20"/>
                <w:szCs w:val="20"/>
                <w:lang w:val="ga"/>
              </w:rPr>
              <w:t>47.7%</w:t>
            </w:r>
          </w:p>
        </w:tc>
      </w:tr>
      <w:tr w:rsidR="00F31303" w14:paraId="091DAE7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0E164F0" w14:textId="77777777" w:rsidR="00590BEF" w:rsidRPr="007202FA" w:rsidRDefault="000B4F21" w:rsidP="007202FA">
            <w:pPr>
              <w:rPr>
                <w:sz w:val="20"/>
                <w:szCs w:val="20"/>
              </w:rPr>
            </w:pPr>
            <w:r>
              <w:rPr>
                <w:rFonts w:cs="Calibri"/>
                <w:color w:val="000000"/>
                <w:sz w:val="20"/>
                <w:szCs w:val="20"/>
                <w:lang w:val="ga"/>
              </w:rPr>
              <w:t>An Oifig Náisiúnta um Sheirbhísí Comhroinnte</w:t>
            </w:r>
          </w:p>
        </w:tc>
        <w:tc>
          <w:tcPr>
            <w:tcW w:w="4127" w:type="dxa"/>
            <w:tcBorders>
              <w:top w:val="single" w:sz="4" w:space="0" w:color="auto"/>
              <w:left w:val="single" w:sz="4" w:space="0" w:color="auto"/>
              <w:bottom w:val="single" w:sz="4" w:space="0" w:color="auto"/>
              <w:right w:val="single" w:sz="4" w:space="0" w:color="auto"/>
            </w:tcBorders>
            <w:hideMark/>
          </w:tcPr>
          <w:p w14:paraId="01EA0064" w14:textId="77777777" w:rsidR="00590BEF" w:rsidRPr="007202FA" w:rsidRDefault="000B4F21" w:rsidP="007202FA">
            <w:pPr>
              <w:jc w:val="right"/>
              <w:rPr>
                <w:sz w:val="20"/>
                <w:szCs w:val="20"/>
              </w:rPr>
            </w:pPr>
            <w:r>
              <w:rPr>
                <w:rFonts w:cs="Calibri"/>
                <w:color w:val="000000"/>
                <w:sz w:val="20"/>
                <w:szCs w:val="20"/>
                <w:lang w:val="ga"/>
              </w:rPr>
              <w:t>67.7%</w:t>
            </w:r>
          </w:p>
        </w:tc>
      </w:tr>
      <w:tr w:rsidR="00F31303" w14:paraId="0BF9134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2BA85D6" w14:textId="77777777" w:rsidR="00590BEF" w:rsidRPr="007202FA" w:rsidRDefault="000B4F21" w:rsidP="007202FA">
            <w:pPr>
              <w:rPr>
                <w:sz w:val="20"/>
                <w:szCs w:val="20"/>
              </w:rPr>
            </w:pPr>
            <w:r>
              <w:rPr>
                <w:rFonts w:cs="Calibri"/>
                <w:color w:val="000000"/>
                <w:sz w:val="20"/>
                <w:szCs w:val="20"/>
                <w:lang w:val="ga"/>
              </w:rPr>
              <w:t xml:space="preserve">An tÚdarás um Chaighdeáin Náisiúnta na hÉireann </w:t>
            </w:r>
          </w:p>
        </w:tc>
        <w:tc>
          <w:tcPr>
            <w:tcW w:w="4127" w:type="dxa"/>
            <w:tcBorders>
              <w:top w:val="single" w:sz="4" w:space="0" w:color="auto"/>
              <w:left w:val="single" w:sz="4" w:space="0" w:color="auto"/>
              <w:bottom w:val="single" w:sz="4" w:space="0" w:color="auto"/>
              <w:right w:val="single" w:sz="4" w:space="0" w:color="auto"/>
            </w:tcBorders>
            <w:hideMark/>
          </w:tcPr>
          <w:p w14:paraId="58AD5094" w14:textId="77777777" w:rsidR="00590BEF" w:rsidRPr="007202FA" w:rsidRDefault="000B4F21" w:rsidP="007202FA">
            <w:pPr>
              <w:jc w:val="right"/>
              <w:rPr>
                <w:sz w:val="20"/>
                <w:szCs w:val="20"/>
              </w:rPr>
            </w:pPr>
            <w:r>
              <w:rPr>
                <w:rFonts w:cs="Calibri"/>
                <w:color w:val="000000"/>
                <w:sz w:val="20"/>
                <w:szCs w:val="20"/>
                <w:lang w:val="ga"/>
              </w:rPr>
              <w:t>56.7%</w:t>
            </w:r>
          </w:p>
        </w:tc>
      </w:tr>
      <w:tr w:rsidR="00F31303" w14:paraId="25F29DF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D64AE7B" w14:textId="77777777" w:rsidR="00590BEF" w:rsidRPr="007202FA" w:rsidRDefault="000B4F21" w:rsidP="007202FA">
            <w:pPr>
              <w:rPr>
                <w:sz w:val="20"/>
                <w:szCs w:val="20"/>
              </w:rPr>
            </w:pPr>
            <w:r>
              <w:rPr>
                <w:rFonts w:cs="Calibri"/>
                <w:color w:val="000000"/>
                <w:sz w:val="20"/>
                <w:szCs w:val="20"/>
                <w:lang w:val="ga"/>
              </w:rPr>
              <w:t>Údarás Náisiúnta Iompair</w:t>
            </w:r>
          </w:p>
        </w:tc>
        <w:tc>
          <w:tcPr>
            <w:tcW w:w="4127" w:type="dxa"/>
            <w:tcBorders>
              <w:top w:val="single" w:sz="4" w:space="0" w:color="auto"/>
              <w:left w:val="single" w:sz="4" w:space="0" w:color="auto"/>
              <w:bottom w:val="single" w:sz="4" w:space="0" w:color="auto"/>
              <w:right w:val="single" w:sz="4" w:space="0" w:color="auto"/>
            </w:tcBorders>
            <w:hideMark/>
          </w:tcPr>
          <w:p w14:paraId="4A8686EA" w14:textId="77777777" w:rsidR="00590BEF" w:rsidRPr="007202FA" w:rsidRDefault="000B4F21" w:rsidP="007202FA">
            <w:pPr>
              <w:jc w:val="right"/>
              <w:rPr>
                <w:sz w:val="20"/>
                <w:szCs w:val="20"/>
              </w:rPr>
            </w:pPr>
            <w:r>
              <w:rPr>
                <w:rFonts w:cs="Calibri"/>
                <w:color w:val="000000"/>
                <w:sz w:val="20"/>
                <w:szCs w:val="20"/>
                <w:lang w:val="ga"/>
              </w:rPr>
              <w:t>59.5%</w:t>
            </w:r>
          </w:p>
        </w:tc>
      </w:tr>
      <w:tr w:rsidR="00F31303" w14:paraId="22740DA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7A205B5" w14:textId="77777777" w:rsidR="00590BEF" w:rsidRPr="007202FA" w:rsidRDefault="000B4F21" w:rsidP="007202FA">
            <w:pPr>
              <w:rPr>
                <w:sz w:val="20"/>
                <w:szCs w:val="20"/>
              </w:rPr>
            </w:pPr>
            <w:r>
              <w:rPr>
                <w:rFonts w:cs="Calibri"/>
                <w:color w:val="000000"/>
                <w:sz w:val="20"/>
                <w:szCs w:val="20"/>
                <w:lang w:val="ga"/>
              </w:rPr>
              <w:t>Gníomhaireacht Bainistíochta an Chisteáin Náisiúnta</w:t>
            </w:r>
          </w:p>
        </w:tc>
        <w:tc>
          <w:tcPr>
            <w:tcW w:w="4127" w:type="dxa"/>
            <w:tcBorders>
              <w:top w:val="single" w:sz="4" w:space="0" w:color="auto"/>
              <w:left w:val="single" w:sz="4" w:space="0" w:color="auto"/>
              <w:bottom w:val="single" w:sz="4" w:space="0" w:color="auto"/>
              <w:right w:val="single" w:sz="4" w:space="0" w:color="auto"/>
            </w:tcBorders>
            <w:hideMark/>
          </w:tcPr>
          <w:p w14:paraId="4DC1E4D1" w14:textId="77777777" w:rsidR="00590BEF" w:rsidRPr="007202FA" w:rsidRDefault="000B4F21" w:rsidP="007202FA">
            <w:pPr>
              <w:jc w:val="right"/>
              <w:rPr>
                <w:sz w:val="20"/>
                <w:szCs w:val="20"/>
              </w:rPr>
            </w:pPr>
            <w:r>
              <w:rPr>
                <w:rFonts w:cs="Calibri"/>
                <w:color w:val="000000"/>
                <w:sz w:val="20"/>
                <w:szCs w:val="20"/>
                <w:lang w:val="ga"/>
              </w:rPr>
              <w:t>73.3%</w:t>
            </w:r>
          </w:p>
        </w:tc>
      </w:tr>
      <w:tr w:rsidR="00F31303" w14:paraId="02F44FF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93B9BF3" w14:textId="77777777" w:rsidR="00590BEF" w:rsidRPr="007202FA" w:rsidRDefault="000B4F21" w:rsidP="007202FA">
            <w:pPr>
              <w:rPr>
                <w:sz w:val="20"/>
                <w:szCs w:val="20"/>
              </w:rPr>
            </w:pPr>
            <w:r>
              <w:rPr>
                <w:rFonts w:cs="Calibri"/>
                <w:color w:val="000000"/>
                <w:sz w:val="20"/>
                <w:szCs w:val="20"/>
                <w:lang w:val="ga"/>
              </w:rPr>
              <w:t>An Ciste Náisiúnta um Cheannach Cóireála</w:t>
            </w:r>
          </w:p>
        </w:tc>
        <w:tc>
          <w:tcPr>
            <w:tcW w:w="4127" w:type="dxa"/>
            <w:tcBorders>
              <w:top w:val="single" w:sz="4" w:space="0" w:color="auto"/>
              <w:left w:val="single" w:sz="4" w:space="0" w:color="auto"/>
              <w:bottom w:val="single" w:sz="4" w:space="0" w:color="auto"/>
              <w:right w:val="single" w:sz="4" w:space="0" w:color="auto"/>
            </w:tcBorders>
            <w:hideMark/>
          </w:tcPr>
          <w:p w14:paraId="5EDA9789" w14:textId="77777777" w:rsidR="00590BEF" w:rsidRPr="007202FA" w:rsidRDefault="000B4F21" w:rsidP="007202FA">
            <w:pPr>
              <w:jc w:val="right"/>
              <w:rPr>
                <w:sz w:val="20"/>
                <w:szCs w:val="20"/>
              </w:rPr>
            </w:pPr>
            <w:r>
              <w:rPr>
                <w:rFonts w:cs="Calibri"/>
                <w:color w:val="000000"/>
                <w:sz w:val="20"/>
                <w:szCs w:val="20"/>
                <w:lang w:val="ga"/>
              </w:rPr>
              <w:t>67.3%</w:t>
            </w:r>
          </w:p>
        </w:tc>
      </w:tr>
      <w:tr w:rsidR="00F31303" w14:paraId="4BC935F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1AB9CFA" w14:textId="77777777" w:rsidR="00590BEF" w:rsidRPr="005524D6" w:rsidRDefault="000B4F21" w:rsidP="007202FA">
            <w:pPr>
              <w:rPr>
                <w:sz w:val="20"/>
                <w:szCs w:val="20"/>
                <w:lang w:val="fr-FR"/>
              </w:rPr>
            </w:pPr>
            <w:r>
              <w:rPr>
                <w:rFonts w:cs="Calibri"/>
                <w:color w:val="000000"/>
                <w:sz w:val="20"/>
                <w:szCs w:val="20"/>
                <w:lang w:val="ga"/>
              </w:rPr>
              <w:t>Bord Altranais agus Cnáimhseachais na hÉireann</w:t>
            </w:r>
          </w:p>
        </w:tc>
        <w:tc>
          <w:tcPr>
            <w:tcW w:w="4127" w:type="dxa"/>
            <w:tcBorders>
              <w:top w:val="single" w:sz="4" w:space="0" w:color="auto"/>
              <w:left w:val="single" w:sz="4" w:space="0" w:color="auto"/>
              <w:bottom w:val="single" w:sz="4" w:space="0" w:color="auto"/>
              <w:right w:val="single" w:sz="4" w:space="0" w:color="auto"/>
            </w:tcBorders>
            <w:hideMark/>
          </w:tcPr>
          <w:p w14:paraId="5FB20726" w14:textId="77777777" w:rsidR="00590BEF" w:rsidRPr="007202FA" w:rsidRDefault="000B4F21" w:rsidP="007202FA">
            <w:pPr>
              <w:jc w:val="right"/>
              <w:rPr>
                <w:sz w:val="20"/>
                <w:szCs w:val="20"/>
              </w:rPr>
            </w:pPr>
            <w:r>
              <w:rPr>
                <w:rFonts w:cs="Calibri"/>
                <w:color w:val="000000"/>
                <w:sz w:val="20"/>
                <w:szCs w:val="20"/>
                <w:lang w:val="ga"/>
              </w:rPr>
              <w:t>39.4%</w:t>
            </w:r>
          </w:p>
        </w:tc>
      </w:tr>
      <w:tr w:rsidR="00F31303" w14:paraId="3365899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128138F" w14:textId="77777777" w:rsidR="00590BEF" w:rsidRPr="007202FA" w:rsidRDefault="000B4F21" w:rsidP="007202FA">
            <w:pPr>
              <w:rPr>
                <w:sz w:val="20"/>
                <w:szCs w:val="20"/>
              </w:rPr>
            </w:pPr>
            <w:r>
              <w:rPr>
                <w:rFonts w:cs="Calibri"/>
                <w:color w:val="000000"/>
                <w:sz w:val="20"/>
                <w:szCs w:val="20"/>
                <w:lang w:val="ga"/>
              </w:rPr>
              <w:t>Campas Coinneála Leanaí Bhaile an Oibricigh</w:t>
            </w:r>
          </w:p>
        </w:tc>
        <w:tc>
          <w:tcPr>
            <w:tcW w:w="4127" w:type="dxa"/>
            <w:tcBorders>
              <w:top w:val="single" w:sz="4" w:space="0" w:color="auto"/>
              <w:left w:val="single" w:sz="4" w:space="0" w:color="auto"/>
              <w:bottom w:val="single" w:sz="4" w:space="0" w:color="auto"/>
              <w:right w:val="single" w:sz="4" w:space="0" w:color="auto"/>
            </w:tcBorders>
            <w:hideMark/>
          </w:tcPr>
          <w:p w14:paraId="79830BB8" w14:textId="77777777" w:rsidR="00590BEF" w:rsidRPr="007202FA" w:rsidRDefault="000B4F21" w:rsidP="007202FA">
            <w:pPr>
              <w:jc w:val="right"/>
              <w:rPr>
                <w:sz w:val="20"/>
                <w:szCs w:val="20"/>
              </w:rPr>
            </w:pPr>
            <w:r>
              <w:rPr>
                <w:rFonts w:cs="Calibri"/>
                <w:color w:val="000000"/>
                <w:sz w:val="20"/>
                <w:szCs w:val="20"/>
                <w:lang w:val="ga"/>
              </w:rPr>
              <w:t>11.4%</w:t>
            </w:r>
          </w:p>
        </w:tc>
      </w:tr>
      <w:tr w:rsidR="00F31303" w14:paraId="02D2C21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95BE22F" w14:textId="28ABCE17" w:rsidR="00590BEF" w:rsidRPr="007202FA" w:rsidRDefault="000B4F21" w:rsidP="007202FA">
            <w:pPr>
              <w:rPr>
                <w:sz w:val="20"/>
                <w:szCs w:val="20"/>
              </w:rPr>
            </w:pPr>
            <w:r>
              <w:rPr>
                <w:rFonts w:cs="Calibri"/>
                <w:color w:val="000000"/>
                <w:sz w:val="20"/>
                <w:szCs w:val="20"/>
                <w:lang w:val="ga"/>
              </w:rPr>
              <w:t>Oifig an Stiúrthóra um Idirghabháil Údaraithe</w:t>
            </w:r>
            <w:r>
              <w:rPr>
                <w:rStyle w:val="FootnoteReference"/>
                <w:rFonts w:cs="Calibri"/>
                <w:color w:val="000000"/>
                <w:sz w:val="20"/>
                <w:szCs w:val="20"/>
                <w:lang w:val="ga"/>
              </w:rPr>
              <w:footnoteReference w:id="25"/>
            </w:r>
          </w:p>
        </w:tc>
        <w:tc>
          <w:tcPr>
            <w:tcW w:w="4127" w:type="dxa"/>
            <w:tcBorders>
              <w:top w:val="single" w:sz="4" w:space="0" w:color="auto"/>
              <w:left w:val="single" w:sz="4" w:space="0" w:color="auto"/>
              <w:bottom w:val="single" w:sz="4" w:space="0" w:color="auto"/>
              <w:right w:val="single" w:sz="4" w:space="0" w:color="auto"/>
            </w:tcBorders>
            <w:hideMark/>
          </w:tcPr>
          <w:p w14:paraId="350102BC" w14:textId="77777777" w:rsidR="00590BEF" w:rsidRPr="007202FA" w:rsidRDefault="000B4F21" w:rsidP="007202FA">
            <w:pPr>
              <w:jc w:val="right"/>
              <w:rPr>
                <w:sz w:val="20"/>
                <w:szCs w:val="20"/>
              </w:rPr>
            </w:pPr>
            <w:r>
              <w:rPr>
                <w:rFonts w:cs="Calibri"/>
                <w:color w:val="000000"/>
                <w:sz w:val="20"/>
                <w:szCs w:val="20"/>
                <w:lang w:val="ga"/>
              </w:rPr>
              <w:t>84.6%</w:t>
            </w:r>
          </w:p>
        </w:tc>
      </w:tr>
      <w:tr w:rsidR="00F31303" w14:paraId="60FF908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A6C8D06" w14:textId="77777777" w:rsidR="00590BEF" w:rsidRPr="007202FA" w:rsidRDefault="000B4F21" w:rsidP="007202FA">
            <w:pPr>
              <w:rPr>
                <w:sz w:val="20"/>
                <w:szCs w:val="20"/>
              </w:rPr>
            </w:pPr>
            <w:r>
              <w:rPr>
                <w:rFonts w:cs="Calibri"/>
                <w:color w:val="000000"/>
                <w:sz w:val="20"/>
                <w:szCs w:val="20"/>
                <w:lang w:val="ga"/>
              </w:rPr>
              <w:t>An Oifig um Sholáthar Rialtais</w:t>
            </w:r>
          </w:p>
        </w:tc>
        <w:tc>
          <w:tcPr>
            <w:tcW w:w="4127" w:type="dxa"/>
            <w:tcBorders>
              <w:top w:val="single" w:sz="4" w:space="0" w:color="auto"/>
              <w:left w:val="single" w:sz="4" w:space="0" w:color="auto"/>
              <w:bottom w:val="single" w:sz="4" w:space="0" w:color="auto"/>
              <w:right w:val="single" w:sz="4" w:space="0" w:color="auto"/>
            </w:tcBorders>
            <w:hideMark/>
          </w:tcPr>
          <w:p w14:paraId="616B0083" w14:textId="77777777" w:rsidR="00590BEF" w:rsidRPr="007202FA" w:rsidRDefault="000B4F21" w:rsidP="007202FA">
            <w:pPr>
              <w:jc w:val="right"/>
              <w:rPr>
                <w:sz w:val="20"/>
                <w:szCs w:val="20"/>
              </w:rPr>
            </w:pPr>
            <w:r>
              <w:rPr>
                <w:rFonts w:cs="Calibri"/>
                <w:color w:val="000000"/>
                <w:sz w:val="20"/>
                <w:szCs w:val="20"/>
                <w:lang w:val="ga"/>
              </w:rPr>
              <w:t>61.4%</w:t>
            </w:r>
          </w:p>
        </w:tc>
      </w:tr>
      <w:tr w:rsidR="00F31303" w14:paraId="5952EDED"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759982A" w14:textId="77777777" w:rsidR="00590BEF" w:rsidRPr="007202FA" w:rsidRDefault="000B4F21" w:rsidP="007202FA">
            <w:pPr>
              <w:rPr>
                <w:sz w:val="20"/>
                <w:szCs w:val="20"/>
              </w:rPr>
            </w:pPr>
            <w:r>
              <w:rPr>
                <w:rFonts w:cs="Calibri"/>
                <w:color w:val="000000"/>
                <w:sz w:val="20"/>
                <w:szCs w:val="20"/>
                <w:lang w:val="ga"/>
              </w:rPr>
              <w:t>Oifig an Ard-Aighne</w:t>
            </w:r>
          </w:p>
        </w:tc>
        <w:tc>
          <w:tcPr>
            <w:tcW w:w="4127" w:type="dxa"/>
            <w:tcBorders>
              <w:top w:val="single" w:sz="4" w:space="0" w:color="auto"/>
              <w:left w:val="single" w:sz="4" w:space="0" w:color="auto"/>
              <w:bottom w:val="single" w:sz="4" w:space="0" w:color="auto"/>
              <w:right w:val="single" w:sz="4" w:space="0" w:color="auto"/>
            </w:tcBorders>
            <w:hideMark/>
          </w:tcPr>
          <w:p w14:paraId="532F5168" w14:textId="77777777" w:rsidR="00590BEF" w:rsidRPr="007202FA" w:rsidRDefault="000B4F21" w:rsidP="007202FA">
            <w:pPr>
              <w:jc w:val="right"/>
              <w:rPr>
                <w:sz w:val="20"/>
                <w:szCs w:val="20"/>
              </w:rPr>
            </w:pPr>
            <w:r>
              <w:rPr>
                <w:rFonts w:cs="Calibri"/>
                <w:color w:val="000000"/>
                <w:sz w:val="20"/>
                <w:szCs w:val="20"/>
                <w:lang w:val="ga"/>
              </w:rPr>
              <w:t>68.1%</w:t>
            </w:r>
          </w:p>
        </w:tc>
      </w:tr>
      <w:tr w:rsidR="00F31303" w14:paraId="1611218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D7E938F" w14:textId="77777777" w:rsidR="00590BEF" w:rsidRPr="007202FA" w:rsidRDefault="000B4F21" w:rsidP="007202FA">
            <w:pPr>
              <w:rPr>
                <w:sz w:val="20"/>
                <w:szCs w:val="20"/>
              </w:rPr>
            </w:pPr>
            <w:r>
              <w:rPr>
                <w:rFonts w:cs="Calibri"/>
                <w:color w:val="000000"/>
                <w:sz w:val="20"/>
                <w:szCs w:val="20"/>
                <w:lang w:val="ga"/>
              </w:rPr>
              <w:t>Oifig an Ard-Reachtaire Cuntas agus Ciste</w:t>
            </w:r>
          </w:p>
        </w:tc>
        <w:tc>
          <w:tcPr>
            <w:tcW w:w="4127" w:type="dxa"/>
            <w:tcBorders>
              <w:top w:val="single" w:sz="4" w:space="0" w:color="auto"/>
              <w:left w:val="single" w:sz="4" w:space="0" w:color="auto"/>
              <w:bottom w:val="single" w:sz="4" w:space="0" w:color="auto"/>
              <w:right w:val="single" w:sz="4" w:space="0" w:color="auto"/>
            </w:tcBorders>
            <w:hideMark/>
          </w:tcPr>
          <w:p w14:paraId="5BEFB575" w14:textId="77777777" w:rsidR="00590BEF" w:rsidRPr="007202FA" w:rsidRDefault="000B4F21" w:rsidP="007202FA">
            <w:pPr>
              <w:jc w:val="right"/>
              <w:rPr>
                <w:sz w:val="20"/>
                <w:szCs w:val="20"/>
              </w:rPr>
            </w:pPr>
            <w:r>
              <w:rPr>
                <w:rFonts w:cs="Calibri"/>
                <w:color w:val="000000"/>
                <w:sz w:val="20"/>
                <w:szCs w:val="20"/>
                <w:lang w:val="ga"/>
              </w:rPr>
              <w:t>36.7%</w:t>
            </w:r>
          </w:p>
        </w:tc>
      </w:tr>
      <w:tr w:rsidR="00F31303" w14:paraId="1A80277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A40BBBF" w14:textId="77777777" w:rsidR="00590BEF" w:rsidRPr="007202FA" w:rsidRDefault="000B4F21" w:rsidP="007202FA">
            <w:pPr>
              <w:rPr>
                <w:sz w:val="20"/>
                <w:szCs w:val="20"/>
              </w:rPr>
            </w:pPr>
            <w:r>
              <w:rPr>
                <w:rFonts w:cs="Calibri"/>
                <w:color w:val="000000"/>
                <w:sz w:val="20"/>
                <w:szCs w:val="20"/>
                <w:lang w:val="ga"/>
              </w:rPr>
              <w:t>Oifig an Choimisinéara Cosanta Sonraí</w:t>
            </w:r>
          </w:p>
        </w:tc>
        <w:tc>
          <w:tcPr>
            <w:tcW w:w="4127" w:type="dxa"/>
            <w:tcBorders>
              <w:top w:val="single" w:sz="4" w:space="0" w:color="auto"/>
              <w:left w:val="single" w:sz="4" w:space="0" w:color="auto"/>
              <w:bottom w:val="single" w:sz="4" w:space="0" w:color="auto"/>
              <w:right w:val="single" w:sz="4" w:space="0" w:color="auto"/>
            </w:tcBorders>
            <w:hideMark/>
          </w:tcPr>
          <w:p w14:paraId="106F5798" w14:textId="77777777" w:rsidR="00590BEF" w:rsidRPr="007202FA" w:rsidRDefault="000B4F21" w:rsidP="007202FA">
            <w:pPr>
              <w:jc w:val="right"/>
              <w:rPr>
                <w:sz w:val="20"/>
                <w:szCs w:val="20"/>
              </w:rPr>
            </w:pPr>
            <w:r>
              <w:rPr>
                <w:rFonts w:cs="Calibri"/>
                <w:color w:val="000000"/>
                <w:sz w:val="20"/>
                <w:szCs w:val="20"/>
                <w:lang w:val="ga"/>
              </w:rPr>
              <w:t>61.8%</w:t>
            </w:r>
          </w:p>
        </w:tc>
      </w:tr>
      <w:tr w:rsidR="00F31303" w14:paraId="32FCF82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17660B0" w14:textId="77777777" w:rsidR="00590BEF" w:rsidRPr="007202FA" w:rsidRDefault="000B4F21" w:rsidP="007202FA">
            <w:pPr>
              <w:rPr>
                <w:sz w:val="20"/>
                <w:szCs w:val="20"/>
              </w:rPr>
            </w:pPr>
            <w:r>
              <w:rPr>
                <w:rFonts w:cs="Calibri"/>
                <w:color w:val="000000"/>
                <w:sz w:val="20"/>
                <w:szCs w:val="20"/>
                <w:lang w:val="ga"/>
              </w:rPr>
              <w:t>Oifig an Ombudsman</w:t>
            </w:r>
          </w:p>
        </w:tc>
        <w:tc>
          <w:tcPr>
            <w:tcW w:w="4127" w:type="dxa"/>
            <w:tcBorders>
              <w:top w:val="single" w:sz="4" w:space="0" w:color="auto"/>
              <w:left w:val="single" w:sz="4" w:space="0" w:color="auto"/>
              <w:bottom w:val="single" w:sz="4" w:space="0" w:color="auto"/>
              <w:right w:val="single" w:sz="4" w:space="0" w:color="auto"/>
            </w:tcBorders>
            <w:hideMark/>
          </w:tcPr>
          <w:p w14:paraId="756807B7" w14:textId="77777777" w:rsidR="00590BEF" w:rsidRPr="007202FA" w:rsidRDefault="000B4F21" w:rsidP="007202FA">
            <w:pPr>
              <w:jc w:val="right"/>
              <w:rPr>
                <w:sz w:val="20"/>
                <w:szCs w:val="20"/>
              </w:rPr>
            </w:pPr>
            <w:r>
              <w:rPr>
                <w:rFonts w:cs="Calibri"/>
                <w:color w:val="000000"/>
                <w:sz w:val="20"/>
                <w:szCs w:val="20"/>
                <w:lang w:val="ga"/>
              </w:rPr>
              <w:t>45.8%</w:t>
            </w:r>
          </w:p>
        </w:tc>
      </w:tr>
      <w:tr w:rsidR="00F31303" w14:paraId="51EC152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DC8058C" w14:textId="77777777" w:rsidR="00590BEF" w:rsidRPr="007202FA" w:rsidRDefault="000B4F21" w:rsidP="007202FA">
            <w:pPr>
              <w:rPr>
                <w:sz w:val="20"/>
                <w:szCs w:val="20"/>
              </w:rPr>
            </w:pPr>
            <w:r>
              <w:rPr>
                <w:rFonts w:cs="Calibri"/>
                <w:color w:val="000000"/>
                <w:sz w:val="20"/>
                <w:szCs w:val="20"/>
                <w:lang w:val="ga"/>
              </w:rPr>
              <w:t>Oifig an Rialálaí Pleanála</w:t>
            </w:r>
          </w:p>
        </w:tc>
        <w:tc>
          <w:tcPr>
            <w:tcW w:w="4127" w:type="dxa"/>
            <w:tcBorders>
              <w:top w:val="single" w:sz="4" w:space="0" w:color="auto"/>
              <w:left w:val="single" w:sz="4" w:space="0" w:color="auto"/>
              <w:bottom w:val="single" w:sz="4" w:space="0" w:color="auto"/>
              <w:right w:val="single" w:sz="4" w:space="0" w:color="auto"/>
            </w:tcBorders>
            <w:hideMark/>
          </w:tcPr>
          <w:p w14:paraId="6D89937D" w14:textId="77777777" w:rsidR="00590BEF" w:rsidRPr="007202FA" w:rsidRDefault="000B4F21" w:rsidP="007202FA">
            <w:pPr>
              <w:jc w:val="right"/>
              <w:rPr>
                <w:sz w:val="20"/>
                <w:szCs w:val="20"/>
              </w:rPr>
            </w:pPr>
            <w:r>
              <w:rPr>
                <w:rFonts w:cs="Calibri"/>
                <w:color w:val="000000"/>
                <w:sz w:val="20"/>
                <w:szCs w:val="20"/>
                <w:lang w:val="ga"/>
              </w:rPr>
              <w:t>93.5%</w:t>
            </w:r>
          </w:p>
        </w:tc>
      </w:tr>
      <w:tr w:rsidR="00F31303" w14:paraId="6AD9960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8F34A0F" w14:textId="77777777" w:rsidR="00590BEF" w:rsidRPr="007202FA" w:rsidRDefault="000B4F21" w:rsidP="007202FA">
            <w:pPr>
              <w:rPr>
                <w:sz w:val="20"/>
                <w:szCs w:val="20"/>
              </w:rPr>
            </w:pPr>
            <w:r>
              <w:rPr>
                <w:rFonts w:cs="Calibri"/>
                <w:color w:val="000000"/>
                <w:sz w:val="20"/>
                <w:szCs w:val="20"/>
                <w:lang w:val="ga"/>
              </w:rPr>
              <w:t>Oifig na gCoimisinéirí Ioncaim</w:t>
            </w:r>
          </w:p>
        </w:tc>
        <w:tc>
          <w:tcPr>
            <w:tcW w:w="4127" w:type="dxa"/>
            <w:tcBorders>
              <w:top w:val="single" w:sz="4" w:space="0" w:color="auto"/>
              <w:left w:val="single" w:sz="4" w:space="0" w:color="auto"/>
              <w:bottom w:val="single" w:sz="4" w:space="0" w:color="auto"/>
              <w:right w:val="single" w:sz="4" w:space="0" w:color="auto"/>
            </w:tcBorders>
            <w:hideMark/>
          </w:tcPr>
          <w:p w14:paraId="586D0EB2" w14:textId="77777777" w:rsidR="00590BEF" w:rsidRPr="007202FA" w:rsidRDefault="000B4F21" w:rsidP="007202FA">
            <w:pPr>
              <w:jc w:val="right"/>
              <w:rPr>
                <w:sz w:val="20"/>
                <w:szCs w:val="20"/>
              </w:rPr>
            </w:pPr>
            <w:r>
              <w:rPr>
                <w:rFonts w:cs="Calibri"/>
                <w:color w:val="000000"/>
                <w:sz w:val="20"/>
                <w:szCs w:val="20"/>
                <w:lang w:val="ga"/>
              </w:rPr>
              <w:t>36.3%</w:t>
            </w:r>
          </w:p>
        </w:tc>
      </w:tr>
      <w:tr w:rsidR="00F31303" w14:paraId="5D6220A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85E9DA8" w14:textId="77777777" w:rsidR="00590BEF" w:rsidRPr="007202FA" w:rsidRDefault="000B4F21" w:rsidP="007202FA">
            <w:pPr>
              <w:rPr>
                <w:sz w:val="20"/>
                <w:szCs w:val="20"/>
              </w:rPr>
            </w:pPr>
            <w:r>
              <w:rPr>
                <w:rFonts w:cs="Calibri"/>
                <w:color w:val="000000"/>
                <w:sz w:val="20"/>
                <w:szCs w:val="20"/>
                <w:lang w:val="ga"/>
              </w:rPr>
              <w:t>An Bord Parúil</w:t>
            </w:r>
            <w:r>
              <w:rPr>
                <w:rStyle w:val="FootnoteReference"/>
                <w:rFonts w:cs="Calibri"/>
                <w:color w:val="000000"/>
                <w:sz w:val="20"/>
                <w:szCs w:val="20"/>
                <w:lang w:val="ga"/>
              </w:rPr>
              <w:footnoteReference w:id="26"/>
            </w:r>
          </w:p>
        </w:tc>
        <w:tc>
          <w:tcPr>
            <w:tcW w:w="4127" w:type="dxa"/>
            <w:tcBorders>
              <w:top w:val="single" w:sz="4" w:space="0" w:color="auto"/>
              <w:left w:val="single" w:sz="4" w:space="0" w:color="auto"/>
              <w:bottom w:val="single" w:sz="4" w:space="0" w:color="auto"/>
              <w:right w:val="single" w:sz="4" w:space="0" w:color="auto"/>
            </w:tcBorders>
            <w:hideMark/>
          </w:tcPr>
          <w:p w14:paraId="20D31890" w14:textId="77777777" w:rsidR="00590BEF" w:rsidRPr="007202FA" w:rsidRDefault="000B4F21" w:rsidP="007202FA">
            <w:pPr>
              <w:jc w:val="right"/>
              <w:rPr>
                <w:sz w:val="20"/>
                <w:szCs w:val="20"/>
              </w:rPr>
            </w:pPr>
            <w:r>
              <w:rPr>
                <w:rFonts w:cs="Calibri"/>
                <w:color w:val="000000"/>
                <w:sz w:val="20"/>
                <w:szCs w:val="20"/>
                <w:lang w:val="ga"/>
              </w:rPr>
              <w:t>37.5%</w:t>
            </w:r>
          </w:p>
        </w:tc>
      </w:tr>
      <w:tr w:rsidR="00F31303" w14:paraId="2C48939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88CA149" w14:textId="77777777" w:rsidR="00590BEF" w:rsidRPr="007202FA" w:rsidRDefault="000B4F21" w:rsidP="007202FA">
            <w:pPr>
              <w:rPr>
                <w:sz w:val="20"/>
                <w:szCs w:val="20"/>
              </w:rPr>
            </w:pPr>
            <w:r>
              <w:rPr>
                <w:rFonts w:cs="Calibri"/>
                <w:color w:val="000000"/>
                <w:sz w:val="20"/>
                <w:szCs w:val="20"/>
                <w:lang w:val="ga"/>
              </w:rPr>
              <w:t>Cumann Cógaiseoirí na hÉireann</w:t>
            </w:r>
          </w:p>
        </w:tc>
        <w:tc>
          <w:tcPr>
            <w:tcW w:w="4127" w:type="dxa"/>
            <w:tcBorders>
              <w:top w:val="single" w:sz="4" w:space="0" w:color="auto"/>
              <w:left w:val="single" w:sz="4" w:space="0" w:color="auto"/>
              <w:bottom w:val="single" w:sz="4" w:space="0" w:color="auto"/>
              <w:right w:val="single" w:sz="4" w:space="0" w:color="auto"/>
            </w:tcBorders>
            <w:hideMark/>
          </w:tcPr>
          <w:p w14:paraId="66141A79" w14:textId="77777777" w:rsidR="00590BEF" w:rsidRPr="007202FA" w:rsidRDefault="000B4F21" w:rsidP="007202FA">
            <w:pPr>
              <w:jc w:val="right"/>
              <w:rPr>
                <w:sz w:val="20"/>
                <w:szCs w:val="20"/>
              </w:rPr>
            </w:pPr>
            <w:r>
              <w:rPr>
                <w:rFonts w:cs="Calibri"/>
                <w:color w:val="000000"/>
                <w:sz w:val="20"/>
                <w:szCs w:val="20"/>
                <w:lang w:val="ga"/>
              </w:rPr>
              <w:t>100.0%</w:t>
            </w:r>
          </w:p>
        </w:tc>
      </w:tr>
      <w:tr w:rsidR="00F31303" w14:paraId="56C0A6D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751BB99" w14:textId="77777777" w:rsidR="00590BEF" w:rsidRPr="007202FA" w:rsidRDefault="000B4F21" w:rsidP="007202FA">
            <w:pPr>
              <w:rPr>
                <w:sz w:val="20"/>
                <w:szCs w:val="20"/>
              </w:rPr>
            </w:pPr>
            <w:r>
              <w:rPr>
                <w:rFonts w:cs="Calibri"/>
                <w:color w:val="000000"/>
                <w:sz w:val="20"/>
                <w:szCs w:val="20"/>
                <w:lang w:val="ga"/>
              </w:rPr>
              <w:t>An Chomhairle um Chúram Éigeandála Réamhospidéil</w:t>
            </w:r>
          </w:p>
        </w:tc>
        <w:tc>
          <w:tcPr>
            <w:tcW w:w="4127" w:type="dxa"/>
            <w:tcBorders>
              <w:top w:val="single" w:sz="4" w:space="0" w:color="auto"/>
              <w:left w:val="single" w:sz="4" w:space="0" w:color="auto"/>
              <w:bottom w:val="single" w:sz="4" w:space="0" w:color="auto"/>
              <w:right w:val="single" w:sz="4" w:space="0" w:color="auto"/>
            </w:tcBorders>
            <w:hideMark/>
          </w:tcPr>
          <w:p w14:paraId="1596D6F1" w14:textId="77777777" w:rsidR="00590BEF" w:rsidRPr="007202FA" w:rsidRDefault="000B4F21" w:rsidP="007202FA">
            <w:pPr>
              <w:jc w:val="right"/>
              <w:rPr>
                <w:sz w:val="20"/>
                <w:szCs w:val="20"/>
              </w:rPr>
            </w:pPr>
            <w:r>
              <w:rPr>
                <w:rFonts w:cs="Calibri"/>
                <w:color w:val="000000"/>
                <w:sz w:val="20"/>
                <w:szCs w:val="20"/>
                <w:lang w:val="ga"/>
              </w:rPr>
              <w:t>66.7%</w:t>
            </w:r>
          </w:p>
        </w:tc>
      </w:tr>
      <w:tr w:rsidR="00F31303" w14:paraId="473E1F37"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7CDE817" w14:textId="77777777" w:rsidR="00590BEF" w:rsidRPr="007202FA" w:rsidRDefault="000B4F21" w:rsidP="007202FA">
            <w:pPr>
              <w:rPr>
                <w:sz w:val="20"/>
                <w:szCs w:val="20"/>
              </w:rPr>
            </w:pPr>
            <w:r>
              <w:rPr>
                <w:rFonts w:cs="Calibri"/>
                <w:color w:val="000000"/>
                <w:sz w:val="20"/>
                <w:szCs w:val="20"/>
                <w:lang w:val="ga"/>
              </w:rPr>
              <w:t>Teaghlachas an Uachtaráin</w:t>
            </w:r>
          </w:p>
        </w:tc>
        <w:tc>
          <w:tcPr>
            <w:tcW w:w="4127" w:type="dxa"/>
            <w:tcBorders>
              <w:top w:val="single" w:sz="4" w:space="0" w:color="auto"/>
              <w:left w:val="single" w:sz="4" w:space="0" w:color="auto"/>
              <w:bottom w:val="single" w:sz="4" w:space="0" w:color="auto"/>
              <w:right w:val="single" w:sz="4" w:space="0" w:color="auto"/>
            </w:tcBorders>
            <w:hideMark/>
          </w:tcPr>
          <w:p w14:paraId="714D8D99" w14:textId="77777777" w:rsidR="00590BEF" w:rsidRPr="007202FA" w:rsidRDefault="000B4F21" w:rsidP="007202FA">
            <w:pPr>
              <w:jc w:val="right"/>
              <w:rPr>
                <w:sz w:val="20"/>
                <w:szCs w:val="20"/>
              </w:rPr>
            </w:pPr>
            <w:r>
              <w:rPr>
                <w:rFonts w:cs="Calibri"/>
                <w:color w:val="000000"/>
                <w:sz w:val="20"/>
                <w:szCs w:val="20"/>
                <w:lang w:val="ga"/>
              </w:rPr>
              <w:t>56.7%</w:t>
            </w:r>
          </w:p>
        </w:tc>
      </w:tr>
      <w:tr w:rsidR="00F31303" w14:paraId="3BCD34D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5406BE7" w14:textId="77777777" w:rsidR="00590BEF" w:rsidRPr="007202FA" w:rsidRDefault="000B4F21" w:rsidP="007202FA">
            <w:pPr>
              <w:rPr>
                <w:sz w:val="20"/>
                <w:szCs w:val="20"/>
              </w:rPr>
            </w:pPr>
            <w:r>
              <w:rPr>
                <w:rFonts w:cs="Calibri"/>
                <w:color w:val="000000"/>
                <w:sz w:val="20"/>
                <w:szCs w:val="20"/>
                <w:lang w:val="ga"/>
              </w:rPr>
              <w:t>An tÚdarás Rialála Seirbhísí Maoine</w:t>
            </w:r>
          </w:p>
        </w:tc>
        <w:tc>
          <w:tcPr>
            <w:tcW w:w="4127" w:type="dxa"/>
            <w:tcBorders>
              <w:top w:val="single" w:sz="4" w:space="0" w:color="auto"/>
              <w:left w:val="single" w:sz="4" w:space="0" w:color="auto"/>
              <w:bottom w:val="single" w:sz="4" w:space="0" w:color="auto"/>
              <w:right w:val="single" w:sz="4" w:space="0" w:color="auto"/>
            </w:tcBorders>
            <w:hideMark/>
          </w:tcPr>
          <w:p w14:paraId="03785E7B" w14:textId="77777777" w:rsidR="00590BEF" w:rsidRPr="007202FA" w:rsidRDefault="000B4F21" w:rsidP="007202FA">
            <w:pPr>
              <w:jc w:val="right"/>
              <w:rPr>
                <w:sz w:val="20"/>
                <w:szCs w:val="20"/>
              </w:rPr>
            </w:pPr>
            <w:r>
              <w:rPr>
                <w:rFonts w:cs="Calibri"/>
                <w:color w:val="000000"/>
                <w:sz w:val="20"/>
                <w:szCs w:val="20"/>
                <w:lang w:val="ga"/>
              </w:rPr>
              <w:t>69.0%</w:t>
            </w:r>
          </w:p>
        </w:tc>
      </w:tr>
      <w:tr w:rsidR="00F31303" w14:paraId="7471D81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A707FEF" w14:textId="77777777" w:rsidR="00590BEF" w:rsidRPr="007202FA" w:rsidRDefault="000B4F21" w:rsidP="007202FA">
            <w:pPr>
              <w:rPr>
                <w:sz w:val="20"/>
                <w:szCs w:val="20"/>
              </w:rPr>
            </w:pPr>
            <w:r>
              <w:rPr>
                <w:rFonts w:cs="Calibri"/>
                <w:color w:val="000000"/>
                <w:sz w:val="20"/>
                <w:szCs w:val="20"/>
                <w:lang w:val="ga"/>
              </w:rPr>
              <w:t>An tSeirbhís um Cheapacháin Phoiblí</w:t>
            </w:r>
          </w:p>
        </w:tc>
        <w:tc>
          <w:tcPr>
            <w:tcW w:w="4127" w:type="dxa"/>
            <w:tcBorders>
              <w:top w:val="single" w:sz="4" w:space="0" w:color="auto"/>
              <w:left w:val="single" w:sz="4" w:space="0" w:color="auto"/>
              <w:bottom w:val="single" w:sz="4" w:space="0" w:color="auto"/>
              <w:right w:val="single" w:sz="4" w:space="0" w:color="auto"/>
            </w:tcBorders>
            <w:hideMark/>
          </w:tcPr>
          <w:p w14:paraId="58E8C246" w14:textId="77777777" w:rsidR="00590BEF" w:rsidRPr="007202FA" w:rsidRDefault="000B4F21" w:rsidP="007202FA">
            <w:pPr>
              <w:jc w:val="right"/>
              <w:rPr>
                <w:sz w:val="20"/>
                <w:szCs w:val="20"/>
              </w:rPr>
            </w:pPr>
            <w:r>
              <w:rPr>
                <w:rFonts w:cs="Calibri"/>
                <w:color w:val="000000"/>
                <w:sz w:val="20"/>
                <w:szCs w:val="20"/>
                <w:lang w:val="ga"/>
              </w:rPr>
              <w:t>70.6%</w:t>
            </w:r>
          </w:p>
        </w:tc>
      </w:tr>
      <w:tr w:rsidR="00F31303" w14:paraId="6BE69C4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E7BA9F8" w14:textId="77777777" w:rsidR="00590BEF" w:rsidRPr="007202FA" w:rsidRDefault="000B4F21" w:rsidP="007202FA">
            <w:pPr>
              <w:rPr>
                <w:sz w:val="20"/>
                <w:szCs w:val="20"/>
              </w:rPr>
            </w:pPr>
            <w:r>
              <w:rPr>
                <w:rFonts w:cs="Calibri"/>
                <w:color w:val="000000"/>
                <w:sz w:val="20"/>
                <w:szCs w:val="20"/>
                <w:lang w:val="ga"/>
              </w:rPr>
              <w:t>Dearbhú Cáilíochta agus Cáilíochtaí Éireann</w:t>
            </w:r>
          </w:p>
        </w:tc>
        <w:tc>
          <w:tcPr>
            <w:tcW w:w="4127" w:type="dxa"/>
            <w:tcBorders>
              <w:top w:val="single" w:sz="4" w:space="0" w:color="auto"/>
              <w:left w:val="single" w:sz="4" w:space="0" w:color="auto"/>
              <w:bottom w:val="single" w:sz="4" w:space="0" w:color="auto"/>
              <w:right w:val="single" w:sz="4" w:space="0" w:color="auto"/>
            </w:tcBorders>
            <w:hideMark/>
          </w:tcPr>
          <w:p w14:paraId="7934712C" w14:textId="77777777" w:rsidR="00590BEF" w:rsidRPr="007202FA" w:rsidRDefault="000B4F21" w:rsidP="007202FA">
            <w:pPr>
              <w:jc w:val="right"/>
              <w:rPr>
                <w:sz w:val="20"/>
                <w:szCs w:val="20"/>
              </w:rPr>
            </w:pPr>
            <w:r>
              <w:rPr>
                <w:rFonts w:cs="Calibri"/>
                <w:color w:val="000000"/>
                <w:sz w:val="20"/>
                <w:szCs w:val="20"/>
                <w:lang w:val="ga"/>
              </w:rPr>
              <w:t>71.6%</w:t>
            </w:r>
          </w:p>
        </w:tc>
      </w:tr>
      <w:tr w:rsidR="00F31303" w14:paraId="00D58D4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905E381" w14:textId="742DD04F" w:rsidR="00590BEF" w:rsidRPr="007202FA" w:rsidRDefault="000B4F21" w:rsidP="007202FA">
            <w:pPr>
              <w:rPr>
                <w:sz w:val="20"/>
                <w:szCs w:val="20"/>
              </w:rPr>
            </w:pPr>
            <w:r>
              <w:rPr>
                <w:rFonts w:cs="Calibri"/>
                <w:color w:val="000000"/>
                <w:sz w:val="20"/>
                <w:szCs w:val="20"/>
                <w:lang w:val="ga"/>
              </w:rPr>
              <w:t>Taighde Éireann</w:t>
            </w:r>
            <w:r>
              <w:rPr>
                <w:rStyle w:val="FootnoteReference"/>
                <w:rFonts w:cs="Calibri"/>
                <w:color w:val="000000"/>
                <w:sz w:val="20"/>
                <w:szCs w:val="20"/>
                <w:lang w:val="ga"/>
              </w:rPr>
              <w:footnoteReference w:id="27"/>
            </w:r>
          </w:p>
        </w:tc>
        <w:tc>
          <w:tcPr>
            <w:tcW w:w="4127" w:type="dxa"/>
            <w:tcBorders>
              <w:top w:val="single" w:sz="4" w:space="0" w:color="auto"/>
              <w:left w:val="single" w:sz="4" w:space="0" w:color="auto"/>
              <w:bottom w:val="single" w:sz="4" w:space="0" w:color="auto"/>
              <w:right w:val="single" w:sz="4" w:space="0" w:color="auto"/>
            </w:tcBorders>
            <w:hideMark/>
          </w:tcPr>
          <w:p w14:paraId="41F576A6" w14:textId="77777777" w:rsidR="00590BEF" w:rsidRPr="007202FA" w:rsidRDefault="000B4F21" w:rsidP="007202FA">
            <w:pPr>
              <w:jc w:val="right"/>
              <w:rPr>
                <w:sz w:val="20"/>
                <w:szCs w:val="20"/>
              </w:rPr>
            </w:pPr>
            <w:r>
              <w:rPr>
                <w:rFonts w:cs="Calibri"/>
                <w:color w:val="000000"/>
                <w:sz w:val="20"/>
                <w:szCs w:val="20"/>
                <w:lang w:val="ga"/>
              </w:rPr>
              <w:t>70.2%</w:t>
            </w:r>
          </w:p>
        </w:tc>
      </w:tr>
      <w:tr w:rsidR="00F31303" w14:paraId="7D7BBA6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B99C7DE" w14:textId="77777777" w:rsidR="00590BEF" w:rsidRPr="007202FA" w:rsidRDefault="000B4F21" w:rsidP="007202FA">
            <w:pPr>
              <w:rPr>
                <w:sz w:val="20"/>
                <w:szCs w:val="20"/>
              </w:rPr>
            </w:pPr>
            <w:r>
              <w:rPr>
                <w:rFonts w:cs="Calibri"/>
                <w:color w:val="000000"/>
                <w:sz w:val="20"/>
                <w:szCs w:val="20"/>
                <w:lang w:val="ga"/>
              </w:rPr>
              <w:t>safefood</w:t>
            </w:r>
          </w:p>
        </w:tc>
        <w:tc>
          <w:tcPr>
            <w:tcW w:w="4127" w:type="dxa"/>
            <w:tcBorders>
              <w:top w:val="single" w:sz="4" w:space="0" w:color="auto"/>
              <w:left w:val="single" w:sz="4" w:space="0" w:color="auto"/>
              <w:bottom w:val="single" w:sz="4" w:space="0" w:color="auto"/>
              <w:right w:val="single" w:sz="4" w:space="0" w:color="auto"/>
            </w:tcBorders>
            <w:hideMark/>
          </w:tcPr>
          <w:p w14:paraId="759558C7" w14:textId="77777777" w:rsidR="00590BEF" w:rsidRPr="007202FA" w:rsidRDefault="000B4F21" w:rsidP="007202FA">
            <w:pPr>
              <w:jc w:val="right"/>
              <w:rPr>
                <w:sz w:val="20"/>
                <w:szCs w:val="20"/>
              </w:rPr>
            </w:pPr>
            <w:r>
              <w:rPr>
                <w:rFonts w:cs="Calibri"/>
                <w:color w:val="000000"/>
                <w:sz w:val="20"/>
                <w:szCs w:val="20"/>
                <w:lang w:val="ga"/>
              </w:rPr>
              <w:t>72.4%</w:t>
            </w:r>
          </w:p>
        </w:tc>
      </w:tr>
      <w:tr w:rsidR="00F31303" w14:paraId="7C73B34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EABA7AA" w14:textId="77777777" w:rsidR="00590BEF" w:rsidRPr="007202FA" w:rsidRDefault="000B4F21" w:rsidP="007202FA">
            <w:pPr>
              <w:rPr>
                <w:sz w:val="20"/>
                <w:szCs w:val="20"/>
              </w:rPr>
            </w:pPr>
            <w:r>
              <w:rPr>
                <w:rFonts w:cs="Calibri"/>
                <w:color w:val="000000"/>
                <w:sz w:val="20"/>
                <w:szCs w:val="20"/>
                <w:lang w:val="ga"/>
              </w:rPr>
              <w:t>Fís Éireann</w:t>
            </w:r>
          </w:p>
        </w:tc>
        <w:tc>
          <w:tcPr>
            <w:tcW w:w="4127" w:type="dxa"/>
            <w:tcBorders>
              <w:top w:val="single" w:sz="4" w:space="0" w:color="auto"/>
              <w:left w:val="single" w:sz="4" w:space="0" w:color="auto"/>
              <w:bottom w:val="single" w:sz="4" w:space="0" w:color="auto"/>
              <w:right w:val="single" w:sz="4" w:space="0" w:color="auto"/>
            </w:tcBorders>
            <w:hideMark/>
          </w:tcPr>
          <w:p w14:paraId="6A4BE3EC" w14:textId="77777777" w:rsidR="00590BEF" w:rsidRPr="007202FA" w:rsidRDefault="000B4F21" w:rsidP="007202FA">
            <w:pPr>
              <w:jc w:val="right"/>
              <w:rPr>
                <w:sz w:val="20"/>
                <w:szCs w:val="20"/>
              </w:rPr>
            </w:pPr>
            <w:r>
              <w:rPr>
                <w:rFonts w:cs="Calibri"/>
                <w:color w:val="000000"/>
                <w:sz w:val="20"/>
                <w:szCs w:val="20"/>
                <w:lang w:val="ga"/>
              </w:rPr>
              <w:t>78.0%</w:t>
            </w:r>
          </w:p>
        </w:tc>
      </w:tr>
      <w:tr w:rsidR="00F31303" w14:paraId="3BC6193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DB226EC" w14:textId="77777777" w:rsidR="00590BEF" w:rsidRPr="007202FA" w:rsidRDefault="000B4F21" w:rsidP="007202FA">
            <w:pPr>
              <w:rPr>
                <w:sz w:val="20"/>
                <w:szCs w:val="20"/>
              </w:rPr>
            </w:pPr>
            <w:r>
              <w:rPr>
                <w:rFonts w:cs="Calibri"/>
                <w:color w:val="000000"/>
                <w:sz w:val="20"/>
                <w:szCs w:val="20"/>
                <w:lang w:val="ga"/>
              </w:rPr>
              <w:t>An tÚdarás um Chosaint Iascaigh Mhara</w:t>
            </w:r>
          </w:p>
        </w:tc>
        <w:tc>
          <w:tcPr>
            <w:tcW w:w="4127" w:type="dxa"/>
            <w:tcBorders>
              <w:top w:val="single" w:sz="4" w:space="0" w:color="auto"/>
              <w:left w:val="single" w:sz="4" w:space="0" w:color="auto"/>
              <w:bottom w:val="single" w:sz="4" w:space="0" w:color="auto"/>
              <w:right w:val="single" w:sz="4" w:space="0" w:color="auto"/>
            </w:tcBorders>
            <w:hideMark/>
          </w:tcPr>
          <w:p w14:paraId="368C347B" w14:textId="77777777" w:rsidR="00590BEF" w:rsidRPr="007202FA" w:rsidRDefault="000B4F21" w:rsidP="007202FA">
            <w:pPr>
              <w:jc w:val="right"/>
              <w:rPr>
                <w:sz w:val="20"/>
                <w:szCs w:val="20"/>
              </w:rPr>
            </w:pPr>
            <w:r>
              <w:rPr>
                <w:rFonts w:cs="Calibri"/>
                <w:color w:val="000000"/>
                <w:sz w:val="20"/>
                <w:szCs w:val="20"/>
                <w:lang w:val="ga"/>
              </w:rPr>
              <w:t>1.5%</w:t>
            </w:r>
          </w:p>
        </w:tc>
      </w:tr>
      <w:tr w:rsidR="00F31303" w14:paraId="7B5DF5E6"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9C143B8" w14:textId="77777777" w:rsidR="00590BEF" w:rsidRPr="007202FA" w:rsidRDefault="000B4F21" w:rsidP="007202FA">
            <w:pPr>
              <w:rPr>
                <w:sz w:val="20"/>
                <w:szCs w:val="20"/>
              </w:rPr>
            </w:pPr>
            <w:r>
              <w:rPr>
                <w:rFonts w:cs="Calibri"/>
                <w:color w:val="000000"/>
                <w:sz w:val="20"/>
                <w:szCs w:val="20"/>
                <w:lang w:val="ga"/>
              </w:rPr>
              <w:t>Comhairle Contae Shligigh</w:t>
            </w:r>
          </w:p>
        </w:tc>
        <w:tc>
          <w:tcPr>
            <w:tcW w:w="4127" w:type="dxa"/>
            <w:tcBorders>
              <w:top w:val="single" w:sz="4" w:space="0" w:color="auto"/>
              <w:left w:val="single" w:sz="4" w:space="0" w:color="auto"/>
              <w:bottom w:val="single" w:sz="4" w:space="0" w:color="auto"/>
              <w:right w:val="single" w:sz="4" w:space="0" w:color="auto"/>
            </w:tcBorders>
            <w:hideMark/>
          </w:tcPr>
          <w:p w14:paraId="464FB84B" w14:textId="77777777" w:rsidR="00590BEF" w:rsidRPr="007202FA" w:rsidRDefault="000B4F21" w:rsidP="007202FA">
            <w:pPr>
              <w:jc w:val="right"/>
              <w:rPr>
                <w:sz w:val="20"/>
                <w:szCs w:val="20"/>
              </w:rPr>
            </w:pPr>
            <w:r>
              <w:rPr>
                <w:rFonts w:cs="Calibri"/>
                <w:color w:val="000000"/>
                <w:sz w:val="20"/>
                <w:szCs w:val="20"/>
                <w:lang w:val="ga"/>
              </w:rPr>
              <w:t>44.2%</w:t>
            </w:r>
          </w:p>
        </w:tc>
      </w:tr>
      <w:tr w:rsidR="00F31303" w14:paraId="6511795A"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EAF84E5" w14:textId="77777777" w:rsidR="00590BEF" w:rsidRPr="007202FA" w:rsidRDefault="000B4F21" w:rsidP="007202FA">
            <w:pPr>
              <w:rPr>
                <w:sz w:val="20"/>
                <w:szCs w:val="20"/>
              </w:rPr>
            </w:pPr>
            <w:r>
              <w:rPr>
                <w:rFonts w:cs="Calibri"/>
                <w:color w:val="000000"/>
                <w:sz w:val="20"/>
                <w:szCs w:val="20"/>
                <w:lang w:val="ga"/>
              </w:rPr>
              <w:t>SOLAS - An tÚdarás Breisoideachais agus Oiliúna</w:t>
            </w:r>
          </w:p>
        </w:tc>
        <w:tc>
          <w:tcPr>
            <w:tcW w:w="4127" w:type="dxa"/>
            <w:tcBorders>
              <w:top w:val="single" w:sz="4" w:space="0" w:color="auto"/>
              <w:left w:val="single" w:sz="4" w:space="0" w:color="auto"/>
              <w:bottom w:val="single" w:sz="4" w:space="0" w:color="auto"/>
              <w:right w:val="single" w:sz="4" w:space="0" w:color="auto"/>
            </w:tcBorders>
            <w:hideMark/>
          </w:tcPr>
          <w:p w14:paraId="0E8A2747" w14:textId="77777777" w:rsidR="00590BEF" w:rsidRPr="007202FA" w:rsidRDefault="000B4F21" w:rsidP="007202FA">
            <w:pPr>
              <w:jc w:val="right"/>
              <w:rPr>
                <w:sz w:val="20"/>
                <w:szCs w:val="20"/>
              </w:rPr>
            </w:pPr>
            <w:r>
              <w:rPr>
                <w:rFonts w:cs="Calibri"/>
                <w:color w:val="000000"/>
                <w:sz w:val="20"/>
                <w:szCs w:val="20"/>
                <w:lang w:val="ga"/>
              </w:rPr>
              <w:t>79.8%</w:t>
            </w:r>
          </w:p>
        </w:tc>
      </w:tr>
      <w:tr w:rsidR="00F31303" w14:paraId="0FB066D2"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A695220" w14:textId="77777777" w:rsidR="00590BEF" w:rsidRPr="007202FA" w:rsidRDefault="000B4F21" w:rsidP="007202FA">
            <w:pPr>
              <w:rPr>
                <w:sz w:val="20"/>
                <w:szCs w:val="20"/>
              </w:rPr>
            </w:pPr>
            <w:r>
              <w:rPr>
                <w:rFonts w:cs="Calibri"/>
                <w:color w:val="000000"/>
                <w:sz w:val="20"/>
                <w:szCs w:val="20"/>
                <w:lang w:val="ga"/>
              </w:rPr>
              <w:t>Ollscoil Teicneolaíochta an Oirdheiscirt (SETU)</w:t>
            </w:r>
            <w:r>
              <w:rPr>
                <w:rStyle w:val="FootnoteReference"/>
                <w:rFonts w:cs="Calibri"/>
                <w:color w:val="000000"/>
                <w:sz w:val="20"/>
                <w:szCs w:val="20"/>
                <w:lang w:val="ga"/>
              </w:rPr>
              <w:footnoteReference w:id="28"/>
            </w:r>
            <w:r>
              <w:rPr>
                <w:rFonts w:cs="Calibri"/>
                <w:color w:val="000000"/>
                <w:sz w:val="20"/>
                <w:szCs w:val="20"/>
                <w:lang w:val="ga"/>
              </w:rPr>
              <w:t xml:space="preserve"> </w:t>
            </w:r>
          </w:p>
        </w:tc>
        <w:tc>
          <w:tcPr>
            <w:tcW w:w="4127" w:type="dxa"/>
            <w:tcBorders>
              <w:top w:val="single" w:sz="4" w:space="0" w:color="auto"/>
              <w:left w:val="single" w:sz="4" w:space="0" w:color="auto"/>
              <w:bottom w:val="single" w:sz="4" w:space="0" w:color="auto"/>
              <w:right w:val="single" w:sz="4" w:space="0" w:color="auto"/>
            </w:tcBorders>
            <w:hideMark/>
          </w:tcPr>
          <w:p w14:paraId="65808D0F" w14:textId="77777777" w:rsidR="00590BEF" w:rsidRPr="007202FA" w:rsidRDefault="000B4F21" w:rsidP="007202FA">
            <w:pPr>
              <w:jc w:val="right"/>
              <w:rPr>
                <w:sz w:val="20"/>
                <w:szCs w:val="20"/>
              </w:rPr>
            </w:pPr>
            <w:r>
              <w:rPr>
                <w:rFonts w:cs="Calibri"/>
                <w:color w:val="000000"/>
                <w:sz w:val="20"/>
                <w:szCs w:val="20"/>
                <w:lang w:val="ga"/>
              </w:rPr>
              <w:t>22.9%</w:t>
            </w:r>
          </w:p>
        </w:tc>
      </w:tr>
      <w:tr w:rsidR="00F31303" w14:paraId="37947EA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7D654F1E" w14:textId="77777777" w:rsidR="00590BEF" w:rsidRPr="007202FA" w:rsidRDefault="000B4F21" w:rsidP="007202FA">
            <w:pPr>
              <w:rPr>
                <w:sz w:val="20"/>
                <w:szCs w:val="20"/>
              </w:rPr>
            </w:pPr>
            <w:r>
              <w:rPr>
                <w:rFonts w:cs="Calibri"/>
                <w:color w:val="000000"/>
                <w:sz w:val="20"/>
                <w:szCs w:val="20"/>
                <w:lang w:val="ga"/>
              </w:rPr>
              <w:t>Tionól Réigiúnach an Deiscirt</w:t>
            </w:r>
          </w:p>
        </w:tc>
        <w:tc>
          <w:tcPr>
            <w:tcW w:w="4127" w:type="dxa"/>
            <w:tcBorders>
              <w:top w:val="single" w:sz="4" w:space="0" w:color="auto"/>
              <w:left w:val="single" w:sz="4" w:space="0" w:color="auto"/>
              <w:bottom w:val="single" w:sz="4" w:space="0" w:color="auto"/>
              <w:right w:val="single" w:sz="4" w:space="0" w:color="auto"/>
            </w:tcBorders>
            <w:hideMark/>
          </w:tcPr>
          <w:p w14:paraId="32992105" w14:textId="77777777" w:rsidR="00590BEF" w:rsidRPr="007202FA" w:rsidRDefault="000B4F21" w:rsidP="007202FA">
            <w:pPr>
              <w:jc w:val="right"/>
              <w:rPr>
                <w:sz w:val="20"/>
                <w:szCs w:val="20"/>
              </w:rPr>
            </w:pPr>
            <w:r>
              <w:rPr>
                <w:rFonts w:cs="Calibri"/>
                <w:color w:val="000000"/>
                <w:sz w:val="20"/>
                <w:szCs w:val="20"/>
                <w:lang w:val="ga"/>
              </w:rPr>
              <w:t>82.5%</w:t>
            </w:r>
          </w:p>
        </w:tc>
      </w:tr>
      <w:tr w:rsidR="00F31303" w14:paraId="6EDB2BF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6CCA616" w14:textId="77777777" w:rsidR="00590BEF" w:rsidRPr="007202FA" w:rsidRDefault="000B4F21" w:rsidP="007202FA">
            <w:pPr>
              <w:rPr>
                <w:sz w:val="20"/>
                <w:szCs w:val="20"/>
              </w:rPr>
            </w:pPr>
            <w:r>
              <w:rPr>
                <w:rFonts w:cs="Calibri"/>
                <w:color w:val="000000"/>
                <w:sz w:val="20"/>
                <w:szCs w:val="20"/>
                <w:lang w:val="ga"/>
              </w:rPr>
              <w:t>Spórt Éireann</w:t>
            </w:r>
          </w:p>
        </w:tc>
        <w:tc>
          <w:tcPr>
            <w:tcW w:w="4127" w:type="dxa"/>
            <w:tcBorders>
              <w:top w:val="single" w:sz="4" w:space="0" w:color="auto"/>
              <w:left w:val="single" w:sz="4" w:space="0" w:color="auto"/>
              <w:bottom w:val="single" w:sz="4" w:space="0" w:color="auto"/>
              <w:right w:val="single" w:sz="4" w:space="0" w:color="auto"/>
            </w:tcBorders>
            <w:hideMark/>
          </w:tcPr>
          <w:p w14:paraId="040C81C6" w14:textId="77777777" w:rsidR="00590BEF" w:rsidRPr="007202FA" w:rsidRDefault="000B4F21" w:rsidP="007202FA">
            <w:pPr>
              <w:jc w:val="right"/>
              <w:rPr>
                <w:sz w:val="20"/>
                <w:szCs w:val="20"/>
              </w:rPr>
            </w:pPr>
            <w:r>
              <w:rPr>
                <w:rFonts w:cs="Calibri"/>
                <w:color w:val="000000"/>
                <w:sz w:val="20"/>
                <w:szCs w:val="20"/>
                <w:lang w:val="ga"/>
              </w:rPr>
              <w:t>56.6%</w:t>
            </w:r>
          </w:p>
        </w:tc>
      </w:tr>
      <w:tr w:rsidR="00F31303" w14:paraId="1F18ED1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933AFC6" w14:textId="77777777" w:rsidR="00590BEF" w:rsidRPr="007202FA" w:rsidRDefault="000B4F21" w:rsidP="007202FA">
            <w:pPr>
              <w:rPr>
                <w:sz w:val="20"/>
                <w:szCs w:val="20"/>
              </w:rPr>
            </w:pPr>
            <w:r>
              <w:rPr>
                <w:rFonts w:cs="Calibri"/>
                <w:color w:val="000000"/>
                <w:sz w:val="20"/>
                <w:szCs w:val="20"/>
                <w:lang w:val="ga"/>
              </w:rPr>
              <w:t>Coimisiún na Scrúduithe Stáit</w:t>
            </w:r>
          </w:p>
        </w:tc>
        <w:tc>
          <w:tcPr>
            <w:tcW w:w="4127" w:type="dxa"/>
            <w:tcBorders>
              <w:top w:val="single" w:sz="4" w:space="0" w:color="auto"/>
              <w:left w:val="single" w:sz="4" w:space="0" w:color="auto"/>
              <w:bottom w:val="single" w:sz="4" w:space="0" w:color="auto"/>
              <w:right w:val="single" w:sz="4" w:space="0" w:color="auto"/>
            </w:tcBorders>
            <w:hideMark/>
          </w:tcPr>
          <w:p w14:paraId="7EEB2C8C" w14:textId="77777777" w:rsidR="00590BEF" w:rsidRPr="007202FA" w:rsidRDefault="000B4F21" w:rsidP="007202FA">
            <w:pPr>
              <w:jc w:val="right"/>
              <w:rPr>
                <w:sz w:val="20"/>
                <w:szCs w:val="20"/>
              </w:rPr>
            </w:pPr>
            <w:r>
              <w:rPr>
                <w:rFonts w:cs="Calibri"/>
                <w:color w:val="000000"/>
                <w:sz w:val="20"/>
                <w:szCs w:val="20"/>
                <w:lang w:val="ga"/>
              </w:rPr>
              <w:t>55.4%</w:t>
            </w:r>
          </w:p>
        </w:tc>
      </w:tr>
      <w:tr w:rsidR="00F31303" w14:paraId="7AC5B7B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1A4CA3D6" w14:textId="77777777" w:rsidR="00590BEF" w:rsidRPr="007202FA" w:rsidRDefault="000B4F21" w:rsidP="007202FA">
            <w:pPr>
              <w:rPr>
                <w:sz w:val="20"/>
                <w:szCs w:val="20"/>
              </w:rPr>
            </w:pPr>
            <w:r>
              <w:rPr>
                <w:rFonts w:cs="Calibri"/>
                <w:color w:val="000000"/>
                <w:sz w:val="20"/>
                <w:szCs w:val="20"/>
                <w:lang w:val="ga"/>
              </w:rPr>
              <w:t xml:space="preserve">Údarás Fuinnimh Inmharthana na hÉireann </w:t>
            </w:r>
          </w:p>
        </w:tc>
        <w:tc>
          <w:tcPr>
            <w:tcW w:w="4127" w:type="dxa"/>
            <w:tcBorders>
              <w:top w:val="single" w:sz="4" w:space="0" w:color="auto"/>
              <w:left w:val="single" w:sz="4" w:space="0" w:color="auto"/>
              <w:bottom w:val="single" w:sz="4" w:space="0" w:color="auto"/>
              <w:right w:val="single" w:sz="4" w:space="0" w:color="auto"/>
            </w:tcBorders>
            <w:hideMark/>
          </w:tcPr>
          <w:p w14:paraId="093614B9" w14:textId="77777777" w:rsidR="00590BEF" w:rsidRPr="007202FA" w:rsidRDefault="000B4F21" w:rsidP="007202FA">
            <w:pPr>
              <w:jc w:val="right"/>
              <w:rPr>
                <w:sz w:val="20"/>
                <w:szCs w:val="20"/>
              </w:rPr>
            </w:pPr>
            <w:r>
              <w:rPr>
                <w:rFonts w:cs="Calibri"/>
                <w:color w:val="000000"/>
                <w:sz w:val="20"/>
                <w:szCs w:val="20"/>
                <w:lang w:val="ga"/>
              </w:rPr>
              <w:t>61.3%</w:t>
            </w:r>
          </w:p>
        </w:tc>
      </w:tr>
      <w:tr w:rsidR="00F31303" w14:paraId="3854DA14"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E262F18" w14:textId="5162A38E" w:rsidR="00590BEF" w:rsidRPr="005524D6" w:rsidRDefault="000B4F21" w:rsidP="007202FA">
            <w:pPr>
              <w:rPr>
                <w:sz w:val="20"/>
                <w:szCs w:val="20"/>
                <w:lang w:val="de-DE"/>
              </w:rPr>
            </w:pPr>
            <w:r>
              <w:rPr>
                <w:rFonts w:cs="Calibri"/>
                <w:color w:val="000000"/>
                <w:sz w:val="20"/>
                <w:szCs w:val="20"/>
                <w:lang w:val="ga"/>
              </w:rPr>
              <w:t>An Coimisiún um Achomhairc Chánach</w:t>
            </w:r>
          </w:p>
        </w:tc>
        <w:tc>
          <w:tcPr>
            <w:tcW w:w="4127" w:type="dxa"/>
            <w:tcBorders>
              <w:top w:val="single" w:sz="4" w:space="0" w:color="auto"/>
              <w:left w:val="single" w:sz="4" w:space="0" w:color="auto"/>
              <w:bottom w:val="single" w:sz="4" w:space="0" w:color="auto"/>
              <w:right w:val="single" w:sz="4" w:space="0" w:color="auto"/>
            </w:tcBorders>
            <w:hideMark/>
          </w:tcPr>
          <w:p w14:paraId="69E95AFF" w14:textId="77777777" w:rsidR="00590BEF" w:rsidRPr="007202FA" w:rsidRDefault="000B4F21" w:rsidP="007202FA">
            <w:pPr>
              <w:jc w:val="right"/>
              <w:rPr>
                <w:sz w:val="20"/>
                <w:szCs w:val="20"/>
              </w:rPr>
            </w:pPr>
            <w:r>
              <w:rPr>
                <w:rFonts w:cs="Calibri"/>
                <w:color w:val="000000"/>
                <w:sz w:val="20"/>
                <w:szCs w:val="20"/>
                <w:lang w:val="ga"/>
              </w:rPr>
              <w:t>76.5%</w:t>
            </w:r>
          </w:p>
        </w:tc>
      </w:tr>
      <w:tr w:rsidR="00F31303" w14:paraId="393907DB"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A3F0B42" w14:textId="77777777" w:rsidR="00590BEF" w:rsidRPr="007202FA" w:rsidRDefault="000B4F21" w:rsidP="007202FA">
            <w:pPr>
              <w:rPr>
                <w:sz w:val="20"/>
                <w:szCs w:val="20"/>
              </w:rPr>
            </w:pPr>
            <w:r>
              <w:rPr>
                <w:rFonts w:cs="Calibri"/>
                <w:color w:val="000000"/>
                <w:sz w:val="20"/>
                <w:szCs w:val="20"/>
                <w:lang w:val="ga"/>
              </w:rPr>
              <w:t>Teagasc</w:t>
            </w:r>
          </w:p>
        </w:tc>
        <w:tc>
          <w:tcPr>
            <w:tcW w:w="4127" w:type="dxa"/>
            <w:tcBorders>
              <w:top w:val="single" w:sz="4" w:space="0" w:color="auto"/>
              <w:left w:val="single" w:sz="4" w:space="0" w:color="auto"/>
              <w:bottom w:val="single" w:sz="4" w:space="0" w:color="auto"/>
              <w:right w:val="single" w:sz="4" w:space="0" w:color="auto"/>
            </w:tcBorders>
            <w:hideMark/>
          </w:tcPr>
          <w:p w14:paraId="4F9F9C39" w14:textId="77777777" w:rsidR="00590BEF" w:rsidRPr="007202FA" w:rsidRDefault="000B4F21" w:rsidP="007202FA">
            <w:pPr>
              <w:jc w:val="right"/>
              <w:rPr>
                <w:sz w:val="20"/>
                <w:szCs w:val="20"/>
              </w:rPr>
            </w:pPr>
            <w:r>
              <w:rPr>
                <w:rFonts w:cs="Calibri"/>
                <w:color w:val="000000"/>
                <w:sz w:val="20"/>
                <w:szCs w:val="20"/>
                <w:lang w:val="ga"/>
              </w:rPr>
              <w:t>41.9%</w:t>
            </w:r>
          </w:p>
        </w:tc>
      </w:tr>
      <w:tr w:rsidR="00F31303" w14:paraId="3E0796D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5BEF2B88" w14:textId="77777777" w:rsidR="00590BEF" w:rsidRPr="007202FA" w:rsidRDefault="000B4F21" w:rsidP="007202FA">
            <w:pPr>
              <w:rPr>
                <w:sz w:val="20"/>
                <w:szCs w:val="20"/>
              </w:rPr>
            </w:pPr>
            <w:r>
              <w:rPr>
                <w:rFonts w:cs="Calibri"/>
                <w:color w:val="000000"/>
                <w:sz w:val="20"/>
                <w:szCs w:val="20"/>
                <w:lang w:val="ga"/>
              </w:rPr>
              <w:t>Ollscoil Teicneolaíochta Bhaile Átha Cliath</w:t>
            </w:r>
          </w:p>
        </w:tc>
        <w:tc>
          <w:tcPr>
            <w:tcW w:w="4127" w:type="dxa"/>
            <w:tcBorders>
              <w:top w:val="single" w:sz="4" w:space="0" w:color="auto"/>
              <w:left w:val="single" w:sz="4" w:space="0" w:color="auto"/>
              <w:bottom w:val="single" w:sz="4" w:space="0" w:color="auto"/>
              <w:right w:val="single" w:sz="4" w:space="0" w:color="auto"/>
            </w:tcBorders>
            <w:hideMark/>
          </w:tcPr>
          <w:p w14:paraId="0165EB7C" w14:textId="77777777" w:rsidR="00590BEF" w:rsidRPr="007202FA" w:rsidRDefault="000B4F21" w:rsidP="007202FA">
            <w:pPr>
              <w:jc w:val="right"/>
              <w:rPr>
                <w:sz w:val="20"/>
                <w:szCs w:val="20"/>
              </w:rPr>
            </w:pPr>
            <w:r>
              <w:rPr>
                <w:rFonts w:cs="Calibri"/>
                <w:color w:val="000000"/>
                <w:sz w:val="20"/>
                <w:szCs w:val="20"/>
                <w:lang w:val="ga"/>
              </w:rPr>
              <w:t>8.1%</w:t>
            </w:r>
          </w:p>
        </w:tc>
      </w:tr>
      <w:tr w:rsidR="00F31303" w14:paraId="04E42038"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4318E31" w14:textId="77777777" w:rsidR="00590BEF" w:rsidRPr="007202FA" w:rsidRDefault="000B4F21" w:rsidP="007202FA">
            <w:pPr>
              <w:rPr>
                <w:sz w:val="20"/>
                <w:szCs w:val="20"/>
              </w:rPr>
            </w:pPr>
            <w:r>
              <w:rPr>
                <w:rFonts w:cs="Calibri"/>
                <w:color w:val="000000"/>
                <w:sz w:val="20"/>
                <w:szCs w:val="20"/>
                <w:lang w:val="ga"/>
              </w:rPr>
              <w:t>TG4</w:t>
            </w:r>
          </w:p>
        </w:tc>
        <w:tc>
          <w:tcPr>
            <w:tcW w:w="4127" w:type="dxa"/>
            <w:tcBorders>
              <w:top w:val="single" w:sz="4" w:space="0" w:color="auto"/>
              <w:left w:val="single" w:sz="4" w:space="0" w:color="auto"/>
              <w:bottom w:val="single" w:sz="4" w:space="0" w:color="auto"/>
              <w:right w:val="single" w:sz="4" w:space="0" w:color="auto"/>
            </w:tcBorders>
            <w:hideMark/>
          </w:tcPr>
          <w:p w14:paraId="3C28D0EE" w14:textId="77777777" w:rsidR="00590BEF" w:rsidRPr="007202FA" w:rsidRDefault="000B4F21" w:rsidP="007202FA">
            <w:pPr>
              <w:jc w:val="right"/>
              <w:rPr>
                <w:sz w:val="20"/>
                <w:szCs w:val="20"/>
              </w:rPr>
            </w:pPr>
            <w:r>
              <w:rPr>
                <w:rFonts w:cs="Calibri"/>
                <w:color w:val="000000"/>
                <w:sz w:val="20"/>
                <w:szCs w:val="20"/>
                <w:lang w:val="ga"/>
              </w:rPr>
              <w:t>50.0%</w:t>
            </w:r>
          </w:p>
        </w:tc>
      </w:tr>
      <w:tr w:rsidR="00F31303" w14:paraId="025A9959"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3EB4AB15" w14:textId="77777777" w:rsidR="00590BEF" w:rsidRPr="007202FA" w:rsidRDefault="000B4F21" w:rsidP="007202FA">
            <w:pPr>
              <w:rPr>
                <w:sz w:val="20"/>
                <w:szCs w:val="20"/>
              </w:rPr>
            </w:pPr>
            <w:r>
              <w:rPr>
                <w:rFonts w:cs="Calibri"/>
                <w:color w:val="000000"/>
                <w:sz w:val="20"/>
                <w:szCs w:val="20"/>
                <w:lang w:val="ga"/>
              </w:rPr>
              <w:t>An Chomhairle Ealaíon</w:t>
            </w:r>
          </w:p>
        </w:tc>
        <w:tc>
          <w:tcPr>
            <w:tcW w:w="4127" w:type="dxa"/>
            <w:tcBorders>
              <w:top w:val="single" w:sz="4" w:space="0" w:color="auto"/>
              <w:left w:val="single" w:sz="4" w:space="0" w:color="auto"/>
              <w:bottom w:val="single" w:sz="4" w:space="0" w:color="auto"/>
              <w:right w:val="single" w:sz="4" w:space="0" w:color="auto"/>
            </w:tcBorders>
            <w:hideMark/>
          </w:tcPr>
          <w:p w14:paraId="34141AF3" w14:textId="77777777" w:rsidR="00590BEF" w:rsidRPr="007202FA" w:rsidRDefault="000B4F21" w:rsidP="007202FA">
            <w:pPr>
              <w:jc w:val="right"/>
              <w:rPr>
                <w:sz w:val="20"/>
                <w:szCs w:val="20"/>
              </w:rPr>
            </w:pPr>
            <w:r>
              <w:rPr>
                <w:rFonts w:cs="Calibri"/>
                <w:color w:val="000000"/>
                <w:sz w:val="20"/>
                <w:szCs w:val="20"/>
                <w:lang w:val="ga"/>
              </w:rPr>
              <w:t>76.2%</w:t>
            </w:r>
          </w:p>
        </w:tc>
      </w:tr>
      <w:tr w:rsidR="00F31303" w14:paraId="507C0353"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68B9A03B" w14:textId="77777777" w:rsidR="00590BEF" w:rsidRPr="007202FA" w:rsidRDefault="000B4F21" w:rsidP="007202FA">
            <w:pPr>
              <w:rPr>
                <w:sz w:val="20"/>
                <w:szCs w:val="20"/>
              </w:rPr>
            </w:pPr>
            <w:r>
              <w:rPr>
                <w:rFonts w:cs="Calibri"/>
                <w:color w:val="000000"/>
                <w:sz w:val="20"/>
                <w:szCs w:val="20"/>
                <w:lang w:val="ga"/>
              </w:rPr>
              <w:t xml:space="preserve">An Mol Digiteach </w:t>
            </w:r>
          </w:p>
        </w:tc>
        <w:tc>
          <w:tcPr>
            <w:tcW w:w="4127" w:type="dxa"/>
            <w:tcBorders>
              <w:top w:val="single" w:sz="4" w:space="0" w:color="auto"/>
              <w:left w:val="single" w:sz="4" w:space="0" w:color="auto"/>
              <w:bottom w:val="single" w:sz="4" w:space="0" w:color="auto"/>
              <w:right w:val="single" w:sz="4" w:space="0" w:color="auto"/>
            </w:tcBorders>
            <w:hideMark/>
          </w:tcPr>
          <w:p w14:paraId="3444DA6B" w14:textId="77777777" w:rsidR="00590BEF" w:rsidRPr="007202FA" w:rsidRDefault="000B4F21" w:rsidP="007202FA">
            <w:pPr>
              <w:jc w:val="right"/>
              <w:rPr>
                <w:sz w:val="20"/>
                <w:szCs w:val="20"/>
              </w:rPr>
            </w:pPr>
            <w:r>
              <w:rPr>
                <w:rFonts w:cs="Calibri"/>
                <w:color w:val="000000"/>
                <w:sz w:val="20"/>
                <w:szCs w:val="20"/>
                <w:lang w:val="ga"/>
              </w:rPr>
              <w:t>100.0%</w:t>
            </w:r>
          </w:p>
        </w:tc>
      </w:tr>
      <w:tr w:rsidR="00F31303" w14:paraId="75A1241C"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09879CB" w14:textId="77777777" w:rsidR="00590BEF" w:rsidRPr="007202FA" w:rsidRDefault="000B4F21" w:rsidP="007202FA">
            <w:pPr>
              <w:rPr>
                <w:sz w:val="20"/>
                <w:szCs w:val="20"/>
              </w:rPr>
            </w:pPr>
            <w:r>
              <w:rPr>
                <w:rFonts w:cs="Calibri"/>
                <w:color w:val="000000"/>
                <w:sz w:val="20"/>
                <w:szCs w:val="20"/>
                <w:lang w:val="ga"/>
              </w:rPr>
              <w:t>An tÚdarás Pinsean</w:t>
            </w:r>
          </w:p>
        </w:tc>
        <w:tc>
          <w:tcPr>
            <w:tcW w:w="4127" w:type="dxa"/>
            <w:tcBorders>
              <w:top w:val="single" w:sz="4" w:space="0" w:color="auto"/>
              <w:left w:val="single" w:sz="4" w:space="0" w:color="auto"/>
              <w:bottom w:val="single" w:sz="4" w:space="0" w:color="auto"/>
              <w:right w:val="single" w:sz="4" w:space="0" w:color="auto"/>
            </w:tcBorders>
            <w:hideMark/>
          </w:tcPr>
          <w:p w14:paraId="34853724" w14:textId="77777777" w:rsidR="00590BEF" w:rsidRPr="007202FA" w:rsidRDefault="000B4F21" w:rsidP="007202FA">
            <w:pPr>
              <w:jc w:val="right"/>
              <w:rPr>
                <w:sz w:val="20"/>
                <w:szCs w:val="20"/>
              </w:rPr>
            </w:pPr>
            <w:r>
              <w:rPr>
                <w:rFonts w:cs="Calibri"/>
                <w:color w:val="000000"/>
                <w:sz w:val="20"/>
                <w:szCs w:val="20"/>
                <w:lang w:val="ga"/>
              </w:rPr>
              <w:t>76.2%</w:t>
            </w:r>
          </w:p>
        </w:tc>
      </w:tr>
      <w:tr w:rsidR="00F31303" w14:paraId="1887AA0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1F343AD" w14:textId="77777777" w:rsidR="00590BEF" w:rsidRPr="007202FA" w:rsidRDefault="000B4F21" w:rsidP="007202FA">
            <w:pPr>
              <w:rPr>
                <w:sz w:val="20"/>
                <w:szCs w:val="20"/>
              </w:rPr>
            </w:pPr>
            <w:r>
              <w:rPr>
                <w:rFonts w:cs="Calibri"/>
                <w:color w:val="000000"/>
                <w:sz w:val="20"/>
                <w:szCs w:val="20"/>
                <w:lang w:val="ga"/>
              </w:rPr>
              <w:t>An tÚdarás Slándála Príobháidí</w:t>
            </w:r>
          </w:p>
        </w:tc>
        <w:tc>
          <w:tcPr>
            <w:tcW w:w="4127" w:type="dxa"/>
            <w:tcBorders>
              <w:top w:val="single" w:sz="4" w:space="0" w:color="auto"/>
              <w:left w:val="single" w:sz="4" w:space="0" w:color="auto"/>
              <w:bottom w:val="single" w:sz="4" w:space="0" w:color="auto"/>
              <w:right w:val="single" w:sz="4" w:space="0" w:color="auto"/>
            </w:tcBorders>
            <w:hideMark/>
          </w:tcPr>
          <w:p w14:paraId="2C782747" w14:textId="77777777" w:rsidR="00590BEF" w:rsidRPr="007202FA" w:rsidRDefault="000B4F21" w:rsidP="007202FA">
            <w:pPr>
              <w:jc w:val="right"/>
              <w:rPr>
                <w:sz w:val="20"/>
                <w:szCs w:val="20"/>
              </w:rPr>
            </w:pPr>
            <w:r>
              <w:rPr>
                <w:rFonts w:cs="Calibri"/>
                <w:color w:val="000000"/>
                <w:sz w:val="20"/>
                <w:szCs w:val="20"/>
                <w:lang w:val="ga"/>
              </w:rPr>
              <w:t>63.8%</w:t>
            </w:r>
          </w:p>
        </w:tc>
      </w:tr>
      <w:tr w:rsidR="00F31303" w14:paraId="20C20A9E"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2793BE11" w14:textId="77777777" w:rsidR="00590BEF" w:rsidRPr="007202FA" w:rsidRDefault="000B4F21" w:rsidP="007202FA">
            <w:pPr>
              <w:rPr>
                <w:sz w:val="20"/>
                <w:szCs w:val="20"/>
              </w:rPr>
            </w:pPr>
            <w:r>
              <w:rPr>
                <w:rFonts w:cs="Calibri"/>
                <w:color w:val="000000"/>
                <w:sz w:val="20"/>
                <w:szCs w:val="20"/>
                <w:lang w:val="ga"/>
              </w:rPr>
              <w:t>Turasóireacht Éireann</w:t>
            </w:r>
          </w:p>
        </w:tc>
        <w:tc>
          <w:tcPr>
            <w:tcW w:w="4127" w:type="dxa"/>
            <w:tcBorders>
              <w:top w:val="single" w:sz="4" w:space="0" w:color="auto"/>
              <w:left w:val="single" w:sz="4" w:space="0" w:color="auto"/>
              <w:bottom w:val="single" w:sz="4" w:space="0" w:color="auto"/>
              <w:right w:val="single" w:sz="4" w:space="0" w:color="auto"/>
            </w:tcBorders>
            <w:hideMark/>
          </w:tcPr>
          <w:p w14:paraId="69EF69FD" w14:textId="77777777" w:rsidR="00590BEF" w:rsidRPr="007202FA" w:rsidRDefault="000B4F21" w:rsidP="007202FA">
            <w:pPr>
              <w:jc w:val="right"/>
              <w:rPr>
                <w:sz w:val="20"/>
                <w:szCs w:val="20"/>
              </w:rPr>
            </w:pPr>
            <w:r>
              <w:rPr>
                <w:rFonts w:cs="Calibri"/>
                <w:color w:val="000000"/>
                <w:sz w:val="20"/>
                <w:szCs w:val="20"/>
                <w:lang w:val="ga"/>
              </w:rPr>
              <w:t>65.3%</w:t>
            </w:r>
          </w:p>
        </w:tc>
      </w:tr>
      <w:tr w:rsidR="00F31303" w14:paraId="20CA6301"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4F1E24F7" w14:textId="77777777" w:rsidR="00590BEF" w:rsidRPr="007202FA" w:rsidRDefault="000B4F21" w:rsidP="007202FA">
            <w:pPr>
              <w:rPr>
                <w:sz w:val="20"/>
                <w:szCs w:val="20"/>
              </w:rPr>
            </w:pPr>
            <w:r>
              <w:rPr>
                <w:rFonts w:cs="Calibri"/>
                <w:color w:val="000000"/>
                <w:sz w:val="20"/>
                <w:szCs w:val="20"/>
                <w:lang w:val="ga"/>
              </w:rPr>
              <w:t>Bonneagar Iompair Éireann</w:t>
            </w:r>
          </w:p>
        </w:tc>
        <w:tc>
          <w:tcPr>
            <w:tcW w:w="4127" w:type="dxa"/>
            <w:tcBorders>
              <w:top w:val="single" w:sz="4" w:space="0" w:color="auto"/>
              <w:left w:val="single" w:sz="4" w:space="0" w:color="auto"/>
              <w:bottom w:val="single" w:sz="4" w:space="0" w:color="auto"/>
              <w:right w:val="single" w:sz="4" w:space="0" w:color="auto"/>
            </w:tcBorders>
            <w:hideMark/>
          </w:tcPr>
          <w:p w14:paraId="527D0234" w14:textId="77777777" w:rsidR="00590BEF" w:rsidRPr="007202FA" w:rsidRDefault="000B4F21" w:rsidP="007202FA">
            <w:pPr>
              <w:jc w:val="right"/>
              <w:rPr>
                <w:sz w:val="20"/>
                <w:szCs w:val="20"/>
              </w:rPr>
            </w:pPr>
            <w:r>
              <w:rPr>
                <w:rFonts w:cs="Calibri"/>
                <w:color w:val="000000"/>
                <w:sz w:val="20"/>
                <w:szCs w:val="20"/>
                <w:lang w:val="ga"/>
              </w:rPr>
              <w:t>64.2%</w:t>
            </w:r>
          </w:p>
        </w:tc>
      </w:tr>
      <w:tr w:rsidR="00F31303" w14:paraId="284208D0"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F44D63D" w14:textId="77777777" w:rsidR="00590BEF" w:rsidRPr="007202FA" w:rsidRDefault="000B4F21" w:rsidP="007202FA">
            <w:pPr>
              <w:rPr>
                <w:sz w:val="20"/>
                <w:szCs w:val="20"/>
              </w:rPr>
            </w:pPr>
            <w:r>
              <w:rPr>
                <w:rFonts w:cs="Calibri"/>
                <w:color w:val="000000"/>
                <w:sz w:val="20"/>
                <w:szCs w:val="20"/>
                <w:lang w:val="ga"/>
              </w:rPr>
              <w:t>Údarás na Gaeltachta</w:t>
            </w:r>
          </w:p>
        </w:tc>
        <w:tc>
          <w:tcPr>
            <w:tcW w:w="4127" w:type="dxa"/>
            <w:tcBorders>
              <w:top w:val="single" w:sz="4" w:space="0" w:color="auto"/>
              <w:left w:val="single" w:sz="4" w:space="0" w:color="auto"/>
              <w:bottom w:val="single" w:sz="4" w:space="0" w:color="auto"/>
              <w:right w:val="single" w:sz="4" w:space="0" w:color="auto"/>
            </w:tcBorders>
            <w:hideMark/>
          </w:tcPr>
          <w:p w14:paraId="5EDB9077" w14:textId="77777777" w:rsidR="00590BEF" w:rsidRPr="007202FA" w:rsidRDefault="000B4F21" w:rsidP="007202FA">
            <w:pPr>
              <w:jc w:val="right"/>
              <w:rPr>
                <w:sz w:val="20"/>
                <w:szCs w:val="20"/>
              </w:rPr>
            </w:pPr>
            <w:r>
              <w:rPr>
                <w:rFonts w:cs="Calibri"/>
                <w:color w:val="000000"/>
                <w:sz w:val="20"/>
                <w:szCs w:val="20"/>
                <w:lang w:val="ga"/>
              </w:rPr>
              <w:t>61.7%</w:t>
            </w:r>
          </w:p>
        </w:tc>
      </w:tr>
      <w:tr w:rsidR="00F31303" w14:paraId="6F54014F"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858D667" w14:textId="77777777" w:rsidR="00590BEF" w:rsidRPr="007202FA" w:rsidRDefault="000B4F21" w:rsidP="007202FA">
            <w:pPr>
              <w:rPr>
                <w:sz w:val="20"/>
                <w:szCs w:val="20"/>
              </w:rPr>
            </w:pPr>
            <w:r>
              <w:rPr>
                <w:rFonts w:cs="Calibri"/>
                <w:color w:val="000000"/>
                <w:sz w:val="20"/>
                <w:szCs w:val="20"/>
                <w:lang w:val="ga"/>
              </w:rPr>
              <w:t>Uisce Éireann</w:t>
            </w:r>
          </w:p>
        </w:tc>
        <w:tc>
          <w:tcPr>
            <w:tcW w:w="4127" w:type="dxa"/>
            <w:tcBorders>
              <w:top w:val="single" w:sz="4" w:space="0" w:color="auto"/>
              <w:left w:val="single" w:sz="4" w:space="0" w:color="auto"/>
              <w:bottom w:val="single" w:sz="4" w:space="0" w:color="auto"/>
              <w:right w:val="single" w:sz="4" w:space="0" w:color="auto"/>
            </w:tcBorders>
            <w:hideMark/>
          </w:tcPr>
          <w:p w14:paraId="5325E1CB" w14:textId="77777777" w:rsidR="00590BEF" w:rsidRPr="007202FA" w:rsidRDefault="000B4F21" w:rsidP="007202FA">
            <w:pPr>
              <w:jc w:val="right"/>
              <w:rPr>
                <w:sz w:val="20"/>
                <w:szCs w:val="20"/>
              </w:rPr>
            </w:pPr>
            <w:r>
              <w:rPr>
                <w:rFonts w:cs="Calibri"/>
                <w:color w:val="000000"/>
                <w:sz w:val="20"/>
                <w:szCs w:val="20"/>
                <w:lang w:val="ga"/>
              </w:rPr>
              <w:t>81.0%</w:t>
            </w:r>
          </w:p>
        </w:tc>
      </w:tr>
      <w:tr w:rsidR="00F31303" w14:paraId="166A04F5" w14:textId="77777777" w:rsidTr="00590BEF">
        <w:tc>
          <w:tcPr>
            <w:tcW w:w="4147" w:type="dxa"/>
            <w:tcBorders>
              <w:top w:val="single" w:sz="4" w:space="0" w:color="auto"/>
              <w:left w:val="single" w:sz="4" w:space="0" w:color="auto"/>
              <w:bottom w:val="single" w:sz="4" w:space="0" w:color="auto"/>
              <w:right w:val="single" w:sz="4" w:space="0" w:color="auto"/>
            </w:tcBorders>
            <w:hideMark/>
          </w:tcPr>
          <w:p w14:paraId="04C3285E" w14:textId="77777777" w:rsidR="00590BEF" w:rsidRPr="007202FA" w:rsidRDefault="000B4F21" w:rsidP="007202FA">
            <w:pPr>
              <w:rPr>
                <w:sz w:val="20"/>
                <w:szCs w:val="20"/>
              </w:rPr>
            </w:pPr>
            <w:r>
              <w:rPr>
                <w:rFonts w:cs="Calibri"/>
                <w:color w:val="000000"/>
                <w:sz w:val="20"/>
                <w:szCs w:val="20"/>
                <w:lang w:val="ga"/>
              </w:rPr>
              <w:t>Vhi um Chúram Sláinte</w:t>
            </w:r>
          </w:p>
        </w:tc>
        <w:tc>
          <w:tcPr>
            <w:tcW w:w="4127" w:type="dxa"/>
            <w:tcBorders>
              <w:top w:val="single" w:sz="4" w:space="0" w:color="auto"/>
              <w:left w:val="single" w:sz="4" w:space="0" w:color="auto"/>
              <w:bottom w:val="single" w:sz="4" w:space="0" w:color="auto"/>
              <w:right w:val="single" w:sz="4" w:space="0" w:color="auto"/>
            </w:tcBorders>
            <w:hideMark/>
          </w:tcPr>
          <w:p w14:paraId="4DF04A95" w14:textId="77777777" w:rsidR="00590BEF" w:rsidRPr="007202FA" w:rsidRDefault="000B4F21" w:rsidP="007202FA">
            <w:pPr>
              <w:jc w:val="right"/>
              <w:rPr>
                <w:sz w:val="20"/>
                <w:szCs w:val="20"/>
              </w:rPr>
            </w:pPr>
            <w:r>
              <w:rPr>
                <w:rFonts w:cs="Calibri"/>
                <w:color w:val="000000"/>
                <w:sz w:val="20"/>
                <w:szCs w:val="20"/>
                <w:lang w:val="ga"/>
              </w:rPr>
              <w:t>37.8%</w:t>
            </w:r>
          </w:p>
        </w:tc>
      </w:tr>
      <w:tr w:rsidR="00F31303" w14:paraId="074F3DCA"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7C4CE1C6" w14:textId="77777777" w:rsidR="00590BEF" w:rsidRPr="007202FA" w:rsidRDefault="000B4F21" w:rsidP="007202FA">
            <w:pPr>
              <w:rPr>
                <w:sz w:val="20"/>
                <w:szCs w:val="20"/>
              </w:rPr>
            </w:pPr>
            <w:r>
              <w:rPr>
                <w:rFonts w:cs="Calibri"/>
                <w:color w:val="000000"/>
                <w:sz w:val="20"/>
                <w:szCs w:val="20"/>
                <w:lang w:val="ga"/>
              </w:rPr>
              <w:t>Sábháilteacht Uisce Éireann</w:t>
            </w:r>
          </w:p>
        </w:tc>
        <w:tc>
          <w:tcPr>
            <w:tcW w:w="4127" w:type="dxa"/>
            <w:tcBorders>
              <w:top w:val="single" w:sz="4" w:space="0" w:color="auto"/>
              <w:left w:val="single" w:sz="4" w:space="0" w:color="auto"/>
              <w:bottom w:val="single" w:sz="4" w:space="0" w:color="auto"/>
              <w:right w:val="single" w:sz="4" w:space="0" w:color="auto"/>
            </w:tcBorders>
            <w:hideMark/>
          </w:tcPr>
          <w:p w14:paraId="2C7E60AB" w14:textId="77777777" w:rsidR="00590BEF" w:rsidRPr="007202FA" w:rsidRDefault="000B4F21" w:rsidP="007202FA">
            <w:pPr>
              <w:jc w:val="right"/>
              <w:rPr>
                <w:sz w:val="20"/>
                <w:szCs w:val="20"/>
              </w:rPr>
            </w:pPr>
            <w:r>
              <w:rPr>
                <w:rFonts w:cs="Calibri"/>
                <w:color w:val="000000"/>
                <w:sz w:val="20"/>
                <w:szCs w:val="20"/>
                <w:lang w:val="ga"/>
              </w:rPr>
              <w:t>100.0%</w:t>
            </w:r>
          </w:p>
        </w:tc>
      </w:tr>
      <w:tr w:rsidR="00F31303" w14:paraId="4EAE612A"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060234AB" w14:textId="77777777" w:rsidR="00590BEF" w:rsidRPr="007202FA" w:rsidRDefault="000B4F21" w:rsidP="007202FA">
            <w:pPr>
              <w:rPr>
                <w:sz w:val="20"/>
                <w:szCs w:val="20"/>
              </w:rPr>
            </w:pPr>
            <w:r>
              <w:rPr>
                <w:rFonts w:cs="Calibri"/>
                <w:color w:val="000000"/>
                <w:sz w:val="20"/>
                <w:szCs w:val="20"/>
                <w:lang w:val="ga"/>
              </w:rPr>
              <w:t>Comhairle Cathrach agus Contae Phort Láirge</w:t>
            </w:r>
          </w:p>
        </w:tc>
        <w:tc>
          <w:tcPr>
            <w:tcW w:w="4127" w:type="dxa"/>
            <w:tcBorders>
              <w:top w:val="single" w:sz="4" w:space="0" w:color="auto"/>
              <w:left w:val="single" w:sz="4" w:space="0" w:color="auto"/>
              <w:bottom w:val="single" w:sz="4" w:space="0" w:color="auto"/>
              <w:right w:val="single" w:sz="4" w:space="0" w:color="auto"/>
            </w:tcBorders>
            <w:hideMark/>
          </w:tcPr>
          <w:p w14:paraId="1DAB4623" w14:textId="77777777" w:rsidR="00590BEF" w:rsidRPr="007202FA" w:rsidRDefault="000B4F21" w:rsidP="007202FA">
            <w:pPr>
              <w:jc w:val="right"/>
              <w:rPr>
                <w:sz w:val="20"/>
                <w:szCs w:val="20"/>
              </w:rPr>
            </w:pPr>
            <w:r>
              <w:rPr>
                <w:rFonts w:cs="Calibri"/>
                <w:color w:val="000000"/>
                <w:sz w:val="20"/>
                <w:szCs w:val="20"/>
                <w:lang w:val="ga"/>
              </w:rPr>
              <w:t>43.4%</w:t>
            </w:r>
          </w:p>
        </w:tc>
      </w:tr>
      <w:tr w:rsidR="00F31303" w14:paraId="59FE7731"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12D267CB" w14:textId="77777777" w:rsidR="00590BEF" w:rsidRPr="007202FA" w:rsidRDefault="000B4F21" w:rsidP="007202FA">
            <w:pPr>
              <w:rPr>
                <w:sz w:val="20"/>
                <w:szCs w:val="20"/>
              </w:rPr>
            </w:pPr>
            <w:r>
              <w:rPr>
                <w:rFonts w:cs="Calibri"/>
                <w:color w:val="000000"/>
                <w:sz w:val="20"/>
                <w:szCs w:val="20"/>
                <w:lang w:val="ga"/>
              </w:rPr>
              <w:t>Uiscebhealaí Éireann</w:t>
            </w:r>
          </w:p>
        </w:tc>
        <w:tc>
          <w:tcPr>
            <w:tcW w:w="4127" w:type="dxa"/>
            <w:tcBorders>
              <w:top w:val="single" w:sz="4" w:space="0" w:color="auto"/>
              <w:left w:val="single" w:sz="4" w:space="0" w:color="auto"/>
              <w:bottom w:val="single" w:sz="4" w:space="0" w:color="auto"/>
              <w:right w:val="single" w:sz="4" w:space="0" w:color="auto"/>
            </w:tcBorders>
            <w:hideMark/>
          </w:tcPr>
          <w:p w14:paraId="2CE4A0ED" w14:textId="77777777" w:rsidR="00590BEF" w:rsidRPr="007202FA" w:rsidRDefault="000B4F21" w:rsidP="007202FA">
            <w:pPr>
              <w:jc w:val="right"/>
              <w:rPr>
                <w:sz w:val="20"/>
                <w:szCs w:val="20"/>
              </w:rPr>
            </w:pPr>
            <w:r>
              <w:rPr>
                <w:rFonts w:cs="Calibri"/>
                <w:color w:val="000000"/>
                <w:sz w:val="20"/>
                <w:szCs w:val="20"/>
                <w:lang w:val="ga"/>
              </w:rPr>
              <w:t>73.1%</w:t>
            </w:r>
          </w:p>
        </w:tc>
      </w:tr>
      <w:tr w:rsidR="00F31303" w14:paraId="4E84FF0A"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122F7D80" w14:textId="77777777" w:rsidR="00590BEF" w:rsidRPr="007202FA" w:rsidRDefault="000B4F21" w:rsidP="007202FA">
            <w:pPr>
              <w:rPr>
                <w:sz w:val="20"/>
                <w:szCs w:val="20"/>
              </w:rPr>
            </w:pPr>
            <w:r>
              <w:rPr>
                <w:rFonts w:cs="Calibri"/>
                <w:color w:val="000000"/>
                <w:sz w:val="20"/>
                <w:szCs w:val="20"/>
                <w:lang w:val="ga"/>
              </w:rPr>
              <w:t>Comhairle Contae na hIarmhí</w:t>
            </w:r>
          </w:p>
        </w:tc>
        <w:tc>
          <w:tcPr>
            <w:tcW w:w="4127" w:type="dxa"/>
            <w:tcBorders>
              <w:top w:val="single" w:sz="4" w:space="0" w:color="auto"/>
              <w:left w:val="single" w:sz="4" w:space="0" w:color="auto"/>
              <w:bottom w:val="single" w:sz="4" w:space="0" w:color="auto"/>
              <w:right w:val="single" w:sz="4" w:space="0" w:color="auto"/>
            </w:tcBorders>
            <w:hideMark/>
          </w:tcPr>
          <w:p w14:paraId="42EE6427" w14:textId="77777777" w:rsidR="00590BEF" w:rsidRPr="007202FA" w:rsidRDefault="000B4F21" w:rsidP="007202FA">
            <w:pPr>
              <w:jc w:val="right"/>
              <w:rPr>
                <w:sz w:val="20"/>
                <w:szCs w:val="20"/>
              </w:rPr>
            </w:pPr>
            <w:r>
              <w:rPr>
                <w:rFonts w:cs="Calibri"/>
                <w:color w:val="000000"/>
                <w:sz w:val="20"/>
                <w:szCs w:val="20"/>
                <w:lang w:val="ga"/>
              </w:rPr>
              <w:t>50.8%</w:t>
            </w:r>
          </w:p>
        </w:tc>
      </w:tr>
      <w:tr w:rsidR="00F31303" w14:paraId="2464C6C9"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5F38F86D" w14:textId="77777777" w:rsidR="00590BEF" w:rsidRPr="007202FA" w:rsidRDefault="000B4F21" w:rsidP="007202FA">
            <w:pPr>
              <w:rPr>
                <w:rFonts w:cs="Calibri"/>
                <w:color w:val="000000"/>
                <w:sz w:val="20"/>
                <w:szCs w:val="20"/>
              </w:rPr>
            </w:pPr>
            <w:r>
              <w:rPr>
                <w:rFonts w:cs="Calibri"/>
                <w:color w:val="000000"/>
                <w:sz w:val="20"/>
                <w:szCs w:val="20"/>
                <w:lang w:val="ga"/>
              </w:rPr>
              <w:t>Comhairle Contae Loch Garman</w:t>
            </w:r>
          </w:p>
        </w:tc>
        <w:tc>
          <w:tcPr>
            <w:tcW w:w="4127" w:type="dxa"/>
            <w:tcBorders>
              <w:top w:val="single" w:sz="4" w:space="0" w:color="auto"/>
              <w:left w:val="single" w:sz="4" w:space="0" w:color="auto"/>
              <w:bottom w:val="single" w:sz="4" w:space="0" w:color="auto"/>
              <w:right w:val="single" w:sz="4" w:space="0" w:color="auto"/>
            </w:tcBorders>
            <w:hideMark/>
          </w:tcPr>
          <w:p w14:paraId="279F469D" w14:textId="77777777" w:rsidR="00590BEF" w:rsidRPr="007202FA" w:rsidRDefault="000B4F21" w:rsidP="007202FA">
            <w:pPr>
              <w:jc w:val="right"/>
              <w:rPr>
                <w:rFonts w:cs="Calibri"/>
                <w:color w:val="000000"/>
                <w:sz w:val="20"/>
                <w:szCs w:val="20"/>
              </w:rPr>
            </w:pPr>
            <w:r>
              <w:rPr>
                <w:rFonts w:cs="Calibri"/>
                <w:color w:val="000000"/>
                <w:sz w:val="20"/>
                <w:szCs w:val="20"/>
                <w:lang w:val="ga"/>
              </w:rPr>
              <w:t>35.9%</w:t>
            </w:r>
          </w:p>
        </w:tc>
      </w:tr>
      <w:tr w:rsidR="00F31303" w14:paraId="6C327013" w14:textId="77777777" w:rsidTr="00590BEF">
        <w:trPr>
          <w:trHeight w:val="63"/>
        </w:trPr>
        <w:tc>
          <w:tcPr>
            <w:tcW w:w="4147" w:type="dxa"/>
            <w:tcBorders>
              <w:top w:val="single" w:sz="4" w:space="0" w:color="auto"/>
              <w:left w:val="single" w:sz="4" w:space="0" w:color="auto"/>
              <w:bottom w:val="single" w:sz="4" w:space="0" w:color="auto"/>
              <w:right w:val="single" w:sz="4" w:space="0" w:color="auto"/>
            </w:tcBorders>
            <w:hideMark/>
          </w:tcPr>
          <w:p w14:paraId="492AC704" w14:textId="77777777" w:rsidR="00590BEF" w:rsidRPr="007202FA" w:rsidRDefault="000B4F21" w:rsidP="007202FA">
            <w:pPr>
              <w:rPr>
                <w:rFonts w:cs="Calibri"/>
                <w:color w:val="000000"/>
                <w:sz w:val="20"/>
                <w:szCs w:val="20"/>
              </w:rPr>
            </w:pPr>
            <w:r>
              <w:rPr>
                <w:rFonts w:cs="Calibri"/>
                <w:color w:val="000000"/>
                <w:sz w:val="20"/>
                <w:szCs w:val="20"/>
                <w:lang w:val="ga"/>
              </w:rPr>
              <w:t>Comhairle Contae Chill Mhantáin</w:t>
            </w:r>
          </w:p>
        </w:tc>
        <w:tc>
          <w:tcPr>
            <w:tcW w:w="4127" w:type="dxa"/>
            <w:tcBorders>
              <w:top w:val="single" w:sz="4" w:space="0" w:color="auto"/>
              <w:left w:val="single" w:sz="4" w:space="0" w:color="auto"/>
              <w:bottom w:val="single" w:sz="4" w:space="0" w:color="auto"/>
              <w:right w:val="single" w:sz="4" w:space="0" w:color="auto"/>
            </w:tcBorders>
            <w:hideMark/>
          </w:tcPr>
          <w:p w14:paraId="0921AE90" w14:textId="77777777" w:rsidR="00590BEF" w:rsidRPr="007202FA" w:rsidRDefault="000B4F21" w:rsidP="007202FA">
            <w:pPr>
              <w:jc w:val="right"/>
              <w:rPr>
                <w:rFonts w:cs="Calibri"/>
                <w:color w:val="000000"/>
                <w:sz w:val="20"/>
                <w:szCs w:val="20"/>
              </w:rPr>
            </w:pPr>
            <w:r>
              <w:rPr>
                <w:rFonts w:cs="Calibri"/>
                <w:color w:val="000000"/>
                <w:sz w:val="20"/>
                <w:szCs w:val="20"/>
                <w:lang w:val="ga"/>
              </w:rPr>
              <w:t>36.0%</w:t>
            </w:r>
          </w:p>
        </w:tc>
      </w:tr>
    </w:tbl>
    <w:p w14:paraId="0503920E" w14:textId="77777777" w:rsidR="00590BEF" w:rsidRDefault="00590BEF" w:rsidP="007202FA">
      <w:pPr>
        <w:rPr>
          <w:rFonts w:ascii="Gill Sans" w:hAnsi="Gill Sans"/>
        </w:rPr>
      </w:pPr>
    </w:p>
    <w:p w14:paraId="6933421E" w14:textId="77777777" w:rsidR="00C333A9" w:rsidRDefault="00C333A9" w:rsidP="007202FA">
      <w:pPr>
        <w:rPr>
          <w:rFonts w:ascii="Gill Sans" w:hAnsi="Gill Sans"/>
        </w:rPr>
      </w:pPr>
    </w:p>
    <w:p w14:paraId="4C167D94" w14:textId="77777777" w:rsidR="00AF72A2" w:rsidRDefault="00AF72A2" w:rsidP="007202FA">
      <w:pPr>
        <w:rPr>
          <w:rFonts w:ascii="Gill Sans" w:hAnsi="Gill Sans"/>
        </w:rPr>
      </w:pPr>
    </w:p>
    <w:p w14:paraId="441B0484" w14:textId="77777777" w:rsidR="00AF72A2" w:rsidRDefault="00AF72A2" w:rsidP="007202FA">
      <w:pPr>
        <w:rPr>
          <w:rFonts w:ascii="Gill Sans" w:hAnsi="Gill Sans"/>
        </w:rPr>
      </w:pPr>
    </w:p>
    <w:p w14:paraId="3588D93F" w14:textId="77777777" w:rsidR="00AF72A2" w:rsidRDefault="00AF72A2" w:rsidP="007202FA">
      <w:pPr>
        <w:rPr>
          <w:rFonts w:ascii="Gill Sans" w:hAnsi="Gill Sans"/>
        </w:rPr>
      </w:pPr>
    </w:p>
    <w:p w14:paraId="371EC8AD" w14:textId="77777777" w:rsidR="00AF72A2" w:rsidRDefault="00AF72A2" w:rsidP="007202FA">
      <w:pPr>
        <w:rPr>
          <w:rFonts w:ascii="Gill Sans" w:hAnsi="Gill Sans"/>
        </w:rPr>
      </w:pPr>
    </w:p>
    <w:p w14:paraId="723AAA31" w14:textId="77777777" w:rsidR="00AF72A2" w:rsidRDefault="00AF72A2" w:rsidP="007202FA">
      <w:pPr>
        <w:rPr>
          <w:rFonts w:ascii="Gill Sans" w:hAnsi="Gill Sans"/>
        </w:rPr>
      </w:pPr>
    </w:p>
    <w:p w14:paraId="4CDBA10F" w14:textId="77777777" w:rsidR="00AF72A2" w:rsidRDefault="00AF72A2" w:rsidP="007202FA">
      <w:pPr>
        <w:rPr>
          <w:rFonts w:ascii="Gill Sans" w:hAnsi="Gill Sans"/>
        </w:rPr>
      </w:pPr>
    </w:p>
    <w:p w14:paraId="4895DDB4" w14:textId="77777777" w:rsidR="00AF72A2" w:rsidRDefault="00AF72A2" w:rsidP="007202FA">
      <w:pPr>
        <w:rPr>
          <w:rFonts w:ascii="Gill Sans" w:hAnsi="Gill Sans"/>
        </w:rPr>
      </w:pPr>
    </w:p>
    <w:p w14:paraId="67F1E6C0" w14:textId="77777777" w:rsidR="00AF72A2" w:rsidRDefault="00AF72A2" w:rsidP="007202FA">
      <w:pPr>
        <w:rPr>
          <w:rFonts w:ascii="Gill Sans" w:hAnsi="Gill Sans"/>
        </w:rPr>
      </w:pPr>
    </w:p>
    <w:p w14:paraId="74F6A742" w14:textId="77777777" w:rsidR="00AF72A2" w:rsidRDefault="00AF72A2" w:rsidP="007202FA">
      <w:pPr>
        <w:rPr>
          <w:rFonts w:ascii="Gill Sans" w:hAnsi="Gill Sans"/>
        </w:rPr>
      </w:pPr>
    </w:p>
    <w:p w14:paraId="5CFD6E64" w14:textId="77777777" w:rsidR="00AF72A2" w:rsidRDefault="00AF72A2" w:rsidP="007202FA">
      <w:pPr>
        <w:rPr>
          <w:rFonts w:ascii="Gill Sans" w:hAnsi="Gill Sans"/>
        </w:rPr>
      </w:pPr>
    </w:p>
    <w:p w14:paraId="44F4817E" w14:textId="77777777" w:rsidR="00AF72A2" w:rsidRDefault="00AF72A2" w:rsidP="007202FA">
      <w:pPr>
        <w:rPr>
          <w:rFonts w:ascii="Gill Sans" w:hAnsi="Gill Sans"/>
        </w:rPr>
      </w:pPr>
    </w:p>
    <w:p w14:paraId="10928876" w14:textId="77777777" w:rsidR="00AF72A2" w:rsidRDefault="00AF72A2" w:rsidP="007202FA">
      <w:pPr>
        <w:rPr>
          <w:rFonts w:ascii="Gill Sans" w:hAnsi="Gill Sans"/>
        </w:rPr>
      </w:pPr>
    </w:p>
    <w:p w14:paraId="210D64AD" w14:textId="77777777" w:rsidR="00AF72A2" w:rsidRDefault="00AF72A2" w:rsidP="007202FA">
      <w:pPr>
        <w:rPr>
          <w:rFonts w:ascii="Gill Sans" w:hAnsi="Gill Sans"/>
        </w:rPr>
      </w:pPr>
    </w:p>
    <w:p w14:paraId="2B186DB3" w14:textId="77777777" w:rsidR="00AF72A2" w:rsidRDefault="00AF72A2" w:rsidP="007202FA">
      <w:pPr>
        <w:rPr>
          <w:rFonts w:ascii="Gill Sans" w:hAnsi="Gill Sans"/>
        </w:rPr>
      </w:pPr>
    </w:p>
    <w:p w14:paraId="0A22D13A" w14:textId="77777777" w:rsidR="00AF72A2" w:rsidRDefault="00AF72A2" w:rsidP="007202FA">
      <w:pPr>
        <w:rPr>
          <w:rFonts w:ascii="Gill Sans" w:hAnsi="Gill Sans"/>
        </w:rPr>
      </w:pPr>
    </w:p>
    <w:p w14:paraId="3631873E" w14:textId="77777777" w:rsidR="00AF72A2" w:rsidRDefault="00AF72A2" w:rsidP="007202FA">
      <w:pPr>
        <w:rPr>
          <w:rFonts w:ascii="Gill Sans" w:hAnsi="Gill Sans"/>
        </w:rPr>
      </w:pPr>
    </w:p>
    <w:p w14:paraId="0E73FDD8" w14:textId="77777777" w:rsidR="00AF72A2" w:rsidRDefault="00AF72A2" w:rsidP="007202FA">
      <w:pPr>
        <w:rPr>
          <w:rFonts w:ascii="Gill Sans" w:hAnsi="Gill Sans"/>
        </w:rPr>
      </w:pPr>
    </w:p>
    <w:p w14:paraId="6B078F87" w14:textId="77777777" w:rsidR="00AF72A2" w:rsidRDefault="00AF72A2" w:rsidP="007202FA">
      <w:pPr>
        <w:rPr>
          <w:rFonts w:ascii="Gill Sans" w:hAnsi="Gill Sans"/>
        </w:rPr>
      </w:pPr>
    </w:p>
    <w:p w14:paraId="3378781E" w14:textId="77777777" w:rsidR="00AF72A2" w:rsidRDefault="00AF72A2" w:rsidP="007202FA">
      <w:pPr>
        <w:rPr>
          <w:rFonts w:ascii="Gill Sans" w:hAnsi="Gill Sans"/>
        </w:rPr>
      </w:pPr>
    </w:p>
    <w:p w14:paraId="64360588" w14:textId="77777777" w:rsidR="00AF72A2" w:rsidRPr="007202FA" w:rsidRDefault="00AF72A2" w:rsidP="007202FA">
      <w:pPr>
        <w:rPr>
          <w:rFonts w:ascii="Gill Sans" w:hAnsi="Gill Sans"/>
        </w:rPr>
      </w:pPr>
    </w:p>
    <w:p w14:paraId="7506DF53" w14:textId="4288496B" w:rsidR="00590BEF" w:rsidRPr="007202FA" w:rsidRDefault="000B4F21" w:rsidP="007202FA">
      <w:pPr>
        <w:rPr>
          <w:rFonts w:ascii="Gill Sans" w:hAnsi="Gill Sans"/>
        </w:rPr>
      </w:pPr>
      <w:r>
        <w:rPr>
          <w:rFonts w:ascii="Gill Sans" w:hAnsi="Gill Sans"/>
          <w:noProof/>
          <w:lang w:val="ga"/>
        </w:rPr>
        <w:drawing>
          <wp:inline distT="0" distB="0" distL="0" distR="0" wp14:anchorId="43DFB65A" wp14:editId="78636459">
            <wp:extent cx="1173480" cy="487680"/>
            <wp:effectExtent l="0" t="0" r="7620" b="7620"/>
            <wp:docPr id="1734186727" name="Picture 1" descr="Lógó Ú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86727" name="Picture 11" descr="NDA logo"/>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173480" cy="487680"/>
                    </a:xfrm>
                    <a:prstGeom prst="rect">
                      <a:avLst/>
                    </a:prstGeom>
                    <a:noFill/>
                    <a:ln>
                      <a:noFill/>
                    </a:ln>
                  </pic:spPr>
                </pic:pic>
              </a:graphicData>
            </a:graphic>
          </wp:inline>
        </w:drawing>
      </w:r>
    </w:p>
    <w:p w14:paraId="23B274DB" w14:textId="77777777" w:rsidR="00590BEF" w:rsidRPr="007202FA" w:rsidRDefault="00590BEF" w:rsidP="007202FA">
      <w:pPr>
        <w:rPr>
          <w:rFonts w:ascii="Gill Sans" w:hAnsi="Gill Sans"/>
        </w:rPr>
      </w:pPr>
    </w:p>
    <w:p w14:paraId="1039B939" w14:textId="77777777" w:rsidR="00590BEF" w:rsidRPr="007202FA" w:rsidRDefault="000B4F21" w:rsidP="007202FA">
      <w:pPr>
        <w:rPr>
          <w:b/>
        </w:rPr>
      </w:pPr>
      <w:r>
        <w:rPr>
          <w:b/>
          <w:bCs/>
          <w:lang w:val="ga"/>
        </w:rPr>
        <w:t>An tÚdarás Náisiúnta Míchumais</w:t>
      </w:r>
    </w:p>
    <w:p w14:paraId="11837403" w14:textId="77777777" w:rsidR="00590BEF" w:rsidRPr="007202FA" w:rsidRDefault="000B4F21" w:rsidP="007202FA">
      <w:r>
        <w:rPr>
          <w:lang w:val="ga"/>
        </w:rPr>
        <w:t>25 Bóthar Chluaidh, Baile Átha Cliath 4</w:t>
      </w:r>
    </w:p>
    <w:p w14:paraId="7B064252" w14:textId="77777777" w:rsidR="00590BEF" w:rsidRPr="007202FA" w:rsidRDefault="000B4F21" w:rsidP="007202FA">
      <w:r>
        <w:rPr>
          <w:b/>
          <w:bCs/>
          <w:lang w:val="ga"/>
        </w:rPr>
        <w:t>Teileafón</w:t>
      </w:r>
      <w:r>
        <w:rPr>
          <w:lang w:val="ga"/>
        </w:rPr>
        <w:t>: (01) 608 0400</w:t>
      </w:r>
    </w:p>
    <w:p w14:paraId="3A2B3C93" w14:textId="77777777" w:rsidR="00590BEF" w:rsidRPr="007202FA" w:rsidRDefault="00590BEF" w:rsidP="007202FA">
      <w:pPr>
        <w:rPr>
          <w:b/>
          <w:color w:val="0000FF"/>
          <w:u w:val="single"/>
        </w:rPr>
      </w:pPr>
      <w:hyperlink r:id="rId18" w:history="1">
        <w:r>
          <w:rPr>
            <w:rStyle w:val="Hyperlink"/>
            <w:b/>
            <w:bCs/>
            <w:lang w:val="ga"/>
          </w:rPr>
          <w:t>www.nda.ie</w:t>
        </w:r>
      </w:hyperlink>
    </w:p>
    <w:p w14:paraId="27BFA5C0" w14:textId="77777777" w:rsidR="00590BEF" w:rsidRPr="007202FA" w:rsidRDefault="000B4F21" w:rsidP="00C333A9">
      <w:pPr>
        <w:spacing w:after="0"/>
        <w:ind w:right="2268"/>
        <w:rPr>
          <w:szCs w:val="24"/>
        </w:rPr>
      </w:pPr>
      <w:r>
        <w:rPr>
          <w:b/>
          <w:bCs/>
          <w:szCs w:val="24"/>
          <w:lang w:val="ga"/>
        </w:rPr>
        <w:t>Is é an tÚdarás Náisiúnta Míchumais an comhlacht neamhspleách stáit a sholáthraíonn comhairle fhianaisebhunaithe don Rialtas maidir leis an mbeartas míchumais agus le cleachtais mhíchumais agus a chuireann an Dearadh Uilíoch chun cinn in Éirinn.</w:t>
      </w:r>
    </w:p>
    <w:p w14:paraId="60E979BE" w14:textId="26F03AFD" w:rsidR="00647485" w:rsidRPr="00970D34" w:rsidRDefault="00647485" w:rsidP="00970D34">
      <w:pPr>
        <w:spacing w:after="0"/>
        <w:rPr>
          <w:b/>
          <w:szCs w:val="24"/>
        </w:rPr>
      </w:pPr>
    </w:p>
    <w:sectPr w:rsidR="00647485" w:rsidRPr="00970D34">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0B2CF" w14:textId="77777777" w:rsidR="000B4F21" w:rsidRDefault="000B4F21">
      <w:pPr>
        <w:spacing w:after="0"/>
      </w:pPr>
      <w:r>
        <w:separator/>
      </w:r>
    </w:p>
  </w:endnote>
  <w:endnote w:type="continuationSeparator" w:id="0">
    <w:p w14:paraId="3D3EA3BF" w14:textId="77777777" w:rsidR="000B4F21" w:rsidRDefault="000B4F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114751"/>
      <w:docPartObj>
        <w:docPartGallery w:val="Page Numbers (Bottom of Page)"/>
        <w:docPartUnique/>
      </w:docPartObj>
    </w:sdtPr>
    <w:sdtEndPr/>
    <w:sdtContent>
      <w:p w14:paraId="555ED124" w14:textId="79F04474" w:rsidR="007E60C3" w:rsidRDefault="000B4F21">
        <w:pPr>
          <w:pStyle w:val="Footer"/>
          <w:jc w:val="right"/>
        </w:pPr>
        <w:r>
          <w:rPr>
            <w:lang w:val="ga"/>
          </w:rPr>
          <w:fldChar w:fldCharType="begin"/>
        </w:r>
        <w:r>
          <w:rPr>
            <w:lang w:val="ga"/>
          </w:rPr>
          <w:instrText>PAGE   \* MERGEFORMAT</w:instrText>
        </w:r>
        <w:r>
          <w:rPr>
            <w:lang w:val="ga"/>
          </w:rPr>
          <w:fldChar w:fldCharType="separate"/>
        </w:r>
        <w:r>
          <w:rPr>
            <w:lang w:val="ga"/>
          </w:rPr>
          <w:t>2</w:t>
        </w:r>
        <w:r>
          <w:rPr>
            <w:lang w:val="ga"/>
          </w:rPr>
          <w:fldChar w:fldCharType="end"/>
        </w:r>
      </w:p>
    </w:sdtContent>
  </w:sdt>
  <w:p w14:paraId="3E66125D" w14:textId="4B35432C" w:rsidR="00917FAC" w:rsidRDefault="00917FAC" w:rsidP="001538B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2EF9" w14:textId="77777777" w:rsidR="003B518C" w:rsidRDefault="000B4F21" w:rsidP="00917FAC">
      <w:pPr>
        <w:spacing w:after="0"/>
      </w:pPr>
      <w:r>
        <w:separator/>
      </w:r>
    </w:p>
  </w:footnote>
  <w:footnote w:type="continuationSeparator" w:id="0">
    <w:p w14:paraId="2331A7E8" w14:textId="77777777" w:rsidR="003B518C" w:rsidRDefault="000B4F21" w:rsidP="00917FAC">
      <w:pPr>
        <w:spacing w:after="0"/>
      </w:pPr>
      <w:r>
        <w:continuationSeparator/>
      </w:r>
    </w:p>
  </w:footnote>
  <w:footnote w:id="1">
    <w:p w14:paraId="3E9A0D65" w14:textId="445BA525" w:rsidR="0006233E" w:rsidRPr="005524D6" w:rsidRDefault="000B4F21" w:rsidP="0006233E">
      <w:pPr>
        <w:pStyle w:val="FootnoteText"/>
        <w:rPr>
          <w:lang w:val="ga"/>
        </w:rPr>
      </w:pPr>
      <w:r>
        <w:rPr>
          <w:rStyle w:val="FootnoteReference"/>
          <w:lang w:val="ga"/>
        </w:rPr>
        <w:footnoteRef/>
      </w:r>
      <w:r>
        <w:rPr>
          <w:lang w:val="ga"/>
        </w:rPr>
        <w:t xml:space="preserve"> Is é is comhlachtaí poiblí iomchuí ann ná na comhlachtaí poiblí sin a thuairiscíonn faoi Chuid 5. Is díolmhaithe ó thuairisciú faoi Chuid 5 atá roinnt comhlachtaí poiblí, mar shampla Óglaigh na hÉireann, codanna den Gharda Síochána, roinnt ollscoileanna amhail Coláiste na Tríonóide agus an Coláiste Ollscoile, Baile Átha Cliath, etc., agus gairmeacha amhail oifigigh phríosúin.</w:t>
      </w:r>
    </w:p>
    <w:p w14:paraId="3700C2DC" w14:textId="77777777" w:rsidR="0006233E" w:rsidRPr="005524D6" w:rsidRDefault="0006233E" w:rsidP="0006233E">
      <w:pPr>
        <w:pStyle w:val="FootnoteText"/>
        <w:rPr>
          <w:lang w:val="ga"/>
        </w:rPr>
      </w:pPr>
    </w:p>
  </w:footnote>
  <w:footnote w:id="2">
    <w:p w14:paraId="3340410C" w14:textId="54A72B27" w:rsidR="0006233E" w:rsidRPr="005524D6" w:rsidRDefault="000B4F21" w:rsidP="0006233E">
      <w:pPr>
        <w:pStyle w:val="FootnoteText"/>
        <w:rPr>
          <w:lang w:val="ga"/>
        </w:rPr>
      </w:pPr>
      <w:r>
        <w:rPr>
          <w:rStyle w:val="FootnoteReference"/>
          <w:lang w:val="ga"/>
        </w:rPr>
        <w:footnoteRef/>
      </w:r>
      <w:r>
        <w:rPr>
          <w:rFonts w:cs="Arial"/>
          <w:lang w:val="ga"/>
        </w:rPr>
        <w:t xml:space="preserve"> Ba í an Tuarascáil ar Chomhlíonadh don bhliain 2006 an chéad tuarascáil a tháirg ÚNM sa bhliain 2007. Ba í sin an chéad bhliain a bhí an córas faireacháin agus tuairiscithe nua i bhfeidhm. Ba chúram dúshlánach é forbairt a dhéanamh ar mhodhanna cruinne cuí le haghaidh na sonraí faoin líon daoine a bhfuil míchumas orthu atá fostaithe i gcomhlachtaí difriúla a ghabháil. Mar gheall ar dheacracht agus castacht an chúraim, bhí fadhbanna cáilíochta ag baint leis na sonraí don bhliain sin. Mar sin de, ní luaitear iad sa barraghraf.</w:t>
      </w:r>
    </w:p>
  </w:footnote>
  <w:footnote w:id="3">
    <w:p w14:paraId="430C3C01" w14:textId="77777777" w:rsidR="0006233E" w:rsidRPr="005524D6" w:rsidRDefault="000B4F21" w:rsidP="0006233E">
      <w:pPr>
        <w:pStyle w:val="FootnoteText"/>
        <w:rPr>
          <w:lang w:val="ga"/>
        </w:rPr>
      </w:pPr>
      <w:r>
        <w:rPr>
          <w:rStyle w:val="FootnoteReference"/>
          <w:lang w:val="ga"/>
        </w:rPr>
        <w:footnoteRef/>
      </w:r>
      <w:r>
        <w:rPr>
          <w:lang w:val="ga"/>
        </w:rPr>
        <w:t xml:space="preserve"> Ghlac dhá chomhlacht phoiblí páirt sa chlár AHEAD agus i gclár Foghlama Oibre an Oireachtais araon (i.e., an Roinn Talmhaíochta, Bia agus Mara, agus an Roinn Gnóthaí Eachtracha). Ghlac trí chomhlacht phoiblí páirt i gclár AHEAD agus bhí clár inmheánach taithí oibre acu freisin (i.e., an Phríomh-Oifig Staidrimh, Fiontraíocht Éireann, agus Comhairle Contae Mhuineacháin).</w:t>
      </w:r>
    </w:p>
  </w:footnote>
  <w:footnote w:id="4">
    <w:p w14:paraId="3C5785B6" w14:textId="5E8E0B55" w:rsidR="009A5CF5" w:rsidRPr="005524D6" w:rsidRDefault="000B4F21" w:rsidP="009A5CF5">
      <w:pPr>
        <w:pStyle w:val="FootnoteText"/>
        <w:rPr>
          <w:lang w:val="ga"/>
        </w:rPr>
      </w:pPr>
      <w:r>
        <w:rPr>
          <w:rStyle w:val="FootnoteReference"/>
          <w:lang w:val="ga"/>
        </w:rPr>
        <w:footnoteRef/>
      </w:r>
      <w:r>
        <w:rPr>
          <w:rFonts w:cs="Arial"/>
          <w:lang w:val="ga"/>
        </w:rPr>
        <w:t xml:space="preserve"> Ba í an Tuarascáil ar Chomhlíonadh don bhliain 2006 an chéad tuarascáil a tháirg ÚNM sa bhliain 2007. Ba í sin an chéad bhliain a bhí an córas faireacháin agus tuairiscithe nua i bhfeidhm. Ba chúram dúshlánach é forbairt a dhéanamh ar mhodhanna cruinne cuí le haghaidh na sonraí faoin líon daoine a bhfuil míchumas orthu atá fostaithe i gcomhlachtaí difriúla a ghabháil. Mar gheall ar dheacracht agus castacht an chúraim, bhí fadhbanna cáilíochta ag baint leis na sonraí don bhliain sin. Mar sin de, ní luaitear iad sa barraghraf.</w:t>
      </w:r>
    </w:p>
    <w:p w14:paraId="32955135" w14:textId="04B1620D" w:rsidR="003A71CB" w:rsidRPr="005524D6" w:rsidRDefault="003A71CB">
      <w:pPr>
        <w:pStyle w:val="FootnoteText"/>
        <w:rPr>
          <w:lang w:val="ga"/>
        </w:rPr>
      </w:pPr>
    </w:p>
  </w:footnote>
  <w:footnote w:id="5">
    <w:p w14:paraId="4098DBBB" w14:textId="77777777" w:rsidR="00590BEF" w:rsidRPr="005524D6" w:rsidRDefault="000B4F21" w:rsidP="00590BEF">
      <w:pPr>
        <w:ind w:right="62"/>
        <w:rPr>
          <w:sz w:val="20"/>
          <w:szCs w:val="20"/>
          <w:lang w:val="ga"/>
        </w:rPr>
      </w:pPr>
      <w:r>
        <w:rPr>
          <w:rStyle w:val="FootnoteReference"/>
          <w:lang w:val="ga"/>
        </w:rPr>
        <w:footnoteRef/>
      </w:r>
      <w:r>
        <w:rPr>
          <w:lang w:val="ga"/>
        </w:rPr>
        <w:t xml:space="preserve"> </w:t>
      </w:r>
      <w:r>
        <w:rPr>
          <w:sz w:val="20"/>
          <w:szCs w:val="20"/>
          <w:lang w:val="ga"/>
        </w:rPr>
        <w:t xml:space="preserve">I measc na dtosca is gá a chur san áireamh agus measúnú á dhéanamh ar cé acu atá nó nach bhfuil socrú ar leith ina ualach díréireach tá na costais airgeadais agus eile atá i gceist leis an socrú a sholáthar, na hacmhainní atá ar fáil do ghnó an fhostóra, agus an fhéidearthacht a bhaineann le cistiú poiblí nó cúnamh eile a fháil. </w:t>
      </w:r>
    </w:p>
    <w:p w14:paraId="4332664E" w14:textId="77777777" w:rsidR="00590BEF" w:rsidRPr="005524D6" w:rsidRDefault="00590BEF" w:rsidP="00590BEF">
      <w:pPr>
        <w:pStyle w:val="FootnoteText"/>
        <w:rPr>
          <w:lang w:val="ga"/>
        </w:rPr>
      </w:pPr>
    </w:p>
  </w:footnote>
  <w:footnote w:id="6">
    <w:p w14:paraId="7F8BA236" w14:textId="4A6C6F60" w:rsidR="00590BEF" w:rsidRPr="005524D6" w:rsidRDefault="000B4F21" w:rsidP="00590BEF">
      <w:pPr>
        <w:pStyle w:val="FootnoteText"/>
        <w:rPr>
          <w:lang w:val="ga"/>
        </w:rPr>
      </w:pPr>
      <w:r>
        <w:rPr>
          <w:rStyle w:val="FootnoteReference"/>
          <w:lang w:val="ga"/>
        </w:rPr>
        <w:footnoteRef/>
      </w:r>
      <w:r>
        <w:rPr>
          <w:lang w:val="ga"/>
        </w:rPr>
        <w:t xml:space="preserve"> Sa bhliain 2024, ní raibh aon chláir taithí oibre ag Specialisterne toisc go raibh sé ag athbhreithniú an phróisis sin. Mar sin de, níor chuireamar an eagraíocht sin ar áireamh i gceisteanna Chuid 5 sa bhliain 2024.</w:t>
      </w:r>
    </w:p>
  </w:footnote>
  <w:footnote w:id="7">
    <w:p w14:paraId="2717EE7F" w14:textId="56C902BA" w:rsidR="0085338B" w:rsidRPr="005524D6" w:rsidRDefault="000B4F21">
      <w:pPr>
        <w:pStyle w:val="FootnoteText"/>
        <w:rPr>
          <w:lang w:val="ga"/>
        </w:rPr>
      </w:pPr>
      <w:r>
        <w:rPr>
          <w:rStyle w:val="FootnoteReference"/>
          <w:lang w:val="ga"/>
        </w:rPr>
        <w:footnoteRef/>
      </w:r>
      <w:r>
        <w:rPr>
          <w:lang w:val="ga"/>
        </w:rPr>
        <w:t xml:space="preserve"> Ghlac dhá chomhlacht phoiblí páirt sa chlár AHEAD agus i gclár Foghlama Oibre an Oireachtais araon (i.e., an Roinn Talmhaíochta, Bia agus Mara, agus an Roinn Gnóthaí Eachtracha). Ghlac trí chomhlacht phoiblí páirt i gclár AHEAD agus bhí clár inmheánach taithí oibre acu freisin (i.e., an Phríomh-Oifig Staidrimh, Fiontraíocht Éireann, agus Comhairle Contae Mhuineacháin).</w:t>
      </w:r>
    </w:p>
  </w:footnote>
  <w:footnote w:id="8">
    <w:p w14:paraId="5DF14A71" w14:textId="77777777" w:rsidR="00356A9A" w:rsidRPr="005524D6" w:rsidRDefault="000B4F21" w:rsidP="00356A9A">
      <w:pPr>
        <w:pStyle w:val="FootnoteText"/>
        <w:rPr>
          <w:lang w:val="ga"/>
        </w:rPr>
      </w:pPr>
      <w:r>
        <w:rPr>
          <w:rStyle w:val="FootnoteReference"/>
          <w:lang w:val="ga"/>
        </w:rPr>
        <w:footnoteRef/>
      </w:r>
      <w:r>
        <w:rPr>
          <w:lang w:val="ga"/>
        </w:rPr>
        <w:t xml:space="preserve"> Thug dhá chomhlacht phoiblí “anaithnid” mar fhreagra ar an gceist sin faoi aistrithe isteach san fhostaíocht íoctha. </w:t>
      </w:r>
    </w:p>
  </w:footnote>
  <w:footnote w:id="9">
    <w:p w14:paraId="4D5E626E" w14:textId="77777777" w:rsidR="00590BEF" w:rsidRPr="005524D6" w:rsidRDefault="000B4F21" w:rsidP="00590BEF">
      <w:pPr>
        <w:pStyle w:val="FootnoteText"/>
        <w:rPr>
          <w:lang w:val="ga"/>
        </w:rPr>
      </w:pPr>
      <w:r>
        <w:rPr>
          <w:rStyle w:val="FootnoteReference"/>
          <w:lang w:val="ga"/>
        </w:rPr>
        <w:footnoteRef/>
      </w:r>
      <w:r>
        <w:rPr>
          <w:lang w:val="ga"/>
        </w:rPr>
        <w:t xml:space="preserve"> Ba chomhlacht poiblí nua é sin a bunaíodh sa bhliain 2024.</w:t>
      </w:r>
    </w:p>
  </w:footnote>
  <w:footnote w:id="10">
    <w:p w14:paraId="38F2E2FD" w14:textId="2A9B3E19" w:rsidR="00590BEF" w:rsidRPr="005524D6" w:rsidRDefault="000B4F21" w:rsidP="00590BEF">
      <w:pPr>
        <w:pStyle w:val="FootnoteText"/>
        <w:rPr>
          <w:lang w:val="ga"/>
        </w:rPr>
      </w:pPr>
      <w:r>
        <w:rPr>
          <w:rStyle w:val="FootnoteReference"/>
          <w:lang w:val="ga"/>
        </w:rPr>
        <w:footnoteRef/>
      </w:r>
      <w:r>
        <w:rPr>
          <w:lang w:val="ga"/>
        </w:rPr>
        <w:t xml:space="preserve"> Ba chomhlacht poiblí nua é sin a bunaíodh sa bhliain 2024.</w:t>
      </w:r>
    </w:p>
  </w:footnote>
  <w:footnote w:id="11">
    <w:p w14:paraId="58FAD342" w14:textId="1BA0038F" w:rsidR="00590BEF" w:rsidRPr="005524D6" w:rsidRDefault="000B4F21" w:rsidP="00590BEF">
      <w:pPr>
        <w:pStyle w:val="FootnoteText"/>
        <w:rPr>
          <w:lang w:val="ga"/>
        </w:rPr>
      </w:pPr>
      <w:r>
        <w:rPr>
          <w:rStyle w:val="FootnoteReference"/>
          <w:lang w:val="ga"/>
        </w:rPr>
        <w:footnoteRef/>
      </w:r>
      <w:r>
        <w:rPr>
          <w:lang w:val="ga"/>
        </w:rPr>
        <w:t xml:space="preserve"> </w:t>
      </w:r>
      <w:r>
        <w:rPr>
          <w:color w:val="000000"/>
          <w:lang w:val="ga"/>
        </w:rPr>
        <w:t>Sa bhliain 2023, ba é an Bord Measúnaithe Díobhálacha Pearsanta ainm an chomhlachta phoiblí sin.</w:t>
      </w:r>
    </w:p>
  </w:footnote>
  <w:footnote w:id="12">
    <w:p w14:paraId="29877287" w14:textId="18062EA0" w:rsidR="00590BEF" w:rsidRPr="005524D6" w:rsidRDefault="000B4F21" w:rsidP="00590BEF">
      <w:pPr>
        <w:pStyle w:val="FootnoteText"/>
        <w:rPr>
          <w:lang w:val="ga"/>
        </w:rPr>
      </w:pPr>
      <w:r>
        <w:rPr>
          <w:rStyle w:val="FootnoteReference"/>
          <w:lang w:val="ga"/>
        </w:rPr>
        <w:footnoteRef/>
      </w:r>
      <w:r>
        <w:rPr>
          <w:lang w:val="ga"/>
        </w:rPr>
        <w:t xml:space="preserve"> Sa bhliain 2024, chumaisc Fondúireacht Eolaíochta Éireann agus an Chomhairle um Thaighde in Éirinn chun Taighde Éireann a chruthú.</w:t>
      </w:r>
    </w:p>
  </w:footnote>
  <w:footnote w:id="13">
    <w:p w14:paraId="4C417FEE" w14:textId="40377549" w:rsidR="00590BEF" w:rsidRPr="005524D6" w:rsidRDefault="000B4F21" w:rsidP="00590BEF">
      <w:pPr>
        <w:pStyle w:val="FootnoteText"/>
        <w:rPr>
          <w:lang w:val="ga"/>
        </w:rPr>
      </w:pPr>
      <w:r>
        <w:rPr>
          <w:rStyle w:val="FootnoteReference"/>
          <w:lang w:val="ga"/>
        </w:rPr>
        <w:footnoteRef/>
      </w:r>
      <w:r>
        <w:rPr>
          <w:lang w:val="ga"/>
        </w:rPr>
        <w:t xml:space="preserve"> </w:t>
      </w:r>
      <w:r>
        <w:rPr>
          <w:color w:val="000000"/>
          <w:lang w:val="ga"/>
        </w:rPr>
        <w:t>Sa bhliain 2023, ba é Ollscoil Teicneolaíochta an Oirdheiscirt (SETU) ainm an chomhlachta phoiblí sin.</w:t>
      </w:r>
    </w:p>
  </w:footnote>
  <w:footnote w:id="14">
    <w:p w14:paraId="07D5B3F7" w14:textId="24354C7B" w:rsidR="00590BEF" w:rsidRPr="005524D6" w:rsidRDefault="000B4F21" w:rsidP="00590BEF">
      <w:pPr>
        <w:pStyle w:val="FootnoteText"/>
        <w:rPr>
          <w:lang w:val="ga"/>
        </w:rPr>
      </w:pPr>
      <w:r>
        <w:rPr>
          <w:rStyle w:val="FootnoteReference"/>
          <w:lang w:val="ga"/>
        </w:rPr>
        <w:footnoteRef/>
      </w:r>
      <w:r>
        <w:rPr>
          <w:lang w:val="ga"/>
        </w:rPr>
        <w:t xml:space="preserve"> </w:t>
      </w:r>
      <w:r>
        <w:rPr>
          <w:color w:val="000000"/>
          <w:lang w:val="ga"/>
        </w:rPr>
        <w:t>Faoin Acht um Chinnteoireacht Chuidithe (Cumas) (Leasú), 2022, tugadh baill foirne is sibhialtaigh de chuid an Gharda Síochána ar ais laistigh de théarmaí Chuid 5. Sa bhliain 2024, chuir an Garda Síochána (Fostaithe is Sibhialtaigh) tuairisceán Chuid 5 isteach.</w:t>
      </w:r>
    </w:p>
  </w:footnote>
  <w:footnote w:id="15">
    <w:p w14:paraId="2C65D0CA" w14:textId="1453C3AA" w:rsidR="00590BEF" w:rsidRPr="005524D6" w:rsidRDefault="000B4F21" w:rsidP="00590BEF">
      <w:pPr>
        <w:pStyle w:val="FootnoteText"/>
        <w:rPr>
          <w:lang w:val="ga"/>
        </w:rPr>
      </w:pPr>
      <w:r>
        <w:rPr>
          <w:rStyle w:val="FootnoteReference"/>
          <w:lang w:val="ga"/>
        </w:rPr>
        <w:footnoteRef/>
      </w:r>
      <w:r>
        <w:rPr>
          <w:lang w:val="ga"/>
        </w:rPr>
        <w:t xml:space="preserve"> Ba chomhlacht poiblí nua é sin a bunaíodh sa bhliain 2024.</w:t>
      </w:r>
    </w:p>
  </w:footnote>
  <w:footnote w:id="16">
    <w:p w14:paraId="5907A8DA" w14:textId="49183090" w:rsidR="00590BEF" w:rsidRPr="005524D6" w:rsidRDefault="000B4F21" w:rsidP="00590BEF">
      <w:pPr>
        <w:pStyle w:val="FootnoteText"/>
        <w:rPr>
          <w:lang w:val="ga"/>
        </w:rPr>
      </w:pPr>
      <w:r>
        <w:rPr>
          <w:rStyle w:val="FootnoteReference"/>
          <w:lang w:val="ga"/>
        </w:rPr>
        <w:footnoteRef/>
      </w:r>
      <w:r>
        <w:rPr>
          <w:lang w:val="ga"/>
        </w:rPr>
        <w:t xml:space="preserve"> Ba chomhlacht poiblí nua é sin a bunaíodh sa bhliain 2024.</w:t>
      </w:r>
    </w:p>
  </w:footnote>
  <w:footnote w:id="17">
    <w:p w14:paraId="15E59A60" w14:textId="77777777" w:rsidR="00590BEF" w:rsidRPr="005524D6" w:rsidRDefault="000B4F21" w:rsidP="00590BEF">
      <w:pPr>
        <w:pStyle w:val="FootnoteText"/>
        <w:rPr>
          <w:lang w:val="ga"/>
        </w:rPr>
      </w:pPr>
      <w:r>
        <w:rPr>
          <w:rStyle w:val="FootnoteReference"/>
          <w:lang w:val="ga"/>
        </w:rPr>
        <w:footnoteRef/>
      </w:r>
      <w:r>
        <w:rPr>
          <w:lang w:val="ga"/>
        </w:rPr>
        <w:t xml:space="preserve"> </w:t>
      </w:r>
      <w:r>
        <w:rPr>
          <w:color w:val="000000"/>
          <w:lang w:val="ga"/>
        </w:rPr>
        <w:t>Sa bhliain 2024, chuir an Coiste Faireacháin don Roinn Caiteachais Phoiblí, Seachadta ar an bPlean Forbartha Náisiúnta, agus Athchóirithe in iúl dúinn go mbeadh an Bord Parúil ag déanamh thuairisceán Chuid 5 ón mbliain 2024 ar aghaidh.</w:t>
      </w:r>
    </w:p>
  </w:footnote>
  <w:footnote w:id="18">
    <w:p w14:paraId="24600CEC" w14:textId="4853AA5E" w:rsidR="00590BEF" w:rsidRPr="005524D6" w:rsidRDefault="000B4F21" w:rsidP="00590BEF">
      <w:pPr>
        <w:pStyle w:val="FootnoteText"/>
        <w:rPr>
          <w:lang w:val="ga"/>
        </w:rPr>
      </w:pPr>
      <w:r>
        <w:rPr>
          <w:rStyle w:val="FootnoteReference"/>
          <w:lang w:val="ga"/>
        </w:rPr>
        <w:footnoteRef/>
      </w:r>
      <w:r>
        <w:rPr>
          <w:lang w:val="ga"/>
        </w:rPr>
        <w:t xml:space="preserve"> </w:t>
      </w:r>
      <w:r>
        <w:rPr>
          <w:color w:val="000000"/>
          <w:lang w:val="ga"/>
        </w:rPr>
        <w:t>Sa bhliain 2023, ba é an tÚdarás Rialála Carthanas ainm an chomhlachta phoiblí sin.</w:t>
      </w:r>
    </w:p>
  </w:footnote>
  <w:footnote w:id="19">
    <w:p w14:paraId="0F52C8DF" w14:textId="7084D39E" w:rsidR="00590BEF" w:rsidRPr="005524D6" w:rsidRDefault="000B4F21" w:rsidP="00590BEF">
      <w:pPr>
        <w:pStyle w:val="FootnoteText"/>
        <w:rPr>
          <w:lang w:val="ga"/>
        </w:rPr>
      </w:pPr>
      <w:r>
        <w:rPr>
          <w:rStyle w:val="FootnoteReference"/>
          <w:lang w:val="ga"/>
        </w:rPr>
        <w:footnoteRef/>
      </w:r>
      <w:r>
        <w:rPr>
          <w:color w:val="000000"/>
          <w:lang w:val="ga"/>
        </w:rPr>
        <w:t>Faoin Acht um Chinnteoireacht Chuidithe (Cumas) (Leasú), 2022, tugadh baill foirne is sibhialtaigh de chuid an Gharda Síochána ar ais laistigh de théarmaí Chuid 5. Sa bhliain 2024, chuir an Garda Síochána (Fostaithe is Sibhialtaigh) tuairisceán Chuid 5 isteach.</w:t>
      </w:r>
    </w:p>
  </w:footnote>
  <w:footnote w:id="20">
    <w:p w14:paraId="75F0D1B9" w14:textId="77777777" w:rsidR="00590BEF" w:rsidRPr="005524D6" w:rsidRDefault="000B4F21" w:rsidP="00590BEF">
      <w:pPr>
        <w:pStyle w:val="FootnoteText"/>
        <w:rPr>
          <w:lang w:val="ga"/>
        </w:rPr>
      </w:pPr>
      <w:r>
        <w:rPr>
          <w:rStyle w:val="FootnoteReference"/>
          <w:lang w:val="ga"/>
        </w:rPr>
        <w:footnoteRef/>
      </w:r>
      <w:r>
        <w:rPr>
          <w:lang w:val="ga"/>
        </w:rPr>
        <w:t>Ba chomhlacht poiblí nua é sin a bunaíodh sa bhliain 2024.</w:t>
      </w:r>
    </w:p>
  </w:footnote>
  <w:footnote w:id="21">
    <w:p w14:paraId="32AAA7AF" w14:textId="5851A0F3" w:rsidR="00590BEF" w:rsidRPr="005524D6" w:rsidRDefault="000B4F21" w:rsidP="00590BEF">
      <w:pPr>
        <w:pStyle w:val="FootnoteText"/>
        <w:rPr>
          <w:lang w:val="ga"/>
        </w:rPr>
      </w:pPr>
      <w:r>
        <w:rPr>
          <w:rStyle w:val="FootnoteReference"/>
          <w:lang w:val="ga"/>
        </w:rPr>
        <w:footnoteRef/>
      </w:r>
      <w:r>
        <w:rPr>
          <w:lang w:val="ga"/>
        </w:rPr>
        <w:t xml:space="preserve"> </w:t>
      </w:r>
      <w:r>
        <w:rPr>
          <w:color w:val="000000"/>
          <w:lang w:val="ga"/>
        </w:rPr>
        <w:t>Sa bhliain 2023, ba é an tÚdarás Rialála Carthanas ainm an chomhlachta phoiblí sin.</w:t>
      </w:r>
    </w:p>
  </w:footnote>
  <w:footnote w:id="22">
    <w:p w14:paraId="57EFB99E" w14:textId="4CBBB668" w:rsidR="00590BEF" w:rsidRPr="005524D6" w:rsidRDefault="000B4F21" w:rsidP="00590BEF">
      <w:pPr>
        <w:pStyle w:val="FootnoteText"/>
        <w:rPr>
          <w:lang w:val="ga"/>
        </w:rPr>
      </w:pPr>
      <w:r>
        <w:rPr>
          <w:rStyle w:val="FootnoteReference"/>
          <w:lang w:val="ga"/>
        </w:rPr>
        <w:footnoteRef/>
      </w:r>
      <w:r>
        <w:rPr>
          <w:lang w:val="ga"/>
        </w:rPr>
        <w:t xml:space="preserve"> Ba chomhlacht poiblí nua é sin a bunaíodh sa bhliain 2024.</w:t>
      </w:r>
    </w:p>
  </w:footnote>
  <w:footnote w:id="23">
    <w:p w14:paraId="22B0C275" w14:textId="4B02D981" w:rsidR="00590BEF" w:rsidRPr="005524D6" w:rsidRDefault="000B4F21" w:rsidP="00590BEF">
      <w:pPr>
        <w:pStyle w:val="FootnoteText"/>
        <w:rPr>
          <w:lang w:val="ga"/>
        </w:rPr>
      </w:pPr>
      <w:r>
        <w:rPr>
          <w:rStyle w:val="FootnoteReference"/>
          <w:lang w:val="ga"/>
        </w:rPr>
        <w:footnoteRef/>
      </w:r>
      <w:r>
        <w:rPr>
          <w:lang w:val="ga"/>
        </w:rPr>
        <w:t xml:space="preserve"> Sa bhliain 2023, ba é an Bord um Réiteach Díobhálacha Pearsanta ainm an chomhlachta phoiblí sin.</w:t>
      </w:r>
    </w:p>
  </w:footnote>
  <w:footnote w:id="24">
    <w:p w14:paraId="7220D718" w14:textId="4E987D11" w:rsidR="00590BEF" w:rsidRPr="005524D6" w:rsidRDefault="000B4F21" w:rsidP="00590BEF">
      <w:pPr>
        <w:pStyle w:val="FootnoteText"/>
        <w:rPr>
          <w:lang w:val="ga"/>
        </w:rPr>
      </w:pPr>
      <w:r>
        <w:rPr>
          <w:rStyle w:val="FootnoteReference"/>
          <w:lang w:val="ga"/>
        </w:rPr>
        <w:footnoteRef/>
      </w:r>
      <w:r>
        <w:rPr>
          <w:lang w:val="ga"/>
        </w:rPr>
        <w:t xml:space="preserve"> Ba chomhlacht poiblí nua é sin a bunaíodh sa bhliain 2024.</w:t>
      </w:r>
    </w:p>
  </w:footnote>
  <w:footnote w:id="25">
    <w:p w14:paraId="620E12C2" w14:textId="08A7AF93" w:rsidR="00CA3EF3" w:rsidRPr="005524D6" w:rsidRDefault="000B4F21">
      <w:pPr>
        <w:pStyle w:val="FootnoteText"/>
        <w:rPr>
          <w:lang w:val="ga"/>
        </w:rPr>
      </w:pPr>
      <w:r>
        <w:rPr>
          <w:rStyle w:val="FootnoteReference"/>
          <w:lang w:val="ga"/>
        </w:rPr>
        <w:footnoteRef/>
      </w:r>
      <w:r>
        <w:rPr>
          <w:lang w:val="ga"/>
        </w:rPr>
        <w:t xml:space="preserve"> Ba chomhlacht poiblí nua é sin a bunaíodh sa bhliain 2024.</w:t>
      </w:r>
    </w:p>
  </w:footnote>
  <w:footnote w:id="26">
    <w:p w14:paraId="70E8B6B1" w14:textId="77777777" w:rsidR="00590BEF" w:rsidRPr="005524D6" w:rsidRDefault="000B4F21" w:rsidP="00590BEF">
      <w:pPr>
        <w:pStyle w:val="FootnoteText"/>
        <w:rPr>
          <w:lang w:val="ga"/>
        </w:rPr>
      </w:pPr>
      <w:r>
        <w:rPr>
          <w:rStyle w:val="FootnoteReference"/>
          <w:lang w:val="ga"/>
        </w:rPr>
        <w:footnoteRef/>
      </w:r>
      <w:r>
        <w:rPr>
          <w:lang w:val="ga"/>
        </w:rPr>
        <w:t xml:space="preserve"> </w:t>
      </w:r>
      <w:r>
        <w:rPr>
          <w:color w:val="000000"/>
          <w:lang w:val="ga"/>
        </w:rPr>
        <w:t>Sa bhliain 2024, chuir an Coiste Faireacháin don Roinn Caiteachais Phoiblí, Seachadta ar an bPlean Forbartha Náisiúnta, agus Athchóirithe in iúl dúinn go mbeadh an Bord Parúil ag déanamh thuairisceán Chuid 5 ón mbliain 2024 ar aghaidh.</w:t>
      </w:r>
    </w:p>
  </w:footnote>
  <w:footnote w:id="27">
    <w:p w14:paraId="2AB5919F" w14:textId="475F0C05" w:rsidR="00590BEF" w:rsidRPr="005524D6" w:rsidRDefault="000B4F21" w:rsidP="00590BEF">
      <w:pPr>
        <w:pStyle w:val="FootnoteText"/>
        <w:rPr>
          <w:lang w:val="ga"/>
        </w:rPr>
      </w:pPr>
      <w:r>
        <w:rPr>
          <w:rStyle w:val="FootnoteReference"/>
          <w:lang w:val="ga"/>
        </w:rPr>
        <w:footnoteRef/>
      </w:r>
      <w:r>
        <w:rPr>
          <w:lang w:val="ga"/>
        </w:rPr>
        <w:t xml:space="preserve"> </w:t>
      </w:r>
      <w:r>
        <w:rPr>
          <w:color w:val="000000"/>
          <w:lang w:val="ga"/>
        </w:rPr>
        <w:t>Sa bhliain 2024, chumaisc Fondúireacht Eolaíochta Éireann agus an Chomhairle um Thaighde in Éirinn chun Taighde Éireann a chruthú.</w:t>
      </w:r>
    </w:p>
  </w:footnote>
  <w:footnote w:id="28">
    <w:p w14:paraId="12A05B34" w14:textId="245CF3B6" w:rsidR="00590BEF" w:rsidRPr="005524D6" w:rsidRDefault="000B4F21" w:rsidP="00590BEF">
      <w:pPr>
        <w:pStyle w:val="FootnoteText"/>
        <w:rPr>
          <w:lang w:val="ga"/>
        </w:rPr>
      </w:pPr>
      <w:r>
        <w:rPr>
          <w:rStyle w:val="FootnoteReference"/>
          <w:lang w:val="ga"/>
        </w:rPr>
        <w:footnoteRef/>
      </w:r>
      <w:r>
        <w:rPr>
          <w:rFonts w:cs="Calibri"/>
          <w:color w:val="000000"/>
          <w:lang w:val="ga"/>
        </w:rPr>
        <w:t>Sa bhliain 2023, ba é Ollscoil Teicneolaíochta an Oirdheiscirt (SETU) ainm an chomhlachta phoiblí sin.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7566" w14:textId="4805D6B6" w:rsidR="00917FAC" w:rsidRPr="005524D6" w:rsidRDefault="000B4F21">
    <w:pPr>
      <w:pStyle w:val="Header"/>
      <w:rPr>
        <w:sz w:val="21"/>
        <w:szCs w:val="21"/>
      </w:rPr>
    </w:pPr>
    <w:r w:rsidRPr="005524D6">
      <w:rPr>
        <w:sz w:val="21"/>
        <w:szCs w:val="21"/>
        <w:lang w:val="ga"/>
      </w:rPr>
      <w:t>Tuarascáil ar Chomhlíonadh Chuid 5 den Acht um Míchumas 2005 do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8587E54"/>
    <w:lvl w:ilvl="0">
      <w:start w:val="1"/>
      <w:numFmt w:val="decimal"/>
      <w:pStyle w:val="ListNumber2"/>
      <w:lvlText w:val="%1."/>
      <w:lvlJc w:val="left"/>
      <w:pPr>
        <w:tabs>
          <w:tab w:val="num" w:pos="641"/>
        </w:tabs>
        <w:ind w:left="641" w:hanging="357"/>
      </w:pPr>
    </w:lvl>
  </w:abstractNum>
  <w:abstractNum w:abstractNumId="2" w15:restartNumberingAfterBreak="0">
    <w:nsid w:val="FFFFFF82"/>
    <w:multiLevelType w:val="singleLevel"/>
    <w:tmpl w:val="A64C2CEC"/>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3" w15:restartNumberingAfterBreak="0">
    <w:nsid w:val="FFFFFF83"/>
    <w:multiLevelType w:val="singleLevel"/>
    <w:tmpl w:val="B44A201A"/>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4" w15:restartNumberingAfterBreak="0">
    <w:nsid w:val="FFFFFF88"/>
    <w:multiLevelType w:val="singleLevel"/>
    <w:tmpl w:val="B22CEC76"/>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CC7668CC"/>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6" w15:restartNumberingAfterBreak="0">
    <w:nsid w:val="088579E2"/>
    <w:multiLevelType w:val="hybridMultilevel"/>
    <w:tmpl w:val="97B44DEE"/>
    <w:lvl w:ilvl="0" w:tplc="87DEB582">
      <w:start w:val="1"/>
      <w:numFmt w:val="bullet"/>
      <w:pStyle w:val="NDABullet"/>
      <w:lvlText w:val=""/>
      <w:lvlJc w:val="left"/>
      <w:pPr>
        <w:ind w:left="2770" w:hanging="360"/>
      </w:pPr>
      <w:rPr>
        <w:rFonts w:ascii="Symbol" w:hAnsi="Symbol" w:hint="default"/>
      </w:rPr>
    </w:lvl>
    <w:lvl w:ilvl="1" w:tplc="F2F2CA70" w:tentative="1">
      <w:start w:val="1"/>
      <w:numFmt w:val="bullet"/>
      <w:lvlText w:val="o"/>
      <w:lvlJc w:val="left"/>
      <w:pPr>
        <w:ind w:left="1080" w:hanging="360"/>
      </w:pPr>
      <w:rPr>
        <w:rFonts w:ascii="Courier New" w:hAnsi="Courier New" w:cs="Courier New" w:hint="default"/>
      </w:rPr>
    </w:lvl>
    <w:lvl w:ilvl="2" w:tplc="AD5662E6" w:tentative="1">
      <w:start w:val="1"/>
      <w:numFmt w:val="bullet"/>
      <w:lvlText w:val=""/>
      <w:lvlJc w:val="left"/>
      <w:pPr>
        <w:ind w:left="1800" w:hanging="360"/>
      </w:pPr>
      <w:rPr>
        <w:rFonts w:ascii="Wingdings" w:hAnsi="Wingdings" w:hint="default"/>
      </w:rPr>
    </w:lvl>
    <w:lvl w:ilvl="3" w:tplc="A9C0B682" w:tentative="1">
      <w:start w:val="1"/>
      <w:numFmt w:val="bullet"/>
      <w:lvlText w:val=""/>
      <w:lvlJc w:val="left"/>
      <w:pPr>
        <w:ind w:left="2520" w:hanging="360"/>
      </w:pPr>
      <w:rPr>
        <w:rFonts w:ascii="Symbol" w:hAnsi="Symbol" w:hint="default"/>
      </w:rPr>
    </w:lvl>
    <w:lvl w:ilvl="4" w:tplc="360822FE" w:tentative="1">
      <w:start w:val="1"/>
      <w:numFmt w:val="bullet"/>
      <w:lvlText w:val="o"/>
      <w:lvlJc w:val="left"/>
      <w:pPr>
        <w:ind w:left="3240" w:hanging="360"/>
      </w:pPr>
      <w:rPr>
        <w:rFonts w:ascii="Courier New" w:hAnsi="Courier New" w:cs="Courier New" w:hint="default"/>
      </w:rPr>
    </w:lvl>
    <w:lvl w:ilvl="5" w:tplc="F0D4BDDA" w:tentative="1">
      <w:start w:val="1"/>
      <w:numFmt w:val="bullet"/>
      <w:lvlText w:val=""/>
      <w:lvlJc w:val="left"/>
      <w:pPr>
        <w:ind w:left="3960" w:hanging="360"/>
      </w:pPr>
      <w:rPr>
        <w:rFonts w:ascii="Wingdings" w:hAnsi="Wingdings" w:hint="default"/>
      </w:rPr>
    </w:lvl>
    <w:lvl w:ilvl="6" w:tplc="C4C41834" w:tentative="1">
      <w:start w:val="1"/>
      <w:numFmt w:val="bullet"/>
      <w:lvlText w:val=""/>
      <w:lvlJc w:val="left"/>
      <w:pPr>
        <w:ind w:left="4680" w:hanging="360"/>
      </w:pPr>
      <w:rPr>
        <w:rFonts w:ascii="Symbol" w:hAnsi="Symbol" w:hint="default"/>
      </w:rPr>
    </w:lvl>
    <w:lvl w:ilvl="7" w:tplc="04DEFE6A" w:tentative="1">
      <w:start w:val="1"/>
      <w:numFmt w:val="bullet"/>
      <w:lvlText w:val="o"/>
      <w:lvlJc w:val="left"/>
      <w:pPr>
        <w:ind w:left="5400" w:hanging="360"/>
      </w:pPr>
      <w:rPr>
        <w:rFonts w:ascii="Courier New" w:hAnsi="Courier New" w:cs="Courier New" w:hint="default"/>
      </w:rPr>
    </w:lvl>
    <w:lvl w:ilvl="8" w:tplc="DCB803FC" w:tentative="1">
      <w:start w:val="1"/>
      <w:numFmt w:val="bullet"/>
      <w:lvlText w:val=""/>
      <w:lvlJc w:val="left"/>
      <w:pPr>
        <w:ind w:left="6120" w:hanging="360"/>
      </w:pPr>
      <w:rPr>
        <w:rFonts w:ascii="Wingdings" w:hAnsi="Wingdings" w:hint="default"/>
      </w:rPr>
    </w:lvl>
  </w:abstractNum>
  <w:abstractNum w:abstractNumId="7" w15:restartNumberingAfterBreak="0">
    <w:nsid w:val="102E6EC9"/>
    <w:multiLevelType w:val="hybridMultilevel"/>
    <w:tmpl w:val="DB9A4F6E"/>
    <w:lvl w:ilvl="0" w:tplc="707CA874">
      <w:start w:val="1"/>
      <w:numFmt w:val="bullet"/>
      <w:lvlText w:val=""/>
      <w:lvlJc w:val="left"/>
      <w:pPr>
        <w:ind w:left="720" w:hanging="360"/>
      </w:pPr>
      <w:rPr>
        <w:rFonts w:ascii="Symbol" w:hAnsi="Symbol" w:hint="default"/>
      </w:rPr>
    </w:lvl>
    <w:lvl w:ilvl="1" w:tplc="F97A87C0" w:tentative="1">
      <w:start w:val="1"/>
      <w:numFmt w:val="bullet"/>
      <w:lvlText w:val="o"/>
      <w:lvlJc w:val="left"/>
      <w:pPr>
        <w:ind w:left="1440" w:hanging="360"/>
      </w:pPr>
      <w:rPr>
        <w:rFonts w:ascii="Courier New" w:hAnsi="Courier New" w:cs="Courier New" w:hint="default"/>
      </w:rPr>
    </w:lvl>
    <w:lvl w:ilvl="2" w:tplc="76ACFF16" w:tentative="1">
      <w:start w:val="1"/>
      <w:numFmt w:val="bullet"/>
      <w:lvlText w:val=""/>
      <w:lvlJc w:val="left"/>
      <w:pPr>
        <w:ind w:left="2160" w:hanging="360"/>
      </w:pPr>
      <w:rPr>
        <w:rFonts w:ascii="Wingdings" w:hAnsi="Wingdings" w:hint="default"/>
      </w:rPr>
    </w:lvl>
    <w:lvl w:ilvl="3" w:tplc="A16C5C60" w:tentative="1">
      <w:start w:val="1"/>
      <w:numFmt w:val="bullet"/>
      <w:lvlText w:val=""/>
      <w:lvlJc w:val="left"/>
      <w:pPr>
        <w:ind w:left="2880" w:hanging="360"/>
      </w:pPr>
      <w:rPr>
        <w:rFonts w:ascii="Symbol" w:hAnsi="Symbol" w:hint="default"/>
      </w:rPr>
    </w:lvl>
    <w:lvl w:ilvl="4" w:tplc="5B88FE2E" w:tentative="1">
      <w:start w:val="1"/>
      <w:numFmt w:val="bullet"/>
      <w:lvlText w:val="o"/>
      <w:lvlJc w:val="left"/>
      <w:pPr>
        <w:ind w:left="3600" w:hanging="360"/>
      </w:pPr>
      <w:rPr>
        <w:rFonts w:ascii="Courier New" w:hAnsi="Courier New" w:cs="Courier New" w:hint="default"/>
      </w:rPr>
    </w:lvl>
    <w:lvl w:ilvl="5" w:tplc="BDE6C200" w:tentative="1">
      <w:start w:val="1"/>
      <w:numFmt w:val="bullet"/>
      <w:lvlText w:val=""/>
      <w:lvlJc w:val="left"/>
      <w:pPr>
        <w:ind w:left="4320" w:hanging="360"/>
      </w:pPr>
      <w:rPr>
        <w:rFonts w:ascii="Wingdings" w:hAnsi="Wingdings" w:hint="default"/>
      </w:rPr>
    </w:lvl>
    <w:lvl w:ilvl="6" w:tplc="2A0A06A2" w:tentative="1">
      <w:start w:val="1"/>
      <w:numFmt w:val="bullet"/>
      <w:lvlText w:val=""/>
      <w:lvlJc w:val="left"/>
      <w:pPr>
        <w:ind w:left="5040" w:hanging="360"/>
      </w:pPr>
      <w:rPr>
        <w:rFonts w:ascii="Symbol" w:hAnsi="Symbol" w:hint="default"/>
      </w:rPr>
    </w:lvl>
    <w:lvl w:ilvl="7" w:tplc="B026398E" w:tentative="1">
      <w:start w:val="1"/>
      <w:numFmt w:val="bullet"/>
      <w:lvlText w:val="o"/>
      <w:lvlJc w:val="left"/>
      <w:pPr>
        <w:ind w:left="5760" w:hanging="360"/>
      </w:pPr>
      <w:rPr>
        <w:rFonts w:ascii="Courier New" w:hAnsi="Courier New" w:cs="Courier New" w:hint="default"/>
      </w:rPr>
    </w:lvl>
    <w:lvl w:ilvl="8" w:tplc="59601D4E" w:tentative="1">
      <w:start w:val="1"/>
      <w:numFmt w:val="bullet"/>
      <w:lvlText w:val=""/>
      <w:lvlJc w:val="left"/>
      <w:pPr>
        <w:ind w:left="6480" w:hanging="360"/>
      </w:pPr>
      <w:rPr>
        <w:rFonts w:ascii="Wingdings" w:hAnsi="Wingdings" w:hint="default"/>
      </w:rPr>
    </w:lvl>
  </w:abstractNum>
  <w:abstractNum w:abstractNumId="8" w15:restartNumberingAfterBreak="0">
    <w:nsid w:val="13BE10DD"/>
    <w:multiLevelType w:val="hybridMultilevel"/>
    <w:tmpl w:val="400C9802"/>
    <w:lvl w:ilvl="0" w:tplc="F3849AFE">
      <w:start w:val="1"/>
      <w:numFmt w:val="bullet"/>
      <w:lvlText w:val=""/>
      <w:lvlJc w:val="left"/>
      <w:pPr>
        <w:ind w:left="720" w:hanging="360"/>
      </w:pPr>
      <w:rPr>
        <w:rFonts w:ascii="Symbol" w:hAnsi="Symbol" w:hint="default"/>
      </w:rPr>
    </w:lvl>
    <w:lvl w:ilvl="1" w:tplc="A2B21E6A" w:tentative="1">
      <w:start w:val="1"/>
      <w:numFmt w:val="bullet"/>
      <w:lvlText w:val="o"/>
      <w:lvlJc w:val="left"/>
      <w:pPr>
        <w:ind w:left="1440" w:hanging="360"/>
      </w:pPr>
      <w:rPr>
        <w:rFonts w:ascii="Courier New" w:hAnsi="Courier New" w:cs="Courier New" w:hint="default"/>
      </w:rPr>
    </w:lvl>
    <w:lvl w:ilvl="2" w:tplc="3F80991E" w:tentative="1">
      <w:start w:val="1"/>
      <w:numFmt w:val="bullet"/>
      <w:lvlText w:val=""/>
      <w:lvlJc w:val="left"/>
      <w:pPr>
        <w:ind w:left="2160" w:hanging="360"/>
      </w:pPr>
      <w:rPr>
        <w:rFonts w:ascii="Wingdings" w:hAnsi="Wingdings" w:hint="default"/>
      </w:rPr>
    </w:lvl>
    <w:lvl w:ilvl="3" w:tplc="8FF649E4" w:tentative="1">
      <w:start w:val="1"/>
      <w:numFmt w:val="bullet"/>
      <w:lvlText w:val=""/>
      <w:lvlJc w:val="left"/>
      <w:pPr>
        <w:ind w:left="2880" w:hanging="360"/>
      </w:pPr>
      <w:rPr>
        <w:rFonts w:ascii="Symbol" w:hAnsi="Symbol" w:hint="default"/>
      </w:rPr>
    </w:lvl>
    <w:lvl w:ilvl="4" w:tplc="23EC717A" w:tentative="1">
      <w:start w:val="1"/>
      <w:numFmt w:val="bullet"/>
      <w:lvlText w:val="o"/>
      <w:lvlJc w:val="left"/>
      <w:pPr>
        <w:ind w:left="3600" w:hanging="360"/>
      </w:pPr>
      <w:rPr>
        <w:rFonts w:ascii="Courier New" w:hAnsi="Courier New" w:cs="Courier New" w:hint="default"/>
      </w:rPr>
    </w:lvl>
    <w:lvl w:ilvl="5" w:tplc="C2B640BA" w:tentative="1">
      <w:start w:val="1"/>
      <w:numFmt w:val="bullet"/>
      <w:lvlText w:val=""/>
      <w:lvlJc w:val="left"/>
      <w:pPr>
        <w:ind w:left="4320" w:hanging="360"/>
      </w:pPr>
      <w:rPr>
        <w:rFonts w:ascii="Wingdings" w:hAnsi="Wingdings" w:hint="default"/>
      </w:rPr>
    </w:lvl>
    <w:lvl w:ilvl="6" w:tplc="813C590C" w:tentative="1">
      <w:start w:val="1"/>
      <w:numFmt w:val="bullet"/>
      <w:lvlText w:val=""/>
      <w:lvlJc w:val="left"/>
      <w:pPr>
        <w:ind w:left="5040" w:hanging="360"/>
      </w:pPr>
      <w:rPr>
        <w:rFonts w:ascii="Symbol" w:hAnsi="Symbol" w:hint="default"/>
      </w:rPr>
    </w:lvl>
    <w:lvl w:ilvl="7" w:tplc="AB125770" w:tentative="1">
      <w:start w:val="1"/>
      <w:numFmt w:val="bullet"/>
      <w:lvlText w:val="o"/>
      <w:lvlJc w:val="left"/>
      <w:pPr>
        <w:ind w:left="5760" w:hanging="360"/>
      </w:pPr>
      <w:rPr>
        <w:rFonts w:ascii="Courier New" w:hAnsi="Courier New" w:cs="Courier New" w:hint="default"/>
      </w:rPr>
    </w:lvl>
    <w:lvl w:ilvl="8" w:tplc="F70E9614" w:tentative="1">
      <w:start w:val="1"/>
      <w:numFmt w:val="bullet"/>
      <w:lvlText w:val=""/>
      <w:lvlJc w:val="left"/>
      <w:pPr>
        <w:ind w:left="6480" w:hanging="360"/>
      </w:pPr>
      <w:rPr>
        <w:rFonts w:ascii="Wingdings" w:hAnsi="Wingdings" w:hint="default"/>
      </w:rPr>
    </w:lvl>
  </w:abstractNum>
  <w:abstractNum w:abstractNumId="9"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99D278E"/>
    <w:multiLevelType w:val="hybridMultilevel"/>
    <w:tmpl w:val="454CE990"/>
    <w:lvl w:ilvl="0" w:tplc="11960782">
      <w:start w:val="1"/>
      <w:numFmt w:val="bullet"/>
      <w:lvlText w:val=""/>
      <w:lvlJc w:val="left"/>
      <w:pPr>
        <w:ind w:left="720" w:hanging="360"/>
      </w:pPr>
      <w:rPr>
        <w:rFonts w:ascii="Symbol" w:hAnsi="Symbol" w:hint="default"/>
      </w:rPr>
    </w:lvl>
    <w:lvl w:ilvl="1" w:tplc="5664A51A" w:tentative="1">
      <w:start w:val="1"/>
      <w:numFmt w:val="bullet"/>
      <w:lvlText w:val="o"/>
      <w:lvlJc w:val="left"/>
      <w:pPr>
        <w:ind w:left="1440" w:hanging="360"/>
      </w:pPr>
      <w:rPr>
        <w:rFonts w:ascii="Courier New" w:hAnsi="Courier New" w:cs="Courier New" w:hint="default"/>
      </w:rPr>
    </w:lvl>
    <w:lvl w:ilvl="2" w:tplc="6D04C154" w:tentative="1">
      <w:start w:val="1"/>
      <w:numFmt w:val="bullet"/>
      <w:lvlText w:val=""/>
      <w:lvlJc w:val="left"/>
      <w:pPr>
        <w:ind w:left="2160" w:hanging="360"/>
      </w:pPr>
      <w:rPr>
        <w:rFonts w:ascii="Wingdings" w:hAnsi="Wingdings" w:hint="default"/>
      </w:rPr>
    </w:lvl>
    <w:lvl w:ilvl="3" w:tplc="5EA8B8B4" w:tentative="1">
      <w:start w:val="1"/>
      <w:numFmt w:val="bullet"/>
      <w:lvlText w:val=""/>
      <w:lvlJc w:val="left"/>
      <w:pPr>
        <w:ind w:left="2880" w:hanging="360"/>
      </w:pPr>
      <w:rPr>
        <w:rFonts w:ascii="Symbol" w:hAnsi="Symbol" w:hint="default"/>
      </w:rPr>
    </w:lvl>
    <w:lvl w:ilvl="4" w:tplc="8698FB56" w:tentative="1">
      <w:start w:val="1"/>
      <w:numFmt w:val="bullet"/>
      <w:lvlText w:val="o"/>
      <w:lvlJc w:val="left"/>
      <w:pPr>
        <w:ind w:left="3600" w:hanging="360"/>
      </w:pPr>
      <w:rPr>
        <w:rFonts w:ascii="Courier New" w:hAnsi="Courier New" w:cs="Courier New" w:hint="default"/>
      </w:rPr>
    </w:lvl>
    <w:lvl w:ilvl="5" w:tplc="C2B4EA06" w:tentative="1">
      <w:start w:val="1"/>
      <w:numFmt w:val="bullet"/>
      <w:lvlText w:val=""/>
      <w:lvlJc w:val="left"/>
      <w:pPr>
        <w:ind w:left="4320" w:hanging="360"/>
      </w:pPr>
      <w:rPr>
        <w:rFonts w:ascii="Wingdings" w:hAnsi="Wingdings" w:hint="default"/>
      </w:rPr>
    </w:lvl>
    <w:lvl w:ilvl="6" w:tplc="87984394" w:tentative="1">
      <w:start w:val="1"/>
      <w:numFmt w:val="bullet"/>
      <w:lvlText w:val=""/>
      <w:lvlJc w:val="left"/>
      <w:pPr>
        <w:ind w:left="5040" w:hanging="360"/>
      </w:pPr>
      <w:rPr>
        <w:rFonts w:ascii="Symbol" w:hAnsi="Symbol" w:hint="default"/>
      </w:rPr>
    </w:lvl>
    <w:lvl w:ilvl="7" w:tplc="F378F86C" w:tentative="1">
      <w:start w:val="1"/>
      <w:numFmt w:val="bullet"/>
      <w:lvlText w:val="o"/>
      <w:lvlJc w:val="left"/>
      <w:pPr>
        <w:ind w:left="5760" w:hanging="360"/>
      </w:pPr>
      <w:rPr>
        <w:rFonts w:ascii="Courier New" w:hAnsi="Courier New" w:cs="Courier New" w:hint="default"/>
      </w:rPr>
    </w:lvl>
    <w:lvl w:ilvl="8" w:tplc="F2960826" w:tentative="1">
      <w:start w:val="1"/>
      <w:numFmt w:val="bullet"/>
      <w:lvlText w:val=""/>
      <w:lvlJc w:val="left"/>
      <w:pPr>
        <w:ind w:left="6480" w:hanging="360"/>
      </w:pPr>
      <w:rPr>
        <w:rFonts w:ascii="Wingdings" w:hAnsi="Wingdings" w:hint="default"/>
      </w:rPr>
    </w:lvl>
  </w:abstractNum>
  <w:abstractNum w:abstractNumId="11"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F264791"/>
    <w:multiLevelType w:val="hybridMultilevel"/>
    <w:tmpl w:val="9DD6C3D8"/>
    <w:lvl w:ilvl="0" w:tplc="0368057E">
      <w:start w:val="1"/>
      <w:numFmt w:val="bullet"/>
      <w:lvlText w:val=""/>
      <w:lvlJc w:val="left"/>
      <w:pPr>
        <w:ind w:left="720" w:hanging="360"/>
      </w:pPr>
      <w:rPr>
        <w:rFonts w:ascii="Symbol" w:hAnsi="Symbol" w:hint="default"/>
      </w:rPr>
    </w:lvl>
    <w:lvl w:ilvl="1" w:tplc="EFBCC902" w:tentative="1">
      <w:start w:val="1"/>
      <w:numFmt w:val="bullet"/>
      <w:lvlText w:val="o"/>
      <w:lvlJc w:val="left"/>
      <w:pPr>
        <w:ind w:left="1440" w:hanging="360"/>
      </w:pPr>
      <w:rPr>
        <w:rFonts w:ascii="Courier New" w:hAnsi="Courier New" w:cs="Courier New" w:hint="default"/>
      </w:rPr>
    </w:lvl>
    <w:lvl w:ilvl="2" w:tplc="0AE09220" w:tentative="1">
      <w:start w:val="1"/>
      <w:numFmt w:val="bullet"/>
      <w:lvlText w:val=""/>
      <w:lvlJc w:val="left"/>
      <w:pPr>
        <w:ind w:left="2160" w:hanging="360"/>
      </w:pPr>
      <w:rPr>
        <w:rFonts w:ascii="Wingdings" w:hAnsi="Wingdings" w:hint="default"/>
      </w:rPr>
    </w:lvl>
    <w:lvl w:ilvl="3" w:tplc="605657C4" w:tentative="1">
      <w:start w:val="1"/>
      <w:numFmt w:val="bullet"/>
      <w:lvlText w:val=""/>
      <w:lvlJc w:val="left"/>
      <w:pPr>
        <w:ind w:left="2880" w:hanging="360"/>
      </w:pPr>
      <w:rPr>
        <w:rFonts w:ascii="Symbol" w:hAnsi="Symbol" w:hint="default"/>
      </w:rPr>
    </w:lvl>
    <w:lvl w:ilvl="4" w:tplc="79E84BA6" w:tentative="1">
      <w:start w:val="1"/>
      <w:numFmt w:val="bullet"/>
      <w:lvlText w:val="o"/>
      <w:lvlJc w:val="left"/>
      <w:pPr>
        <w:ind w:left="3600" w:hanging="360"/>
      </w:pPr>
      <w:rPr>
        <w:rFonts w:ascii="Courier New" w:hAnsi="Courier New" w:cs="Courier New" w:hint="default"/>
      </w:rPr>
    </w:lvl>
    <w:lvl w:ilvl="5" w:tplc="89FCFC0A" w:tentative="1">
      <w:start w:val="1"/>
      <w:numFmt w:val="bullet"/>
      <w:lvlText w:val=""/>
      <w:lvlJc w:val="left"/>
      <w:pPr>
        <w:ind w:left="4320" w:hanging="360"/>
      </w:pPr>
      <w:rPr>
        <w:rFonts w:ascii="Wingdings" w:hAnsi="Wingdings" w:hint="default"/>
      </w:rPr>
    </w:lvl>
    <w:lvl w:ilvl="6" w:tplc="CA8882C6" w:tentative="1">
      <w:start w:val="1"/>
      <w:numFmt w:val="bullet"/>
      <w:lvlText w:val=""/>
      <w:lvlJc w:val="left"/>
      <w:pPr>
        <w:ind w:left="5040" w:hanging="360"/>
      </w:pPr>
      <w:rPr>
        <w:rFonts w:ascii="Symbol" w:hAnsi="Symbol" w:hint="default"/>
      </w:rPr>
    </w:lvl>
    <w:lvl w:ilvl="7" w:tplc="49DA93E4" w:tentative="1">
      <w:start w:val="1"/>
      <w:numFmt w:val="bullet"/>
      <w:lvlText w:val="o"/>
      <w:lvlJc w:val="left"/>
      <w:pPr>
        <w:ind w:left="5760" w:hanging="360"/>
      </w:pPr>
      <w:rPr>
        <w:rFonts w:ascii="Courier New" w:hAnsi="Courier New" w:cs="Courier New" w:hint="default"/>
      </w:rPr>
    </w:lvl>
    <w:lvl w:ilvl="8" w:tplc="149E4C40" w:tentative="1">
      <w:start w:val="1"/>
      <w:numFmt w:val="bullet"/>
      <w:lvlText w:val=""/>
      <w:lvlJc w:val="left"/>
      <w:pPr>
        <w:ind w:left="6480" w:hanging="360"/>
      </w:pPr>
      <w:rPr>
        <w:rFonts w:ascii="Wingdings" w:hAnsi="Wingdings" w:hint="default"/>
      </w:rPr>
    </w:lvl>
  </w:abstractNum>
  <w:abstractNum w:abstractNumId="14" w15:restartNumberingAfterBreak="0">
    <w:nsid w:val="43747760"/>
    <w:multiLevelType w:val="hybridMultilevel"/>
    <w:tmpl w:val="E5021BF8"/>
    <w:lvl w:ilvl="0" w:tplc="A3E88FD2">
      <w:start w:val="1"/>
      <w:numFmt w:val="bullet"/>
      <w:lvlText w:val=""/>
      <w:lvlJc w:val="left"/>
      <w:pPr>
        <w:ind w:left="720" w:hanging="360"/>
      </w:pPr>
      <w:rPr>
        <w:rFonts w:ascii="Symbol" w:hAnsi="Symbol" w:hint="default"/>
      </w:rPr>
    </w:lvl>
    <w:lvl w:ilvl="1" w:tplc="D9ECB64A" w:tentative="1">
      <w:start w:val="1"/>
      <w:numFmt w:val="bullet"/>
      <w:lvlText w:val="o"/>
      <w:lvlJc w:val="left"/>
      <w:pPr>
        <w:ind w:left="1440" w:hanging="360"/>
      </w:pPr>
      <w:rPr>
        <w:rFonts w:ascii="Courier New" w:hAnsi="Courier New" w:cs="Courier New" w:hint="default"/>
      </w:rPr>
    </w:lvl>
    <w:lvl w:ilvl="2" w:tplc="ECE23D66" w:tentative="1">
      <w:start w:val="1"/>
      <w:numFmt w:val="bullet"/>
      <w:lvlText w:val=""/>
      <w:lvlJc w:val="left"/>
      <w:pPr>
        <w:ind w:left="2160" w:hanging="360"/>
      </w:pPr>
      <w:rPr>
        <w:rFonts w:ascii="Wingdings" w:hAnsi="Wingdings" w:hint="default"/>
      </w:rPr>
    </w:lvl>
    <w:lvl w:ilvl="3" w:tplc="E42AC0DC" w:tentative="1">
      <w:start w:val="1"/>
      <w:numFmt w:val="bullet"/>
      <w:lvlText w:val=""/>
      <w:lvlJc w:val="left"/>
      <w:pPr>
        <w:ind w:left="2880" w:hanging="360"/>
      </w:pPr>
      <w:rPr>
        <w:rFonts w:ascii="Symbol" w:hAnsi="Symbol" w:hint="default"/>
      </w:rPr>
    </w:lvl>
    <w:lvl w:ilvl="4" w:tplc="53A2DE08" w:tentative="1">
      <w:start w:val="1"/>
      <w:numFmt w:val="bullet"/>
      <w:lvlText w:val="o"/>
      <w:lvlJc w:val="left"/>
      <w:pPr>
        <w:ind w:left="3600" w:hanging="360"/>
      </w:pPr>
      <w:rPr>
        <w:rFonts w:ascii="Courier New" w:hAnsi="Courier New" w:cs="Courier New" w:hint="default"/>
      </w:rPr>
    </w:lvl>
    <w:lvl w:ilvl="5" w:tplc="5C963E9E" w:tentative="1">
      <w:start w:val="1"/>
      <w:numFmt w:val="bullet"/>
      <w:lvlText w:val=""/>
      <w:lvlJc w:val="left"/>
      <w:pPr>
        <w:ind w:left="4320" w:hanging="360"/>
      </w:pPr>
      <w:rPr>
        <w:rFonts w:ascii="Wingdings" w:hAnsi="Wingdings" w:hint="default"/>
      </w:rPr>
    </w:lvl>
    <w:lvl w:ilvl="6" w:tplc="8D1C0902" w:tentative="1">
      <w:start w:val="1"/>
      <w:numFmt w:val="bullet"/>
      <w:lvlText w:val=""/>
      <w:lvlJc w:val="left"/>
      <w:pPr>
        <w:ind w:left="5040" w:hanging="360"/>
      </w:pPr>
      <w:rPr>
        <w:rFonts w:ascii="Symbol" w:hAnsi="Symbol" w:hint="default"/>
      </w:rPr>
    </w:lvl>
    <w:lvl w:ilvl="7" w:tplc="CD028094" w:tentative="1">
      <w:start w:val="1"/>
      <w:numFmt w:val="bullet"/>
      <w:lvlText w:val="o"/>
      <w:lvlJc w:val="left"/>
      <w:pPr>
        <w:ind w:left="5760" w:hanging="360"/>
      </w:pPr>
      <w:rPr>
        <w:rFonts w:ascii="Courier New" w:hAnsi="Courier New" w:cs="Courier New" w:hint="default"/>
      </w:rPr>
    </w:lvl>
    <w:lvl w:ilvl="8" w:tplc="2A30DCD2" w:tentative="1">
      <w:start w:val="1"/>
      <w:numFmt w:val="bullet"/>
      <w:lvlText w:val=""/>
      <w:lvlJc w:val="left"/>
      <w:pPr>
        <w:ind w:left="6480" w:hanging="360"/>
      </w:pPr>
      <w:rPr>
        <w:rFonts w:ascii="Wingdings" w:hAnsi="Wingdings" w:hint="default"/>
      </w:rPr>
    </w:lvl>
  </w:abstractNum>
  <w:abstractNum w:abstractNumId="15" w15:restartNumberingAfterBreak="0">
    <w:nsid w:val="5CF02198"/>
    <w:multiLevelType w:val="hybridMultilevel"/>
    <w:tmpl w:val="AB0A1274"/>
    <w:lvl w:ilvl="0" w:tplc="C19E4CEE">
      <w:start w:val="1"/>
      <w:numFmt w:val="bullet"/>
      <w:lvlText w:val=""/>
      <w:lvlJc w:val="left"/>
      <w:pPr>
        <w:ind w:left="720" w:hanging="360"/>
      </w:pPr>
      <w:rPr>
        <w:rFonts w:ascii="Symbol" w:hAnsi="Symbol" w:hint="default"/>
      </w:rPr>
    </w:lvl>
    <w:lvl w:ilvl="1" w:tplc="C7AE0838">
      <w:start w:val="1"/>
      <w:numFmt w:val="bullet"/>
      <w:lvlText w:val="o"/>
      <w:lvlJc w:val="left"/>
      <w:pPr>
        <w:ind w:left="1440" w:hanging="360"/>
      </w:pPr>
      <w:rPr>
        <w:rFonts w:ascii="Courier New" w:hAnsi="Courier New" w:cs="Courier New" w:hint="default"/>
      </w:rPr>
    </w:lvl>
    <w:lvl w:ilvl="2" w:tplc="90ACA6D2">
      <w:start w:val="1"/>
      <w:numFmt w:val="bullet"/>
      <w:lvlText w:val=""/>
      <w:lvlJc w:val="left"/>
      <w:pPr>
        <w:ind w:left="2160" w:hanging="360"/>
      </w:pPr>
      <w:rPr>
        <w:rFonts w:ascii="Wingdings" w:hAnsi="Wingdings" w:hint="default"/>
      </w:rPr>
    </w:lvl>
    <w:lvl w:ilvl="3" w:tplc="4302EF2E">
      <w:start w:val="1"/>
      <w:numFmt w:val="bullet"/>
      <w:lvlText w:val=""/>
      <w:lvlJc w:val="left"/>
      <w:pPr>
        <w:ind w:left="2880" w:hanging="360"/>
      </w:pPr>
      <w:rPr>
        <w:rFonts w:ascii="Symbol" w:hAnsi="Symbol" w:hint="default"/>
      </w:rPr>
    </w:lvl>
    <w:lvl w:ilvl="4" w:tplc="397001C4">
      <w:start w:val="1"/>
      <w:numFmt w:val="bullet"/>
      <w:lvlText w:val="o"/>
      <w:lvlJc w:val="left"/>
      <w:pPr>
        <w:ind w:left="3600" w:hanging="360"/>
      </w:pPr>
      <w:rPr>
        <w:rFonts w:ascii="Courier New" w:hAnsi="Courier New" w:cs="Courier New" w:hint="default"/>
      </w:rPr>
    </w:lvl>
    <w:lvl w:ilvl="5" w:tplc="F9E6850E">
      <w:start w:val="1"/>
      <w:numFmt w:val="bullet"/>
      <w:lvlText w:val=""/>
      <w:lvlJc w:val="left"/>
      <w:pPr>
        <w:ind w:left="4320" w:hanging="360"/>
      </w:pPr>
      <w:rPr>
        <w:rFonts w:ascii="Wingdings" w:hAnsi="Wingdings" w:hint="default"/>
      </w:rPr>
    </w:lvl>
    <w:lvl w:ilvl="6" w:tplc="0848F430">
      <w:start w:val="1"/>
      <w:numFmt w:val="bullet"/>
      <w:lvlText w:val=""/>
      <w:lvlJc w:val="left"/>
      <w:pPr>
        <w:ind w:left="5040" w:hanging="360"/>
      </w:pPr>
      <w:rPr>
        <w:rFonts w:ascii="Symbol" w:hAnsi="Symbol" w:hint="default"/>
      </w:rPr>
    </w:lvl>
    <w:lvl w:ilvl="7" w:tplc="66483C6A">
      <w:start w:val="1"/>
      <w:numFmt w:val="bullet"/>
      <w:lvlText w:val="o"/>
      <w:lvlJc w:val="left"/>
      <w:pPr>
        <w:ind w:left="5760" w:hanging="360"/>
      </w:pPr>
      <w:rPr>
        <w:rFonts w:ascii="Courier New" w:hAnsi="Courier New" w:cs="Courier New" w:hint="default"/>
      </w:rPr>
    </w:lvl>
    <w:lvl w:ilvl="8" w:tplc="28D28E76">
      <w:start w:val="1"/>
      <w:numFmt w:val="bullet"/>
      <w:lvlText w:val=""/>
      <w:lvlJc w:val="left"/>
      <w:pPr>
        <w:ind w:left="6480" w:hanging="360"/>
      </w:pPr>
      <w:rPr>
        <w:rFonts w:ascii="Wingdings" w:hAnsi="Wingdings" w:hint="default"/>
      </w:rPr>
    </w:lvl>
  </w:abstractNum>
  <w:abstractNum w:abstractNumId="16"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5033968"/>
    <w:multiLevelType w:val="hybridMultilevel"/>
    <w:tmpl w:val="06067304"/>
    <w:lvl w:ilvl="0" w:tplc="DEB67096">
      <w:start w:val="1"/>
      <w:numFmt w:val="bullet"/>
      <w:lvlText w:val=""/>
      <w:lvlJc w:val="left"/>
      <w:pPr>
        <w:ind w:left="720" w:hanging="360"/>
      </w:pPr>
      <w:rPr>
        <w:rFonts w:ascii="Symbol" w:hAnsi="Symbol" w:hint="default"/>
      </w:rPr>
    </w:lvl>
    <w:lvl w:ilvl="1" w:tplc="C0B6AEAA" w:tentative="1">
      <w:start w:val="1"/>
      <w:numFmt w:val="bullet"/>
      <w:lvlText w:val="o"/>
      <w:lvlJc w:val="left"/>
      <w:pPr>
        <w:ind w:left="1440" w:hanging="360"/>
      </w:pPr>
      <w:rPr>
        <w:rFonts w:ascii="Courier New" w:hAnsi="Courier New" w:cs="Courier New" w:hint="default"/>
      </w:rPr>
    </w:lvl>
    <w:lvl w:ilvl="2" w:tplc="3B9EAECE" w:tentative="1">
      <w:start w:val="1"/>
      <w:numFmt w:val="bullet"/>
      <w:lvlText w:val=""/>
      <w:lvlJc w:val="left"/>
      <w:pPr>
        <w:ind w:left="2160" w:hanging="360"/>
      </w:pPr>
      <w:rPr>
        <w:rFonts w:ascii="Wingdings" w:hAnsi="Wingdings" w:hint="default"/>
      </w:rPr>
    </w:lvl>
    <w:lvl w:ilvl="3" w:tplc="9A649C8C" w:tentative="1">
      <w:start w:val="1"/>
      <w:numFmt w:val="bullet"/>
      <w:lvlText w:val=""/>
      <w:lvlJc w:val="left"/>
      <w:pPr>
        <w:ind w:left="2880" w:hanging="360"/>
      </w:pPr>
      <w:rPr>
        <w:rFonts w:ascii="Symbol" w:hAnsi="Symbol" w:hint="default"/>
      </w:rPr>
    </w:lvl>
    <w:lvl w:ilvl="4" w:tplc="2C9E1A6A" w:tentative="1">
      <w:start w:val="1"/>
      <w:numFmt w:val="bullet"/>
      <w:lvlText w:val="o"/>
      <w:lvlJc w:val="left"/>
      <w:pPr>
        <w:ind w:left="3600" w:hanging="360"/>
      </w:pPr>
      <w:rPr>
        <w:rFonts w:ascii="Courier New" w:hAnsi="Courier New" w:cs="Courier New" w:hint="default"/>
      </w:rPr>
    </w:lvl>
    <w:lvl w:ilvl="5" w:tplc="A0CC48B8" w:tentative="1">
      <w:start w:val="1"/>
      <w:numFmt w:val="bullet"/>
      <w:lvlText w:val=""/>
      <w:lvlJc w:val="left"/>
      <w:pPr>
        <w:ind w:left="4320" w:hanging="360"/>
      </w:pPr>
      <w:rPr>
        <w:rFonts w:ascii="Wingdings" w:hAnsi="Wingdings" w:hint="default"/>
      </w:rPr>
    </w:lvl>
    <w:lvl w:ilvl="6" w:tplc="202237CE" w:tentative="1">
      <w:start w:val="1"/>
      <w:numFmt w:val="bullet"/>
      <w:lvlText w:val=""/>
      <w:lvlJc w:val="left"/>
      <w:pPr>
        <w:ind w:left="5040" w:hanging="360"/>
      </w:pPr>
      <w:rPr>
        <w:rFonts w:ascii="Symbol" w:hAnsi="Symbol" w:hint="default"/>
      </w:rPr>
    </w:lvl>
    <w:lvl w:ilvl="7" w:tplc="45B8F93C" w:tentative="1">
      <w:start w:val="1"/>
      <w:numFmt w:val="bullet"/>
      <w:lvlText w:val="o"/>
      <w:lvlJc w:val="left"/>
      <w:pPr>
        <w:ind w:left="5760" w:hanging="360"/>
      </w:pPr>
      <w:rPr>
        <w:rFonts w:ascii="Courier New" w:hAnsi="Courier New" w:cs="Courier New" w:hint="default"/>
      </w:rPr>
    </w:lvl>
    <w:lvl w:ilvl="8" w:tplc="28080578" w:tentative="1">
      <w:start w:val="1"/>
      <w:numFmt w:val="bullet"/>
      <w:lvlText w:val=""/>
      <w:lvlJc w:val="left"/>
      <w:pPr>
        <w:ind w:left="6480" w:hanging="360"/>
      </w:pPr>
      <w:rPr>
        <w:rFonts w:ascii="Wingdings" w:hAnsi="Wingdings" w:hint="default"/>
      </w:rPr>
    </w:lvl>
  </w:abstractNum>
  <w:abstractNum w:abstractNumId="18" w15:restartNumberingAfterBreak="0">
    <w:nsid w:val="7564555B"/>
    <w:multiLevelType w:val="hybridMultilevel"/>
    <w:tmpl w:val="90E29B2E"/>
    <w:lvl w:ilvl="0" w:tplc="DFAED1BE">
      <w:start w:val="1"/>
      <w:numFmt w:val="bullet"/>
      <w:lvlText w:val=""/>
      <w:lvlJc w:val="left"/>
      <w:pPr>
        <w:ind w:left="720" w:hanging="360"/>
      </w:pPr>
      <w:rPr>
        <w:rFonts w:ascii="Symbol" w:hAnsi="Symbol" w:hint="default"/>
      </w:rPr>
    </w:lvl>
    <w:lvl w:ilvl="1" w:tplc="DC1A72F0" w:tentative="1">
      <w:start w:val="1"/>
      <w:numFmt w:val="bullet"/>
      <w:lvlText w:val="o"/>
      <w:lvlJc w:val="left"/>
      <w:pPr>
        <w:ind w:left="1440" w:hanging="360"/>
      </w:pPr>
      <w:rPr>
        <w:rFonts w:ascii="Courier New" w:hAnsi="Courier New" w:cs="Courier New" w:hint="default"/>
      </w:rPr>
    </w:lvl>
    <w:lvl w:ilvl="2" w:tplc="E5A4431E" w:tentative="1">
      <w:start w:val="1"/>
      <w:numFmt w:val="bullet"/>
      <w:lvlText w:val=""/>
      <w:lvlJc w:val="left"/>
      <w:pPr>
        <w:ind w:left="2160" w:hanging="360"/>
      </w:pPr>
      <w:rPr>
        <w:rFonts w:ascii="Wingdings" w:hAnsi="Wingdings" w:hint="default"/>
      </w:rPr>
    </w:lvl>
    <w:lvl w:ilvl="3" w:tplc="308A79A8" w:tentative="1">
      <w:start w:val="1"/>
      <w:numFmt w:val="bullet"/>
      <w:lvlText w:val=""/>
      <w:lvlJc w:val="left"/>
      <w:pPr>
        <w:ind w:left="2880" w:hanging="360"/>
      </w:pPr>
      <w:rPr>
        <w:rFonts w:ascii="Symbol" w:hAnsi="Symbol" w:hint="default"/>
      </w:rPr>
    </w:lvl>
    <w:lvl w:ilvl="4" w:tplc="BB289624" w:tentative="1">
      <w:start w:val="1"/>
      <w:numFmt w:val="bullet"/>
      <w:lvlText w:val="o"/>
      <w:lvlJc w:val="left"/>
      <w:pPr>
        <w:ind w:left="3600" w:hanging="360"/>
      </w:pPr>
      <w:rPr>
        <w:rFonts w:ascii="Courier New" w:hAnsi="Courier New" w:cs="Courier New" w:hint="default"/>
      </w:rPr>
    </w:lvl>
    <w:lvl w:ilvl="5" w:tplc="5644DA86" w:tentative="1">
      <w:start w:val="1"/>
      <w:numFmt w:val="bullet"/>
      <w:lvlText w:val=""/>
      <w:lvlJc w:val="left"/>
      <w:pPr>
        <w:ind w:left="4320" w:hanging="360"/>
      </w:pPr>
      <w:rPr>
        <w:rFonts w:ascii="Wingdings" w:hAnsi="Wingdings" w:hint="default"/>
      </w:rPr>
    </w:lvl>
    <w:lvl w:ilvl="6" w:tplc="E41CAD02" w:tentative="1">
      <w:start w:val="1"/>
      <w:numFmt w:val="bullet"/>
      <w:lvlText w:val=""/>
      <w:lvlJc w:val="left"/>
      <w:pPr>
        <w:ind w:left="5040" w:hanging="360"/>
      </w:pPr>
      <w:rPr>
        <w:rFonts w:ascii="Symbol" w:hAnsi="Symbol" w:hint="default"/>
      </w:rPr>
    </w:lvl>
    <w:lvl w:ilvl="7" w:tplc="C08E893C" w:tentative="1">
      <w:start w:val="1"/>
      <w:numFmt w:val="bullet"/>
      <w:lvlText w:val="o"/>
      <w:lvlJc w:val="left"/>
      <w:pPr>
        <w:ind w:left="5760" w:hanging="360"/>
      </w:pPr>
      <w:rPr>
        <w:rFonts w:ascii="Courier New" w:hAnsi="Courier New" w:cs="Courier New" w:hint="default"/>
      </w:rPr>
    </w:lvl>
    <w:lvl w:ilvl="8" w:tplc="3E6295E6" w:tentative="1">
      <w:start w:val="1"/>
      <w:numFmt w:val="bullet"/>
      <w:lvlText w:val=""/>
      <w:lvlJc w:val="left"/>
      <w:pPr>
        <w:ind w:left="6480" w:hanging="360"/>
      </w:pPr>
      <w:rPr>
        <w:rFonts w:ascii="Wingdings" w:hAnsi="Wingdings" w:hint="default"/>
      </w:rPr>
    </w:lvl>
  </w:abstractNum>
  <w:abstractNum w:abstractNumId="19" w15:restartNumberingAfterBreak="0">
    <w:nsid w:val="7950537D"/>
    <w:multiLevelType w:val="hybridMultilevel"/>
    <w:tmpl w:val="573040D8"/>
    <w:lvl w:ilvl="0" w:tplc="C8643F52">
      <w:start w:val="1"/>
      <w:numFmt w:val="bullet"/>
      <w:lvlText w:val=""/>
      <w:lvlJc w:val="left"/>
      <w:pPr>
        <w:ind w:left="720" w:hanging="360"/>
      </w:pPr>
      <w:rPr>
        <w:rFonts w:ascii="Symbol" w:hAnsi="Symbol" w:hint="default"/>
      </w:rPr>
    </w:lvl>
    <w:lvl w:ilvl="1" w:tplc="A17CB77A" w:tentative="1">
      <w:start w:val="1"/>
      <w:numFmt w:val="bullet"/>
      <w:lvlText w:val="o"/>
      <w:lvlJc w:val="left"/>
      <w:pPr>
        <w:ind w:left="1440" w:hanging="360"/>
      </w:pPr>
      <w:rPr>
        <w:rFonts w:ascii="Courier New" w:hAnsi="Courier New" w:cs="Courier New" w:hint="default"/>
      </w:rPr>
    </w:lvl>
    <w:lvl w:ilvl="2" w:tplc="377CDBE4" w:tentative="1">
      <w:start w:val="1"/>
      <w:numFmt w:val="bullet"/>
      <w:lvlText w:val=""/>
      <w:lvlJc w:val="left"/>
      <w:pPr>
        <w:ind w:left="2160" w:hanging="360"/>
      </w:pPr>
      <w:rPr>
        <w:rFonts w:ascii="Wingdings" w:hAnsi="Wingdings" w:hint="default"/>
      </w:rPr>
    </w:lvl>
    <w:lvl w:ilvl="3" w:tplc="3830FC52" w:tentative="1">
      <w:start w:val="1"/>
      <w:numFmt w:val="bullet"/>
      <w:lvlText w:val=""/>
      <w:lvlJc w:val="left"/>
      <w:pPr>
        <w:ind w:left="2880" w:hanging="360"/>
      </w:pPr>
      <w:rPr>
        <w:rFonts w:ascii="Symbol" w:hAnsi="Symbol" w:hint="default"/>
      </w:rPr>
    </w:lvl>
    <w:lvl w:ilvl="4" w:tplc="7682D9CE" w:tentative="1">
      <w:start w:val="1"/>
      <w:numFmt w:val="bullet"/>
      <w:lvlText w:val="o"/>
      <w:lvlJc w:val="left"/>
      <w:pPr>
        <w:ind w:left="3600" w:hanging="360"/>
      </w:pPr>
      <w:rPr>
        <w:rFonts w:ascii="Courier New" w:hAnsi="Courier New" w:cs="Courier New" w:hint="default"/>
      </w:rPr>
    </w:lvl>
    <w:lvl w:ilvl="5" w:tplc="2F5C4374" w:tentative="1">
      <w:start w:val="1"/>
      <w:numFmt w:val="bullet"/>
      <w:lvlText w:val=""/>
      <w:lvlJc w:val="left"/>
      <w:pPr>
        <w:ind w:left="4320" w:hanging="360"/>
      </w:pPr>
      <w:rPr>
        <w:rFonts w:ascii="Wingdings" w:hAnsi="Wingdings" w:hint="default"/>
      </w:rPr>
    </w:lvl>
    <w:lvl w:ilvl="6" w:tplc="11404266" w:tentative="1">
      <w:start w:val="1"/>
      <w:numFmt w:val="bullet"/>
      <w:lvlText w:val=""/>
      <w:lvlJc w:val="left"/>
      <w:pPr>
        <w:ind w:left="5040" w:hanging="360"/>
      </w:pPr>
      <w:rPr>
        <w:rFonts w:ascii="Symbol" w:hAnsi="Symbol" w:hint="default"/>
      </w:rPr>
    </w:lvl>
    <w:lvl w:ilvl="7" w:tplc="94BC5578" w:tentative="1">
      <w:start w:val="1"/>
      <w:numFmt w:val="bullet"/>
      <w:lvlText w:val="o"/>
      <w:lvlJc w:val="left"/>
      <w:pPr>
        <w:ind w:left="5760" w:hanging="360"/>
      </w:pPr>
      <w:rPr>
        <w:rFonts w:ascii="Courier New" w:hAnsi="Courier New" w:cs="Courier New" w:hint="default"/>
      </w:rPr>
    </w:lvl>
    <w:lvl w:ilvl="8" w:tplc="6C1AA2B6" w:tentative="1">
      <w:start w:val="1"/>
      <w:numFmt w:val="bullet"/>
      <w:lvlText w:val=""/>
      <w:lvlJc w:val="left"/>
      <w:pPr>
        <w:ind w:left="6480" w:hanging="360"/>
      </w:pPr>
      <w:rPr>
        <w:rFonts w:ascii="Wingdings" w:hAnsi="Wingdings" w:hint="default"/>
      </w:rPr>
    </w:lvl>
  </w:abstractNum>
  <w:num w:numId="1" w16cid:durableId="798230211">
    <w:abstractNumId w:val="6"/>
  </w:num>
  <w:num w:numId="2" w16cid:durableId="1208221761">
    <w:abstractNumId w:val="19"/>
  </w:num>
  <w:num w:numId="3" w16cid:durableId="323360036">
    <w:abstractNumId w:val="13"/>
  </w:num>
  <w:num w:numId="4" w16cid:durableId="1675497173">
    <w:abstractNumId w:val="11"/>
  </w:num>
  <w:num w:numId="5" w16cid:durableId="572157237">
    <w:abstractNumId w:val="12"/>
  </w:num>
  <w:num w:numId="6" w16cid:durableId="1523394075">
    <w:abstractNumId w:val="9"/>
  </w:num>
  <w:num w:numId="7" w16cid:durableId="912929873">
    <w:abstractNumId w:val="16"/>
  </w:num>
  <w:num w:numId="8" w16cid:durableId="1358236838">
    <w:abstractNumId w:val="5"/>
  </w:num>
  <w:num w:numId="9" w16cid:durableId="1151404011">
    <w:abstractNumId w:val="4"/>
    <w:lvlOverride w:ilvl="0">
      <w:startOverride w:val="1"/>
    </w:lvlOverride>
  </w:num>
  <w:num w:numId="10" w16cid:durableId="1290628985">
    <w:abstractNumId w:val="3"/>
  </w:num>
  <w:num w:numId="11" w16cid:durableId="1562206760">
    <w:abstractNumId w:val="2"/>
  </w:num>
  <w:num w:numId="12" w16cid:durableId="132330503">
    <w:abstractNumId w:val="1"/>
    <w:lvlOverride w:ilvl="0">
      <w:startOverride w:val="1"/>
    </w:lvlOverride>
  </w:num>
  <w:num w:numId="13" w16cid:durableId="308243805">
    <w:abstractNumId w:val="0"/>
    <w:lvlOverride w:ilvl="0">
      <w:startOverride w:val="1"/>
    </w:lvlOverride>
  </w:num>
  <w:num w:numId="14" w16cid:durableId="1032729517">
    <w:abstractNumId w:val="6"/>
  </w:num>
  <w:num w:numId="15" w16cid:durableId="1176502972">
    <w:abstractNumId w:val="15"/>
  </w:num>
  <w:num w:numId="16" w16cid:durableId="394548625">
    <w:abstractNumId w:val="18"/>
  </w:num>
  <w:num w:numId="17" w16cid:durableId="827207734">
    <w:abstractNumId w:val="14"/>
  </w:num>
  <w:num w:numId="18" w16cid:durableId="26873946">
    <w:abstractNumId w:val="7"/>
  </w:num>
  <w:num w:numId="19" w16cid:durableId="111901963">
    <w:abstractNumId w:val="17"/>
  </w:num>
  <w:num w:numId="20" w16cid:durableId="389964126">
    <w:abstractNumId w:val="8"/>
  </w:num>
  <w:num w:numId="21" w16cid:durableId="1970281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EF"/>
    <w:rsid w:val="00000018"/>
    <w:rsid w:val="00007B53"/>
    <w:rsid w:val="0001011C"/>
    <w:rsid w:val="0001319C"/>
    <w:rsid w:val="00023655"/>
    <w:rsid w:val="0002666A"/>
    <w:rsid w:val="00041F34"/>
    <w:rsid w:val="00046E88"/>
    <w:rsid w:val="0005004C"/>
    <w:rsid w:val="00050DC6"/>
    <w:rsid w:val="00051983"/>
    <w:rsid w:val="00055494"/>
    <w:rsid w:val="00057131"/>
    <w:rsid w:val="0006233E"/>
    <w:rsid w:val="0006646C"/>
    <w:rsid w:val="000676FF"/>
    <w:rsid w:val="0007227E"/>
    <w:rsid w:val="000779D8"/>
    <w:rsid w:val="00077BE3"/>
    <w:rsid w:val="00077BE4"/>
    <w:rsid w:val="000925D2"/>
    <w:rsid w:val="0009706F"/>
    <w:rsid w:val="00097BDC"/>
    <w:rsid w:val="000B0546"/>
    <w:rsid w:val="000B1003"/>
    <w:rsid w:val="000B336B"/>
    <w:rsid w:val="000B4F21"/>
    <w:rsid w:val="000B6522"/>
    <w:rsid w:val="000C454B"/>
    <w:rsid w:val="000D208D"/>
    <w:rsid w:val="000D5790"/>
    <w:rsid w:val="000D61AB"/>
    <w:rsid w:val="000D67E5"/>
    <w:rsid w:val="000E34D8"/>
    <w:rsid w:val="001034BA"/>
    <w:rsid w:val="0010419F"/>
    <w:rsid w:val="00105071"/>
    <w:rsid w:val="00112021"/>
    <w:rsid w:val="00117D94"/>
    <w:rsid w:val="00120E00"/>
    <w:rsid w:val="00130160"/>
    <w:rsid w:val="00136BB5"/>
    <w:rsid w:val="00141640"/>
    <w:rsid w:val="00151E7F"/>
    <w:rsid w:val="001529E1"/>
    <w:rsid w:val="001538BD"/>
    <w:rsid w:val="00163B46"/>
    <w:rsid w:val="00164581"/>
    <w:rsid w:val="00174B11"/>
    <w:rsid w:val="00176B98"/>
    <w:rsid w:val="0019062E"/>
    <w:rsid w:val="00195685"/>
    <w:rsid w:val="00195AA0"/>
    <w:rsid w:val="00195C9C"/>
    <w:rsid w:val="00196839"/>
    <w:rsid w:val="001A53FE"/>
    <w:rsid w:val="001A5769"/>
    <w:rsid w:val="001B0704"/>
    <w:rsid w:val="001B4A66"/>
    <w:rsid w:val="001C0029"/>
    <w:rsid w:val="001D505D"/>
    <w:rsid w:val="001D5652"/>
    <w:rsid w:val="001E087F"/>
    <w:rsid w:val="001F19A3"/>
    <w:rsid w:val="002063B6"/>
    <w:rsid w:val="0021202C"/>
    <w:rsid w:val="00212BFA"/>
    <w:rsid w:val="00224B98"/>
    <w:rsid w:val="00244564"/>
    <w:rsid w:val="00263EE2"/>
    <w:rsid w:val="00264D8A"/>
    <w:rsid w:val="002747FE"/>
    <w:rsid w:val="00282534"/>
    <w:rsid w:val="00284FE5"/>
    <w:rsid w:val="00286AF6"/>
    <w:rsid w:val="0028705D"/>
    <w:rsid w:val="002938F8"/>
    <w:rsid w:val="002B11FF"/>
    <w:rsid w:val="002B2650"/>
    <w:rsid w:val="002C1DD5"/>
    <w:rsid w:val="002C2EB7"/>
    <w:rsid w:val="002C7DA3"/>
    <w:rsid w:val="002D0CE0"/>
    <w:rsid w:val="002E78D9"/>
    <w:rsid w:val="002F1852"/>
    <w:rsid w:val="002F4185"/>
    <w:rsid w:val="002F7A08"/>
    <w:rsid w:val="0031069F"/>
    <w:rsid w:val="003341FD"/>
    <w:rsid w:val="003417FC"/>
    <w:rsid w:val="00345DC5"/>
    <w:rsid w:val="00351E72"/>
    <w:rsid w:val="00356A9A"/>
    <w:rsid w:val="003675FE"/>
    <w:rsid w:val="0037623E"/>
    <w:rsid w:val="003A6BA6"/>
    <w:rsid w:val="003A71CB"/>
    <w:rsid w:val="003B156B"/>
    <w:rsid w:val="003B518C"/>
    <w:rsid w:val="003C7564"/>
    <w:rsid w:val="003D0404"/>
    <w:rsid w:val="003D1439"/>
    <w:rsid w:val="003F068A"/>
    <w:rsid w:val="003F4DFC"/>
    <w:rsid w:val="003F5FF5"/>
    <w:rsid w:val="004023FE"/>
    <w:rsid w:val="00402EE0"/>
    <w:rsid w:val="00404DC7"/>
    <w:rsid w:val="00415DAA"/>
    <w:rsid w:val="0042182A"/>
    <w:rsid w:val="00427987"/>
    <w:rsid w:val="00434FA2"/>
    <w:rsid w:val="004403D9"/>
    <w:rsid w:val="00445CD4"/>
    <w:rsid w:val="00450B48"/>
    <w:rsid w:val="0045238C"/>
    <w:rsid w:val="00456234"/>
    <w:rsid w:val="00463306"/>
    <w:rsid w:val="00471EFA"/>
    <w:rsid w:val="00475888"/>
    <w:rsid w:val="00475C58"/>
    <w:rsid w:val="0047681E"/>
    <w:rsid w:val="004838F4"/>
    <w:rsid w:val="00485E98"/>
    <w:rsid w:val="004A5045"/>
    <w:rsid w:val="004A7C5C"/>
    <w:rsid w:val="004B7B01"/>
    <w:rsid w:val="004C1386"/>
    <w:rsid w:val="004D70E4"/>
    <w:rsid w:val="004E4E8E"/>
    <w:rsid w:val="0050231C"/>
    <w:rsid w:val="0050776F"/>
    <w:rsid w:val="00522A58"/>
    <w:rsid w:val="005337C8"/>
    <w:rsid w:val="00544533"/>
    <w:rsid w:val="00546C93"/>
    <w:rsid w:val="00551FE0"/>
    <w:rsid w:val="005524D6"/>
    <w:rsid w:val="00552556"/>
    <w:rsid w:val="005531D2"/>
    <w:rsid w:val="00554543"/>
    <w:rsid w:val="00556701"/>
    <w:rsid w:val="00560B22"/>
    <w:rsid w:val="005636DE"/>
    <w:rsid w:val="00570869"/>
    <w:rsid w:val="00571D60"/>
    <w:rsid w:val="00572C83"/>
    <w:rsid w:val="0057353C"/>
    <w:rsid w:val="005838F6"/>
    <w:rsid w:val="0058567F"/>
    <w:rsid w:val="0058609D"/>
    <w:rsid w:val="0059005C"/>
    <w:rsid w:val="00590BEF"/>
    <w:rsid w:val="00590C65"/>
    <w:rsid w:val="005A36CB"/>
    <w:rsid w:val="005A394E"/>
    <w:rsid w:val="005A4260"/>
    <w:rsid w:val="005A5A5B"/>
    <w:rsid w:val="005C31F0"/>
    <w:rsid w:val="005D30C3"/>
    <w:rsid w:val="005D5B1D"/>
    <w:rsid w:val="005E72F9"/>
    <w:rsid w:val="005F5C07"/>
    <w:rsid w:val="00607000"/>
    <w:rsid w:val="00610919"/>
    <w:rsid w:val="0062193D"/>
    <w:rsid w:val="00630A90"/>
    <w:rsid w:val="006370AD"/>
    <w:rsid w:val="00640587"/>
    <w:rsid w:val="00641647"/>
    <w:rsid w:val="0064673C"/>
    <w:rsid w:val="00647485"/>
    <w:rsid w:val="006529C5"/>
    <w:rsid w:val="006540F7"/>
    <w:rsid w:val="006544B6"/>
    <w:rsid w:val="00656E5A"/>
    <w:rsid w:val="00661E5D"/>
    <w:rsid w:val="006626CD"/>
    <w:rsid w:val="00662F06"/>
    <w:rsid w:val="00664A4E"/>
    <w:rsid w:val="0068505E"/>
    <w:rsid w:val="00690FB8"/>
    <w:rsid w:val="006B2BBD"/>
    <w:rsid w:val="006C1CFB"/>
    <w:rsid w:val="006C6554"/>
    <w:rsid w:val="006D2EBD"/>
    <w:rsid w:val="006D49A7"/>
    <w:rsid w:val="006F024E"/>
    <w:rsid w:val="006F38A0"/>
    <w:rsid w:val="006F507A"/>
    <w:rsid w:val="00700946"/>
    <w:rsid w:val="007150EA"/>
    <w:rsid w:val="00717A23"/>
    <w:rsid w:val="007202FA"/>
    <w:rsid w:val="00723870"/>
    <w:rsid w:val="00724324"/>
    <w:rsid w:val="00731239"/>
    <w:rsid w:val="007413EC"/>
    <w:rsid w:val="00745B19"/>
    <w:rsid w:val="00745C4B"/>
    <w:rsid w:val="0074618E"/>
    <w:rsid w:val="007472C1"/>
    <w:rsid w:val="00750D09"/>
    <w:rsid w:val="0075499F"/>
    <w:rsid w:val="00764E80"/>
    <w:rsid w:val="007652AA"/>
    <w:rsid w:val="00774585"/>
    <w:rsid w:val="0077651B"/>
    <w:rsid w:val="007910FD"/>
    <w:rsid w:val="007A511C"/>
    <w:rsid w:val="007B0903"/>
    <w:rsid w:val="007B30B4"/>
    <w:rsid w:val="007B70F7"/>
    <w:rsid w:val="007C51D4"/>
    <w:rsid w:val="007C66D0"/>
    <w:rsid w:val="007D1B4F"/>
    <w:rsid w:val="007D6D30"/>
    <w:rsid w:val="007E2662"/>
    <w:rsid w:val="007E60C3"/>
    <w:rsid w:val="00800ADC"/>
    <w:rsid w:val="0080201B"/>
    <w:rsid w:val="008127C9"/>
    <w:rsid w:val="00812A60"/>
    <w:rsid w:val="008200EF"/>
    <w:rsid w:val="00822E16"/>
    <w:rsid w:val="008232BD"/>
    <w:rsid w:val="00831E28"/>
    <w:rsid w:val="008343AC"/>
    <w:rsid w:val="008424AB"/>
    <w:rsid w:val="00844CE9"/>
    <w:rsid w:val="008500C8"/>
    <w:rsid w:val="008502BF"/>
    <w:rsid w:val="0085338B"/>
    <w:rsid w:val="00861824"/>
    <w:rsid w:val="00861AE5"/>
    <w:rsid w:val="00864906"/>
    <w:rsid w:val="00864ED8"/>
    <w:rsid w:val="00870EF4"/>
    <w:rsid w:val="00873138"/>
    <w:rsid w:val="00873DED"/>
    <w:rsid w:val="00880FAF"/>
    <w:rsid w:val="00881AA2"/>
    <w:rsid w:val="0088362E"/>
    <w:rsid w:val="008A68AC"/>
    <w:rsid w:val="008B207F"/>
    <w:rsid w:val="008B2ECB"/>
    <w:rsid w:val="008C0055"/>
    <w:rsid w:val="008D2D2B"/>
    <w:rsid w:val="008D4A6F"/>
    <w:rsid w:val="008D691B"/>
    <w:rsid w:val="008E1E55"/>
    <w:rsid w:val="008F0F23"/>
    <w:rsid w:val="008F492E"/>
    <w:rsid w:val="008F4E23"/>
    <w:rsid w:val="00905FA7"/>
    <w:rsid w:val="00907CF3"/>
    <w:rsid w:val="00917FAC"/>
    <w:rsid w:val="00920097"/>
    <w:rsid w:val="009223B9"/>
    <w:rsid w:val="00925B0E"/>
    <w:rsid w:val="00927117"/>
    <w:rsid w:val="00927A88"/>
    <w:rsid w:val="00927F07"/>
    <w:rsid w:val="00935DBC"/>
    <w:rsid w:val="00943E39"/>
    <w:rsid w:val="00950F0B"/>
    <w:rsid w:val="009521E7"/>
    <w:rsid w:val="00957E2C"/>
    <w:rsid w:val="0096098E"/>
    <w:rsid w:val="009646EE"/>
    <w:rsid w:val="00965317"/>
    <w:rsid w:val="00970D34"/>
    <w:rsid w:val="00971CBA"/>
    <w:rsid w:val="00975467"/>
    <w:rsid w:val="00976634"/>
    <w:rsid w:val="00980E6E"/>
    <w:rsid w:val="00985469"/>
    <w:rsid w:val="00993AA8"/>
    <w:rsid w:val="009A5CF5"/>
    <w:rsid w:val="009A6DB0"/>
    <w:rsid w:val="009B2485"/>
    <w:rsid w:val="009D376E"/>
    <w:rsid w:val="009D3F62"/>
    <w:rsid w:val="009E1D82"/>
    <w:rsid w:val="009E387A"/>
    <w:rsid w:val="009E48C4"/>
    <w:rsid w:val="009E5EB1"/>
    <w:rsid w:val="009F3125"/>
    <w:rsid w:val="009F370A"/>
    <w:rsid w:val="009F4396"/>
    <w:rsid w:val="00A15B73"/>
    <w:rsid w:val="00A16D4A"/>
    <w:rsid w:val="00A23E52"/>
    <w:rsid w:val="00A2580F"/>
    <w:rsid w:val="00A3213B"/>
    <w:rsid w:val="00A3655A"/>
    <w:rsid w:val="00A4597F"/>
    <w:rsid w:val="00A506DF"/>
    <w:rsid w:val="00A52684"/>
    <w:rsid w:val="00A5382F"/>
    <w:rsid w:val="00A555FC"/>
    <w:rsid w:val="00A67E4F"/>
    <w:rsid w:val="00A71C48"/>
    <w:rsid w:val="00A75C23"/>
    <w:rsid w:val="00A81C15"/>
    <w:rsid w:val="00A87BDB"/>
    <w:rsid w:val="00AB4214"/>
    <w:rsid w:val="00AB7DAF"/>
    <w:rsid w:val="00AC29B2"/>
    <w:rsid w:val="00AD1735"/>
    <w:rsid w:val="00AD23EB"/>
    <w:rsid w:val="00AD4812"/>
    <w:rsid w:val="00AD7314"/>
    <w:rsid w:val="00AE3934"/>
    <w:rsid w:val="00AE5D15"/>
    <w:rsid w:val="00AF2671"/>
    <w:rsid w:val="00AF4D1E"/>
    <w:rsid w:val="00AF72A2"/>
    <w:rsid w:val="00B14ECE"/>
    <w:rsid w:val="00B203F9"/>
    <w:rsid w:val="00B21D08"/>
    <w:rsid w:val="00B2717A"/>
    <w:rsid w:val="00B27A71"/>
    <w:rsid w:val="00B3257E"/>
    <w:rsid w:val="00B44D04"/>
    <w:rsid w:val="00B53A64"/>
    <w:rsid w:val="00B569B6"/>
    <w:rsid w:val="00B56E74"/>
    <w:rsid w:val="00B61DBE"/>
    <w:rsid w:val="00B704E1"/>
    <w:rsid w:val="00B7560B"/>
    <w:rsid w:val="00B7677E"/>
    <w:rsid w:val="00B81FF1"/>
    <w:rsid w:val="00B8382B"/>
    <w:rsid w:val="00B85A09"/>
    <w:rsid w:val="00B870ED"/>
    <w:rsid w:val="00B966ED"/>
    <w:rsid w:val="00BA5133"/>
    <w:rsid w:val="00BC22C8"/>
    <w:rsid w:val="00BC23C8"/>
    <w:rsid w:val="00BE0B1F"/>
    <w:rsid w:val="00BE356A"/>
    <w:rsid w:val="00BE498B"/>
    <w:rsid w:val="00BE7D53"/>
    <w:rsid w:val="00BF010B"/>
    <w:rsid w:val="00BF0D4D"/>
    <w:rsid w:val="00BF2571"/>
    <w:rsid w:val="00BF2FD3"/>
    <w:rsid w:val="00BF4E5A"/>
    <w:rsid w:val="00C114C4"/>
    <w:rsid w:val="00C15849"/>
    <w:rsid w:val="00C20543"/>
    <w:rsid w:val="00C32445"/>
    <w:rsid w:val="00C333A9"/>
    <w:rsid w:val="00C45A92"/>
    <w:rsid w:val="00C4653A"/>
    <w:rsid w:val="00C515AB"/>
    <w:rsid w:val="00C525E3"/>
    <w:rsid w:val="00C60F98"/>
    <w:rsid w:val="00C61FB4"/>
    <w:rsid w:val="00C76B28"/>
    <w:rsid w:val="00C86F8E"/>
    <w:rsid w:val="00C913FB"/>
    <w:rsid w:val="00C94F55"/>
    <w:rsid w:val="00CA3EF3"/>
    <w:rsid w:val="00CB18CD"/>
    <w:rsid w:val="00CB4A8F"/>
    <w:rsid w:val="00CE12FC"/>
    <w:rsid w:val="00D00AC8"/>
    <w:rsid w:val="00D0263C"/>
    <w:rsid w:val="00D06FC9"/>
    <w:rsid w:val="00D10FD1"/>
    <w:rsid w:val="00D13575"/>
    <w:rsid w:val="00D15337"/>
    <w:rsid w:val="00D2653F"/>
    <w:rsid w:val="00D42D38"/>
    <w:rsid w:val="00D450D1"/>
    <w:rsid w:val="00D566BA"/>
    <w:rsid w:val="00D70E19"/>
    <w:rsid w:val="00D748B3"/>
    <w:rsid w:val="00D75014"/>
    <w:rsid w:val="00D82230"/>
    <w:rsid w:val="00D851E1"/>
    <w:rsid w:val="00D870AB"/>
    <w:rsid w:val="00D9000C"/>
    <w:rsid w:val="00D902DE"/>
    <w:rsid w:val="00DC0D8A"/>
    <w:rsid w:val="00DC6DB3"/>
    <w:rsid w:val="00DD0252"/>
    <w:rsid w:val="00DD04F3"/>
    <w:rsid w:val="00DD3F43"/>
    <w:rsid w:val="00DE7647"/>
    <w:rsid w:val="00DE7FC9"/>
    <w:rsid w:val="00DF4D01"/>
    <w:rsid w:val="00E0371B"/>
    <w:rsid w:val="00E07224"/>
    <w:rsid w:val="00E1092D"/>
    <w:rsid w:val="00E13985"/>
    <w:rsid w:val="00E17880"/>
    <w:rsid w:val="00E228D8"/>
    <w:rsid w:val="00E3084D"/>
    <w:rsid w:val="00E40F41"/>
    <w:rsid w:val="00E41A8C"/>
    <w:rsid w:val="00E43333"/>
    <w:rsid w:val="00E44AC4"/>
    <w:rsid w:val="00E44F23"/>
    <w:rsid w:val="00E46326"/>
    <w:rsid w:val="00E535D2"/>
    <w:rsid w:val="00E7236B"/>
    <w:rsid w:val="00E74729"/>
    <w:rsid w:val="00E84960"/>
    <w:rsid w:val="00E85F90"/>
    <w:rsid w:val="00E9738C"/>
    <w:rsid w:val="00E97A63"/>
    <w:rsid w:val="00E97EBE"/>
    <w:rsid w:val="00EA4EF2"/>
    <w:rsid w:val="00EA59EA"/>
    <w:rsid w:val="00EA69CB"/>
    <w:rsid w:val="00EB27BF"/>
    <w:rsid w:val="00EB404B"/>
    <w:rsid w:val="00EB4220"/>
    <w:rsid w:val="00EB7E4E"/>
    <w:rsid w:val="00EC7635"/>
    <w:rsid w:val="00ED15A1"/>
    <w:rsid w:val="00ED7935"/>
    <w:rsid w:val="00EE06BD"/>
    <w:rsid w:val="00EE61A8"/>
    <w:rsid w:val="00EF6B03"/>
    <w:rsid w:val="00F01FF6"/>
    <w:rsid w:val="00F13544"/>
    <w:rsid w:val="00F146C7"/>
    <w:rsid w:val="00F20D70"/>
    <w:rsid w:val="00F27C35"/>
    <w:rsid w:val="00F31303"/>
    <w:rsid w:val="00F36D6B"/>
    <w:rsid w:val="00F40CF5"/>
    <w:rsid w:val="00F4584D"/>
    <w:rsid w:val="00F46436"/>
    <w:rsid w:val="00F479C5"/>
    <w:rsid w:val="00F658B7"/>
    <w:rsid w:val="00F77A46"/>
    <w:rsid w:val="00F93172"/>
    <w:rsid w:val="00FA6C46"/>
    <w:rsid w:val="00FB3EE7"/>
    <w:rsid w:val="00FC0930"/>
    <w:rsid w:val="00FC09EC"/>
    <w:rsid w:val="00FC1D76"/>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9C453"/>
  <w15:chartTrackingRefBased/>
  <w15:docId w15:val="{24DF0625-F367-4340-BB81-13FA4E50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0" w:unhideWhenUsed="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qFormat/>
    <w:rsid w:val="00664A4E"/>
    <w:pPr>
      <w:keepNext/>
      <w:keepLines/>
      <w:spacing w:after="80"/>
      <w:outlineLvl w:val="1"/>
    </w:pPr>
    <w:rPr>
      <w:rFonts w:eastAsiaTheme="majorEastAsia" w:cstheme="majorBidi"/>
      <w:b/>
      <w:sz w:val="28"/>
      <w:szCs w:val="26"/>
    </w:rPr>
  </w:style>
  <w:style w:type="paragraph" w:styleId="Heading3">
    <w:name w:val="heading 3"/>
    <w:basedOn w:val="Heading2"/>
    <w:next w:val="Normal"/>
    <w:link w:val="Heading3Char"/>
    <w:qFormat/>
    <w:rsid w:val="00B2717A"/>
    <w:pPr>
      <w:outlineLvl w:val="2"/>
    </w:pPr>
  </w:style>
  <w:style w:type="paragraph" w:styleId="Heading4">
    <w:name w:val="heading 4"/>
    <w:basedOn w:val="Normal"/>
    <w:next w:val="Normal"/>
    <w:link w:val="Heading4Char"/>
    <w:qFormat/>
    <w:rsid w:val="0006646C"/>
    <w:pPr>
      <w:keepNext/>
      <w:keepLines/>
      <w:spacing w:after="0"/>
      <w:outlineLvl w:val="3"/>
    </w:pPr>
    <w:rPr>
      <w:rFonts w:eastAsiaTheme="majorEastAsia" w:cstheme="majorBidi"/>
      <w:b/>
      <w:iCs/>
      <w:color w:val="5A5A5A"/>
    </w:rPr>
  </w:style>
  <w:style w:type="paragraph" w:styleId="Heading5">
    <w:name w:val="heading 5"/>
    <w:basedOn w:val="Normal"/>
    <w:next w:val="Normal"/>
    <w:link w:val="Heading5Char"/>
    <w:semiHidden/>
    <w:unhideWhenUsed/>
    <w:qFormat/>
    <w:rsid w:val="00590BEF"/>
    <w:pPr>
      <w:spacing w:after="0"/>
      <w:outlineLvl w:val="4"/>
    </w:pPr>
    <w:rPr>
      <w:rFonts w:ascii="Gill Sans MT" w:eastAsia="Times New Roman" w:hAnsi="Gill Sans MT" w:cs="Times New Roman"/>
      <w:b/>
      <w:bCs/>
      <w:i/>
      <w:iCs/>
      <w:kern w:val="0"/>
      <w:sz w:val="26"/>
      <w:szCs w:val="26"/>
      <w14:ligatures w14:val="none"/>
    </w:rPr>
  </w:style>
  <w:style w:type="paragraph" w:styleId="Heading6">
    <w:name w:val="heading 6"/>
    <w:basedOn w:val="Normal"/>
    <w:next w:val="Normal"/>
    <w:link w:val="Heading6Char"/>
    <w:semiHidden/>
    <w:unhideWhenUsed/>
    <w:qFormat/>
    <w:rsid w:val="00590BEF"/>
    <w:pPr>
      <w:spacing w:after="0"/>
      <w:outlineLvl w:val="5"/>
    </w:pPr>
    <w:rPr>
      <w:rFonts w:ascii="Gill Sans MT" w:eastAsia="Times New Roman" w:hAnsi="Gill Sans MT" w:cs="Times New Roman"/>
      <w:b/>
      <w:bCs/>
      <w:i/>
      <w:kern w:val="0"/>
      <w:sz w:val="22"/>
      <w14:ligatures w14:val="none"/>
    </w:rPr>
  </w:style>
  <w:style w:type="paragraph" w:styleId="Heading7">
    <w:name w:val="heading 7"/>
    <w:basedOn w:val="Normal"/>
    <w:next w:val="Normal"/>
    <w:link w:val="Heading7Char"/>
    <w:uiPriority w:val="99"/>
    <w:semiHidden/>
    <w:unhideWhenUsed/>
    <w:qFormat/>
    <w:rsid w:val="00590BEF"/>
    <w:pPr>
      <w:keepNext/>
      <w:spacing w:after="0"/>
      <w:jc w:val="center"/>
      <w:outlineLvl w:val="6"/>
    </w:pPr>
    <w:rPr>
      <w:rFonts w:ascii="Gill Sans MT" w:eastAsia="Times New Roman" w:hAnsi="Gill Sans MT" w:cs="Arial"/>
      <w:b/>
      <w:kern w:val="0"/>
      <w:sz w:val="22"/>
      <w:szCs w:val="40"/>
      <w14:ligatures w14:val="none"/>
    </w:rPr>
  </w:style>
  <w:style w:type="paragraph" w:styleId="Heading8">
    <w:name w:val="heading 8"/>
    <w:basedOn w:val="Normal"/>
    <w:next w:val="Normal"/>
    <w:link w:val="Heading8Char"/>
    <w:uiPriority w:val="99"/>
    <w:semiHidden/>
    <w:unhideWhenUsed/>
    <w:qFormat/>
    <w:rsid w:val="00590BEF"/>
    <w:pPr>
      <w:keepNext/>
      <w:spacing w:after="0"/>
      <w:outlineLvl w:val="7"/>
    </w:pPr>
    <w:rPr>
      <w:rFonts w:ascii="Gill Sans MT" w:eastAsia="Times New Roman" w:hAnsi="Gill Sans MT" w:cs="Times New Roman"/>
      <w:b/>
      <w:i/>
      <w:kern w:val="0"/>
      <w:sz w:val="22"/>
      <w:szCs w:val="24"/>
      <w14:ligatures w14:val="none"/>
    </w:rPr>
  </w:style>
  <w:style w:type="paragraph" w:styleId="Heading9">
    <w:name w:val="heading 9"/>
    <w:basedOn w:val="Normal"/>
    <w:next w:val="Normal"/>
    <w:link w:val="Heading9Char"/>
    <w:uiPriority w:val="99"/>
    <w:semiHidden/>
    <w:unhideWhenUsed/>
    <w:qFormat/>
    <w:rsid w:val="00590BEF"/>
    <w:pPr>
      <w:keepNext/>
      <w:spacing w:after="0"/>
      <w:outlineLvl w:val="8"/>
    </w:pPr>
    <w:rPr>
      <w:rFonts w:ascii="Gill Sans MT" w:eastAsia="Times New Roman" w:hAnsi="Gill Sans MT" w:cs="Arial"/>
      <w:i/>
      <w:kern w:val="0"/>
      <w:sz w:val="2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99"/>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99"/>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99"/>
    <w:rsid w:val="0057353C"/>
    <w:rPr>
      <w:rFonts w:ascii="Verdana" w:eastAsiaTheme="minorEastAsia" w:hAnsi="Verdana"/>
      <w:b/>
      <w:sz w:val="32"/>
    </w:rPr>
  </w:style>
  <w:style w:type="character" w:customStyle="1" w:styleId="Heading1Char">
    <w:name w:val="Heading 1 Char"/>
    <w:basedOn w:val="DefaultParagraphFont"/>
    <w:link w:val="Heading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rsid w:val="00B2717A"/>
    <w:rPr>
      <w:rFonts w:ascii="Verdana" w:eastAsiaTheme="majorEastAsia" w:hAnsi="Verdana" w:cstheme="majorBidi"/>
      <w:b/>
      <w:sz w:val="28"/>
      <w:szCs w:val="26"/>
    </w:rPr>
  </w:style>
  <w:style w:type="character" w:customStyle="1" w:styleId="Heading4Char">
    <w:name w:val="Heading 4 Char"/>
    <w:basedOn w:val="DefaultParagraphFont"/>
    <w:link w:val="Heading4"/>
    <w:rsid w:val="0057353C"/>
    <w:rPr>
      <w:rFonts w:ascii="Verdana" w:eastAsiaTheme="majorEastAsia" w:hAnsi="Verdana" w:cstheme="majorBidi"/>
      <w:b/>
      <w:iCs/>
      <w:color w:val="5A5A5A"/>
      <w:sz w:val="24"/>
    </w:rPr>
  </w:style>
  <w:style w:type="paragraph" w:styleId="ListParagraph">
    <w:name w:val="List Paragraph"/>
    <w:aliases w:val="Bullet 1,Bullet Points,Colorful List - Accent 11,Dot pt,F5 List Paragraph,Indicator Text,List Paragraph Char Char Char,List Paragraph1,List Paragraph11,List Paragraph2,MAIN CONTENT,No Spacing1,Numbered Para 1,Subtitle Cover Page,igunore"/>
    <w:basedOn w:val="Normal"/>
    <w:link w:val="ListParagraphChar"/>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1069"/>
    </w:pPr>
  </w:style>
  <w:style w:type="paragraph" w:styleId="Quote">
    <w:name w:val="Quote"/>
    <w:basedOn w:val="Normal"/>
    <w:next w:val="Normal"/>
    <w:link w:val="QuoteChar"/>
    <w:uiPriority w:val="29"/>
    <w:qFormat/>
    <w:rsid w:val="00920097"/>
    <w:pPr>
      <w:keepLines/>
      <w:ind w:left="567" w:right="567"/>
    </w:pPr>
    <w:rPr>
      <w:iCs/>
    </w:rPr>
  </w:style>
  <w:style w:type="character" w:customStyle="1" w:styleId="QuoteChar">
    <w:name w:val="Quote Char"/>
    <w:basedOn w:val="DefaultParagraphFont"/>
    <w:link w:val="Quote"/>
    <w:uiPriority w:val="29"/>
    <w:rsid w:val="0057353C"/>
    <w:rPr>
      <w:rFonts w:ascii="Verdana" w:hAnsi="Verdana"/>
      <w:iCs/>
      <w:sz w:val="24"/>
    </w:rPr>
  </w:style>
  <w:style w:type="paragraph" w:styleId="Caption">
    <w:name w:val="caption"/>
    <w:basedOn w:val="Normal"/>
    <w:next w:val="Normal"/>
    <w:uiPriority w:val="99"/>
    <w:qFormat/>
    <w:rsid w:val="00920097"/>
    <w:pPr>
      <w:spacing w:before="40" w:after="200"/>
    </w:pPr>
    <w:rPr>
      <w:b/>
      <w:iCs/>
      <w:szCs w:val="18"/>
    </w:rPr>
  </w:style>
  <w:style w:type="paragraph" w:styleId="Header">
    <w:name w:val="header"/>
    <w:basedOn w:val="Normal"/>
    <w:link w:val="HeaderChar"/>
    <w:uiPriority w:val="99"/>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99"/>
    <w:rsid w:val="00B8382B"/>
    <w:rPr>
      <w:rFonts w:ascii="Verdana" w:hAnsi="Verdana"/>
      <w:color w:val="5A5A5A"/>
    </w:rPr>
  </w:style>
  <w:style w:type="paragraph" w:styleId="Footer">
    <w:name w:val="footer"/>
    <w:basedOn w:val="Normal"/>
    <w:link w:val="FooterChar"/>
    <w:uiPriority w:val="99"/>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99"/>
    <w:rsid w:val="00B8382B"/>
    <w:rPr>
      <w:rFonts w:ascii="Verdana" w:hAnsi="Verdana"/>
      <w:color w:val="5A5A5A"/>
    </w:rPr>
  </w:style>
  <w:style w:type="paragraph" w:styleId="FootnoteText">
    <w:name w:val="footnote text"/>
    <w:basedOn w:val="Normal"/>
    <w:link w:val="FootnoteTextChar"/>
    <w:unhideWhenUsed/>
    <w:rsid w:val="004D70E4"/>
    <w:pPr>
      <w:spacing w:after="0"/>
    </w:pPr>
    <w:rPr>
      <w:sz w:val="20"/>
      <w:szCs w:val="20"/>
    </w:rPr>
  </w:style>
  <w:style w:type="character" w:customStyle="1" w:styleId="FootnoteTextChar">
    <w:name w:val="Footnote Text Char"/>
    <w:basedOn w:val="DefaultParagraphFont"/>
    <w:link w:val="FootnoteText"/>
    <w:rsid w:val="004D70E4"/>
    <w:rPr>
      <w:rFonts w:ascii="Verdana" w:hAnsi="Verdana"/>
      <w:sz w:val="20"/>
      <w:szCs w:val="20"/>
    </w:rPr>
  </w:style>
  <w:style w:type="character" w:styleId="FootnoteReference">
    <w:name w:val="footnote reference"/>
    <w:basedOn w:val="DefaultParagraphFont"/>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3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customStyle="1" w:styleId="Heading5Char">
    <w:name w:val="Heading 5 Char"/>
    <w:basedOn w:val="DefaultParagraphFont"/>
    <w:link w:val="Heading5"/>
    <w:semiHidden/>
    <w:rsid w:val="00590BEF"/>
    <w:rPr>
      <w:rFonts w:ascii="Gill Sans MT" w:eastAsia="Times New Roman" w:hAnsi="Gill Sans MT" w:cs="Times New Roman"/>
      <w:b/>
      <w:bCs/>
      <w:i/>
      <w:iCs/>
      <w:kern w:val="0"/>
      <w:sz w:val="26"/>
      <w:szCs w:val="26"/>
      <w14:ligatures w14:val="none"/>
    </w:rPr>
  </w:style>
  <w:style w:type="character" w:customStyle="1" w:styleId="Heading6Char">
    <w:name w:val="Heading 6 Char"/>
    <w:basedOn w:val="DefaultParagraphFont"/>
    <w:link w:val="Heading6"/>
    <w:semiHidden/>
    <w:rsid w:val="00590BEF"/>
    <w:rPr>
      <w:rFonts w:ascii="Gill Sans MT" w:eastAsia="Times New Roman" w:hAnsi="Gill Sans MT" w:cs="Times New Roman"/>
      <w:b/>
      <w:bCs/>
      <w:i/>
      <w:kern w:val="0"/>
      <w14:ligatures w14:val="none"/>
    </w:rPr>
  </w:style>
  <w:style w:type="character" w:customStyle="1" w:styleId="Heading7Char">
    <w:name w:val="Heading 7 Char"/>
    <w:basedOn w:val="DefaultParagraphFont"/>
    <w:link w:val="Heading7"/>
    <w:uiPriority w:val="99"/>
    <w:semiHidden/>
    <w:rsid w:val="00590BEF"/>
    <w:rPr>
      <w:rFonts w:ascii="Gill Sans MT" w:eastAsia="Times New Roman" w:hAnsi="Gill Sans MT" w:cs="Arial"/>
      <w:b/>
      <w:kern w:val="0"/>
      <w:szCs w:val="40"/>
      <w14:ligatures w14:val="none"/>
    </w:rPr>
  </w:style>
  <w:style w:type="character" w:customStyle="1" w:styleId="Heading8Char">
    <w:name w:val="Heading 8 Char"/>
    <w:basedOn w:val="DefaultParagraphFont"/>
    <w:link w:val="Heading8"/>
    <w:uiPriority w:val="99"/>
    <w:semiHidden/>
    <w:rsid w:val="00590BEF"/>
    <w:rPr>
      <w:rFonts w:ascii="Gill Sans MT" w:eastAsia="Times New Roman" w:hAnsi="Gill Sans MT" w:cs="Times New Roman"/>
      <w:b/>
      <w:i/>
      <w:kern w:val="0"/>
      <w:szCs w:val="24"/>
      <w14:ligatures w14:val="none"/>
    </w:rPr>
  </w:style>
  <w:style w:type="character" w:customStyle="1" w:styleId="Heading9Char">
    <w:name w:val="Heading 9 Char"/>
    <w:basedOn w:val="DefaultParagraphFont"/>
    <w:link w:val="Heading9"/>
    <w:uiPriority w:val="99"/>
    <w:semiHidden/>
    <w:rsid w:val="00590BEF"/>
    <w:rPr>
      <w:rFonts w:ascii="Gill Sans MT" w:eastAsia="Times New Roman" w:hAnsi="Gill Sans MT" w:cs="Arial"/>
      <w:i/>
      <w:kern w:val="0"/>
      <w:szCs w:val="32"/>
      <w14:ligatures w14:val="none"/>
    </w:rPr>
  </w:style>
  <w:style w:type="character" w:styleId="FollowedHyperlink">
    <w:name w:val="FollowedHyperlink"/>
    <w:uiPriority w:val="99"/>
    <w:semiHidden/>
    <w:unhideWhenUsed/>
    <w:rsid w:val="00590BEF"/>
    <w:rPr>
      <w:color w:val="800080"/>
      <w:u w:val="single"/>
    </w:rPr>
  </w:style>
  <w:style w:type="character" w:styleId="Emphasis">
    <w:name w:val="Emphasis"/>
    <w:qFormat/>
    <w:rsid w:val="00590BEF"/>
    <w:rPr>
      <w:i/>
      <w:iCs w:val="0"/>
    </w:rPr>
  </w:style>
  <w:style w:type="character" w:styleId="Strong">
    <w:name w:val="Strong"/>
    <w:qFormat/>
    <w:rsid w:val="00590BEF"/>
    <w:rPr>
      <w:rFonts w:ascii="Gill Sans MT" w:hAnsi="Gill Sans MT" w:hint="default"/>
      <w:b/>
      <w:bCs/>
    </w:rPr>
  </w:style>
  <w:style w:type="paragraph" w:customStyle="1" w:styleId="msonormal0">
    <w:name w:val="msonormal"/>
    <w:basedOn w:val="Normal"/>
    <w:uiPriority w:val="99"/>
    <w:rsid w:val="00590BEF"/>
    <w:pPr>
      <w:spacing w:before="100" w:beforeAutospacing="1" w:after="100" w:afterAutospacing="1"/>
    </w:pPr>
    <w:rPr>
      <w:rFonts w:ascii="Times New Roman" w:eastAsia="Times New Roman" w:hAnsi="Times New Roman" w:cs="Times New Roman"/>
      <w:kern w:val="0"/>
      <w:szCs w:val="24"/>
      <w:lang w:eastAsia="en-IE"/>
      <w14:ligatures w14:val="none"/>
    </w:rPr>
  </w:style>
  <w:style w:type="paragraph" w:styleId="NormalWeb">
    <w:name w:val="Normal (Web)"/>
    <w:basedOn w:val="Normal"/>
    <w:uiPriority w:val="99"/>
    <w:semiHidden/>
    <w:unhideWhenUsed/>
    <w:rsid w:val="00590BEF"/>
    <w:pPr>
      <w:spacing w:before="100" w:beforeAutospacing="1" w:after="100" w:afterAutospacing="1"/>
    </w:pPr>
    <w:rPr>
      <w:rFonts w:ascii="Times New Roman" w:eastAsia="Times New Roman" w:hAnsi="Times New Roman" w:cs="Times New Roman"/>
      <w:kern w:val="0"/>
      <w:szCs w:val="24"/>
      <w:lang w:eastAsia="en-IE"/>
      <w14:ligatures w14:val="none"/>
    </w:rPr>
  </w:style>
  <w:style w:type="paragraph" w:styleId="TOC1">
    <w:name w:val="toc 1"/>
    <w:basedOn w:val="Normal"/>
    <w:next w:val="Normal"/>
    <w:autoRedefine/>
    <w:uiPriority w:val="39"/>
    <w:unhideWhenUsed/>
    <w:qFormat/>
    <w:rsid w:val="00E3084D"/>
    <w:pPr>
      <w:keepNext/>
      <w:keepLines/>
      <w:tabs>
        <w:tab w:val="right" w:leader="dot" w:pos="8630"/>
      </w:tabs>
      <w:spacing w:after="120"/>
      <w:ind w:right="567"/>
    </w:pPr>
    <w:rPr>
      <w:rFonts w:eastAsia="Times New Roman" w:cs="Arial"/>
      <w:b/>
      <w:bCs/>
      <w:noProof/>
      <w:kern w:val="32"/>
      <w:szCs w:val="24"/>
      <w:lang w:val="ga"/>
      <w14:ligatures w14:val="none"/>
    </w:rPr>
  </w:style>
  <w:style w:type="paragraph" w:styleId="TOC2">
    <w:name w:val="toc 2"/>
    <w:basedOn w:val="Normal"/>
    <w:next w:val="Normal"/>
    <w:autoRedefine/>
    <w:uiPriority w:val="39"/>
    <w:unhideWhenUsed/>
    <w:qFormat/>
    <w:rsid w:val="00445CD4"/>
    <w:pPr>
      <w:keepLines/>
      <w:tabs>
        <w:tab w:val="right" w:leader="dot" w:pos="8630"/>
      </w:tabs>
      <w:spacing w:after="120"/>
      <w:ind w:left="261" w:right="380"/>
    </w:pPr>
    <w:rPr>
      <w:rFonts w:ascii="Gill Sans MT" w:eastAsia="Times New Roman" w:hAnsi="Gill Sans MT" w:cs="Times New Roman"/>
      <w:kern w:val="0"/>
      <w:sz w:val="26"/>
      <w:szCs w:val="24"/>
      <w14:ligatures w14:val="none"/>
    </w:rPr>
  </w:style>
  <w:style w:type="paragraph" w:styleId="TOC3">
    <w:name w:val="toc 3"/>
    <w:basedOn w:val="Normal"/>
    <w:next w:val="Normal"/>
    <w:autoRedefine/>
    <w:uiPriority w:val="39"/>
    <w:unhideWhenUsed/>
    <w:qFormat/>
    <w:rsid w:val="00E44F23"/>
    <w:pPr>
      <w:tabs>
        <w:tab w:val="right" w:leader="dot" w:pos="8637"/>
        <w:tab w:val="right" w:leader="dot" w:pos="9016"/>
      </w:tabs>
      <w:spacing w:after="100"/>
      <w:ind w:left="284" w:right="379"/>
    </w:pPr>
    <w:rPr>
      <w:rFonts w:eastAsia="Times New Roman" w:cs="Times New Roman"/>
      <w:noProof/>
      <w:kern w:val="0"/>
      <w:szCs w:val="24"/>
      <w14:ligatures w14:val="none"/>
    </w:rPr>
  </w:style>
  <w:style w:type="paragraph" w:styleId="NormalIndent">
    <w:name w:val="Normal Indent"/>
    <w:basedOn w:val="Normal"/>
    <w:uiPriority w:val="99"/>
    <w:semiHidden/>
    <w:unhideWhenUsed/>
    <w:rsid w:val="00590BEF"/>
    <w:pPr>
      <w:ind w:left="720"/>
    </w:pPr>
    <w:rPr>
      <w:rFonts w:ascii="Gill Sans MT" w:eastAsia="Times New Roman" w:hAnsi="Gill Sans MT" w:cs="Times New Roman"/>
      <w:kern w:val="0"/>
      <w:sz w:val="26"/>
      <w:szCs w:val="24"/>
      <w14:ligatures w14:val="none"/>
    </w:rPr>
  </w:style>
  <w:style w:type="paragraph" w:styleId="CommentText">
    <w:name w:val="annotation text"/>
    <w:basedOn w:val="Normal"/>
    <w:link w:val="CommentTextChar"/>
    <w:uiPriority w:val="99"/>
    <w:unhideWhenUsed/>
    <w:rsid w:val="00590BEF"/>
    <w:rPr>
      <w:rFonts w:ascii="Arial" w:eastAsia="Times New Roman" w:hAnsi="Arial" w:cs="Times New Roman"/>
      <w:kern w:val="0"/>
      <w:sz w:val="20"/>
      <w:szCs w:val="24"/>
      <w:lang w:val="x-none"/>
      <w14:ligatures w14:val="none"/>
    </w:rPr>
  </w:style>
  <w:style w:type="character" w:customStyle="1" w:styleId="CommentTextChar">
    <w:name w:val="Comment Text Char"/>
    <w:basedOn w:val="DefaultParagraphFont"/>
    <w:link w:val="CommentText"/>
    <w:uiPriority w:val="99"/>
    <w:rsid w:val="00590BEF"/>
    <w:rPr>
      <w:rFonts w:ascii="Arial" w:eastAsia="Times New Roman" w:hAnsi="Arial" w:cs="Times New Roman"/>
      <w:kern w:val="0"/>
      <w:sz w:val="20"/>
      <w:szCs w:val="24"/>
      <w:lang w:val="x-none"/>
      <w14:ligatures w14:val="none"/>
    </w:rPr>
  </w:style>
  <w:style w:type="paragraph" w:styleId="EndnoteText">
    <w:name w:val="endnote text"/>
    <w:basedOn w:val="Normal"/>
    <w:link w:val="EndnoteTextChar"/>
    <w:uiPriority w:val="99"/>
    <w:semiHidden/>
    <w:unhideWhenUsed/>
    <w:rsid w:val="00590BEF"/>
    <w:pPr>
      <w:spacing w:after="0"/>
    </w:pPr>
    <w:rPr>
      <w:rFonts w:ascii="Gill Sans MT" w:eastAsia="Times New Roman" w:hAnsi="Gill Sans MT" w:cs="Times New Roman"/>
      <w:kern w:val="0"/>
      <w:sz w:val="20"/>
      <w:szCs w:val="20"/>
      <w14:ligatures w14:val="none"/>
    </w:rPr>
  </w:style>
  <w:style w:type="character" w:customStyle="1" w:styleId="EndnoteTextChar">
    <w:name w:val="Endnote Text Char"/>
    <w:basedOn w:val="DefaultParagraphFont"/>
    <w:link w:val="EndnoteText"/>
    <w:uiPriority w:val="99"/>
    <w:semiHidden/>
    <w:rsid w:val="00590BEF"/>
    <w:rPr>
      <w:rFonts w:ascii="Gill Sans MT" w:eastAsia="Times New Roman" w:hAnsi="Gill Sans MT" w:cs="Times New Roman"/>
      <w:kern w:val="0"/>
      <w:sz w:val="20"/>
      <w:szCs w:val="20"/>
      <w14:ligatures w14:val="none"/>
    </w:rPr>
  </w:style>
  <w:style w:type="paragraph" w:styleId="MacroText">
    <w:name w:val="macro"/>
    <w:link w:val="MacroTextChar"/>
    <w:uiPriority w:val="99"/>
    <w:semiHidden/>
    <w:unhideWhenUsed/>
    <w:rsid w:val="00590BEF"/>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kern w:val="0"/>
      <w:sz w:val="20"/>
      <w:szCs w:val="20"/>
      <w14:ligatures w14:val="none"/>
    </w:rPr>
  </w:style>
  <w:style w:type="character" w:customStyle="1" w:styleId="MacroTextChar">
    <w:name w:val="Macro Text Char"/>
    <w:basedOn w:val="DefaultParagraphFont"/>
    <w:link w:val="MacroText"/>
    <w:uiPriority w:val="99"/>
    <w:semiHidden/>
    <w:rsid w:val="00590BEF"/>
    <w:rPr>
      <w:rFonts w:ascii="Courier New" w:eastAsia="Times New Roman" w:hAnsi="Courier New" w:cs="Courier New"/>
      <w:kern w:val="0"/>
      <w:sz w:val="20"/>
      <w:szCs w:val="20"/>
      <w14:ligatures w14:val="none"/>
    </w:rPr>
  </w:style>
  <w:style w:type="paragraph" w:styleId="ListBullet">
    <w:name w:val="List Bullet"/>
    <w:aliases w:val="List Bullet Char,List Bullet Char Char Char Char Char"/>
    <w:basedOn w:val="Normal"/>
    <w:uiPriority w:val="99"/>
    <w:semiHidden/>
    <w:unhideWhenUsed/>
    <w:rsid w:val="00590BEF"/>
    <w:pPr>
      <w:numPr>
        <w:numId w:val="8"/>
      </w:numPr>
      <w:spacing w:after="120"/>
      <w:ind w:left="357" w:hanging="357"/>
    </w:pPr>
    <w:rPr>
      <w:rFonts w:ascii="Gill Sans MT" w:eastAsia="Times New Roman" w:hAnsi="Gill Sans MT" w:cs="Times New Roman"/>
      <w:kern w:val="0"/>
      <w:sz w:val="26"/>
      <w:szCs w:val="24"/>
      <w14:ligatures w14:val="none"/>
    </w:rPr>
  </w:style>
  <w:style w:type="paragraph" w:styleId="ListNumber">
    <w:name w:val="List Number"/>
    <w:basedOn w:val="Normal"/>
    <w:uiPriority w:val="99"/>
    <w:semiHidden/>
    <w:unhideWhenUsed/>
    <w:rsid w:val="00590BEF"/>
    <w:pPr>
      <w:numPr>
        <w:numId w:val="9"/>
      </w:numPr>
      <w:spacing w:after="120"/>
    </w:pPr>
    <w:rPr>
      <w:rFonts w:ascii="Gill Sans MT" w:eastAsia="Times New Roman" w:hAnsi="Gill Sans MT" w:cs="Times New Roman"/>
      <w:kern w:val="0"/>
      <w:sz w:val="26"/>
      <w:szCs w:val="24"/>
      <w14:ligatures w14:val="none"/>
    </w:rPr>
  </w:style>
  <w:style w:type="paragraph" w:styleId="ListBullet2">
    <w:name w:val="List Bullet 2"/>
    <w:basedOn w:val="Normal"/>
    <w:uiPriority w:val="99"/>
    <w:semiHidden/>
    <w:unhideWhenUsed/>
    <w:rsid w:val="00590BEF"/>
    <w:pPr>
      <w:numPr>
        <w:numId w:val="10"/>
      </w:numPr>
      <w:tabs>
        <w:tab w:val="left" w:pos="357"/>
      </w:tabs>
      <w:spacing w:before="60" w:after="60"/>
      <w:ind w:left="641" w:hanging="357"/>
    </w:pPr>
    <w:rPr>
      <w:rFonts w:ascii="Gill Sans MT" w:eastAsia="Times New Roman" w:hAnsi="Gill Sans MT" w:cs="Times New Roman"/>
      <w:kern w:val="0"/>
      <w:sz w:val="26"/>
      <w:szCs w:val="24"/>
      <w14:ligatures w14:val="none"/>
    </w:rPr>
  </w:style>
  <w:style w:type="paragraph" w:styleId="ListBullet3">
    <w:name w:val="List Bullet 3"/>
    <w:basedOn w:val="Normal"/>
    <w:uiPriority w:val="99"/>
    <w:semiHidden/>
    <w:unhideWhenUsed/>
    <w:rsid w:val="00590BEF"/>
    <w:pPr>
      <w:numPr>
        <w:numId w:val="11"/>
      </w:numPr>
      <w:spacing w:before="60" w:after="60"/>
      <w:ind w:left="925" w:hanging="284"/>
    </w:pPr>
    <w:rPr>
      <w:rFonts w:ascii="Gill Sans MT" w:eastAsia="Times New Roman" w:hAnsi="Gill Sans MT" w:cs="Times New Roman"/>
      <w:kern w:val="0"/>
      <w:sz w:val="26"/>
      <w:szCs w:val="24"/>
      <w14:ligatures w14:val="none"/>
    </w:rPr>
  </w:style>
  <w:style w:type="paragraph" w:styleId="ListNumber2">
    <w:name w:val="List Number 2"/>
    <w:basedOn w:val="Normal"/>
    <w:uiPriority w:val="99"/>
    <w:semiHidden/>
    <w:unhideWhenUsed/>
    <w:rsid w:val="00590BEF"/>
    <w:pPr>
      <w:numPr>
        <w:numId w:val="12"/>
      </w:numPr>
      <w:tabs>
        <w:tab w:val="clear" w:pos="641"/>
        <w:tab w:val="num" w:pos="643"/>
      </w:tabs>
      <w:spacing w:before="60" w:after="60"/>
    </w:pPr>
    <w:rPr>
      <w:rFonts w:ascii="Gill Sans MT" w:eastAsia="Times New Roman" w:hAnsi="Gill Sans MT" w:cs="Times New Roman"/>
      <w:kern w:val="0"/>
      <w:sz w:val="26"/>
      <w:szCs w:val="24"/>
      <w14:ligatures w14:val="none"/>
    </w:rPr>
  </w:style>
  <w:style w:type="paragraph" w:styleId="ListNumber3">
    <w:name w:val="List Number 3"/>
    <w:basedOn w:val="Normal"/>
    <w:uiPriority w:val="99"/>
    <w:semiHidden/>
    <w:unhideWhenUsed/>
    <w:rsid w:val="00590BEF"/>
    <w:pPr>
      <w:numPr>
        <w:numId w:val="13"/>
      </w:numPr>
      <w:tabs>
        <w:tab w:val="num" w:pos="360"/>
      </w:tabs>
      <w:spacing w:before="60" w:after="60"/>
      <w:ind w:left="924" w:hanging="357"/>
    </w:pPr>
    <w:rPr>
      <w:rFonts w:ascii="Gill Sans MT" w:eastAsia="Times New Roman" w:hAnsi="Gill Sans MT" w:cs="Times New Roman"/>
      <w:kern w:val="0"/>
      <w:sz w:val="26"/>
      <w:szCs w:val="24"/>
      <w14:ligatures w14:val="none"/>
    </w:rPr>
  </w:style>
  <w:style w:type="paragraph" w:styleId="BodyTextIndent">
    <w:name w:val="Body Text Indent"/>
    <w:basedOn w:val="Normal"/>
    <w:link w:val="BodyTextIndentChar"/>
    <w:uiPriority w:val="99"/>
    <w:semiHidden/>
    <w:unhideWhenUsed/>
    <w:rsid w:val="00590BEF"/>
    <w:pPr>
      <w:spacing w:after="120"/>
      <w:ind w:left="283"/>
    </w:pPr>
    <w:rPr>
      <w:rFonts w:ascii="Arial" w:eastAsia="Times New Roman" w:hAnsi="Arial" w:cs="Times New Roman"/>
      <w:kern w:val="0"/>
      <w:szCs w:val="24"/>
      <w:lang w:val="x-none"/>
      <w14:ligatures w14:val="none"/>
    </w:rPr>
  </w:style>
  <w:style w:type="character" w:customStyle="1" w:styleId="BodyTextIndentChar">
    <w:name w:val="Body Text Indent Char"/>
    <w:basedOn w:val="DefaultParagraphFont"/>
    <w:link w:val="BodyTextIndent"/>
    <w:uiPriority w:val="99"/>
    <w:semiHidden/>
    <w:rsid w:val="00590BEF"/>
    <w:rPr>
      <w:rFonts w:ascii="Arial" w:eastAsia="Times New Roman" w:hAnsi="Arial" w:cs="Times New Roman"/>
      <w:kern w:val="0"/>
      <w:sz w:val="24"/>
      <w:szCs w:val="24"/>
      <w:lang w:val="x-none"/>
      <w14:ligatures w14:val="none"/>
    </w:rPr>
  </w:style>
  <w:style w:type="paragraph" w:styleId="ListContinue">
    <w:name w:val="List Continue"/>
    <w:basedOn w:val="Normal"/>
    <w:uiPriority w:val="99"/>
    <w:semiHidden/>
    <w:unhideWhenUsed/>
    <w:rsid w:val="00590BEF"/>
    <w:pPr>
      <w:spacing w:before="120" w:after="120"/>
      <w:ind w:left="357"/>
    </w:pPr>
    <w:rPr>
      <w:rFonts w:ascii="Gill Sans MT" w:eastAsia="Times New Roman" w:hAnsi="Gill Sans MT" w:cs="Times New Roman"/>
      <w:kern w:val="0"/>
      <w:sz w:val="26"/>
      <w:szCs w:val="24"/>
      <w14:ligatures w14:val="none"/>
    </w:rPr>
  </w:style>
  <w:style w:type="paragraph" w:styleId="ListContinue2">
    <w:name w:val="List Continue 2"/>
    <w:basedOn w:val="Normal"/>
    <w:uiPriority w:val="99"/>
    <w:semiHidden/>
    <w:unhideWhenUsed/>
    <w:rsid w:val="00590BEF"/>
    <w:pPr>
      <w:spacing w:before="60" w:after="60"/>
      <w:ind w:left="641"/>
    </w:pPr>
    <w:rPr>
      <w:rFonts w:ascii="Gill Sans MT" w:eastAsia="Times New Roman" w:hAnsi="Gill Sans MT" w:cs="Times New Roman"/>
      <w:kern w:val="0"/>
      <w:sz w:val="26"/>
      <w:szCs w:val="24"/>
      <w14:ligatures w14:val="none"/>
    </w:rPr>
  </w:style>
  <w:style w:type="paragraph" w:styleId="ListContinue3">
    <w:name w:val="List Continue 3"/>
    <w:basedOn w:val="Normal"/>
    <w:uiPriority w:val="99"/>
    <w:semiHidden/>
    <w:unhideWhenUsed/>
    <w:rsid w:val="00590BEF"/>
    <w:pPr>
      <w:spacing w:before="60" w:after="60"/>
      <w:ind w:left="924"/>
    </w:pPr>
    <w:rPr>
      <w:rFonts w:ascii="Gill Sans MT" w:eastAsia="Times New Roman" w:hAnsi="Gill Sans MT" w:cs="Times New Roman"/>
      <w:kern w:val="0"/>
      <w:sz w:val="26"/>
      <w:szCs w:val="24"/>
      <w14:ligatures w14:val="none"/>
    </w:rPr>
  </w:style>
  <w:style w:type="paragraph" w:styleId="Date">
    <w:name w:val="Date"/>
    <w:basedOn w:val="Normal"/>
    <w:next w:val="Normal"/>
    <w:link w:val="DateChar"/>
    <w:uiPriority w:val="99"/>
    <w:semiHidden/>
    <w:unhideWhenUsed/>
    <w:rsid w:val="00590BEF"/>
    <w:rPr>
      <w:rFonts w:ascii="Gill Sans MT" w:eastAsia="Times New Roman" w:hAnsi="Gill Sans MT" w:cs="Times New Roman"/>
      <w:i/>
      <w:kern w:val="0"/>
      <w:sz w:val="26"/>
      <w:szCs w:val="24"/>
      <w14:ligatures w14:val="none"/>
    </w:rPr>
  </w:style>
  <w:style w:type="character" w:customStyle="1" w:styleId="DateChar">
    <w:name w:val="Date Char"/>
    <w:basedOn w:val="DefaultParagraphFont"/>
    <w:link w:val="Date"/>
    <w:uiPriority w:val="99"/>
    <w:semiHidden/>
    <w:rsid w:val="00590BEF"/>
    <w:rPr>
      <w:rFonts w:ascii="Gill Sans MT" w:eastAsia="Times New Roman" w:hAnsi="Gill Sans MT" w:cs="Times New Roman"/>
      <w:i/>
      <w:kern w:val="0"/>
      <w:sz w:val="26"/>
      <w:szCs w:val="24"/>
      <w14:ligatures w14:val="none"/>
    </w:rPr>
  </w:style>
  <w:style w:type="paragraph" w:styleId="BlockText">
    <w:name w:val="Block Text"/>
    <w:basedOn w:val="Normal"/>
    <w:uiPriority w:val="99"/>
    <w:semiHidden/>
    <w:unhideWhenUsed/>
    <w:rsid w:val="00590BEF"/>
    <w:pPr>
      <w:spacing w:after="120"/>
      <w:ind w:left="1440" w:right="1440"/>
    </w:pPr>
    <w:rPr>
      <w:rFonts w:ascii="Gill Sans MT" w:eastAsia="Times New Roman" w:hAnsi="Gill Sans MT" w:cs="Times New Roman"/>
      <w:kern w:val="0"/>
      <w:sz w:val="26"/>
      <w:szCs w:val="24"/>
      <w14:ligatures w14:val="none"/>
    </w:rPr>
  </w:style>
  <w:style w:type="paragraph" w:styleId="DocumentMap">
    <w:name w:val="Document Map"/>
    <w:basedOn w:val="Normal"/>
    <w:link w:val="DocumentMapChar"/>
    <w:uiPriority w:val="99"/>
    <w:semiHidden/>
    <w:unhideWhenUsed/>
    <w:rsid w:val="00590BEF"/>
    <w:pPr>
      <w:shd w:val="clear" w:color="auto" w:fill="000080"/>
    </w:pPr>
    <w:rPr>
      <w:rFonts w:ascii="Tahoma" w:eastAsia="Times New Roman" w:hAnsi="Tahoma" w:cs="Tahoma"/>
      <w:kern w:val="0"/>
      <w:sz w:val="20"/>
      <w:szCs w:val="24"/>
      <w14:ligatures w14:val="none"/>
    </w:rPr>
  </w:style>
  <w:style w:type="character" w:customStyle="1" w:styleId="DocumentMapChar">
    <w:name w:val="Document Map Char"/>
    <w:basedOn w:val="DefaultParagraphFont"/>
    <w:link w:val="DocumentMap"/>
    <w:uiPriority w:val="99"/>
    <w:semiHidden/>
    <w:rsid w:val="00590BEF"/>
    <w:rPr>
      <w:rFonts w:ascii="Tahoma" w:eastAsia="Times New Roman" w:hAnsi="Tahoma" w:cs="Tahoma"/>
      <w:kern w:val="0"/>
      <w:sz w:val="20"/>
      <w:szCs w:val="24"/>
      <w:shd w:val="clear" w:color="auto" w:fill="000080"/>
      <w14:ligatures w14:val="none"/>
    </w:rPr>
  </w:style>
  <w:style w:type="paragraph" w:styleId="CommentSubject">
    <w:name w:val="annotation subject"/>
    <w:basedOn w:val="CommentText"/>
    <w:next w:val="CommentText"/>
    <w:link w:val="CommentSubjectChar"/>
    <w:uiPriority w:val="99"/>
    <w:semiHidden/>
    <w:unhideWhenUsed/>
    <w:rsid w:val="00590BEF"/>
    <w:rPr>
      <w:rFonts w:ascii="Gill Sans" w:hAnsi="Gill Sans"/>
      <w:b/>
      <w:bCs/>
      <w:szCs w:val="20"/>
      <w:lang w:val="en-IE"/>
    </w:rPr>
  </w:style>
  <w:style w:type="character" w:customStyle="1" w:styleId="CommentSubjectChar">
    <w:name w:val="Comment Subject Char"/>
    <w:basedOn w:val="CommentTextChar"/>
    <w:link w:val="CommentSubject"/>
    <w:uiPriority w:val="99"/>
    <w:semiHidden/>
    <w:rsid w:val="00590BEF"/>
    <w:rPr>
      <w:rFonts w:ascii="Gill Sans" w:eastAsia="Times New Roman" w:hAnsi="Gill Sans" w:cs="Times New Roman"/>
      <w:b/>
      <w:bCs/>
      <w:kern w:val="0"/>
      <w:sz w:val="20"/>
      <w:szCs w:val="20"/>
      <w:lang w:val="x-none"/>
      <w14:ligatures w14:val="none"/>
    </w:rPr>
  </w:style>
  <w:style w:type="paragraph" w:styleId="BalloonText">
    <w:name w:val="Balloon Text"/>
    <w:basedOn w:val="Normal"/>
    <w:link w:val="BalloonTextChar"/>
    <w:uiPriority w:val="99"/>
    <w:semiHidden/>
    <w:unhideWhenUsed/>
    <w:rsid w:val="00590BEF"/>
    <w:pPr>
      <w:spacing w:after="0"/>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90BEF"/>
    <w:rPr>
      <w:rFonts w:ascii="Tahoma" w:eastAsia="Times New Roman" w:hAnsi="Tahoma" w:cs="Tahoma"/>
      <w:kern w:val="0"/>
      <w:sz w:val="16"/>
      <w:szCs w:val="16"/>
      <w14:ligatures w14:val="none"/>
    </w:rPr>
  </w:style>
  <w:style w:type="paragraph" w:styleId="NoSpacing">
    <w:name w:val="No Spacing"/>
    <w:uiPriority w:val="1"/>
    <w:qFormat/>
    <w:rsid w:val="00590BEF"/>
    <w:pPr>
      <w:spacing w:after="0"/>
    </w:pPr>
    <w:rPr>
      <w:rFonts w:ascii="Gill Sans MT" w:eastAsia="Times New Roman" w:hAnsi="Gill Sans MT" w:cs="Times New Roman"/>
      <w:kern w:val="0"/>
      <w:sz w:val="26"/>
      <w:szCs w:val="24"/>
      <w14:ligatures w14:val="none"/>
    </w:rPr>
  </w:style>
  <w:style w:type="paragraph" w:styleId="Revision">
    <w:name w:val="Revision"/>
    <w:uiPriority w:val="99"/>
    <w:semiHidden/>
    <w:rsid w:val="00590BEF"/>
    <w:pPr>
      <w:spacing w:after="0"/>
    </w:pPr>
    <w:rPr>
      <w:rFonts w:ascii="Gill Sans" w:eastAsia="Times New Roman" w:hAnsi="Gill Sans" w:cs="Times New Roman"/>
      <w:kern w:val="0"/>
      <w:sz w:val="26"/>
      <w:szCs w:val="24"/>
      <w14:ligatures w14:val="none"/>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1 Char,List Paragraph2 Char,igunore Char"/>
    <w:link w:val="ListParagraph"/>
    <w:uiPriority w:val="34"/>
    <w:qFormat/>
    <w:locked/>
    <w:rsid w:val="00590BEF"/>
    <w:rPr>
      <w:rFonts w:ascii="Verdana" w:hAnsi="Verdana"/>
      <w:sz w:val="24"/>
    </w:rPr>
  </w:style>
  <w:style w:type="paragraph" w:styleId="IntenseQuote">
    <w:name w:val="Intense Quote"/>
    <w:basedOn w:val="Normal"/>
    <w:next w:val="Normal"/>
    <w:link w:val="IntenseQuoteChar"/>
    <w:uiPriority w:val="30"/>
    <w:qFormat/>
    <w:rsid w:val="00590BEF"/>
    <w:pPr>
      <w:pBdr>
        <w:bottom w:val="single" w:sz="4" w:space="4" w:color="4F81BD"/>
      </w:pBdr>
      <w:spacing w:before="200" w:after="280"/>
      <w:ind w:left="936" w:right="936"/>
    </w:pPr>
    <w:rPr>
      <w:rFonts w:ascii="Gill Sans MT" w:eastAsia="Times New Roman" w:hAnsi="Gill Sans MT" w:cs="Times New Roman"/>
      <w:b/>
      <w:bCs/>
      <w:i/>
      <w:iCs/>
      <w:color w:val="4F81BD"/>
      <w:kern w:val="0"/>
      <w:sz w:val="26"/>
      <w:szCs w:val="24"/>
      <w14:ligatures w14:val="none"/>
    </w:rPr>
  </w:style>
  <w:style w:type="character" w:customStyle="1" w:styleId="IntenseQuoteChar">
    <w:name w:val="Intense Quote Char"/>
    <w:basedOn w:val="DefaultParagraphFont"/>
    <w:link w:val="IntenseQuote"/>
    <w:uiPriority w:val="30"/>
    <w:rsid w:val="00590BEF"/>
    <w:rPr>
      <w:rFonts w:ascii="Gill Sans MT" w:eastAsia="Times New Roman" w:hAnsi="Gill Sans MT" w:cs="Times New Roman"/>
      <w:b/>
      <w:bCs/>
      <w:i/>
      <w:iCs/>
      <w:color w:val="4F81BD"/>
      <w:kern w:val="0"/>
      <w:sz w:val="26"/>
      <w:szCs w:val="24"/>
      <w14:ligatures w14:val="none"/>
    </w:rPr>
  </w:style>
  <w:style w:type="paragraph" w:customStyle="1" w:styleId="BlockQuote">
    <w:name w:val="Block Quote"/>
    <w:basedOn w:val="Normal"/>
    <w:uiPriority w:val="99"/>
    <w:qFormat/>
    <w:rsid w:val="00590BEF"/>
    <w:pPr>
      <w:ind w:left="720" w:right="720"/>
    </w:pPr>
    <w:rPr>
      <w:rFonts w:ascii="Gill Sans MT" w:eastAsia="Times New Roman" w:hAnsi="Gill Sans MT" w:cs="Times New Roman"/>
      <w:kern w:val="0"/>
      <w:sz w:val="26"/>
      <w:szCs w:val="24"/>
      <w14:ligatures w14:val="none"/>
    </w:rPr>
  </w:style>
  <w:style w:type="paragraph" w:customStyle="1" w:styleId="DefinitionDescription">
    <w:name w:val="Definition Description"/>
    <w:basedOn w:val="Normal"/>
    <w:next w:val="Normal"/>
    <w:uiPriority w:val="99"/>
    <w:rsid w:val="00590BEF"/>
    <w:pPr>
      <w:ind w:left="1077"/>
    </w:pPr>
    <w:rPr>
      <w:rFonts w:ascii="Gill Sans MT" w:eastAsia="Times New Roman" w:hAnsi="Gill Sans MT" w:cs="Times New Roman"/>
      <w:kern w:val="0"/>
      <w:sz w:val="26"/>
      <w:szCs w:val="24"/>
      <w14:ligatures w14:val="none"/>
    </w:rPr>
  </w:style>
  <w:style w:type="paragraph" w:customStyle="1" w:styleId="DefinitionTerm">
    <w:name w:val="Definition Term"/>
    <w:basedOn w:val="Normal"/>
    <w:next w:val="DefinitionDescription"/>
    <w:uiPriority w:val="99"/>
    <w:rsid w:val="00590BEF"/>
    <w:rPr>
      <w:rFonts w:ascii="Gill Sans MT" w:eastAsia="Times New Roman" w:hAnsi="Gill Sans MT" w:cs="Times New Roman"/>
      <w:b/>
      <w:kern w:val="0"/>
      <w:sz w:val="26"/>
      <w:szCs w:val="24"/>
      <w14:ligatures w14:val="none"/>
    </w:rPr>
  </w:style>
  <w:style w:type="paragraph" w:customStyle="1" w:styleId="GraphCaption">
    <w:name w:val="GraphCaption"/>
    <w:basedOn w:val="Normal"/>
    <w:uiPriority w:val="99"/>
    <w:rsid w:val="00590BEF"/>
    <w:pPr>
      <w:keepNext/>
      <w:keepLines/>
      <w:spacing w:after="120"/>
      <w:jc w:val="center"/>
    </w:pPr>
    <w:rPr>
      <w:rFonts w:ascii="Gill Sans MT" w:eastAsia="Times New Roman" w:hAnsi="Gill Sans MT" w:cs="Times New Roman"/>
      <w:b/>
      <w:kern w:val="0"/>
      <w:sz w:val="26"/>
      <w:szCs w:val="24"/>
      <w14:ligatures w14:val="none"/>
    </w:rPr>
  </w:style>
  <w:style w:type="paragraph" w:customStyle="1" w:styleId="Note">
    <w:name w:val="Note"/>
    <w:basedOn w:val="Normal"/>
    <w:uiPriority w:val="99"/>
    <w:rsid w:val="00590BEF"/>
    <w:pPr>
      <w:keepLines/>
      <w:pBdr>
        <w:top w:val="single" w:sz="12" w:space="1" w:color="808080"/>
        <w:bottom w:val="single" w:sz="12" w:space="1" w:color="808080"/>
      </w:pBdr>
      <w:spacing w:before="120"/>
      <w:jc w:val="center"/>
    </w:pPr>
    <w:rPr>
      <w:rFonts w:ascii="Gill Sans MT" w:eastAsia="Times New Roman" w:hAnsi="Gill Sans MT" w:cs="Times New Roman"/>
      <w:kern w:val="0"/>
      <w:sz w:val="22"/>
      <w:szCs w:val="24"/>
      <w:lang w:val="en-GB"/>
      <w14:ligatures w14:val="none"/>
    </w:rPr>
  </w:style>
  <w:style w:type="paragraph" w:customStyle="1" w:styleId="TableCell">
    <w:name w:val="Table Cell"/>
    <w:basedOn w:val="Normal"/>
    <w:uiPriority w:val="99"/>
    <w:rsid w:val="00590BEF"/>
    <w:pPr>
      <w:spacing w:after="0"/>
      <w:jc w:val="right"/>
    </w:pPr>
    <w:rPr>
      <w:rFonts w:ascii="Gill Sans MT" w:eastAsia="Times New Roman" w:hAnsi="Gill Sans MT" w:cs="Times New Roman"/>
      <w:kern w:val="0"/>
      <w:sz w:val="26"/>
      <w:szCs w:val="24"/>
      <w14:ligatures w14:val="none"/>
    </w:rPr>
  </w:style>
  <w:style w:type="paragraph" w:customStyle="1" w:styleId="TableHead">
    <w:name w:val="Table Head"/>
    <w:basedOn w:val="Normal"/>
    <w:next w:val="Normal"/>
    <w:uiPriority w:val="99"/>
    <w:rsid w:val="00590BEF"/>
    <w:pPr>
      <w:spacing w:after="0"/>
    </w:pPr>
    <w:rPr>
      <w:rFonts w:ascii="Gill Sans MT" w:eastAsia="Times New Roman" w:hAnsi="Gill Sans MT" w:cs="Times New Roman"/>
      <w:b/>
      <w:kern w:val="0"/>
      <w:sz w:val="26"/>
      <w:szCs w:val="24"/>
      <w14:ligatures w14:val="none"/>
    </w:rPr>
  </w:style>
  <w:style w:type="paragraph" w:customStyle="1" w:styleId="TableNote">
    <w:name w:val="Table Note"/>
    <w:basedOn w:val="Normal"/>
    <w:next w:val="Normal"/>
    <w:uiPriority w:val="99"/>
    <w:rsid w:val="00590BEF"/>
    <w:pPr>
      <w:spacing w:before="120"/>
      <w:jc w:val="center"/>
    </w:pPr>
    <w:rPr>
      <w:rFonts w:ascii="Gill Sans MT" w:eastAsia="Times New Roman" w:hAnsi="Gill Sans MT" w:cs="Times New Roman"/>
      <w:kern w:val="0"/>
      <w:sz w:val="20"/>
      <w:szCs w:val="20"/>
      <w14:ligatures w14:val="none"/>
    </w:rPr>
  </w:style>
  <w:style w:type="paragraph" w:customStyle="1" w:styleId="TableRowHead">
    <w:name w:val="Table Row Head"/>
    <w:basedOn w:val="Normal"/>
    <w:uiPriority w:val="99"/>
    <w:rsid w:val="00590BEF"/>
    <w:pPr>
      <w:keepNext/>
      <w:spacing w:after="0"/>
    </w:pPr>
    <w:rPr>
      <w:rFonts w:ascii="Arial Bold" w:eastAsia="Times New Roman" w:hAnsi="Arial Bold" w:cs="Times New Roman"/>
      <w:b/>
      <w:kern w:val="0"/>
      <w:sz w:val="26"/>
      <w:szCs w:val="24"/>
      <w14:ligatures w14:val="none"/>
    </w:rPr>
  </w:style>
  <w:style w:type="paragraph" w:customStyle="1" w:styleId="TableSummary">
    <w:name w:val="Table Summary"/>
    <w:basedOn w:val="Normal"/>
    <w:next w:val="TableHead"/>
    <w:uiPriority w:val="99"/>
    <w:rsid w:val="00590BEF"/>
    <w:pPr>
      <w:ind w:left="567" w:right="567"/>
      <w:jc w:val="center"/>
    </w:pPr>
    <w:rPr>
      <w:rFonts w:ascii="Gill Sans MT" w:eastAsia="Times New Roman" w:hAnsi="Gill Sans MT" w:cs="Times New Roman"/>
      <w:i/>
      <w:kern w:val="0"/>
      <w:sz w:val="26"/>
      <w:szCs w:val="24"/>
      <w14:ligatures w14:val="none"/>
    </w:rPr>
  </w:style>
  <w:style w:type="paragraph" w:customStyle="1" w:styleId="TableTitle">
    <w:name w:val="Table Title"/>
    <w:basedOn w:val="Normal"/>
    <w:next w:val="TableSummary"/>
    <w:uiPriority w:val="99"/>
    <w:rsid w:val="00590BEF"/>
    <w:pPr>
      <w:keepNext/>
      <w:keepLines/>
      <w:spacing w:after="120"/>
      <w:jc w:val="center"/>
    </w:pPr>
    <w:rPr>
      <w:rFonts w:ascii="Gill Sans MT" w:eastAsia="Times New Roman" w:hAnsi="Gill Sans MT" w:cs="Times New Roman"/>
      <w:b/>
      <w:kern w:val="0"/>
      <w:sz w:val="26"/>
      <w:szCs w:val="24"/>
      <w14:ligatures w14:val="none"/>
    </w:rPr>
  </w:style>
  <w:style w:type="paragraph" w:customStyle="1" w:styleId="TaggedText">
    <w:name w:val="Tagged Text"/>
    <w:basedOn w:val="Normal"/>
    <w:uiPriority w:val="99"/>
    <w:rsid w:val="00590BEF"/>
    <w:pPr>
      <w:suppressAutoHyphens/>
      <w:spacing w:after="0"/>
    </w:pPr>
    <w:rPr>
      <w:rFonts w:ascii="Courier New" w:eastAsia="Times New Roman" w:hAnsi="Courier New" w:cs="Times New Roman"/>
      <w:color w:val="FF0000"/>
      <w:kern w:val="0"/>
      <w:sz w:val="26"/>
      <w:szCs w:val="24"/>
      <w14:ligatures w14:val="none"/>
    </w:rPr>
  </w:style>
  <w:style w:type="paragraph" w:customStyle="1" w:styleId="NormalBeforeList">
    <w:name w:val="Normal (Before List)"/>
    <w:basedOn w:val="Normal"/>
    <w:next w:val="ListBullet"/>
    <w:uiPriority w:val="99"/>
    <w:qFormat/>
    <w:rsid w:val="00590BEF"/>
    <w:pPr>
      <w:spacing w:after="120"/>
    </w:pPr>
    <w:rPr>
      <w:rFonts w:ascii="Gill Sans MT" w:eastAsia="Times New Roman" w:hAnsi="Gill Sans MT" w:cs="Times New Roman"/>
      <w:kern w:val="0"/>
      <w:sz w:val="26"/>
      <w:szCs w:val="24"/>
      <w14:ligatures w14:val="none"/>
    </w:rPr>
  </w:style>
  <w:style w:type="paragraph" w:customStyle="1" w:styleId="TableHeadRight">
    <w:name w:val="Table Head Right"/>
    <w:basedOn w:val="TableHead"/>
    <w:uiPriority w:val="99"/>
    <w:rsid w:val="00590BEF"/>
    <w:pPr>
      <w:jc w:val="right"/>
    </w:pPr>
  </w:style>
  <w:style w:type="paragraph" w:customStyle="1" w:styleId="TableCellLeft">
    <w:name w:val="Table Cell Left"/>
    <w:basedOn w:val="TableCell"/>
    <w:uiPriority w:val="99"/>
    <w:rsid w:val="00590BEF"/>
    <w:pPr>
      <w:jc w:val="left"/>
    </w:pPr>
  </w:style>
  <w:style w:type="paragraph" w:customStyle="1" w:styleId="NormalAfterList">
    <w:name w:val="Normal (After List)"/>
    <w:basedOn w:val="Normal"/>
    <w:next w:val="Normal"/>
    <w:uiPriority w:val="99"/>
    <w:qFormat/>
    <w:rsid w:val="00590BEF"/>
    <w:pPr>
      <w:spacing w:before="120"/>
    </w:pPr>
    <w:rPr>
      <w:rFonts w:ascii="Gill Sans MT" w:eastAsia="Times New Roman" w:hAnsi="Gill Sans MT" w:cs="Times New Roman"/>
      <w:kern w:val="0"/>
      <w:sz w:val="26"/>
      <w:szCs w:val="24"/>
      <w14:ligatures w14:val="none"/>
    </w:rPr>
  </w:style>
  <w:style w:type="paragraph" w:customStyle="1" w:styleId="DecimalAligned">
    <w:name w:val="Decimal Aligned"/>
    <w:basedOn w:val="Normal"/>
    <w:uiPriority w:val="40"/>
    <w:qFormat/>
    <w:rsid w:val="00590BEF"/>
    <w:pPr>
      <w:tabs>
        <w:tab w:val="decimal" w:pos="360"/>
      </w:tabs>
      <w:spacing w:after="200" w:line="276" w:lineRule="auto"/>
    </w:pPr>
    <w:rPr>
      <w:rFonts w:ascii="Calibri" w:eastAsia="Times New Roman" w:hAnsi="Calibri" w:cs="Times New Roman"/>
      <w:kern w:val="0"/>
      <w:sz w:val="22"/>
      <w:lang w:val="en-US"/>
      <w14:ligatures w14:val="none"/>
    </w:rPr>
  </w:style>
  <w:style w:type="paragraph" w:customStyle="1" w:styleId="Default">
    <w:name w:val="Default"/>
    <w:uiPriority w:val="99"/>
    <w:rsid w:val="00590BEF"/>
    <w:pPr>
      <w:autoSpaceDE w:val="0"/>
      <w:autoSpaceDN w:val="0"/>
      <w:adjustRightInd w:val="0"/>
      <w:spacing w:after="0"/>
    </w:pPr>
    <w:rPr>
      <w:rFonts w:ascii="Gill Sans MT" w:eastAsia="SimSun" w:hAnsi="Gill Sans MT" w:cs="Gill Sans MT"/>
      <w:color w:val="000000"/>
      <w:kern w:val="0"/>
      <w:sz w:val="24"/>
      <w:szCs w:val="24"/>
      <w:lang w:eastAsia="en-IE"/>
      <w14:ligatures w14:val="none"/>
    </w:rPr>
  </w:style>
  <w:style w:type="paragraph" w:customStyle="1" w:styleId="pf0">
    <w:name w:val="pf0"/>
    <w:basedOn w:val="Normal"/>
    <w:uiPriority w:val="99"/>
    <w:rsid w:val="00590BEF"/>
    <w:pPr>
      <w:spacing w:before="100" w:beforeAutospacing="1" w:after="100" w:afterAutospacing="1"/>
    </w:pPr>
    <w:rPr>
      <w:rFonts w:ascii="Times New Roman" w:eastAsia="Times New Roman" w:hAnsi="Times New Roman" w:cs="Times New Roman"/>
      <w:kern w:val="0"/>
      <w:szCs w:val="24"/>
      <w:lang w:eastAsia="en-IE"/>
      <w14:ligatures w14:val="none"/>
    </w:rPr>
  </w:style>
  <w:style w:type="paragraph" w:customStyle="1" w:styleId="H1Heading1NDA">
    <w:name w:val="H1 Heading1_NDA"/>
    <w:basedOn w:val="Heading1"/>
    <w:next w:val="Normal"/>
    <w:uiPriority w:val="1"/>
    <w:qFormat/>
    <w:rsid w:val="00590BEF"/>
    <w:rPr>
      <w:rFonts w:eastAsia="Times New Roman" w:cs="Times New Roman"/>
      <w:color w:val="000000"/>
      <w14:ligatures w14:val="none"/>
    </w:rPr>
  </w:style>
  <w:style w:type="character" w:styleId="CommentReference">
    <w:name w:val="annotation reference"/>
    <w:uiPriority w:val="99"/>
    <w:unhideWhenUsed/>
    <w:rsid w:val="00590BEF"/>
    <w:rPr>
      <w:sz w:val="16"/>
      <w:szCs w:val="16"/>
    </w:rPr>
  </w:style>
  <w:style w:type="character" w:styleId="EndnoteReference">
    <w:name w:val="endnote reference"/>
    <w:semiHidden/>
    <w:unhideWhenUsed/>
    <w:rsid w:val="00590BEF"/>
    <w:rPr>
      <w:vertAlign w:val="superscript"/>
    </w:rPr>
  </w:style>
  <w:style w:type="character" w:styleId="SubtleEmphasis">
    <w:name w:val="Subtle Emphasis"/>
    <w:uiPriority w:val="19"/>
    <w:qFormat/>
    <w:rsid w:val="00590BEF"/>
    <w:rPr>
      <w:i/>
      <w:iCs/>
    </w:rPr>
  </w:style>
  <w:style w:type="character" w:styleId="SubtleReference">
    <w:name w:val="Subtle Reference"/>
    <w:uiPriority w:val="31"/>
    <w:qFormat/>
    <w:rsid w:val="00590BEF"/>
    <w:rPr>
      <w:rFonts w:ascii="Gill Sans MT" w:hAnsi="Gill Sans MT" w:hint="default"/>
      <w:smallCaps/>
      <w:color w:val="C0504D"/>
      <w:u w:val="single"/>
    </w:rPr>
  </w:style>
  <w:style w:type="character" w:customStyle="1" w:styleId="Abbreviation">
    <w:name w:val="Abbreviation"/>
    <w:rsid w:val="00590BEF"/>
    <w:rPr>
      <w:u w:val="dottedHeavy"/>
    </w:rPr>
  </w:style>
  <w:style w:type="character" w:customStyle="1" w:styleId="Acronym">
    <w:name w:val="Acronym"/>
    <w:rsid w:val="00590BEF"/>
    <w:rPr>
      <w:u w:val="dotted"/>
    </w:rPr>
  </w:style>
  <w:style w:type="character" w:customStyle="1" w:styleId="Quote1">
    <w:name w:val="Quote1"/>
    <w:rsid w:val="00590BEF"/>
    <w:rPr>
      <w:i/>
      <w:iCs w:val="0"/>
    </w:rPr>
  </w:style>
  <w:style w:type="character" w:customStyle="1" w:styleId="e24kjd">
    <w:name w:val="e24kjd"/>
    <w:basedOn w:val="DefaultParagraphFont"/>
    <w:rsid w:val="00590BEF"/>
  </w:style>
  <w:style w:type="character" w:customStyle="1" w:styleId="cf01">
    <w:name w:val="cf01"/>
    <w:rsid w:val="00590BEF"/>
    <w:rPr>
      <w:rFonts w:ascii="Segoe UI" w:hAnsi="Segoe UI" w:cs="Segoe UI" w:hint="default"/>
      <w:sz w:val="18"/>
      <w:szCs w:val="18"/>
    </w:rPr>
  </w:style>
  <w:style w:type="table" w:styleId="MediumShading2-Accent5">
    <w:name w:val="Medium Shading 2 Accent 5"/>
    <w:basedOn w:val="TableNormal"/>
    <w:uiPriority w:val="64"/>
    <w:semiHidden/>
    <w:unhideWhenUsed/>
    <w:rsid w:val="00590BEF"/>
    <w:pPr>
      <w:spacing w:after="0"/>
    </w:pPr>
    <w:rPr>
      <w:rFonts w:ascii="Calibri" w:eastAsia="Times New Roman" w:hAnsi="Calibri" w:cs="Times New Roman"/>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
    <w:name w:val="Table Grid11"/>
    <w:basedOn w:val="TableNormal"/>
    <w:rsid w:val="00590BEF"/>
    <w:pPr>
      <w:spacing w:after="300" w:line="294" w:lineRule="exac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590BEF"/>
    <w:pPr>
      <w:spacing w:after="0"/>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590BEF"/>
    <w:pPr>
      <w:spacing w:after="300" w:line="294" w:lineRule="exac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publications/review-of-part-5-of-the-disability-act-2005" TargetMode="External"/><Relationship Id="rId18" Type="http://schemas.openxmlformats.org/officeDocument/2006/relationships/hyperlink" Target="http://www.nda.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da.ie/publications/review-of-part-5-of-the-disability-act-2005"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s://nda.ie/publications/review-of-part-5-of-the-disability-act-200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itservices.gov.ie\dfs\groups\NDA\Common\Part%205\Part%205%202024\Des%20Part%205%20Files\Data%20Library\2024%20Part%205%20Data%20Library%20FINAL%20v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itservices.gov.ie\dfs\groups\NDA\Common\Part%205\Part%205%202024\Des%20Part%205%20Files\Data%20Library\2024%20Part%205%20Data%20Library%20FINAL%20v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services.gov.ie\dfs\groups\NDA\Common\Part%205\Part%205%202024\Des%20Part%205%20Files\Data%20Library\2024%20Part%205%20Data%20Library%20FINAL%20v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services.gov.ie\dfs\groups\NDA\Common\Part%205\Part%205%202024\Des%20Part%205%20Files\Data%20Library\2024%20Part%205%20Data%20Library%20FINAL%20v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services.gov.ie\dfs\groups\NDA\Common\Part%205\Part%205%202024\Des%20Part%205%20Files\Data%20Library\2024%20Part%205%20Data%20Library%20FINAL%20v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'Trends target 2011-2024 '!$E$7</c:f>
              <c:strCache>
                <c:ptCount val="1"/>
                <c:pt idx="0">
                  <c:v>Total number of employees</c:v>
                </c:pt>
              </c:strCache>
            </c:strRef>
          </c:tx>
          <c:spPr>
            <a:solidFill>
              <a:schemeClr val="accent1"/>
            </a:solidFill>
            <a:ln>
              <a:noFill/>
            </a:ln>
            <a:effectLst/>
          </c:spPr>
          <c:invertIfNegative val="0"/>
          <c:dLbls>
            <c:delete val="1"/>
          </c:dLbls>
          <c:cat>
            <c:numRef>
              <c:f>'Trends target 2011-2024 '!$D$8:$D$25</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'Trends target 2011-2024 '!$E$8:$E$25</c:f>
              <c:numCache>
                <c:formatCode>#,##0</c:formatCode>
                <c:ptCount val="18"/>
                <c:pt idx="0">
                  <c:v>238833</c:v>
                </c:pt>
                <c:pt idx="1">
                  <c:v>229000</c:v>
                </c:pt>
                <c:pt idx="2">
                  <c:v>219653</c:v>
                </c:pt>
                <c:pt idx="3">
                  <c:v>210249</c:v>
                </c:pt>
                <c:pt idx="4">
                  <c:v>205068</c:v>
                </c:pt>
                <c:pt idx="5">
                  <c:v>197588</c:v>
                </c:pt>
                <c:pt idx="6">
                  <c:v>192576</c:v>
                </c:pt>
                <c:pt idx="7">
                  <c:v>195278</c:v>
                </c:pt>
                <c:pt idx="8">
                  <c:v>201341</c:v>
                </c:pt>
                <c:pt idx="9">
                  <c:v>213991</c:v>
                </c:pt>
                <c:pt idx="10">
                  <c:v>225809</c:v>
                </c:pt>
                <c:pt idx="11">
                  <c:v>231784</c:v>
                </c:pt>
                <c:pt idx="12">
                  <c:v>238174</c:v>
                </c:pt>
                <c:pt idx="13">
                  <c:v>245190</c:v>
                </c:pt>
                <c:pt idx="14">
                  <c:v>251552</c:v>
                </c:pt>
                <c:pt idx="15">
                  <c:v>260434</c:v>
                </c:pt>
                <c:pt idx="16">
                  <c:v>273747</c:v>
                </c:pt>
                <c:pt idx="17">
                  <c:v>283805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c:ext xmlns:c16="http://schemas.microsoft.com/office/drawing/2014/chart" uri="{C3380CC4-5D6E-409C-BE32-E72D297353CC}">
              <c16:uniqueId val="{00000000-3103-47DB-9794-5E3B458D4132}"/>
            </c:ext>
          </c:extLst>
        </c:ser>
        <c:dLbls>
          <c:showLegendKey val="0"/>
          <c:showVal val="1"/>
          <c:showCatName val="0"/>
          <c:showSerName val="0"/>
          <c:showPercent val="0"/>
          <c:showBubbleSize val="0"/>
        </c:dLbls>
        <c:gapWidth val="219"/>
        <c:overlap val="-27"/>
        <c:axId val="569938352"/>
        <c:axId val="569943032"/>
      </c:barChart>
      <c:lineChart>
        <c:grouping val="standard"/>
        <c:varyColors val="0"/>
        <c:ser>
          <c:idx val="1"/>
          <c:order val="1"/>
          <c:tx>
            <c:strRef>
              <c:f>'Trends target 2011-2024 '!$G$7</c:f>
              <c:strCache>
                <c:ptCount val="1"/>
                <c:pt idx="0">
                  <c:v>% of total employees reporting a disability</c:v>
                </c:pt>
              </c:strCache>
            </c:strRef>
          </c:tx>
          <c:spPr>
            <a:ln w="28575" cap="rnd">
              <a:solidFill>
                <a:schemeClr val="accent2"/>
              </a:solidFill>
              <a:round/>
            </a:ln>
            <a:effectLst/>
          </c:spPr>
          <c:marker>
            <c:symbol val="none"/>
          </c:marker>
          <c:dLbls>
            <c:delete val="1"/>
          </c:dLbls>
          <c:cat>
            <c:numRef>
              <c:f>'Trends target 2011-2024 '!$D$8:$D$25</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'Trends target 2011-2024 '!$G$8:$G$25</c:f>
              <c:numCache>
                <c:formatCode>0.00%</c:formatCode>
                <c:ptCount val="18"/>
                <c:pt idx="0">
                  <c:v>2.5000000000000001E-2</c:v>
                </c:pt>
                <c:pt idx="1">
                  <c:v>2.7E-2</c:v>
                </c:pt>
                <c:pt idx="2">
                  <c:v>2.9000000000000001E-2</c:v>
                </c:pt>
                <c:pt idx="3">
                  <c:v>2.7E-2</c:v>
                </c:pt>
                <c:pt idx="4">
                  <c:v>0.03</c:v>
                </c:pt>
                <c:pt idx="5">
                  <c:v>3.3000000000000002E-2</c:v>
                </c:pt>
                <c:pt idx="6">
                  <c:v>3.4000000000000002E-2</c:v>
                </c:pt>
                <c:pt idx="7">
                  <c:v>3.5000000000000003E-2</c:v>
                </c:pt>
                <c:pt idx="8">
                  <c:v>3.5999999999999997E-2</c:v>
                </c:pt>
                <c:pt idx="9">
                  <c:v>3.5000000000000003E-2</c:v>
                </c:pt>
                <c:pt idx="10">
                  <c:v>3.5000000000000003E-2</c:v>
                </c:pt>
                <c:pt idx="11">
                  <c:v>3.3000000000000002E-2</c:v>
                </c:pt>
                <c:pt idx="12">
                  <c:v>3.1E-2</c:v>
                </c:pt>
                <c:pt idx="13">
                  <c:v>3.1E-2</c:v>
                </c:pt>
                <c:pt idx="14">
                  <c:v>3.5999999999999997E-2</c:v>
                </c:pt>
                <c:pt idx="15">
                  <c:v>4.1000000000000002E-2</c:v>
                </c:pt>
                <c:pt idx="16">
                  <c:v>4.1000000000000002E-2</c:v>
                </c:pt>
                <c:pt idx="17">
                  <c:v>5.3999999999999999E-2</c:v>
                </c:pt>
              </c:numCache>
            </c:numRef>
          </c:val>
          <c:smooth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c:ext xmlns:c16="http://schemas.microsoft.com/office/drawing/2014/chart" uri="{C3380CC4-5D6E-409C-BE32-E72D297353CC}">
              <c16:uniqueId val="{00000001-3103-47DB-9794-5E3B458D4132}"/>
            </c:ext>
          </c:extLst>
        </c:ser>
        <c:dLbls>
          <c:showLegendKey val="0"/>
          <c:showVal val="1"/>
          <c:showCatName val="0"/>
          <c:showSerName val="0"/>
          <c:showPercent val="0"/>
          <c:showBubbleSize val="0"/>
        </c:dLbls>
        <c:marker val="1"/>
        <c:smooth val="0"/>
        <c:axId val="569939792"/>
        <c:axId val="569937992"/>
      </c:lineChart>
      <c:catAx>
        <c:axId val="56993835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3300000" spcFirstLastPara="1" vertOverflow="ellipsis"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ga"/>
          </a:p>
        </c:txPr>
        <c:crossAx val="569943032"/>
        <c:crosses val="autoZero"/>
        <c:auto val="1"/>
        <c:lblAlgn val="ctr"/>
        <c:lblOffset val="100"/>
        <c:noMultiLvlLbl val="0"/>
      </c:catAx>
      <c:valAx>
        <c:axId val="569943032"/>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ga"/>
          </a:p>
        </c:txPr>
        <c:crossAx val="569938352"/>
        <c:crosses val="autoZero"/>
        <c:crossBetween val="between"/>
      </c:valAx>
      <c:valAx>
        <c:axId val="569937992"/>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ga"/>
          </a:p>
        </c:txPr>
        <c:crossAx val="569939792"/>
        <c:crosses val="max"/>
        <c:crossBetween val="between"/>
      </c:valAx>
      <c:catAx>
        <c:axId val="569939792"/>
        <c:scaling>
          <c:orientation val="minMax"/>
        </c:scaling>
        <c:delete val="1"/>
        <c:axPos val="b"/>
        <c:numFmt formatCode="General" sourceLinked="1"/>
        <c:majorTickMark val="none"/>
        <c:minorTickMark val="none"/>
        <c:tickLblPos val="nextTo"/>
        <c:crossAx val="5699379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g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'Trends target 2011-2024 '!$E$7</c:f>
              <c:strCache>
                <c:ptCount val="1"/>
                <c:pt idx="0">
                  <c:v>Total number of employees</c:v>
                </c:pt>
              </c:strCache>
            </c:strRef>
          </c:tx>
          <c:spPr>
            <a:solidFill>
              <a:schemeClr val="accent1"/>
            </a:solidFill>
            <a:ln>
              <a:noFill/>
            </a:ln>
            <a:effectLst/>
          </c:spPr>
          <c:invertIfNegative val="0"/>
          <c:dLbls>
            <c:delete val="1"/>
          </c:dLbls>
          <c:cat>
            <c:numRef>
              <c:f>'Trends target 2011-2024 '!$D$8:$D$25</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'Trends target 2011-2024 '!$E$8:$E$25</c:f>
              <c:numCache>
                <c:formatCode>#,##0</c:formatCode>
                <c:ptCount val="18"/>
                <c:pt idx="0">
                  <c:v>238833</c:v>
                </c:pt>
                <c:pt idx="1">
                  <c:v>229000</c:v>
                </c:pt>
                <c:pt idx="2">
                  <c:v>219653</c:v>
                </c:pt>
                <c:pt idx="3">
                  <c:v>210249</c:v>
                </c:pt>
                <c:pt idx="4">
                  <c:v>205068</c:v>
                </c:pt>
                <c:pt idx="5">
                  <c:v>197588</c:v>
                </c:pt>
                <c:pt idx="6">
                  <c:v>192576</c:v>
                </c:pt>
                <c:pt idx="7">
                  <c:v>195278</c:v>
                </c:pt>
                <c:pt idx="8">
                  <c:v>201341</c:v>
                </c:pt>
                <c:pt idx="9">
                  <c:v>213991</c:v>
                </c:pt>
                <c:pt idx="10">
                  <c:v>225809</c:v>
                </c:pt>
                <c:pt idx="11">
                  <c:v>231784</c:v>
                </c:pt>
                <c:pt idx="12">
                  <c:v>238174</c:v>
                </c:pt>
                <c:pt idx="13">
                  <c:v>245190</c:v>
                </c:pt>
                <c:pt idx="14">
                  <c:v>251552</c:v>
                </c:pt>
                <c:pt idx="15">
                  <c:v>260434</c:v>
                </c:pt>
                <c:pt idx="16">
                  <c:v>273747</c:v>
                </c:pt>
                <c:pt idx="17">
                  <c:v>283805</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c:ext xmlns:c16="http://schemas.microsoft.com/office/drawing/2014/chart" uri="{C3380CC4-5D6E-409C-BE32-E72D297353CC}">
              <c16:uniqueId val="{00000000-57C5-4E9E-B878-F86C2F83D409}"/>
            </c:ext>
          </c:extLst>
        </c:ser>
        <c:dLbls>
          <c:showLegendKey val="0"/>
          <c:showVal val="1"/>
          <c:showCatName val="0"/>
          <c:showSerName val="0"/>
          <c:showPercent val="0"/>
          <c:showBubbleSize val="0"/>
        </c:dLbls>
        <c:gapWidth val="219"/>
        <c:overlap val="-27"/>
        <c:axId val="569938352"/>
        <c:axId val="569943032"/>
      </c:barChart>
      <c:lineChart>
        <c:grouping val="standard"/>
        <c:varyColors val="0"/>
        <c:ser>
          <c:idx val="1"/>
          <c:order val="1"/>
          <c:tx>
            <c:strRef>
              <c:f>'Trends target 2011-2024 '!$G$7</c:f>
              <c:strCache>
                <c:ptCount val="1"/>
                <c:pt idx="0">
                  <c:v>% of total employees reporting a disability</c:v>
                </c:pt>
              </c:strCache>
            </c:strRef>
          </c:tx>
          <c:spPr>
            <a:ln w="28575" cap="rnd">
              <a:solidFill>
                <a:schemeClr val="accent2"/>
              </a:solidFill>
              <a:round/>
            </a:ln>
            <a:effectLst/>
          </c:spPr>
          <c:marker>
            <c:symbol val="none"/>
          </c:marker>
          <c:dLbls>
            <c:delete val="1"/>
          </c:dLbls>
          <c:cat>
            <c:numRef>
              <c:f>'Trends target 2011-2024 '!$D$8:$D$25</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'Trends target 2011-2024 '!$G$8:$G$25</c:f>
              <c:numCache>
                <c:formatCode>0.00%</c:formatCode>
                <c:ptCount val="18"/>
                <c:pt idx="0">
                  <c:v>2.5000000000000001E-2</c:v>
                </c:pt>
                <c:pt idx="1">
                  <c:v>2.7E-2</c:v>
                </c:pt>
                <c:pt idx="2">
                  <c:v>2.9000000000000001E-2</c:v>
                </c:pt>
                <c:pt idx="3">
                  <c:v>2.7E-2</c:v>
                </c:pt>
                <c:pt idx="4">
                  <c:v>0.03</c:v>
                </c:pt>
                <c:pt idx="5">
                  <c:v>3.3000000000000002E-2</c:v>
                </c:pt>
                <c:pt idx="6">
                  <c:v>3.4000000000000002E-2</c:v>
                </c:pt>
                <c:pt idx="7">
                  <c:v>3.5000000000000003E-2</c:v>
                </c:pt>
                <c:pt idx="8">
                  <c:v>3.5999999999999997E-2</c:v>
                </c:pt>
                <c:pt idx="9">
                  <c:v>3.5000000000000003E-2</c:v>
                </c:pt>
                <c:pt idx="10">
                  <c:v>3.5000000000000003E-2</c:v>
                </c:pt>
                <c:pt idx="11">
                  <c:v>3.3000000000000002E-2</c:v>
                </c:pt>
                <c:pt idx="12">
                  <c:v>3.1E-2</c:v>
                </c:pt>
                <c:pt idx="13">
                  <c:v>3.1E-2</c:v>
                </c:pt>
                <c:pt idx="14">
                  <c:v>3.5999999999999997E-2</c:v>
                </c:pt>
                <c:pt idx="15">
                  <c:v>4.1000000000000002E-2</c:v>
                </c:pt>
                <c:pt idx="16">
                  <c:v>4.1000000000000002E-2</c:v>
                </c:pt>
                <c:pt idx="17">
                  <c:v>5.3999999999999999E-2</c:v>
                </c:pt>
              </c:numCache>
            </c:numRef>
          </c:val>
          <c:smooth val="0"/>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c:ext xmlns:c16="http://schemas.microsoft.com/office/drawing/2014/chart" uri="{C3380CC4-5D6E-409C-BE32-E72D297353CC}">
              <c16:uniqueId val="{00000001-57C5-4E9E-B878-F86C2F83D409}"/>
            </c:ext>
          </c:extLst>
        </c:ser>
        <c:dLbls>
          <c:showLegendKey val="0"/>
          <c:showVal val="1"/>
          <c:showCatName val="0"/>
          <c:showSerName val="0"/>
          <c:showPercent val="0"/>
          <c:showBubbleSize val="0"/>
        </c:dLbls>
        <c:marker val="1"/>
        <c:smooth val="0"/>
        <c:axId val="569939792"/>
        <c:axId val="569937992"/>
      </c:lineChart>
      <c:catAx>
        <c:axId val="56993835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3300000" spcFirstLastPara="1" vertOverflow="ellipsis"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ga"/>
          </a:p>
        </c:txPr>
        <c:crossAx val="569943032"/>
        <c:crosses val="autoZero"/>
        <c:auto val="1"/>
        <c:lblAlgn val="ctr"/>
        <c:lblOffset val="100"/>
        <c:noMultiLvlLbl val="0"/>
      </c:catAx>
      <c:valAx>
        <c:axId val="569943032"/>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ga"/>
          </a:p>
        </c:txPr>
        <c:crossAx val="569938352"/>
        <c:crosses val="autoZero"/>
        <c:crossBetween val="between"/>
      </c:valAx>
      <c:valAx>
        <c:axId val="569937992"/>
        <c:scaling>
          <c:orientation val="minMax"/>
        </c:scaling>
        <c:delete val="0"/>
        <c:axPos val="r"/>
        <c:numFmt formatCode="0%" sourceLinked="0"/>
        <c:majorTickMark val="none"/>
        <c:minorTickMark val="none"/>
        <c:tickLblPos val="nextTo"/>
        <c:spPr>
          <a:noFill/>
          <a:ln>
            <a:noFill/>
          </a:ln>
          <a:effectLst/>
        </c:spPr>
        <c:txPr>
          <a:bodyPr rot="-6000000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ga"/>
          </a:p>
        </c:txPr>
        <c:crossAx val="569939792"/>
        <c:crosses val="max"/>
        <c:crossBetween val="between"/>
      </c:valAx>
      <c:catAx>
        <c:axId val="569939792"/>
        <c:scaling>
          <c:orientation val="minMax"/>
        </c:scaling>
        <c:delete val="1"/>
        <c:axPos val="b"/>
        <c:numFmt formatCode="General" sourceLinked="1"/>
        <c:majorTickMark val="none"/>
        <c:minorTickMark val="none"/>
        <c:tickLblPos val="nextTo"/>
        <c:crossAx val="5699379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g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'Q34 Ahead'!$D$33</c:f>
              <c:strCache>
                <c:ptCount val="1"/>
                <c:pt idx="0">
                  <c:v>2024</c:v>
                </c:pt>
              </c:strCache>
            </c:strRef>
          </c:tx>
          <c:spPr>
            <a:solidFill>
              <a:schemeClr val="accent1"/>
            </a:solidFill>
            <a:ln>
              <a:noFill/>
            </a:ln>
            <a:effectLst/>
          </c:spPr>
          <c:invertIfNegative val="0"/>
          <c:cat>
            <c:strRef>
              <c:f>'Q34 Ahead'!$C$34:$C$36</c:f>
              <c:strCache>
                <c:ptCount val="3"/>
                <c:pt idx="0">
                  <c:v>All transitioned</c:v>
                </c:pt>
                <c:pt idx="1">
                  <c:v>Some transitioned</c:v>
                </c:pt>
                <c:pt idx="2">
                  <c:v>None transitioned</c:v>
                </c:pt>
              </c:strCache>
            </c:strRef>
          </c:cat>
          <c:val>
            <c:numRef>
              <c:f>'Q34 Ahead'!$D$34:$D$36</c:f>
              <c:numCache>
                <c:formatCode>0</c:formatCode>
                <c:ptCount val="3"/>
                <c:pt idx="0">
                  <c:v>14</c:v>
                </c:pt>
                <c:pt idx="1">
                  <c:v>4</c:v>
                </c:pt>
                <c:pt idx="2">
                  <c:v>7</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c:ext xmlns:c16="http://schemas.microsoft.com/office/drawing/2014/chart" uri="{C3380CC4-5D6E-409C-BE32-E72D297353CC}">
              <c16:uniqueId val="{00000000-0E2A-4B49-AF14-1F6DAF0C33FA}"/>
            </c:ext>
          </c:extLst>
        </c:ser>
        <c:ser>
          <c:idx val="1"/>
          <c:order val="1"/>
          <c:tx>
            <c:strRef>
              <c:f>'Q34 Ahead'!$E$33</c:f>
              <c:strCache>
                <c:ptCount val="1"/>
                <c:pt idx="0">
                  <c:v>2023</c:v>
                </c:pt>
              </c:strCache>
            </c:strRef>
          </c:tx>
          <c:spPr>
            <a:solidFill>
              <a:schemeClr val="accent2"/>
            </a:solidFill>
            <a:ln>
              <a:noFill/>
            </a:ln>
            <a:effectLst/>
          </c:spPr>
          <c:invertIfNegative val="0"/>
          <c:cat>
            <c:strRef>
              <c:f>'Q34 Ahead'!$C$34:$C$36</c:f>
              <c:strCache>
                <c:ptCount val="3"/>
                <c:pt idx="0">
                  <c:v>All transitioned</c:v>
                </c:pt>
                <c:pt idx="1">
                  <c:v>Some transitioned</c:v>
                </c:pt>
                <c:pt idx="2">
                  <c:v>None transitioned</c:v>
                </c:pt>
              </c:strCache>
            </c:strRef>
          </c:cat>
          <c:val>
            <c:numRef>
              <c:f>'Q34 Ahead'!$E$34:$E$36</c:f>
              <c:numCache>
                <c:formatCode>0</c:formatCode>
                <c:ptCount val="3"/>
                <c:pt idx="0">
                  <c:v>8</c:v>
                </c:pt>
                <c:pt idx="1">
                  <c:v>6</c:v>
                </c:pt>
                <c:pt idx="2">
                  <c:v>8</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c:ext xmlns:c16="http://schemas.microsoft.com/office/drawing/2014/chart" uri="{C3380CC4-5D6E-409C-BE32-E72D297353CC}">
              <c16:uniqueId val="{00000001-0E2A-4B49-AF14-1F6DAF0C33FA}"/>
            </c:ext>
          </c:extLst>
        </c:ser>
        <c:dLbls>
          <c:showLegendKey val="0"/>
          <c:showVal val="0"/>
          <c:showCatName val="0"/>
          <c:showSerName val="0"/>
          <c:showPercent val="0"/>
          <c:showBubbleSize val="0"/>
        </c:dLbls>
        <c:gapWidth val="219"/>
        <c:overlap val="-27"/>
        <c:axId val="595073016"/>
        <c:axId val="558349368"/>
      </c:barChart>
      <c:catAx>
        <c:axId val="595073016"/>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ga"/>
          </a:p>
        </c:txPr>
        <c:crossAx val="558349368"/>
        <c:crosses val="autoZero"/>
        <c:auto val="1"/>
        <c:lblAlgn val="ctr"/>
        <c:lblOffset val="100"/>
        <c:noMultiLvlLbl val="0"/>
      </c:catAx>
      <c:valAx>
        <c:axId val="558349368"/>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ga"/>
          </a:p>
        </c:txPr>
        <c:crossAx val="595073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g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'Q38 OWL'!$C$38</c:f>
              <c:strCache>
                <c:ptCount val="1"/>
                <c:pt idx="0">
                  <c:v>2024</c:v>
                </c:pt>
              </c:strCache>
            </c:strRef>
          </c:tx>
          <c:spPr>
            <a:solidFill>
              <a:schemeClr val="accent1"/>
            </a:solidFill>
            <a:ln>
              <a:noFill/>
            </a:ln>
            <a:effectLst/>
          </c:spPr>
          <c:invertIfNegative val="0"/>
          <c:cat>
            <c:strRef>
              <c:f>'Q38 OWL'!$B$39:$B$41</c:f>
              <c:strCache>
                <c:ptCount val="3"/>
                <c:pt idx="0">
                  <c:v>All transitioned</c:v>
                </c:pt>
                <c:pt idx="1">
                  <c:v>Some transitioned</c:v>
                </c:pt>
                <c:pt idx="2">
                  <c:v>None transitioned</c:v>
                </c:pt>
              </c:strCache>
            </c:strRef>
          </c:cat>
          <c:val>
            <c:numRef>
              <c:f>'Q38 OWL'!$C$39:$C$41</c:f>
              <c:numCache>
                <c:formatCode>0</c:formatCode>
                <c:ptCount val="3"/>
                <c:pt idx="0">
                  <c:v>1</c:v>
                </c:pt>
                <c:pt idx="1">
                  <c:v>1</c:v>
                </c:pt>
                <c:pt idx="2">
                  <c:v>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c:ext xmlns:c16="http://schemas.microsoft.com/office/drawing/2014/chart" uri="{C3380CC4-5D6E-409C-BE32-E72D297353CC}">
              <c16:uniqueId val="{00000000-0E90-4F46-BC31-40060678E351}"/>
            </c:ext>
          </c:extLst>
        </c:ser>
        <c:ser>
          <c:idx val="1"/>
          <c:order val="1"/>
          <c:tx>
            <c:strRef>
              <c:f>'Q38 OWL'!$D$38</c:f>
              <c:strCache>
                <c:ptCount val="1"/>
                <c:pt idx="0">
                  <c:v>2023</c:v>
                </c:pt>
              </c:strCache>
            </c:strRef>
          </c:tx>
          <c:spPr>
            <a:solidFill>
              <a:schemeClr val="accent2"/>
            </a:solidFill>
            <a:ln>
              <a:noFill/>
            </a:ln>
            <a:effectLst/>
          </c:spPr>
          <c:invertIfNegative val="0"/>
          <c:cat>
            <c:strRef>
              <c:f>'Q38 OWL'!$B$39:$B$41</c:f>
              <c:strCache>
                <c:ptCount val="3"/>
                <c:pt idx="0">
                  <c:v>All transitioned</c:v>
                </c:pt>
                <c:pt idx="1">
                  <c:v>Some transitioned</c:v>
                </c:pt>
                <c:pt idx="2">
                  <c:v>None transitioned</c:v>
                </c:pt>
              </c:strCache>
            </c:strRef>
          </c:cat>
          <c:val>
            <c:numRef>
              <c:f>'Q38 OWL'!$D$39:$D$41</c:f>
              <c:numCache>
                <c:formatCode>0</c:formatCode>
                <c:ptCount val="3"/>
                <c:pt idx="0">
                  <c:v>1</c:v>
                </c:pt>
                <c:pt idx="1">
                  <c:v>2</c:v>
                </c:pt>
                <c:pt idx="2">
                  <c:v>2</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c:ext xmlns:c16="http://schemas.microsoft.com/office/drawing/2014/chart" uri="{C3380CC4-5D6E-409C-BE32-E72D297353CC}">
              <c16:uniqueId val="{00000001-0E90-4F46-BC31-40060678E351}"/>
            </c:ext>
          </c:extLst>
        </c:ser>
        <c:dLbls>
          <c:showLegendKey val="0"/>
          <c:showVal val="0"/>
          <c:showCatName val="0"/>
          <c:showSerName val="0"/>
          <c:showPercent val="0"/>
          <c:showBubbleSize val="0"/>
        </c:dLbls>
        <c:gapWidth val="219"/>
        <c:overlap val="-27"/>
        <c:axId val="756328752"/>
        <c:axId val="756329112"/>
      </c:barChart>
      <c:catAx>
        <c:axId val="75632875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ga"/>
          </a:p>
        </c:txPr>
        <c:crossAx val="756329112"/>
        <c:crosses val="autoZero"/>
        <c:auto val="1"/>
        <c:lblAlgn val="ctr"/>
        <c:lblOffset val="100"/>
        <c:noMultiLvlLbl val="0"/>
      </c:catAx>
      <c:valAx>
        <c:axId val="756329112"/>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ga"/>
          </a:p>
        </c:txPr>
        <c:crossAx val="75632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g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'Q43 Int WEP'!$C$32</c:f>
              <c:strCache>
                <c:ptCount val="1"/>
                <c:pt idx="0">
                  <c:v>2024</c:v>
                </c:pt>
              </c:strCache>
            </c:strRef>
          </c:tx>
          <c:spPr>
            <a:solidFill>
              <a:schemeClr val="accent1"/>
            </a:solidFill>
            <a:ln>
              <a:noFill/>
            </a:ln>
            <a:effectLst/>
          </c:spPr>
          <c:invertIfNegative val="0"/>
          <c:cat>
            <c:strRef>
              <c:f>'Q43 Int WEP'!$B$33:$B$35</c:f>
              <c:strCache>
                <c:ptCount val="3"/>
                <c:pt idx="0">
                  <c:v>All transitioned</c:v>
                </c:pt>
                <c:pt idx="1">
                  <c:v>Some transitioned</c:v>
                </c:pt>
                <c:pt idx="2">
                  <c:v>None transitioned</c:v>
                </c:pt>
              </c:strCache>
            </c:strRef>
          </c:cat>
          <c:val>
            <c:numRef>
              <c:f>'Q43 Int WEP'!$C$33:$C$35</c:f>
              <c:numCache>
                <c:formatCode>0</c:formatCode>
                <c:ptCount val="3"/>
                <c:pt idx="0">
                  <c:v>9</c:v>
                </c:pt>
                <c:pt idx="1">
                  <c:v>5</c:v>
                </c:pt>
                <c:pt idx="2">
                  <c:v>16</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c:ext xmlns:c16="http://schemas.microsoft.com/office/drawing/2014/chart" uri="{C3380CC4-5D6E-409C-BE32-E72D297353CC}">
              <c16:uniqueId val="{00000000-6537-4697-BA6D-0F811B08B264}"/>
            </c:ext>
          </c:extLst>
        </c:ser>
        <c:ser>
          <c:idx val="1"/>
          <c:order val="1"/>
          <c:tx>
            <c:strRef>
              <c:f>'Q43 Int WEP'!$D$32</c:f>
              <c:strCache>
                <c:ptCount val="1"/>
                <c:pt idx="0">
                  <c:v>2023</c:v>
                </c:pt>
              </c:strCache>
            </c:strRef>
          </c:tx>
          <c:spPr>
            <a:solidFill>
              <a:schemeClr val="accent2"/>
            </a:solidFill>
            <a:ln>
              <a:noFill/>
            </a:ln>
            <a:effectLst/>
          </c:spPr>
          <c:invertIfNegative val="0"/>
          <c:cat>
            <c:strRef>
              <c:f>'Q43 Int WEP'!$B$33:$B$35</c:f>
              <c:strCache>
                <c:ptCount val="3"/>
                <c:pt idx="0">
                  <c:v>All transitioned</c:v>
                </c:pt>
                <c:pt idx="1">
                  <c:v>Some transitioned</c:v>
                </c:pt>
                <c:pt idx="2">
                  <c:v>None transitioned</c:v>
                </c:pt>
              </c:strCache>
            </c:strRef>
          </c:cat>
          <c:val>
            <c:numRef>
              <c:f>'Q43 Int WEP'!$D$33:$D$35</c:f>
              <c:numCache>
                <c:formatCode>0</c:formatCode>
                <c:ptCount val="3"/>
                <c:pt idx="0">
                  <c:v>5</c:v>
                </c:pt>
                <c:pt idx="1">
                  <c:v>6</c:v>
                </c:pt>
                <c:pt idx="2">
                  <c:v>23</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c:ext xmlns:c16="http://schemas.microsoft.com/office/drawing/2014/chart" uri="{C3380CC4-5D6E-409C-BE32-E72D297353CC}">
              <c16:uniqueId val="{00000001-6537-4697-BA6D-0F811B08B264}"/>
            </c:ext>
          </c:extLst>
        </c:ser>
        <c:dLbls>
          <c:showLegendKey val="0"/>
          <c:showVal val="0"/>
          <c:showCatName val="0"/>
          <c:showSerName val="0"/>
          <c:showPercent val="0"/>
          <c:showBubbleSize val="0"/>
        </c:dLbls>
        <c:gapWidth val="219"/>
        <c:overlap val="-27"/>
        <c:axId val="758843768"/>
        <c:axId val="758842688"/>
      </c:barChart>
      <c:catAx>
        <c:axId val="75884376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ga"/>
          </a:p>
        </c:txPr>
        <c:crossAx val="758842688"/>
        <c:crosses val="autoZero"/>
        <c:auto val="1"/>
        <c:lblAlgn val="ctr"/>
        <c:lblOffset val="100"/>
        <c:noMultiLvlLbl val="0"/>
      </c:catAx>
      <c:valAx>
        <c:axId val="758842688"/>
        <c:scaling>
          <c:orientation val="minMax"/>
        </c:scaling>
        <c:delete val="0"/>
        <c:axPos val="l"/>
        <c:majorGridlines>
          <c:spPr>
            <a:ln w="9525">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ga"/>
          </a:p>
        </c:txPr>
        <c:crossAx val="758843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g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17924</Words>
  <Characters>102173</Characters>
  <Application>Microsoft Office Word</Application>
  <DocSecurity>4</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119858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Treasa Cahill Kennedy (NDA)</dc:creator>
  <cp:lastModifiedBy>Meghna Manu (NDA)</cp:lastModifiedBy>
  <cp:revision>2</cp:revision>
  <cp:lastPrinted>2025-11-20T14:55:00Z</cp:lastPrinted>
  <dcterms:created xsi:type="dcterms:W3CDTF">2026-01-12T17:27:00Z</dcterms:created>
  <dcterms:modified xsi:type="dcterms:W3CDTF">2026-01-12T17:27:00Z</dcterms:modified>
</cp:coreProperties>
</file>