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27727560"/>
        <w:docPartObj>
          <w:docPartGallery w:val="Cover Pages"/>
          <w:docPartUnique/>
        </w:docPartObj>
      </w:sdtPr>
      <w:sdtEndPr/>
      <w:sdtContent>
        <w:p w14:paraId="3353A84E" w14:textId="02981568" w:rsidR="004459A7" w:rsidRPr="004459A7" w:rsidRDefault="004459A7" w:rsidP="004459A7">
          <w:pPr>
            <w:spacing w:before="1200" w:after="2040"/>
            <w:jc w:val="center"/>
            <w:rPr>
              <w:b/>
              <w:sz w:val="36"/>
              <w:szCs w:val="36"/>
            </w:rPr>
          </w:pPr>
          <w:r>
            <w:rPr>
              <w:b/>
              <w:sz w:val="36"/>
              <w:szCs w:val="36"/>
            </w:rPr>
            <w:t>Literature Review on Attitudes to Disabled People</w:t>
          </w:r>
        </w:p>
        <w:p w14:paraId="2DDFD162" w14:textId="62A5D4F2" w:rsidR="004459A7" w:rsidRPr="00775672" w:rsidRDefault="00C479D8" w:rsidP="004459A7">
          <w:pPr>
            <w:rPr>
              <w:sz w:val="32"/>
              <w:szCs w:val="32"/>
            </w:rPr>
          </w:pPr>
          <w:r>
            <w:rPr>
              <w:sz w:val="32"/>
              <w:szCs w:val="32"/>
            </w:rPr>
            <w:t>December</w:t>
          </w:r>
          <w:r w:rsidRPr="00775672">
            <w:rPr>
              <w:sz w:val="32"/>
              <w:szCs w:val="32"/>
            </w:rPr>
            <w:t xml:space="preserve"> </w:t>
          </w:r>
          <w:r w:rsidR="004459A7" w:rsidRPr="00775672">
            <w:rPr>
              <w:sz w:val="32"/>
              <w:szCs w:val="32"/>
            </w:rPr>
            <w:t>2022</w:t>
          </w:r>
        </w:p>
        <w:p w14:paraId="6E5AEE6E" w14:textId="34780ACC" w:rsidR="002B5438" w:rsidRDefault="004459A7" w:rsidP="004459A7">
          <w:pPr>
            <w:spacing w:before="2520"/>
          </w:pPr>
          <w:r>
            <w:rPr>
              <w:rFonts w:eastAsia="Gill Sans MT" w:cs="Gill Sans MT"/>
              <w:noProof/>
              <w:sz w:val="24"/>
              <w:lang w:eastAsia="en-IE"/>
            </w:rPr>
            <w:drawing>
              <wp:inline distT="0" distB="0" distL="0" distR="0" wp14:anchorId="61A201A1" wp14:editId="1F256AA9">
                <wp:extent cx="2520696" cy="1801368"/>
                <wp:effectExtent l="0" t="0" r="0" b="8890"/>
                <wp:docPr id="13" name="Picture 13"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645E7084" w14:textId="0E4CF3E1" w:rsidR="002B5438" w:rsidRDefault="002B5438">
          <w:pPr>
            <w:spacing w:after="0"/>
            <w:rPr>
              <w:rFonts w:asciiTheme="majorHAnsi" w:eastAsiaTheme="majorEastAsia" w:hAnsiTheme="majorHAnsi" w:cstheme="majorBidi"/>
              <w:color w:val="2E74B5" w:themeColor="accent1" w:themeShade="BF"/>
              <w:sz w:val="32"/>
              <w:szCs w:val="32"/>
              <w:lang w:val="en-US"/>
            </w:rPr>
          </w:pPr>
          <w:r>
            <w:br w:type="page"/>
          </w:r>
        </w:p>
      </w:sdtContent>
    </w:sdt>
    <w:sdt>
      <w:sdtPr>
        <w:rPr>
          <w:rFonts w:ascii="Gill Sans MT" w:eastAsia="Times New Roman" w:hAnsi="Gill Sans MT" w:cs="Times New Roman"/>
          <w:color w:val="auto"/>
          <w:sz w:val="26"/>
          <w:szCs w:val="24"/>
          <w:lang w:val="en-IE"/>
        </w:rPr>
        <w:id w:val="1298572431"/>
        <w:docPartObj>
          <w:docPartGallery w:val="Table of Contents"/>
          <w:docPartUnique/>
        </w:docPartObj>
      </w:sdtPr>
      <w:sdtEndPr>
        <w:rPr>
          <w:b/>
          <w:bCs/>
          <w:noProof/>
        </w:rPr>
      </w:sdtEndPr>
      <w:sdtContent>
        <w:p w14:paraId="64604BD2" w14:textId="66CD12FD" w:rsidR="00502387" w:rsidRDefault="00502387" w:rsidP="00DB2329">
          <w:pPr>
            <w:pStyle w:val="TOCHeading"/>
            <w:jc w:val="center"/>
          </w:pPr>
          <w:r>
            <w:t>Contents</w:t>
          </w:r>
        </w:p>
        <w:p w14:paraId="1A8241D9" w14:textId="0FF5309F" w:rsidR="008F7A39" w:rsidRDefault="00502387">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122447195" w:history="1">
            <w:r w:rsidR="008F7A39" w:rsidRPr="00113E84">
              <w:rPr>
                <w:rStyle w:val="Hyperlink"/>
                <w:noProof/>
              </w:rPr>
              <w:t>Introduction</w:t>
            </w:r>
            <w:r w:rsidR="008F7A39">
              <w:rPr>
                <w:noProof/>
                <w:webHidden/>
              </w:rPr>
              <w:tab/>
            </w:r>
            <w:r w:rsidR="008F7A39">
              <w:rPr>
                <w:noProof/>
                <w:webHidden/>
              </w:rPr>
              <w:fldChar w:fldCharType="begin"/>
            </w:r>
            <w:r w:rsidR="008F7A39">
              <w:rPr>
                <w:noProof/>
                <w:webHidden/>
              </w:rPr>
              <w:instrText xml:space="preserve"> PAGEREF _Toc122447195 \h </w:instrText>
            </w:r>
            <w:r w:rsidR="008F7A39">
              <w:rPr>
                <w:noProof/>
                <w:webHidden/>
              </w:rPr>
            </w:r>
            <w:r w:rsidR="008F7A39">
              <w:rPr>
                <w:noProof/>
                <w:webHidden/>
              </w:rPr>
              <w:fldChar w:fldCharType="separate"/>
            </w:r>
            <w:r w:rsidR="008F7A39">
              <w:rPr>
                <w:noProof/>
                <w:webHidden/>
              </w:rPr>
              <w:t>2</w:t>
            </w:r>
            <w:r w:rsidR="008F7A39">
              <w:rPr>
                <w:noProof/>
                <w:webHidden/>
              </w:rPr>
              <w:fldChar w:fldCharType="end"/>
            </w:r>
          </w:hyperlink>
        </w:p>
        <w:p w14:paraId="1224F288" w14:textId="4A52A6C7" w:rsidR="008F7A39" w:rsidRDefault="004335FE">
          <w:pPr>
            <w:pStyle w:val="TOC1"/>
            <w:tabs>
              <w:tab w:val="right" w:leader="dot" w:pos="8630"/>
            </w:tabs>
            <w:rPr>
              <w:rFonts w:asciiTheme="minorHAnsi" w:eastAsiaTheme="minorEastAsia" w:hAnsiTheme="minorHAnsi" w:cstheme="minorBidi"/>
              <w:b w:val="0"/>
              <w:noProof/>
              <w:sz w:val="22"/>
              <w:szCs w:val="22"/>
              <w:lang w:eastAsia="en-IE"/>
            </w:rPr>
          </w:pPr>
          <w:hyperlink w:anchor="_Toc122447196" w:history="1">
            <w:r w:rsidR="008F7A39" w:rsidRPr="00113E84">
              <w:rPr>
                <w:rStyle w:val="Hyperlink"/>
                <w:noProof/>
                <w:shd w:val="clear" w:color="auto" w:fill="F2F2F2"/>
              </w:rPr>
              <w:t>Methodology</w:t>
            </w:r>
            <w:r w:rsidR="008F7A39">
              <w:rPr>
                <w:noProof/>
                <w:webHidden/>
              </w:rPr>
              <w:tab/>
            </w:r>
            <w:r w:rsidR="008F7A39">
              <w:rPr>
                <w:noProof/>
                <w:webHidden/>
              </w:rPr>
              <w:fldChar w:fldCharType="begin"/>
            </w:r>
            <w:r w:rsidR="008F7A39">
              <w:rPr>
                <w:noProof/>
                <w:webHidden/>
              </w:rPr>
              <w:instrText xml:space="preserve"> PAGEREF _Toc122447196 \h </w:instrText>
            </w:r>
            <w:r w:rsidR="008F7A39">
              <w:rPr>
                <w:noProof/>
                <w:webHidden/>
              </w:rPr>
            </w:r>
            <w:r w:rsidR="008F7A39">
              <w:rPr>
                <w:noProof/>
                <w:webHidden/>
              </w:rPr>
              <w:fldChar w:fldCharType="separate"/>
            </w:r>
            <w:r w:rsidR="008F7A39">
              <w:rPr>
                <w:noProof/>
                <w:webHidden/>
              </w:rPr>
              <w:t>4</w:t>
            </w:r>
            <w:r w:rsidR="008F7A39">
              <w:rPr>
                <w:noProof/>
                <w:webHidden/>
              </w:rPr>
              <w:fldChar w:fldCharType="end"/>
            </w:r>
          </w:hyperlink>
        </w:p>
        <w:p w14:paraId="2E7916EF" w14:textId="0F68F5E2" w:rsidR="008F7A39" w:rsidRDefault="004335FE">
          <w:pPr>
            <w:pStyle w:val="TOC1"/>
            <w:tabs>
              <w:tab w:val="right" w:leader="dot" w:pos="8630"/>
            </w:tabs>
            <w:rPr>
              <w:rFonts w:asciiTheme="minorHAnsi" w:eastAsiaTheme="minorEastAsia" w:hAnsiTheme="minorHAnsi" w:cstheme="minorBidi"/>
              <w:b w:val="0"/>
              <w:noProof/>
              <w:sz w:val="22"/>
              <w:szCs w:val="22"/>
              <w:lang w:eastAsia="en-IE"/>
            </w:rPr>
          </w:pPr>
          <w:hyperlink w:anchor="_Toc122447197" w:history="1">
            <w:r w:rsidR="008F7A39" w:rsidRPr="00113E84">
              <w:rPr>
                <w:rStyle w:val="Hyperlink"/>
                <w:noProof/>
              </w:rPr>
              <w:t>Chapter 1: Understanding attitudes</w:t>
            </w:r>
            <w:r w:rsidR="008F7A39">
              <w:rPr>
                <w:noProof/>
                <w:webHidden/>
              </w:rPr>
              <w:tab/>
            </w:r>
            <w:r w:rsidR="008F7A39">
              <w:rPr>
                <w:noProof/>
                <w:webHidden/>
              </w:rPr>
              <w:fldChar w:fldCharType="begin"/>
            </w:r>
            <w:r w:rsidR="008F7A39">
              <w:rPr>
                <w:noProof/>
                <w:webHidden/>
              </w:rPr>
              <w:instrText xml:space="preserve"> PAGEREF _Toc122447197 \h </w:instrText>
            </w:r>
            <w:r w:rsidR="008F7A39">
              <w:rPr>
                <w:noProof/>
                <w:webHidden/>
              </w:rPr>
            </w:r>
            <w:r w:rsidR="008F7A39">
              <w:rPr>
                <w:noProof/>
                <w:webHidden/>
              </w:rPr>
              <w:fldChar w:fldCharType="separate"/>
            </w:r>
            <w:r w:rsidR="008F7A39">
              <w:rPr>
                <w:noProof/>
                <w:webHidden/>
              </w:rPr>
              <w:t>5</w:t>
            </w:r>
            <w:r w:rsidR="008F7A39">
              <w:rPr>
                <w:noProof/>
                <w:webHidden/>
              </w:rPr>
              <w:fldChar w:fldCharType="end"/>
            </w:r>
          </w:hyperlink>
        </w:p>
        <w:p w14:paraId="7671AC42" w14:textId="4B0354EB" w:rsidR="008F7A39" w:rsidRDefault="004335FE">
          <w:pPr>
            <w:pStyle w:val="TOC1"/>
            <w:tabs>
              <w:tab w:val="right" w:leader="dot" w:pos="8630"/>
            </w:tabs>
            <w:rPr>
              <w:rFonts w:asciiTheme="minorHAnsi" w:eastAsiaTheme="minorEastAsia" w:hAnsiTheme="minorHAnsi" w:cstheme="minorBidi"/>
              <w:b w:val="0"/>
              <w:noProof/>
              <w:sz w:val="22"/>
              <w:szCs w:val="22"/>
              <w:lang w:eastAsia="en-IE"/>
            </w:rPr>
          </w:pPr>
          <w:hyperlink w:anchor="_Toc122447198" w:history="1">
            <w:r w:rsidR="008F7A39" w:rsidRPr="00113E84">
              <w:rPr>
                <w:rStyle w:val="Hyperlink"/>
                <w:noProof/>
              </w:rPr>
              <w:t>Chapter 2: Negative attitudes</w:t>
            </w:r>
            <w:r w:rsidR="008F7A39">
              <w:rPr>
                <w:noProof/>
                <w:webHidden/>
              </w:rPr>
              <w:tab/>
            </w:r>
            <w:r w:rsidR="008F7A39">
              <w:rPr>
                <w:noProof/>
                <w:webHidden/>
              </w:rPr>
              <w:fldChar w:fldCharType="begin"/>
            </w:r>
            <w:r w:rsidR="008F7A39">
              <w:rPr>
                <w:noProof/>
                <w:webHidden/>
              </w:rPr>
              <w:instrText xml:space="preserve"> PAGEREF _Toc122447198 \h </w:instrText>
            </w:r>
            <w:r w:rsidR="008F7A39">
              <w:rPr>
                <w:noProof/>
                <w:webHidden/>
              </w:rPr>
            </w:r>
            <w:r w:rsidR="008F7A39">
              <w:rPr>
                <w:noProof/>
                <w:webHidden/>
              </w:rPr>
              <w:fldChar w:fldCharType="separate"/>
            </w:r>
            <w:r w:rsidR="008F7A39">
              <w:rPr>
                <w:noProof/>
                <w:webHidden/>
              </w:rPr>
              <w:t>9</w:t>
            </w:r>
            <w:r w:rsidR="008F7A39">
              <w:rPr>
                <w:noProof/>
                <w:webHidden/>
              </w:rPr>
              <w:fldChar w:fldCharType="end"/>
            </w:r>
          </w:hyperlink>
        </w:p>
        <w:p w14:paraId="01EA4D3A" w14:textId="5FBEED7B" w:rsidR="008F7A39" w:rsidRDefault="004335FE">
          <w:pPr>
            <w:pStyle w:val="TOC1"/>
            <w:tabs>
              <w:tab w:val="right" w:leader="dot" w:pos="8630"/>
            </w:tabs>
            <w:rPr>
              <w:rFonts w:asciiTheme="minorHAnsi" w:eastAsiaTheme="minorEastAsia" w:hAnsiTheme="minorHAnsi" w:cstheme="minorBidi"/>
              <w:b w:val="0"/>
              <w:noProof/>
              <w:sz w:val="22"/>
              <w:szCs w:val="22"/>
              <w:lang w:eastAsia="en-IE"/>
            </w:rPr>
          </w:pPr>
          <w:hyperlink w:anchor="_Toc122447199" w:history="1">
            <w:r w:rsidR="008F7A39" w:rsidRPr="00113E84">
              <w:rPr>
                <w:rStyle w:val="Hyperlink"/>
                <w:noProof/>
              </w:rPr>
              <w:t>Chapter 3: Changing attitudes</w:t>
            </w:r>
            <w:r w:rsidR="008F7A39">
              <w:rPr>
                <w:noProof/>
                <w:webHidden/>
              </w:rPr>
              <w:tab/>
            </w:r>
            <w:r w:rsidR="008F7A39">
              <w:rPr>
                <w:noProof/>
                <w:webHidden/>
              </w:rPr>
              <w:fldChar w:fldCharType="begin"/>
            </w:r>
            <w:r w:rsidR="008F7A39">
              <w:rPr>
                <w:noProof/>
                <w:webHidden/>
              </w:rPr>
              <w:instrText xml:space="preserve"> PAGEREF _Toc122447199 \h </w:instrText>
            </w:r>
            <w:r w:rsidR="008F7A39">
              <w:rPr>
                <w:noProof/>
                <w:webHidden/>
              </w:rPr>
            </w:r>
            <w:r w:rsidR="008F7A39">
              <w:rPr>
                <w:noProof/>
                <w:webHidden/>
              </w:rPr>
              <w:fldChar w:fldCharType="separate"/>
            </w:r>
            <w:r w:rsidR="008F7A39">
              <w:rPr>
                <w:noProof/>
                <w:webHidden/>
              </w:rPr>
              <w:t>15</w:t>
            </w:r>
            <w:r w:rsidR="008F7A39">
              <w:rPr>
                <w:noProof/>
                <w:webHidden/>
              </w:rPr>
              <w:fldChar w:fldCharType="end"/>
            </w:r>
          </w:hyperlink>
        </w:p>
        <w:p w14:paraId="14A15741" w14:textId="56120CED" w:rsidR="008F7A39" w:rsidRDefault="004335FE">
          <w:pPr>
            <w:pStyle w:val="TOC2"/>
            <w:tabs>
              <w:tab w:val="right" w:leader="dot" w:pos="8630"/>
            </w:tabs>
            <w:rPr>
              <w:rFonts w:asciiTheme="minorHAnsi" w:eastAsiaTheme="minorEastAsia" w:hAnsiTheme="minorHAnsi" w:cstheme="minorBidi"/>
              <w:noProof/>
              <w:sz w:val="22"/>
              <w:szCs w:val="22"/>
              <w:lang w:eastAsia="en-IE"/>
            </w:rPr>
          </w:pPr>
          <w:hyperlink w:anchor="_Toc122447200" w:history="1">
            <w:r w:rsidR="008F7A39" w:rsidRPr="00113E84">
              <w:rPr>
                <w:rStyle w:val="Hyperlink"/>
                <w:noProof/>
              </w:rPr>
              <w:t>Factors influencing the formation and changing of attitudes</w:t>
            </w:r>
            <w:r w:rsidR="008F7A39">
              <w:rPr>
                <w:noProof/>
                <w:webHidden/>
              </w:rPr>
              <w:tab/>
            </w:r>
            <w:r w:rsidR="008F7A39">
              <w:rPr>
                <w:noProof/>
                <w:webHidden/>
              </w:rPr>
              <w:fldChar w:fldCharType="begin"/>
            </w:r>
            <w:r w:rsidR="008F7A39">
              <w:rPr>
                <w:noProof/>
                <w:webHidden/>
              </w:rPr>
              <w:instrText xml:space="preserve"> PAGEREF _Toc122447200 \h </w:instrText>
            </w:r>
            <w:r w:rsidR="008F7A39">
              <w:rPr>
                <w:noProof/>
                <w:webHidden/>
              </w:rPr>
            </w:r>
            <w:r w:rsidR="008F7A39">
              <w:rPr>
                <w:noProof/>
                <w:webHidden/>
              </w:rPr>
              <w:fldChar w:fldCharType="separate"/>
            </w:r>
            <w:r w:rsidR="008F7A39">
              <w:rPr>
                <w:noProof/>
                <w:webHidden/>
              </w:rPr>
              <w:t>15</w:t>
            </w:r>
            <w:r w:rsidR="008F7A39">
              <w:rPr>
                <w:noProof/>
                <w:webHidden/>
              </w:rPr>
              <w:fldChar w:fldCharType="end"/>
            </w:r>
          </w:hyperlink>
        </w:p>
        <w:p w14:paraId="0C9D2067" w14:textId="0FA4C94B" w:rsidR="008F7A39" w:rsidRDefault="004335FE">
          <w:pPr>
            <w:pStyle w:val="TOC2"/>
            <w:tabs>
              <w:tab w:val="right" w:leader="dot" w:pos="8630"/>
            </w:tabs>
            <w:rPr>
              <w:rFonts w:asciiTheme="minorHAnsi" w:eastAsiaTheme="minorEastAsia" w:hAnsiTheme="minorHAnsi" w:cstheme="minorBidi"/>
              <w:noProof/>
              <w:sz w:val="22"/>
              <w:szCs w:val="22"/>
              <w:lang w:eastAsia="en-IE"/>
            </w:rPr>
          </w:pPr>
          <w:hyperlink w:anchor="_Toc122447201" w:history="1">
            <w:r w:rsidR="008F7A39" w:rsidRPr="00113E84">
              <w:rPr>
                <w:rStyle w:val="Hyperlink"/>
                <w:noProof/>
              </w:rPr>
              <w:t>Interventions at personal, organisational and government levels</w:t>
            </w:r>
            <w:r w:rsidR="008F7A39">
              <w:rPr>
                <w:noProof/>
                <w:webHidden/>
              </w:rPr>
              <w:tab/>
            </w:r>
            <w:r w:rsidR="008F7A39">
              <w:rPr>
                <w:noProof/>
                <w:webHidden/>
              </w:rPr>
              <w:fldChar w:fldCharType="begin"/>
            </w:r>
            <w:r w:rsidR="008F7A39">
              <w:rPr>
                <w:noProof/>
                <w:webHidden/>
              </w:rPr>
              <w:instrText xml:space="preserve"> PAGEREF _Toc122447201 \h </w:instrText>
            </w:r>
            <w:r w:rsidR="008F7A39">
              <w:rPr>
                <w:noProof/>
                <w:webHidden/>
              </w:rPr>
            </w:r>
            <w:r w:rsidR="008F7A39">
              <w:rPr>
                <w:noProof/>
                <w:webHidden/>
              </w:rPr>
              <w:fldChar w:fldCharType="separate"/>
            </w:r>
            <w:r w:rsidR="008F7A39">
              <w:rPr>
                <w:noProof/>
                <w:webHidden/>
              </w:rPr>
              <w:t>16</w:t>
            </w:r>
            <w:r w:rsidR="008F7A39">
              <w:rPr>
                <w:noProof/>
                <w:webHidden/>
              </w:rPr>
              <w:fldChar w:fldCharType="end"/>
            </w:r>
          </w:hyperlink>
        </w:p>
        <w:p w14:paraId="02F0B3FD" w14:textId="3FF1E7B9" w:rsidR="008F7A39" w:rsidRDefault="004335FE">
          <w:pPr>
            <w:pStyle w:val="TOC2"/>
            <w:tabs>
              <w:tab w:val="right" w:leader="dot" w:pos="8630"/>
            </w:tabs>
            <w:rPr>
              <w:rFonts w:asciiTheme="minorHAnsi" w:eastAsiaTheme="minorEastAsia" w:hAnsiTheme="minorHAnsi" w:cstheme="minorBidi"/>
              <w:noProof/>
              <w:sz w:val="22"/>
              <w:szCs w:val="22"/>
              <w:lang w:eastAsia="en-IE"/>
            </w:rPr>
          </w:pPr>
          <w:hyperlink w:anchor="_Toc122447202" w:history="1">
            <w:r w:rsidR="008F7A39" w:rsidRPr="00113E84">
              <w:rPr>
                <w:rStyle w:val="Hyperlink"/>
                <w:noProof/>
              </w:rPr>
              <w:t>Examples of interventions to change attitudes</w:t>
            </w:r>
            <w:r w:rsidR="008F7A39">
              <w:rPr>
                <w:noProof/>
                <w:webHidden/>
              </w:rPr>
              <w:tab/>
            </w:r>
            <w:r w:rsidR="008F7A39">
              <w:rPr>
                <w:noProof/>
                <w:webHidden/>
              </w:rPr>
              <w:fldChar w:fldCharType="begin"/>
            </w:r>
            <w:r w:rsidR="008F7A39">
              <w:rPr>
                <w:noProof/>
                <w:webHidden/>
              </w:rPr>
              <w:instrText xml:space="preserve"> PAGEREF _Toc122447202 \h </w:instrText>
            </w:r>
            <w:r w:rsidR="008F7A39">
              <w:rPr>
                <w:noProof/>
                <w:webHidden/>
              </w:rPr>
            </w:r>
            <w:r w:rsidR="008F7A39">
              <w:rPr>
                <w:noProof/>
                <w:webHidden/>
              </w:rPr>
              <w:fldChar w:fldCharType="separate"/>
            </w:r>
            <w:r w:rsidR="008F7A39">
              <w:rPr>
                <w:noProof/>
                <w:webHidden/>
              </w:rPr>
              <w:t>19</w:t>
            </w:r>
            <w:r w:rsidR="008F7A39">
              <w:rPr>
                <w:noProof/>
                <w:webHidden/>
              </w:rPr>
              <w:fldChar w:fldCharType="end"/>
            </w:r>
          </w:hyperlink>
        </w:p>
        <w:p w14:paraId="67359699" w14:textId="3779674E" w:rsidR="008F7A39" w:rsidRDefault="004335FE">
          <w:pPr>
            <w:pStyle w:val="TOC3"/>
            <w:tabs>
              <w:tab w:val="right" w:leader="dot" w:pos="8630"/>
            </w:tabs>
            <w:rPr>
              <w:rFonts w:asciiTheme="minorHAnsi" w:eastAsiaTheme="minorEastAsia" w:hAnsiTheme="minorHAnsi" w:cstheme="minorBidi"/>
              <w:noProof/>
              <w:sz w:val="22"/>
              <w:szCs w:val="22"/>
              <w:lang w:eastAsia="en-IE"/>
            </w:rPr>
          </w:pPr>
          <w:hyperlink w:anchor="_Toc122447203" w:history="1">
            <w:r w:rsidR="008F7A39" w:rsidRPr="00113E84">
              <w:rPr>
                <w:rStyle w:val="Hyperlink"/>
                <w:noProof/>
              </w:rPr>
              <w:t>Australia’s 2021-2031 strategy to tackle negative attitudes to disability</w:t>
            </w:r>
            <w:r w:rsidR="008F7A39">
              <w:rPr>
                <w:noProof/>
                <w:webHidden/>
              </w:rPr>
              <w:tab/>
            </w:r>
            <w:r w:rsidR="008F7A39">
              <w:rPr>
                <w:noProof/>
                <w:webHidden/>
              </w:rPr>
              <w:fldChar w:fldCharType="begin"/>
            </w:r>
            <w:r w:rsidR="008F7A39">
              <w:rPr>
                <w:noProof/>
                <w:webHidden/>
              </w:rPr>
              <w:instrText xml:space="preserve"> PAGEREF _Toc122447203 \h </w:instrText>
            </w:r>
            <w:r w:rsidR="008F7A39">
              <w:rPr>
                <w:noProof/>
                <w:webHidden/>
              </w:rPr>
            </w:r>
            <w:r w:rsidR="008F7A39">
              <w:rPr>
                <w:noProof/>
                <w:webHidden/>
              </w:rPr>
              <w:fldChar w:fldCharType="separate"/>
            </w:r>
            <w:r w:rsidR="008F7A39">
              <w:rPr>
                <w:noProof/>
                <w:webHidden/>
              </w:rPr>
              <w:t>19</w:t>
            </w:r>
            <w:r w:rsidR="008F7A39">
              <w:rPr>
                <w:noProof/>
                <w:webHidden/>
              </w:rPr>
              <w:fldChar w:fldCharType="end"/>
            </w:r>
          </w:hyperlink>
        </w:p>
        <w:p w14:paraId="0DDF5370" w14:textId="2DCD7F91" w:rsidR="008F7A39" w:rsidRDefault="004335FE">
          <w:pPr>
            <w:pStyle w:val="TOC3"/>
            <w:tabs>
              <w:tab w:val="right" w:leader="dot" w:pos="8630"/>
            </w:tabs>
            <w:rPr>
              <w:rFonts w:asciiTheme="minorHAnsi" w:eastAsiaTheme="minorEastAsia" w:hAnsiTheme="minorHAnsi" w:cstheme="minorBidi"/>
              <w:noProof/>
              <w:sz w:val="22"/>
              <w:szCs w:val="22"/>
              <w:lang w:eastAsia="en-IE"/>
            </w:rPr>
          </w:pPr>
          <w:hyperlink w:anchor="_Toc122447204" w:history="1">
            <w:r w:rsidR="008F7A39" w:rsidRPr="00113E84">
              <w:rPr>
                <w:rStyle w:val="Hyperlink"/>
                <w:noProof/>
              </w:rPr>
              <w:t>Intergroup contact theory: the contact hypothesis</w:t>
            </w:r>
            <w:r w:rsidR="008F7A39">
              <w:rPr>
                <w:noProof/>
                <w:webHidden/>
              </w:rPr>
              <w:tab/>
            </w:r>
            <w:r w:rsidR="008F7A39">
              <w:rPr>
                <w:noProof/>
                <w:webHidden/>
              </w:rPr>
              <w:fldChar w:fldCharType="begin"/>
            </w:r>
            <w:r w:rsidR="008F7A39">
              <w:rPr>
                <w:noProof/>
                <w:webHidden/>
              </w:rPr>
              <w:instrText xml:space="preserve"> PAGEREF _Toc122447204 \h </w:instrText>
            </w:r>
            <w:r w:rsidR="008F7A39">
              <w:rPr>
                <w:noProof/>
                <w:webHidden/>
              </w:rPr>
            </w:r>
            <w:r w:rsidR="008F7A39">
              <w:rPr>
                <w:noProof/>
                <w:webHidden/>
              </w:rPr>
              <w:fldChar w:fldCharType="separate"/>
            </w:r>
            <w:r w:rsidR="008F7A39">
              <w:rPr>
                <w:noProof/>
                <w:webHidden/>
              </w:rPr>
              <w:t>20</w:t>
            </w:r>
            <w:r w:rsidR="008F7A39">
              <w:rPr>
                <w:noProof/>
                <w:webHidden/>
              </w:rPr>
              <w:fldChar w:fldCharType="end"/>
            </w:r>
          </w:hyperlink>
        </w:p>
        <w:p w14:paraId="4B90B0BA" w14:textId="4E5AE7CB" w:rsidR="008F7A39" w:rsidRDefault="004335FE">
          <w:pPr>
            <w:pStyle w:val="TOC3"/>
            <w:tabs>
              <w:tab w:val="right" w:leader="dot" w:pos="8630"/>
            </w:tabs>
            <w:rPr>
              <w:rFonts w:asciiTheme="minorHAnsi" w:eastAsiaTheme="minorEastAsia" w:hAnsiTheme="minorHAnsi" w:cstheme="minorBidi"/>
              <w:noProof/>
              <w:sz w:val="22"/>
              <w:szCs w:val="22"/>
              <w:lang w:eastAsia="en-IE"/>
            </w:rPr>
          </w:pPr>
          <w:hyperlink w:anchor="_Toc122447205" w:history="1">
            <w:r w:rsidR="008F7A39" w:rsidRPr="00113E84">
              <w:rPr>
                <w:rStyle w:val="Hyperlink"/>
                <w:noProof/>
              </w:rPr>
              <w:t>Contact in ordinary life</w:t>
            </w:r>
            <w:r w:rsidR="008F7A39">
              <w:rPr>
                <w:noProof/>
                <w:webHidden/>
              </w:rPr>
              <w:tab/>
            </w:r>
            <w:r w:rsidR="008F7A39">
              <w:rPr>
                <w:noProof/>
                <w:webHidden/>
              </w:rPr>
              <w:fldChar w:fldCharType="begin"/>
            </w:r>
            <w:r w:rsidR="008F7A39">
              <w:rPr>
                <w:noProof/>
                <w:webHidden/>
              </w:rPr>
              <w:instrText xml:space="preserve"> PAGEREF _Toc122447205 \h </w:instrText>
            </w:r>
            <w:r w:rsidR="008F7A39">
              <w:rPr>
                <w:noProof/>
                <w:webHidden/>
              </w:rPr>
            </w:r>
            <w:r w:rsidR="008F7A39">
              <w:rPr>
                <w:noProof/>
                <w:webHidden/>
              </w:rPr>
              <w:fldChar w:fldCharType="separate"/>
            </w:r>
            <w:r w:rsidR="008F7A39">
              <w:rPr>
                <w:noProof/>
                <w:webHidden/>
              </w:rPr>
              <w:t>21</w:t>
            </w:r>
            <w:r w:rsidR="008F7A39">
              <w:rPr>
                <w:noProof/>
                <w:webHidden/>
              </w:rPr>
              <w:fldChar w:fldCharType="end"/>
            </w:r>
          </w:hyperlink>
        </w:p>
        <w:p w14:paraId="08D89C86" w14:textId="72F0B51D" w:rsidR="008F7A39" w:rsidRDefault="004335FE">
          <w:pPr>
            <w:pStyle w:val="TOC3"/>
            <w:tabs>
              <w:tab w:val="right" w:leader="dot" w:pos="8630"/>
            </w:tabs>
            <w:rPr>
              <w:rFonts w:asciiTheme="minorHAnsi" w:eastAsiaTheme="minorEastAsia" w:hAnsiTheme="minorHAnsi" w:cstheme="minorBidi"/>
              <w:noProof/>
              <w:sz w:val="22"/>
              <w:szCs w:val="22"/>
              <w:lang w:eastAsia="en-IE"/>
            </w:rPr>
          </w:pPr>
          <w:hyperlink w:anchor="_Toc122447206" w:history="1">
            <w:r w:rsidR="008F7A39" w:rsidRPr="00113E84">
              <w:rPr>
                <w:rStyle w:val="Hyperlink"/>
                <w:noProof/>
              </w:rPr>
              <w:t>The UNCRPD</w:t>
            </w:r>
            <w:r w:rsidR="008F7A39">
              <w:rPr>
                <w:noProof/>
                <w:webHidden/>
              </w:rPr>
              <w:tab/>
            </w:r>
            <w:r w:rsidR="008F7A39">
              <w:rPr>
                <w:noProof/>
                <w:webHidden/>
              </w:rPr>
              <w:fldChar w:fldCharType="begin"/>
            </w:r>
            <w:r w:rsidR="008F7A39">
              <w:rPr>
                <w:noProof/>
                <w:webHidden/>
              </w:rPr>
              <w:instrText xml:space="preserve"> PAGEREF _Toc122447206 \h </w:instrText>
            </w:r>
            <w:r w:rsidR="008F7A39">
              <w:rPr>
                <w:noProof/>
                <w:webHidden/>
              </w:rPr>
            </w:r>
            <w:r w:rsidR="008F7A39">
              <w:rPr>
                <w:noProof/>
                <w:webHidden/>
              </w:rPr>
              <w:fldChar w:fldCharType="separate"/>
            </w:r>
            <w:r w:rsidR="008F7A39">
              <w:rPr>
                <w:noProof/>
                <w:webHidden/>
              </w:rPr>
              <w:t>24</w:t>
            </w:r>
            <w:r w:rsidR="008F7A39">
              <w:rPr>
                <w:noProof/>
                <w:webHidden/>
              </w:rPr>
              <w:fldChar w:fldCharType="end"/>
            </w:r>
          </w:hyperlink>
        </w:p>
        <w:p w14:paraId="78F9890F" w14:textId="5BAA2DE5" w:rsidR="008F7A39" w:rsidRDefault="004335FE">
          <w:pPr>
            <w:pStyle w:val="TOC3"/>
            <w:tabs>
              <w:tab w:val="right" w:leader="dot" w:pos="8630"/>
            </w:tabs>
            <w:rPr>
              <w:rFonts w:asciiTheme="minorHAnsi" w:eastAsiaTheme="minorEastAsia" w:hAnsiTheme="minorHAnsi" w:cstheme="minorBidi"/>
              <w:noProof/>
              <w:sz w:val="22"/>
              <w:szCs w:val="22"/>
              <w:lang w:eastAsia="en-IE"/>
            </w:rPr>
          </w:pPr>
          <w:hyperlink w:anchor="_Toc122447207" w:history="1">
            <w:r w:rsidR="008F7A39" w:rsidRPr="00113E84">
              <w:rPr>
                <w:rStyle w:val="Hyperlink"/>
                <w:noProof/>
              </w:rPr>
              <w:t>Bottom up socio-psychological interventions to change attitudes</w:t>
            </w:r>
            <w:r w:rsidR="008F7A39">
              <w:rPr>
                <w:noProof/>
                <w:webHidden/>
              </w:rPr>
              <w:tab/>
            </w:r>
            <w:r w:rsidR="008F7A39">
              <w:rPr>
                <w:noProof/>
                <w:webHidden/>
              </w:rPr>
              <w:fldChar w:fldCharType="begin"/>
            </w:r>
            <w:r w:rsidR="008F7A39">
              <w:rPr>
                <w:noProof/>
                <w:webHidden/>
              </w:rPr>
              <w:instrText xml:space="preserve"> PAGEREF _Toc122447207 \h </w:instrText>
            </w:r>
            <w:r w:rsidR="008F7A39">
              <w:rPr>
                <w:noProof/>
                <w:webHidden/>
              </w:rPr>
            </w:r>
            <w:r w:rsidR="008F7A39">
              <w:rPr>
                <w:noProof/>
                <w:webHidden/>
              </w:rPr>
              <w:fldChar w:fldCharType="separate"/>
            </w:r>
            <w:r w:rsidR="008F7A39">
              <w:rPr>
                <w:noProof/>
                <w:webHidden/>
              </w:rPr>
              <w:t>25</w:t>
            </w:r>
            <w:r w:rsidR="008F7A39">
              <w:rPr>
                <w:noProof/>
                <w:webHidden/>
              </w:rPr>
              <w:fldChar w:fldCharType="end"/>
            </w:r>
          </w:hyperlink>
        </w:p>
        <w:p w14:paraId="180BF020" w14:textId="0F443CCB" w:rsidR="008F7A39" w:rsidRDefault="004335FE">
          <w:pPr>
            <w:pStyle w:val="TOC1"/>
            <w:tabs>
              <w:tab w:val="right" w:leader="dot" w:pos="8630"/>
            </w:tabs>
            <w:rPr>
              <w:rFonts w:asciiTheme="minorHAnsi" w:eastAsiaTheme="minorEastAsia" w:hAnsiTheme="minorHAnsi" w:cstheme="minorBidi"/>
              <w:b w:val="0"/>
              <w:noProof/>
              <w:sz w:val="22"/>
              <w:szCs w:val="22"/>
              <w:lang w:eastAsia="en-IE"/>
            </w:rPr>
          </w:pPr>
          <w:hyperlink w:anchor="_Toc122447208" w:history="1">
            <w:r w:rsidR="008F7A39" w:rsidRPr="00113E84">
              <w:rPr>
                <w:rStyle w:val="Hyperlink"/>
                <w:noProof/>
              </w:rPr>
              <w:t>Chapter 4: Discussion and conclusions</w:t>
            </w:r>
            <w:r w:rsidR="008F7A39">
              <w:rPr>
                <w:noProof/>
                <w:webHidden/>
              </w:rPr>
              <w:tab/>
            </w:r>
            <w:r w:rsidR="008F7A39">
              <w:rPr>
                <w:noProof/>
                <w:webHidden/>
              </w:rPr>
              <w:fldChar w:fldCharType="begin"/>
            </w:r>
            <w:r w:rsidR="008F7A39">
              <w:rPr>
                <w:noProof/>
                <w:webHidden/>
              </w:rPr>
              <w:instrText xml:space="preserve"> PAGEREF _Toc122447208 \h </w:instrText>
            </w:r>
            <w:r w:rsidR="008F7A39">
              <w:rPr>
                <w:noProof/>
                <w:webHidden/>
              </w:rPr>
            </w:r>
            <w:r w:rsidR="008F7A39">
              <w:rPr>
                <w:noProof/>
                <w:webHidden/>
              </w:rPr>
              <w:fldChar w:fldCharType="separate"/>
            </w:r>
            <w:r w:rsidR="008F7A39">
              <w:rPr>
                <w:noProof/>
                <w:webHidden/>
              </w:rPr>
              <w:t>28</w:t>
            </w:r>
            <w:r w:rsidR="008F7A39">
              <w:rPr>
                <w:noProof/>
                <w:webHidden/>
              </w:rPr>
              <w:fldChar w:fldCharType="end"/>
            </w:r>
          </w:hyperlink>
        </w:p>
        <w:p w14:paraId="1D07AFDA" w14:textId="5EF0E0D9" w:rsidR="008F7A39" w:rsidRDefault="004335FE">
          <w:pPr>
            <w:pStyle w:val="TOC2"/>
            <w:tabs>
              <w:tab w:val="right" w:leader="dot" w:pos="8630"/>
            </w:tabs>
            <w:rPr>
              <w:rFonts w:asciiTheme="minorHAnsi" w:eastAsiaTheme="minorEastAsia" w:hAnsiTheme="minorHAnsi" w:cstheme="minorBidi"/>
              <w:noProof/>
              <w:sz w:val="22"/>
              <w:szCs w:val="22"/>
              <w:lang w:eastAsia="en-IE"/>
            </w:rPr>
          </w:pPr>
          <w:hyperlink w:anchor="_Toc122447209" w:history="1">
            <w:r w:rsidR="008F7A39" w:rsidRPr="00113E84">
              <w:rPr>
                <w:rStyle w:val="Hyperlink"/>
                <w:noProof/>
              </w:rPr>
              <w:t>Conclusion</w:t>
            </w:r>
            <w:r w:rsidR="008F7A39">
              <w:rPr>
                <w:noProof/>
                <w:webHidden/>
              </w:rPr>
              <w:tab/>
            </w:r>
            <w:r w:rsidR="008F7A39">
              <w:rPr>
                <w:noProof/>
                <w:webHidden/>
              </w:rPr>
              <w:fldChar w:fldCharType="begin"/>
            </w:r>
            <w:r w:rsidR="008F7A39">
              <w:rPr>
                <w:noProof/>
                <w:webHidden/>
              </w:rPr>
              <w:instrText xml:space="preserve"> PAGEREF _Toc122447209 \h </w:instrText>
            </w:r>
            <w:r w:rsidR="008F7A39">
              <w:rPr>
                <w:noProof/>
                <w:webHidden/>
              </w:rPr>
            </w:r>
            <w:r w:rsidR="008F7A39">
              <w:rPr>
                <w:noProof/>
                <w:webHidden/>
              </w:rPr>
              <w:fldChar w:fldCharType="separate"/>
            </w:r>
            <w:r w:rsidR="008F7A39">
              <w:rPr>
                <w:noProof/>
                <w:webHidden/>
              </w:rPr>
              <w:t>31</w:t>
            </w:r>
            <w:r w:rsidR="008F7A39">
              <w:rPr>
                <w:noProof/>
                <w:webHidden/>
              </w:rPr>
              <w:fldChar w:fldCharType="end"/>
            </w:r>
          </w:hyperlink>
        </w:p>
        <w:p w14:paraId="4AF208D3" w14:textId="358E7A26" w:rsidR="008F7A39" w:rsidRDefault="004335FE">
          <w:pPr>
            <w:pStyle w:val="TOC1"/>
            <w:tabs>
              <w:tab w:val="right" w:leader="dot" w:pos="8630"/>
            </w:tabs>
            <w:rPr>
              <w:rFonts w:asciiTheme="minorHAnsi" w:eastAsiaTheme="minorEastAsia" w:hAnsiTheme="minorHAnsi" w:cstheme="minorBidi"/>
              <w:b w:val="0"/>
              <w:noProof/>
              <w:sz w:val="22"/>
              <w:szCs w:val="22"/>
              <w:lang w:eastAsia="en-IE"/>
            </w:rPr>
          </w:pPr>
          <w:hyperlink w:anchor="_Toc122447210" w:history="1">
            <w:r w:rsidR="008F7A39" w:rsidRPr="00113E84">
              <w:rPr>
                <w:rStyle w:val="Hyperlink"/>
                <w:noProof/>
              </w:rPr>
              <w:t>References</w:t>
            </w:r>
            <w:r w:rsidR="008F7A39">
              <w:rPr>
                <w:noProof/>
                <w:webHidden/>
              </w:rPr>
              <w:tab/>
            </w:r>
            <w:r w:rsidR="008F7A39">
              <w:rPr>
                <w:noProof/>
                <w:webHidden/>
              </w:rPr>
              <w:fldChar w:fldCharType="begin"/>
            </w:r>
            <w:r w:rsidR="008F7A39">
              <w:rPr>
                <w:noProof/>
                <w:webHidden/>
              </w:rPr>
              <w:instrText xml:space="preserve"> PAGEREF _Toc122447210 \h </w:instrText>
            </w:r>
            <w:r w:rsidR="008F7A39">
              <w:rPr>
                <w:noProof/>
                <w:webHidden/>
              </w:rPr>
            </w:r>
            <w:r w:rsidR="008F7A39">
              <w:rPr>
                <w:noProof/>
                <w:webHidden/>
              </w:rPr>
              <w:fldChar w:fldCharType="separate"/>
            </w:r>
            <w:r w:rsidR="008F7A39">
              <w:rPr>
                <w:noProof/>
                <w:webHidden/>
              </w:rPr>
              <w:t>32</w:t>
            </w:r>
            <w:r w:rsidR="008F7A39">
              <w:rPr>
                <w:noProof/>
                <w:webHidden/>
              </w:rPr>
              <w:fldChar w:fldCharType="end"/>
            </w:r>
          </w:hyperlink>
        </w:p>
        <w:p w14:paraId="65590EB9" w14:textId="12B59E32" w:rsidR="00502387" w:rsidRDefault="00502387">
          <w:r>
            <w:rPr>
              <w:b/>
              <w:bCs/>
              <w:noProof/>
            </w:rPr>
            <w:fldChar w:fldCharType="end"/>
          </w:r>
        </w:p>
      </w:sdtContent>
    </w:sdt>
    <w:p w14:paraId="2496B423" w14:textId="77777777" w:rsidR="004E7FCA" w:rsidRDefault="004E7FCA">
      <w:pPr>
        <w:spacing w:after="0"/>
      </w:pPr>
      <w:r>
        <w:br w:type="page"/>
      </w:r>
    </w:p>
    <w:p w14:paraId="67965B1D" w14:textId="3F467C6D" w:rsidR="00BA6667" w:rsidRDefault="00F47A24" w:rsidP="00BA6667">
      <w:pPr>
        <w:pStyle w:val="Heading1"/>
      </w:pPr>
      <w:bookmarkStart w:id="0" w:name="_Toc122447195"/>
      <w:r>
        <w:lastRenderedPageBreak/>
        <w:t>Introduction</w:t>
      </w:r>
      <w:bookmarkEnd w:id="0"/>
      <w:r>
        <w:t xml:space="preserve"> </w:t>
      </w:r>
    </w:p>
    <w:p w14:paraId="2E41F345" w14:textId="49F39399" w:rsidR="004D67B9" w:rsidRDefault="0098241A" w:rsidP="00370006">
      <w:pPr>
        <w:tabs>
          <w:tab w:val="num" w:pos="720"/>
        </w:tabs>
        <w:rPr>
          <w:bCs/>
          <w:lang w:val="en-US"/>
        </w:rPr>
      </w:pPr>
      <w:r>
        <w:rPr>
          <w:bCs/>
        </w:rPr>
        <w:t>Since 2001, e</w:t>
      </w:r>
      <w:r w:rsidR="004D67B9">
        <w:rPr>
          <w:bCs/>
        </w:rPr>
        <w:t xml:space="preserve">very five </w:t>
      </w:r>
      <w:r>
        <w:rPr>
          <w:bCs/>
        </w:rPr>
        <w:t xml:space="preserve">or six </w:t>
      </w:r>
      <w:r w:rsidR="004D67B9">
        <w:rPr>
          <w:bCs/>
        </w:rPr>
        <w:t>years</w:t>
      </w:r>
      <w:r>
        <w:rPr>
          <w:bCs/>
        </w:rPr>
        <w:t>,</w:t>
      </w:r>
      <w:r w:rsidR="004D67B9">
        <w:rPr>
          <w:bCs/>
        </w:rPr>
        <w:t xml:space="preserve"> the National Disability Authority</w:t>
      </w:r>
      <w:r w:rsidR="005C412D">
        <w:rPr>
          <w:bCs/>
        </w:rPr>
        <w:t xml:space="preserve"> (NDA)</w:t>
      </w:r>
      <w:r w:rsidR="004D67B9">
        <w:rPr>
          <w:bCs/>
        </w:rPr>
        <w:t xml:space="preserve"> has conducted a Public Attitudes to Disability in Ireland survey.</w:t>
      </w:r>
      <w:r w:rsidR="004D67B9">
        <w:rPr>
          <w:rStyle w:val="FootnoteReference"/>
          <w:bCs/>
        </w:rPr>
        <w:footnoteReference w:id="1"/>
      </w:r>
      <w:r w:rsidR="004D67B9">
        <w:rPr>
          <w:bCs/>
        </w:rPr>
        <w:t xml:space="preserve"> These surveys have been face-to-face interview administered surveys </w:t>
      </w:r>
      <w:r w:rsidR="00F670C7">
        <w:rPr>
          <w:bCs/>
        </w:rPr>
        <w:t xml:space="preserve">in peoples’ homes </w:t>
      </w:r>
      <w:r w:rsidR="004D67B9">
        <w:rPr>
          <w:bCs/>
        </w:rPr>
        <w:t xml:space="preserve">to a random sample of the Irish population with quotas to match the age and gender demographics of the national population. In 2022, as the next attitudes survey was due, the NDA decided to review </w:t>
      </w:r>
      <w:r w:rsidR="00A02200">
        <w:rPr>
          <w:bCs/>
        </w:rPr>
        <w:t xml:space="preserve">whether a public attitudes survey was the best way to evaluate attitudes and contribute to changing them. </w:t>
      </w:r>
    </w:p>
    <w:p w14:paraId="73A435E5" w14:textId="4F3B5DEA" w:rsidR="00370006" w:rsidRDefault="00B2142B" w:rsidP="00CB54A2">
      <w:pPr>
        <w:tabs>
          <w:tab w:val="num" w:pos="720"/>
        </w:tabs>
      </w:pPr>
      <w:r>
        <w:rPr>
          <w:bCs/>
          <w:lang w:val="en-US"/>
        </w:rPr>
        <w:t xml:space="preserve">In addition to </w:t>
      </w:r>
      <w:r w:rsidR="00F4143B">
        <w:rPr>
          <w:bCs/>
          <w:lang w:val="en-US"/>
        </w:rPr>
        <w:t xml:space="preserve">a </w:t>
      </w:r>
      <w:r w:rsidR="00E01296">
        <w:t xml:space="preserve">review of the </w:t>
      </w:r>
      <w:r w:rsidR="00094051">
        <w:t>l</w:t>
      </w:r>
      <w:r w:rsidR="00370006">
        <w:t xml:space="preserve">iterature </w:t>
      </w:r>
      <w:r w:rsidR="004036E6">
        <w:t xml:space="preserve">on </w:t>
      </w:r>
      <w:r w:rsidR="00370006">
        <w:t>attitudes and</w:t>
      </w:r>
      <w:r w:rsidR="00CB54A2">
        <w:t xml:space="preserve"> </w:t>
      </w:r>
      <w:r>
        <w:t xml:space="preserve">on </w:t>
      </w:r>
      <w:r w:rsidR="00370006">
        <w:t>changing negative attitudes to</w:t>
      </w:r>
      <w:r w:rsidR="00E01296">
        <w:t>wards</w:t>
      </w:r>
      <w:r w:rsidR="00370006">
        <w:t xml:space="preserve"> disabled people</w:t>
      </w:r>
      <w:r>
        <w:t xml:space="preserve">, </w:t>
      </w:r>
      <w:r w:rsidR="00A02200">
        <w:t xml:space="preserve">the NDA conducted </w:t>
      </w:r>
      <w:r>
        <w:t xml:space="preserve">a </w:t>
      </w:r>
      <w:r w:rsidR="00370006">
        <w:t xml:space="preserve">review </w:t>
      </w:r>
      <w:r w:rsidR="00CB54A2">
        <w:t xml:space="preserve"> </w:t>
      </w:r>
      <w:r w:rsidR="00370006">
        <w:t>on</w:t>
      </w:r>
      <w:r w:rsidR="00370006" w:rsidRPr="003D3670">
        <w:t xml:space="preserve"> </w:t>
      </w:r>
      <w:r w:rsidR="00E01296">
        <w:t>various methodologies with</w:t>
      </w:r>
      <w:r w:rsidR="00F4143B">
        <w:t xml:space="preserve"> which</w:t>
      </w:r>
      <w:r w:rsidR="00E01296">
        <w:t xml:space="preserve"> </w:t>
      </w:r>
      <w:r w:rsidR="00A02200">
        <w:t xml:space="preserve">one can evaluate attitudes </w:t>
      </w:r>
      <w:r w:rsidR="000C497B">
        <w:t>In addition, t</w:t>
      </w:r>
      <w:r w:rsidR="00CB54A2">
        <w:t xml:space="preserve">he Economic and Social Research Institute (ESRI) conducted a list experiment and </w:t>
      </w:r>
      <w:r w:rsidR="00F4143B">
        <w:t xml:space="preserve">used </w:t>
      </w:r>
      <w:r w:rsidR="000C497B">
        <w:t xml:space="preserve">other indirect </w:t>
      </w:r>
      <w:r w:rsidR="00CB54A2">
        <w:t xml:space="preserve">measurement techniques </w:t>
      </w:r>
      <w:r w:rsidR="00F4143B">
        <w:t xml:space="preserve">to evaluate </w:t>
      </w:r>
      <w:r w:rsidR="003C71AA">
        <w:t xml:space="preserve">negative </w:t>
      </w:r>
      <w:r w:rsidR="00340AD8">
        <w:t>attitudes to disability</w:t>
      </w:r>
      <w:r w:rsidR="00370006">
        <w:t xml:space="preserve"> for the NDA. </w:t>
      </w:r>
      <w:r w:rsidR="00CB54A2">
        <w:t>To our knowledge</w:t>
      </w:r>
      <w:r w:rsidR="00A02200">
        <w:t>,</w:t>
      </w:r>
      <w:r w:rsidR="00CB54A2">
        <w:t xml:space="preserve"> this is the first list experiment  in the field of disability.</w:t>
      </w:r>
    </w:p>
    <w:p w14:paraId="0FAC691E" w14:textId="4EDE0193" w:rsidR="005C412D" w:rsidRDefault="005C412D" w:rsidP="00220A75">
      <w:pPr>
        <w:tabs>
          <w:tab w:val="num" w:pos="720"/>
        </w:tabs>
      </w:pPr>
      <w:r>
        <w:rPr>
          <w:bCs/>
        </w:rPr>
        <w:t xml:space="preserve">The literature </w:t>
      </w:r>
      <w:r w:rsidR="00CB54A2">
        <w:rPr>
          <w:bCs/>
        </w:rPr>
        <w:t xml:space="preserve">review on attitudes </w:t>
      </w:r>
      <w:r w:rsidR="00A02200">
        <w:rPr>
          <w:bCs/>
        </w:rPr>
        <w:t xml:space="preserve">to disability </w:t>
      </w:r>
      <w:r>
        <w:rPr>
          <w:bCs/>
        </w:rPr>
        <w:t>and</w:t>
      </w:r>
      <w:r w:rsidR="00CB54A2">
        <w:rPr>
          <w:bCs/>
        </w:rPr>
        <w:t xml:space="preserve"> changing </w:t>
      </w:r>
      <w:r w:rsidR="00A02200">
        <w:rPr>
          <w:bCs/>
        </w:rPr>
        <w:t xml:space="preserve">negative </w:t>
      </w:r>
      <w:r w:rsidR="00CB54A2">
        <w:rPr>
          <w:bCs/>
        </w:rPr>
        <w:t>attitudes, the</w:t>
      </w:r>
      <w:r>
        <w:rPr>
          <w:bCs/>
        </w:rPr>
        <w:t xml:space="preserve"> </w:t>
      </w:r>
      <w:r w:rsidR="00CB54A2">
        <w:rPr>
          <w:bCs/>
        </w:rPr>
        <w:t xml:space="preserve">review of attitude measures </w:t>
      </w:r>
      <w:r>
        <w:rPr>
          <w:bCs/>
        </w:rPr>
        <w:t>and</w:t>
      </w:r>
      <w:r w:rsidR="00CB54A2">
        <w:rPr>
          <w:bCs/>
        </w:rPr>
        <w:t xml:space="preserve"> the list experiment </w:t>
      </w:r>
      <w:r>
        <w:rPr>
          <w:bCs/>
        </w:rPr>
        <w:t>will inform NDA’s decisions about its future research and policy work in the area of attitudes.</w:t>
      </w:r>
      <w:r w:rsidRPr="00491359">
        <w:t xml:space="preserve"> </w:t>
      </w:r>
    </w:p>
    <w:p w14:paraId="359F6A31" w14:textId="0063F9CB" w:rsidR="00D37016" w:rsidRDefault="00E01296" w:rsidP="00D37016">
      <w:pPr>
        <w:tabs>
          <w:tab w:val="num" w:pos="720"/>
        </w:tabs>
      </w:pPr>
      <w:r>
        <w:t>Since t</w:t>
      </w:r>
      <w:r w:rsidR="00370006">
        <w:t>he NDA</w:t>
      </w:r>
      <w:r w:rsidR="000C497B">
        <w:t xml:space="preserve"> </w:t>
      </w:r>
      <w:r w:rsidR="00370006">
        <w:t>conducted a literat</w:t>
      </w:r>
      <w:r>
        <w:t>ure review on attitudes in 2007,</w:t>
      </w:r>
      <w:r w:rsidR="00094051">
        <w:t xml:space="preserve"> </w:t>
      </w:r>
      <w:r w:rsidR="00370006">
        <w:t xml:space="preserve">there has been progress in understanding </w:t>
      </w:r>
      <w:r w:rsidR="00A02200">
        <w:t>the formation</w:t>
      </w:r>
      <w:r w:rsidR="003C71AA">
        <w:t>, measuring and changing</w:t>
      </w:r>
      <w:r w:rsidR="00A02200">
        <w:t xml:space="preserve"> of </w:t>
      </w:r>
      <w:r w:rsidR="00370006">
        <w:t>attitudes</w:t>
      </w:r>
      <w:r w:rsidR="003C71AA">
        <w:t xml:space="preserve">. </w:t>
      </w:r>
      <w:r w:rsidR="00370006">
        <w:t>For example, r</w:t>
      </w:r>
      <w:r w:rsidR="00370006">
        <w:rPr>
          <w:bCs/>
        </w:rPr>
        <w:t>esearch on i</w:t>
      </w:r>
      <w:r w:rsidR="00370006" w:rsidRPr="00001D29">
        <w:rPr>
          <w:bCs/>
        </w:rPr>
        <w:t>mplicit attitude</w:t>
      </w:r>
      <w:r w:rsidR="00370006">
        <w:rPr>
          <w:bCs/>
        </w:rPr>
        <w:t>s</w:t>
      </w:r>
      <w:r w:rsidR="00370006" w:rsidRPr="00001D29">
        <w:rPr>
          <w:bCs/>
        </w:rPr>
        <w:t xml:space="preserve"> has expanded rapidly in the last two decades</w:t>
      </w:r>
      <w:r w:rsidR="00094051">
        <w:rPr>
          <w:bCs/>
        </w:rPr>
        <w:t xml:space="preserve"> with t</w:t>
      </w:r>
      <w:r w:rsidR="0072195B">
        <w:t xml:space="preserve">he </w:t>
      </w:r>
      <w:r w:rsidR="00B114D0">
        <w:t xml:space="preserve">use </w:t>
      </w:r>
      <w:r w:rsidR="0072195B">
        <w:t xml:space="preserve">of indirect measures </w:t>
      </w:r>
      <w:r w:rsidR="00094051">
        <w:t xml:space="preserve">being </w:t>
      </w:r>
      <w:r w:rsidR="0072195B">
        <w:t>a notable change in attitude research</w:t>
      </w:r>
      <w:r w:rsidR="008D1D7D">
        <w:t>.</w:t>
      </w:r>
      <w:r w:rsidRPr="00E01296">
        <w:rPr>
          <w:rStyle w:val="FootnoteReference"/>
        </w:rPr>
        <w:t xml:space="preserve"> </w:t>
      </w:r>
      <w:r>
        <w:rPr>
          <w:rStyle w:val="FootnoteReference"/>
        </w:rPr>
        <w:footnoteReference w:id="2"/>
      </w:r>
      <w:r w:rsidRPr="00904601">
        <w:t xml:space="preserve"> </w:t>
      </w:r>
      <w:r>
        <w:t>Th</w:t>
      </w:r>
      <w:r w:rsidR="00E4558E">
        <w:t>e</w:t>
      </w:r>
      <w:r w:rsidR="00094051">
        <w:t xml:space="preserve"> discovery of</w:t>
      </w:r>
      <w:r w:rsidR="00094051" w:rsidRPr="00F275DC">
        <w:t xml:space="preserve"> ways </w:t>
      </w:r>
      <w:r w:rsidR="00094051">
        <w:t>to assess people’s thoughts, feelings</w:t>
      </w:r>
      <w:r w:rsidR="00094051" w:rsidRPr="00F275DC">
        <w:t xml:space="preserve"> </w:t>
      </w:r>
      <w:r w:rsidR="00094051">
        <w:t xml:space="preserve">and possible behaviours </w:t>
      </w:r>
      <w:r w:rsidR="00E4558E">
        <w:t xml:space="preserve">indirectly </w:t>
      </w:r>
      <w:r w:rsidR="00094051" w:rsidRPr="00F275DC">
        <w:t xml:space="preserve">may be </w:t>
      </w:r>
      <w:r w:rsidR="00094051">
        <w:t>the central advance</w:t>
      </w:r>
      <w:r w:rsidR="00094051" w:rsidRPr="00F275DC">
        <w:t xml:space="preserve"> in research on attitudes in the past half century.</w:t>
      </w:r>
      <w:r w:rsidR="00094051" w:rsidRPr="00F275DC">
        <w:rPr>
          <w:vertAlign w:val="superscript"/>
        </w:rPr>
        <w:footnoteReference w:id="3"/>
      </w:r>
      <w:r w:rsidR="00094051" w:rsidRPr="00F275DC">
        <w:t xml:space="preserve"> </w:t>
      </w:r>
    </w:p>
    <w:p w14:paraId="4503907B" w14:textId="1BF1B2A5" w:rsidR="00491359" w:rsidRPr="00C64349" w:rsidRDefault="00F4143B" w:rsidP="00D37016">
      <w:pPr>
        <w:tabs>
          <w:tab w:val="num" w:pos="720"/>
        </w:tabs>
      </w:pPr>
      <w:r>
        <w:t>One explores a</w:t>
      </w:r>
      <w:r w:rsidR="008C253B" w:rsidRPr="000B4B74">
        <w:t>ttitudes to other persons in inter-personal research attitudes towards self in self-esteem research and attitudes towards ideals and abstract ideas in values research.</w:t>
      </w:r>
      <w:r w:rsidR="008C253B">
        <w:rPr>
          <w:rStyle w:val="FootnoteReference"/>
        </w:rPr>
        <w:footnoteReference w:id="4"/>
      </w:r>
      <w:r w:rsidR="008C253B">
        <w:t xml:space="preserve"> There </w:t>
      </w:r>
      <w:r w:rsidR="00D37016">
        <w:t xml:space="preserve">are </w:t>
      </w:r>
      <w:r w:rsidR="008C253B">
        <w:t xml:space="preserve">newer methodologies such as the list experiment </w:t>
      </w:r>
      <w:r w:rsidR="00B114D0">
        <w:t xml:space="preserve">used to </w:t>
      </w:r>
      <w:r w:rsidR="008C253B">
        <w:t>measur</w:t>
      </w:r>
      <w:r w:rsidR="00B114D0">
        <w:t>e</w:t>
      </w:r>
      <w:r w:rsidR="008C253B">
        <w:t xml:space="preserve"> attitudes and assess the prevalence of sensitive behaviours</w:t>
      </w:r>
      <w:r w:rsidR="00E4558E">
        <w:t>.</w:t>
      </w:r>
      <w:r w:rsidR="008C253B">
        <w:rPr>
          <w:rStyle w:val="FootnoteReference"/>
        </w:rPr>
        <w:footnoteReference w:id="5"/>
      </w:r>
      <w:r w:rsidR="008C253B">
        <w:t xml:space="preserve"> </w:t>
      </w:r>
      <w:r w:rsidR="00E4558E">
        <w:t xml:space="preserve">There is also more research on evaluating </w:t>
      </w:r>
      <w:r w:rsidR="008C253B">
        <w:t xml:space="preserve">how </w:t>
      </w:r>
      <w:r w:rsidR="007D55B1">
        <w:t xml:space="preserve">to change </w:t>
      </w:r>
      <w:r w:rsidR="008C253B">
        <w:t xml:space="preserve">attitudes, </w:t>
      </w:r>
      <w:r w:rsidR="008C253B">
        <w:lastRenderedPageBreak/>
        <w:t xml:space="preserve">for example, </w:t>
      </w:r>
      <w:r w:rsidR="00E4558E">
        <w:t xml:space="preserve">how </w:t>
      </w:r>
      <w:r w:rsidR="008C253B">
        <w:t xml:space="preserve">public policies influence behaviour and attitudes. </w:t>
      </w:r>
      <w:r w:rsidR="00491359" w:rsidRPr="00C64349">
        <w:t>A</w:t>
      </w:r>
      <w:r w:rsidR="00F63CCA">
        <w:t xml:space="preserve"> review of research on</w:t>
      </w:r>
      <w:r w:rsidR="00491359" w:rsidRPr="00C64349">
        <w:t xml:space="preserve"> </w:t>
      </w:r>
      <w:r w:rsidR="00491359">
        <w:t xml:space="preserve">attitudes and </w:t>
      </w:r>
      <w:r w:rsidR="00491359" w:rsidRPr="00C64349">
        <w:t xml:space="preserve">attitude change during the period 2010-2017 highlighted </w:t>
      </w:r>
      <w:r w:rsidR="00F10541">
        <w:t xml:space="preserve">how the </w:t>
      </w:r>
      <w:r w:rsidR="00491359">
        <w:t xml:space="preserve">agenda </w:t>
      </w:r>
      <w:r w:rsidR="004036E6">
        <w:t xml:space="preserve">has </w:t>
      </w:r>
      <w:r w:rsidR="00491359">
        <w:t>shift</w:t>
      </w:r>
      <w:r w:rsidR="00E01296">
        <w:t>ed</w:t>
      </w:r>
      <w:r w:rsidR="00491359">
        <w:t xml:space="preserve"> </w:t>
      </w:r>
      <w:r w:rsidR="00340251">
        <w:t xml:space="preserve">towards </w:t>
      </w:r>
      <w:r w:rsidR="00491359">
        <w:t xml:space="preserve">a </w:t>
      </w:r>
      <w:r w:rsidR="00B114D0">
        <w:t xml:space="preserve">more </w:t>
      </w:r>
      <w:r w:rsidR="00491359">
        <w:t>holistic understanding of attitudes</w:t>
      </w:r>
      <w:r w:rsidR="00491359" w:rsidRPr="00C64349">
        <w:t>:</w:t>
      </w:r>
      <w:r w:rsidR="00491359" w:rsidRPr="00C64349">
        <w:rPr>
          <w:vertAlign w:val="superscript"/>
        </w:rPr>
        <w:footnoteReference w:id="6"/>
      </w:r>
    </w:p>
    <w:p w14:paraId="34CA9108" w14:textId="77777777" w:rsidR="00491359" w:rsidRDefault="00491359" w:rsidP="00491359">
      <w:pPr>
        <w:numPr>
          <w:ilvl w:val="0"/>
          <w:numId w:val="1"/>
        </w:numPr>
      </w:pPr>
      <w:r>
        <w:t xml:space="preserve">The context of the </w:t>
      </w:r>
      <w:r w:rsidRPr="00C64349">
        <w:t>person</w:t>
      </w:r>
      <w:r w:rsidR="00094051">
        <w:t xml:space="preserve"> as a whole</w:t>
      </w:r>
      <w:r w:rsidR="00E01296">
        <w:t xml:space="preserve"> -</w:t>
      </w:r>
      <w:r w:rsidR="00094051">
        <w:t xml:space="preserve"> </w:t>
      </w:r>
      <w:r w:rsidR="00F63CCA">
        <w:t>linking</w:t>
      </w:r>
      <w:r>
        <w:t xml:space="preserve"> attitudes and attitude change to individual values, goals, emotions, linguistic processes, evaluative processes, developmental aspects, etc.</w:t>
      </w:r>
    </w:p>
    <w:p w14:paraId="5A2AAB48" w14:textId="77777777" w:rsidR="00491359" w:rsidRPr="00513034" w:rsidRDefault="00491359" w:rsidP="00491359">
      <w:pPr>
        <w:numPr>
          <w:ilvl w:val="0"/>
          <w:numId w:val="1"/>
        </w:numPr>
      </w:pPr>
      <w:r>
        <w:t>T</w:t>
      </w:r>
      <w:r w:rsidRPr="00513034">
        <w:t xml:space="preserve">he </w:t>
      </w:r>
      <w:r w:rsidR="00094051">
        <w:t>context of social relationships</w:t>
      </w:r>
      <w:r w:rsidR="00E01296">
        <w:t xml:space="preserve"> -</w:t>
      </w:r>
      <w:r w:rsidR="00094051">
        <w:t xml:space="preserve"> </w:t>
      </w:r>
      <w:r w:rsidR="00F63CCA">
        <w:t>linking</w:t>
      </w:r>
      <w:r w:rsidRPr="00513034">
        <w:t xml:space="preserve"> attitude change to the person’s interactions with communicators, social networks and social media.</w:t>
      </w:r>
    </w:p>
    <w:p w14:paraId="31F9DF05" w14:textId="77777777" w:rsidR="00491359" w:rsidRPr="00476A60" w:rsidRDefault="00E01296" w:rsidP="00491359">
      <w:pPr>
        <w:numPr>
          <w:ilvl w:val="0"/>
          <w:numId w:val="1"/>
        </w:numPr>
      </w:pPr>
      <w:r>
        <w:t xml:space="preserve">The </w:t>
      </w:r>
      <w:r w:rsidR="00491359">
        <w:t xml:space="preserve">socio-historical context </w:t>
      </w:r>
      <w:r>
        <w:t>- recognising</w:t>
      </w:r>
      <w:r w:rsidR="00491359">
        <w:t xml:space="preserve"> the impact of </w:t>
      </w:r>
      <w:r w:rsidR="006C2AAB">
        <w:t>culture and significant events</w:t>
      </w:r>
      <w:r w:rsidR="00491359">
        <w:t xml:space="preserve"> on </w:t>
      </w:r>
      <w:r w:rsidR="006C2AAB">
        <w:t xml:space="preserve">the </w:t>
      </w:r>
      <w:r w:rsidR="00491359">
        <w:t xml:space="preserve">functions and characteristics of attitudes. </w:t>
      </w:r>
    </w:p>
    <w:p w14:paraId="59ED91F0" w14:textId="29EBCCB2" w:rsidR="00561AC6" w:rsidRPr="001A0D24" w:rsidRDefault="001D2642" w:rsidP="001A0D24">
      <w:r w:rsidRPr="004A76CE">
        <w:rPr>
          <w:szCs w:val="26"/>
        </w:rPr>
        <w:t xml:space="preserve">While there is evidence internationally that attitudes to disability have improved, </w:t>
      </w:r>
      <w:r w:rsidR="004036E6">
        <w:rPr>
          <w:szCs w:val="26"/>
        </w:rPr>
        <w:t xml:space="preserve">word-wide, </w:t>
      </w:r>
      <w:r>
        <w:rPr>
          <w:szCs w:val="26"/>
        </w:rPr>
        <w:t xml:space="preserve">negative attitudes, </w:t>
      </w:r>
      <w:r w:rsidRPr="004A76CE">
        <w:rPr>
          <w:szCs w:val="26"/>
        </w:rPr>
        <w:t xml:space="preserve">prejudice, discrimination and unacceptable behaviours </w:t>
      </w:r>
      <w:r w:rsidR="008C253B">
        <w:rPr>
          <w:szCs w:val="26"/>
        </w:rPr>
        <w:t xml:space="preserve">towards disabled people </w:t>
      </w:r>
      <w:r>
        <w:rPr>
          <w:szCs w:val="26"/>
        </w:rPr>
        <w:t>remain a</w:t>
      </w:r>
      <w:r w:rsidR="008C253B">
        <w:rPr>
          <w:szCs w:val="26"/>
        </w:rPr>
        <w:t>n</w:t>
      </w:r>
      <w:r>
        <w:rPr>
          <w:szCs w:val="26"/>
        </w:rPr>
        <w:t xml:space="preserve"> </w:t>
      </w:r>
      <w:r w:rsidR="004036E6">
        <w:rPr>
          <w:szCs w:val="26"/>
        </w:rPr>
        <w:t>issue</w:t>
      </w:r>
      <w:r>
        <w:rPr>
          <w:szCs w:val="26"/>
        </w:rPr>
        <w:t>.</w:t>
      </w:r>
      <w:r w:rsidR="00F34576">
        <w:rPr>
          <w:rStyle w:val="FootnoteReference"/>
          <w:szCs w:val="26"/>
        </w:rPr>
        <w:footnoteReference w:id="7"/>
      </w:r>
      <w:r>
        <w:rPr>
          <w:szCs w:val="26"/>
        </w:rPr>
        <w:t xml:space="preserve"> </w:t>
      </w:r>
      <w:r w:rsidRPr="00E30349">
        <w:rPr>
          <w:szCs w:val="26"/>
        </w:rPr>
        <w:t xml:space="preserve">To </w:t>
      </w:r>
      <w:r w:rsidR="006C2AAB">
        <w:rPr>
          <w:szCs w:val="26"/>
        </w:rPr>
        <w:t>tackle</w:t>
      </w:r>
      <w:r w:rsidR="00491359">
        <w:rPr>
          <w:szCs w:val="26"/>
        </w:rPr>
        <w:t xml:space="preserve"> </w:t>
      </w:r>
      <w:r w:rsidRPr="00E30349">
        <w:rPr>
          <w:szCs w:val="26"/>
        </w:rPr>
        <w:t xml:space="preserve">negative attitudes, one must </w:t>
      </w:r>
      <w:r>
        <w:rPr>
          <w:szCs w:val="26"/>
        </w:rPr>
        <w:t xml:space="preserve">first </w:t>
      </w:r>
      <w:r w:rsidRPr="00E30349">
        <w:rPr>
          <w:szCs w:val="26"/>
        </w:rPr>
        <w:t>recognise the</w:t>
      </w:r>
      <w:r>
        <w:rPr>
          <w:szCs w:val="26"/>
        </w:rPr>
        <w:t>ir</w:t>
      </w:r>
      <w:r w:rsidRPr="00E30349">
        <w:rPr>
          <w:szCs w:val="26"/>
        </w:rPr>
        <w:t xml:space="preserve"> persistence</w:t>
      </w:r>
      <w:r w:rsidR="00536F3C">
        <w:rPr>
          <w:szCs w:val="26"/>
        </w:rPr>
        <w:t>,</w:t>
      </w:r>
      <w:r w:rsidRPr="00E30349">
        <w:rPr>
          <w:szCs w:val="26"/>
        </w:rPr>
        <w:t xml:space="preserve"> despite </w:t>
      </w:r>
      <w:r w:rsidR="00370006">
        <w:rPr>
          <w:szCs w:val="26"/>
        </w:rPr>
        <w:t xml:space="preserve">positive </w:t>
      </w:r>
      <w:r w:rsidR="004036E6">
        <w:rPr>
          <w:szCs w:val="26"/>
        </w:rPr>
        <w:t>trends</w:t>
      </w:r>
      <w:r w:rsidRPr="00E30349">
        <w:rPr>
          <w:szCs w:val="26"/>
        </w:rPr>
        <w:t xml:space="preserve">. </w:t>
      </w:r>
      <w:r w:rsidR="007D55B1">
        <w:rPr>
          <w:szCs w:val="26"/>
        </w:rPr>
        <w:t xml:space="preserve">One </w:t>
      </w:r>
      <w:r w:rsidR="00B114D0">
        <w:rPr>
          <w:szCs w:val="26"/>
        </w:rPr>
        <w:t xml:space="preserve">might </w:t>
      </w:r>
      <w:r w:rsidR="007D55B1">
        <w:rPr>
          <w:szCs w:val="26"/>
        </w:rPr>
        <w:t>expect p</w:t>
      </w:r>
      <w:r>
        <w:rPr>
          <w:szCs w:val="26"/>
        </w:rPr>
        <w:t xml:space="preserve">ositive </w:t>
      </w:r>
      <w:r w:rsidRPr="00E30349">
        <w:rPr>
          <w:szCs w:val="26"/>
        </w:rPr>
        <w:t>trend</w:t>
      </w:r>
      <w:r w:rsidR="00491359">
        <w:rPr>
          <w:szCs w:val="26"/>
        </w:rPr>
        <w:t>s</w:t>
      </w:r>
      <w:r w:rsidR="004036E6">
        <w:rPr>
          <w:szCs w:val="26"/>
        </w:rPr>
        <w:t xml:space="preserve"> </w:t>
      </w:r>
      <w:r w:rsidRPr="00E30349">
        <w:rPr>
          <w:szCs w:val="26"/>
        </w:rPr>
        <w:t xml:space="preserve">as disabled people </w:t>
      </w:r>
      <w:r w:rsidR="007D55B1">
        <w:rPr>
          <w:szCs w:val="26"/>
        </w:rPr>
        <w:t xml:space="preserve">have </w:t>
      </w:r>
      <w:r w:rsidR="00B114D0">
        <w:rPr>
          <w:szCs w:val="26"/>
        </w:rPr>
        <w:t xml:space="preserve">more </w:t>
      </w:r>
      <w:r w:rsidR="004036E6">
        <w:rPr>
          <w:szCs w:val="26"/>
        </w:rPr>
        <w:t xml:space="preserve">access </w:t>
      </w:r>
      <w:r w:rsidR="007D55B1">
        <w:rPr>
          <w:szCs w:val="26"/>
        </w:rPr>
        <w:t xml:space="preserve">to </w:t>
      </w:r>
      <w:r w:rsidR="004036E6">
        <w:rPr>
          <w:szCs w:val="26"/>
        </w:rPr>
        <w:t xml:space="preserve">their human right to </w:t>
      </w:r>
      <w:r w:rsidRPr="00E30349">
        <w:rPr>
          <w:szCs w:val="26"/>
        </w:rPr>
        <w:t>live, study</w:t>
      </w:r>
      <w:r>
        <w:rPr>
          <w:szCs w:val="26"/>
        </w:rPr>
        <w:t xml:space="preserve"> an</w:t>
      </w:r>
      <w:r w:rsidR="00370006">
        <w:rPr>
          <w:szCs w:val="26"/>
        </w:rPr>
        <w:t xml:space="preserve">d work alongside their peers </w:t>
      </w:r>
      <w:r w:rsidR="008C253B">
        <w:rPr>
          <w:szCs w:val="26"/>
        </w:rPr>
        <w:t>in their local communities</w:t>
      </w:r>
      <w:r w:rsidR="007D55B1">
        <w:rPr>
          <w:szCs w:val="26"/>
        </w:rPr>
        <w:t>.</w:t>
      </w:r>
      <w:r w:rsidR="008C253B">
        <w:rPr>
          <w:szCs w:val="26"/>
        </w:rPr>
        <w:t xml:space="preserve"> </w:t>
      </w:r>
      <w:r w:rsidR="00E84CAD">
        <w:rPr>
          <w:szCs w:val="26"/>
        </w:rPr>
        <w:t>C</w:t>
      </w:r>
      <w:r w:rsidRPr="00E30349">
        <w:rPr>
          <w:szCs w:val="26"/>
        </w:rPr>
        <w:t>ontact</w:t>
      </w:r>
      <w:r w:rsidR="00D95AE6">
        <w:rPr>
          <w:szCs w:val="26"/>
        </w:rPr>
        <w:t xml:space="preserve"> with disabled people</w:t>
      </w:r>
      <w:r w:rsidRPr="00E30349">
        <w:rPr>
          <w:szCs w:val="26"/>
        </w:rPr>
        <w:t xml:space="preserve"> </w:t>
      </w:r>
      <w:r w:rsidR="004036E6">
        <w:rPr>
          <w:szCs w:val="26"/>
        </w:rPr>
        <w:t xml:space="preserve">is associated with </w:t>
      </w:r>
      <w:r w:rsidR="00AA3889">
        <w:rPr>
          <w:szCs w:val="26"/>
        </w:rPr>
        <w:t xml:space="preserve">an increase in </w:t>
      </w:r>
      <w:r w:rsidRPr="00E30349">
        <w:rPr>
          <w:szCs w:val="26"/>
        </w:rPr>
        <w:t xml:space="preserve">positive attitudes and </w:t>
      </w:r>
      <w:r w:rsidR="00BA6667">
        <w:rPr>
          <w:szCs w:val="26"/>
        </w:rPr>
        <w:t xml:space="preserve">a decrease in </w:t>
      </w:r>
      <w:r w:rsidRPr="00E30349">
        <w:rPr>
          <w:szCs w:val="26"/>
        </w:rPr>
        <w:t>prejudice.</w:t>
      </w:r>
      <w:r w:rsidRPr="00E30349">
        <w:rPr>
          <w:szCs w:val="26"/>
          <w:vertAlign w:val="superscript"/>
        </w:rPr>
        <w:footnoteReference w:id="8"/>
      </w:r>
      <w:r w:rsidR="003D40CF" w:rsidRPr="003D40CF">
        <w:t xml:space="preserve"> </w:t>
      </w:r>
      <w:r w:rsidR="008C253B">
        <w:t xml:space="preserve">However, </w:t>
      </w:r>
      <w:r w:rsidR="007D55B1">
        <w:t xml:space="preserve">there is </w:t>
      </w:r>
      <w:r w:rsidR="008C253B">
        <w:t>t</w:t>
      </w:r>
      <w:r w:rsidR="00561AC6">
        <w:t>he</w:t>
      </w:r>
      <w:r w:rsidR="001A0D24">
        <w:t xml:space="preserve"> </w:t>
      </w:r>
      <w:r w:rsidR="003D40CF">
        <w:t>possibility</w:t>
      </w:r>
      <w:r w:rsidR="003D40CF" w:rsidRPr="003D40CF">
        <w:rPr>
          <w:szCs w:val="26"/>
        </w:rPr>
        <w:t xml:space="preserve"> that some of the positive shif</w:t>
      </w:r>
      <w:r w:rsidR="00BA6667">
        <w:rPr>
          <w:szCs w:val="26"/>
        </w:rPr>
        <w:t xml:space="preserve">t </w:t>
      </w:r>
      <w:r w:rsidR="00536F3C">
        <w:rPr>
          <w:szCs w:val="26"/>
        </w:rPr>
        <w:t xml:space="preserve">found in research </w:t>
      </w:r>
      <w:r w:rsidR="00BA6667">
        <w:rPr>
          <w:szCs w:val="26"/>
        </w:rPr>
        <w:t xml:space="preserve">may be </w:t>
      </w:r>
      <w:r w:rsidR="003D40CF" w:rsidRPr="003D40CF">
        <w:rPr>
          <w:szCs w:val="26"/>
        </w:rPr>
        <w:t xml:space="preserve">due to increased awareness that </w:t>
      </w:r>
      <w:r w:rsidR="006C2AAB">
        <w:rPr>
          <w:szCs w:val="26"/>
        </w:rPr>
        <w:t xml:space="preserve">expressing </w:t>
      </w:r>
      <w:r w:rsidR="0018502D">
        <w:rPr>
          <w:szCs w:val="26"/>
        </w:rPr>
        <w:t>negative attitudes</w:t>
      </w:r>
      <w:r w:rsidR="003D40CF" w:rsidRPr="003D40CF">
        <w:rPr>
          <w:szCs w:val="26"/>
        </w:rPr>
        <w:t xml:space="preserve"> towards disabled people is </w:t>
      </w:r>
      <w:r w:rsidR="003D40CF">
        <w:rPr>
          <w:szCs w:val="26"/>
        </w:rPr>
        <w:t>un</w:t>
      </w:r>
      <w:r w:rsidR="003D40CF" w:rsidRPr="003D40CF">
        <w:rPr>
          <w:szCs w:val="26"/>
        </w:rPr>
        <w:t>acceptable.</w:t>
      </w:r>
      <w:r w:rsidR="003D40CF" w:rsidRPr="003D40CF">
        <w:rPr>
          <w:szCs w:val="26"/>
          <w:vertAlign w:val="superscript"/>
        </w:rPr>
        <w:footnoteReference w:id="9"/>
      </w:r>
      <w:r w:rsidR="00491359">
        <w:rPr>
          <w:szCs w:val="26"/>
        </w:rPr>
        <w:t xml:space="preserve"> </w:t>
      </w:r>
      <w:r w:rsidR="00F83598">
        <w:rPr>
          <w:szCs w:val="26"/>
        </w:rPr>
        <w:t>R</w:t>
      </w:r>
      <w:r w:rsidR="007D55B1">
        <w:rPr>
          <w:szCs w:val="26"/>
        </w:rPr>
        <w:t xml:space="preserve">esearch </w:t>
      </w:r>
      <w:r w:rsidR="00E84CAD">
        <w:rPr>
          <w:szCs w:val="26"/>
        </w:rPr>
        <w:t xml:space="preserve">using indirect measures </w:t>
      </w:r>
      <w:r w:rsidR="007D55B1">
        <w:rPr>
          <w:szCs w:val="26"/>
        </w:rPr>
        <w:t xml:space="preserve">supports this </w:t>
      </w:r>
      <w:r w:rsidR="006A3A61">
        <w:rPr>
          <w:szCs w:val="26"/>
        </w:rPr>
        <w:t>possibility</w:t>
      </w:r>
      <w:r w:rsidR="00F83598">
        <w:rPr>
          <w:szCs w:val="26"/>
        </w:rPr>
        <w:t>:</w:t>
      </w:r>
      <w:r w:rsidR="00536F3C">
        <w:rPr>
          <w:szCs w:val="26"/>
        </w:rPr>
        <w:t xml:space="preserve"> </w:t>
      </w:r>
      <w:r w:rsidR="00F83598">
        <w:rPr>
          <w:szCs w:val="26"/>
        </w:rPr>
        <w:t>f</w:t>
      </w:r>
      <w:r w:rsidR="008F760D">
        <w:rPr>
          <w:szCs w:val="26"/>
        </w:rPr>
        <w:t xml:space="preserve">indings </w:t>
      </w:r>
      <w:r w:rsidR="006A3A61">
        <w:rPr>
          <w:szCs w:val="26"/>
        </w:rPr>
        <w:t xml:space="preserve">from </w:t>
      </w:r>
      <w:r w:rsidR="00561AC6" w:rsidRPr="00561AC6">
        <w:rPr>
          <w:szCs w:val="26"/>
        </w:rPr>
        <w:t xml:space="preserve">7.1 million </w:t>
      </w:r>
      <w:r w:rsidR="00D554FE">
        <w:rPr>
          <w:szCs w:val="26"/>
        </w:rPr>
        <w:t>indirect</w:t>
      </w:r>
      <w:r w:rsidR="000925AB">
        <w:rPr>
          <w:szCs w:val="26"/>
        </w:rPr>
        <w:t xml:space="preserve"> </w:t>
      </w:r>
      <w:r w:rsidR="00561AC6" w:rsidRPr="00561AC6">
        <w:rPr>
          <w:szCs w:val="26"/>
        </w:rPr>
        <w:t xml:space="preserve">and </w:t>
      </w:r>
      <w:r w:rsidR="000925AB">
        <w:rPr>
          <w:szCs w:val="26"/>
        </w:rPr>
        <w:t>direct</w:t>
      </w:r>
      <w:r w:rsidR="00561AC6" w:rsidRPr="00561AC6">
        <w:rPr>
          <w:szCs w:val="26"/>
        </w:rPr>
        <w:t xml:space="preserve"> attitude </w:t>
      </w:r>
      <w:r w:rsidR="00D554FE">
        <w:rPr>
          <w:szCs w:val="26"/>
        </w:rPr>
        <w:t xml:space="preserve">measurement </w:t>
      </w:r>
      <w:r w:rsidR="00561AC6" w:rsidRPr="00561AC6">
        <w:rPr>
          <w:szCs w:val="26"/>
        </w:rPr>
        <w:t xml:space="preserve">tests drawn from U.S. participants </w:t>
      </w:r>
      <w:r w:rsidR="002C4AAD">
        <w:rPr>
          <w:szCs w:val="26"/>
        </w:rPr>
        <w:t xml:space="preserve">from </w:t>
      </w:r>
      <w:r w:rsidR="00561AC6" w:rsidRPr="00561AC6">
        <w:rPr>
          <w:szCs w:val="26"/>
        </w:rPr>
        <w:t>t</w:t>
      </w:r>
      <w:r w:rsidR="00561AC6">
        <w:rPr>
          <w:szCs w:val="26"/>
        </w:rPr>
        <w:t>he Project Implicit website</w:t>
      </w:r>
      <w:r w:rsidR="002C4AAD">
        <w:rPr>
          <w:rStyle w:val="FootnoteReference"/>
          <w:szCs w:val="26"/>
        </w:rPr>
        <w:footnoteReference w:id="10"/>
      </w:r>
      <w:r w:rsidR="00561AC6">
        <w:rPr>
          <w:szCs w:val="26"/>
        </w:rPr>
        <w:t xml:space="preserve"> </w:t>
      </w:r>
      <w:r w:rsidR="008F760D">
        <w:rPr>
          <w:szCs w:val="26"/>
        </w:rPr>
        <w:t xml:space="preserve">show </w:t>
      </w:r>
      <w:r w:rsidR="00AA202E">
        <w:rPr>
          <w:szCs w:val="26"/>
        </w:rPr>
        <w:t>that</w:t>
      </w:r>
      <w:r w:rsidR="00340251">
        <w:rPr>
          <w:szCs w:val="26"/>
        </w:rPr>
        <w:t>,</w:t>
      </w:r>
      <w:r w:rsidR="00AA202E">
        <w:rPr>
          <w:szCs w:val="26"/>
        </w:rPr>
        <w:t xml:space="preserve"> since </w:t>
      </w:r>
      <w:r w:rsidR="00AA202E" w:rsidRPr="00AA202E">
        <w:rPr>
          <w:szCs w:val="26"/>
        </w:rPr>
        <w:t>2007, explicit attitudes decreased in bias between 22% (age attitudes) and 98% (race attitudes). Implicit sexuality, race, and skin-tone attitudes also decrease</w:t>
      </w:r>
      <w:r w:rsidR="002C4AAD">
        <w:rPr>
          <w:szCs w:val="26"/>
        </w:rPr>
        <w:t>d</w:t>
      </w:r>
      <w:r w:rsidR="00AA202E" w:rsidRPr="00AA202E">
        <w:rPr>
          <w:szCs w:val="26"/>
        </w:rPr>
        <w:t xml:space="preserve"> in bias by 65%, 26%, and 25%, respec</w:t>
      </w:r>
      <w:r w:rsidR="00AA202E" w:rsidRPr="00AA202E">
        <w:rPr>
          <w:szCs w:val="26"/>
        </w:rPr>
        <w:lastRenderedPageBreak/>
        <w:t>tively. </w:t>
      </w:r>
      <w:r w:rsidR="002A67F3">
        <w:rPr>
          <w:szCs w:val="26"/>
        </w:rPr>
        <w:t>These p</w:t>
      </w:r>
      <w:r w:rsidR="0018502D" w:rsidRPr="00AA202E">
        <w:rPr>
          <w:szCs w:val="26"/>
        </w:rPr>
        <w:t xml:space="preserve">atterns of change and stability were generally consistent across </w:t>
      </w:r>
      <w:r w:rsidR="0018502D">
        <w:rPr>
          <w:szCs w:val="26"/>
        </w:rPr>
        <w:t>men and women</w:t>
      </w:r>
      <w:r w:rsidR="0018502D" w:rsidRPr="00AA202E">
        <w:rPr>
          <w:szCs w:val="26"/>
        </w:rPr>
        <w:t>, indicating widespread, macro</w:t>
      </w:r>
      <w:r w:rsidR="0018502D">
        <w:rPr>
          <w:szCs w:val="26"/>
        </w:rPr>
        <w:t xml:space="preserve">-level change. </w:t>
      </w:r>
      <w:r w:rsidR="00340251">
        <w:rPr>
          <w:szCs w:val="26"/>
        </w:rPr>
        <w:t>Of note</w:t>
      </w:r>
      <w:r w:rsidR="00AA202E">
        <w:rPr>
          <w:szCs w:val="26"/>
        </w:rPr>
        <w:t xml:space="preserve">, </w:t>
      </w:r>
      <w:r w:rsidR="00340251">
        <w:rPr>
          <w:szCs w:val="26"/>
        </w:rPr>
        <w:t xml:space="preserve">however, </w:t>
      </w:r>
      <w:r w:rsidR="008F760D">
        <w:rPr>
          <w:szCs w:val="26"/>
        </w:rPr>
        <w:t xml:space="preserve">as mentioned above, </w:t>
      </w:r>
      <w:r w:rsidR="00340251">
        <w:rPr>
          <w:szCs w:val="26"/>
        </w:rPr>
        <w:t xml:space="preserve">is that </w:t>
      </w:r>
      <w:r w:rsidR="00AA202E">
        <w:rPr>
          <w:szCs w:val="26"/>
        </w:rPr>
        <w:t>i</w:t>
      </w:r>
      <w:r w:rsidR="00AA202E" w:rsidRPr="00AA202E">
        <w:rPr>
          <w:szCs w:val="26"/>
        </w:rPr>
        <w:t xml:space="preserve">mplicit </w:t>
      </w:r>
      <w:r w:rsidR="00947858">
        <w:rPr>
          <w:szCs w:val="26"/>
        </w:rPr>
        <w:t xml:space="preserve">attitudes to </w:t>
      </w:r>
      <w:r w:rsidR="00AA202E" w:rsidRPr="00AA202E">
        <w:rPr>
          <w:szCs w:val="26"/>
        </w:rPr>
        <w:t>age, disability, and body-weight sho</w:t>
      </w:r>
      <w:r w:rsidR="0018502D">
        <w:rPr>
          <w:szCs w:val="26"/>
        </w:rPr>
        <w:t>w</w:t>
      </w:r>
      <w:r w:rsidR="002A67F3">
        <w:rPr>
          <w:szCs w:val="26"/>
        </w:rPr>
        <w:t>ed</w:t>
      </w:r>
      <w:r w:rsidR="0018502D">
        <w:rPr>
          <w:szCs w:val="26"/>
        </w:rPr>
        <w:t xml:space="preserve"> little to no long-term change</w:t>
      </w:r>
      <w:r w:rsidR="00AA202E">
        <w:rPr>
          <w:szCs w:val="26"/>
        </w:rPr>
        <w:t>.</w:t>
      </w:r>
      <w:r w:rsidR="00AA202E">
        <w:rPr>
          <w:rStyle w:val="FootnoteReference"/>
          <w:szCs w:val="26"/>
        </w:rPr>
        <w:footnoteReference w:id="11"/>
      </w:r>
    </w:p>
    <w:p w14:paraId="5F509762" w14:textId="12986610" w:rsidR="00742150" w:rsidRPr="00CD5D51" w:rsidRDefault="00340251" w:rsidP="00E5774F">
      <w:pPr>
        <w:tabs>
          <w:tab w:val="num" w:pos="720"/>
        </w:tabs>
      </w:pPr>
      <w:r w:rsidRPr="002228BC">
        <w:rPr>
          <w:szCs w:val="26"/>
        </w:rPr>
        <w:t xml:space="preserve">In </w:t>
      </w:r>
      <w:r w:rsidR="00DE28A4" w:rsidRPr="002228BC">
        <w:rPr>
          <w:szCs w:val="26"/>
        </w:rPr>
        <w:t xml:space="preserve">line with </w:t>
      </w:r>
      <w:r w:rsidRPr="002228BC">
        <w:rPr>
          <w:szCs w:val="26"/>
        </w:rPr>
        <w:t xml:space="preserve">the </w:t>
      </w:r>
      <w:r w:rsidR="00DE28A4" w:rsidRPr="002228BC">
        <w:rPr>
          <w:szCs w:val="26"/>
        </w:rPr>
        <w:t xml:space="preserve">Articles of the </w:t>
      </w:r>
      <w:r w:rsidR="00177868" w:rsidRPr="002228BC">
        <w:rPr>
          <w:szCs w:val="26"/>
        </w:rPr>
        <w:t xml:space="preserve">United Nations Convention on the Rights of Persons with Disabilities </w:t>
      </w:r>
      <w:r w:rsidR="00177868" w:rsidRPr="003C71AA">
        <w:rPr>
          <w:szCs w:val="26"/>
        </w:rPr>
        <w:t>(</w:t>
      </w:r>
      <w:r w:rsidR="00DE28A4" w:rsidRPr="003C71AA">
        <w:rPr>
          <w:szCs w:val="26"/>
        </w:rPr>
        <w:t>UNCRPD</w:t>
      </w:r>
      <w:r w:rsidR="00177868" w:rsidRPr="003C71AA">
        <w:rPr>
          <w:szCs w:val="26"/>
        </w:rPr>
        <w:t>)</w:t>
      </w:r>
      <w:r w:rsidR="00DE28A4" w:rsidRPr="00B114D0">
        <w:rPr>
          <w:szCs w:val="26"/>
        </w:rPr>
        <w:t xml:space="preserve">, </w:t>
      </w:r>
      <w:r w:rsidR="00177868" w:rsidRPr="00B114D0">
        <w:rPr>
          <w:szCs w:val="26"/>
        </w:rPr>
        <w:t>the UN enc</w:t>
      </w:r>
      <w:r w:rsidR="001D6C22" w:rsidRPr="00B114D0">
        <w:rPr>
          <w:szCs w:val="26"/>
        </w:rPr>
        <w:t>ourages</w:t>
      </w:r>
      <w:r w:rsidR="00177868" w:rsidRPr="00B114D0">
        <w:rPr>
          <w:szCs w:val="26"/>
        </w:rPr>
        <w:t xml:space="preserve"> states to use </w:t>
      </w:r>
      <w:r w:rsidR="00021CB6" w:rsidRPr="00B114D0">
        <w:rPr>
          <w:szCs w:val="26"/>
        </w:rPr>
        <w:t xml:space="preserve">all </w:t>
      </w:r>
      <w:r w:rsidR="00DE28A4" w:rsidRPr="00C70400">
        <w:rPr>
          <w:szCs w:val="26"/>
        </w:rPr>
        <w:t xml:space="preserve">legitimate approaches to removing </w:t>
      </w:r>
      <w:r w:rsidR="0018502D" w:rsidRPr="001B319A">
        <w:rPr>
          <w:szCs w:val="26"/>
        </w:rPr>
        <w:t>b</w:t>
      </w:r>
      <w:r w:rsidR="00DE28A4" w:rsidRPr="001B319A">
        <w:rPr>
          <w:szCs w:val="26"/>
        </w:rPr>
        <w:t xml:space="preserve">arriers </w:t>
      </w:r>
      <w:r w:rsidR="00947858" w:rsidRPr="000F0F5E">
        <w:rPr>
          <w:szCs w:val="26"/>
        </w:rPr>
        <w:t xml:space="preserve">– including attitudinal ones - </w:t>
      </w:r>
      <w:r w:rsidR="00DE28A4" w:rsidRPr="00215308">
        <w:rPr>
          <w:szCs w:val="26"/>
        </w:rPr>
        <w:t>to inclusion and participation</w:t>
      </w:r>
      <w:r w:rsidR="00DD2B2D" w:rsidRPr="00F75E58">
        <w:rPr>
          <w:szCs w:val="26"/>
        </w:rPr>
        <w:t>.</w:t>
      </w:r>
      <w:r w:rsidRPr="00F75E58">
        <w:rPr>
          <w:szCs w:val="26"/>
        </w:rPr>
        <w:t xml:space="preserve"> </w:t>
      </w:r>
      <w:r w:rsidR="00177868" w:rsidRPr="00F75E58">
        <w:rPr>
          <w:szCs w:val="26"/>
        </w:rPr>
        <w:t xml:space="preserve">The UNCRPD </w:t>
      </w:r>
      <w:r w:rsidR="001D6C22" w:rsidRPr="00F75E58">
        <w:rPr>
          <w:szCs w:val="26"/>
        </w:rPr>
        <w:t>is a human rights instrument promoting</w:t>
      </w:r>
      <w:r w:rsidR="00DE28A4" w:rsidRPr="00F75E58">
        <w:rPr>
          <w:szCs w:val="26"/>
        </w:rPr>
        <w:t xml:space="preserve"> </w:t>
      </w:r>
      <w:r w:rsidR="00922919" w:rsidRPr="00F75E58">
        <w:rPr>
          <w:szCs w:val="26"/>
        </w:rPr>
        <w:t xml:space="preserve">access </w:t>
      </w:r>
      <w:r w:rsidR="005D1A08" w:rsidRPr="00F75E58">
        <w:rPr>
          <w:szCs w:val="26"/>
        </w:rPr>
        <w:t xml:space="preserve">to </w:t>
      </w:r>
      <w:r w:rsidR="0018502D" w:rsidRPr="00F75E58">
        <w:rPr>
          <w:szCs w:val="26"/>
        </w:rPr>
        <w:t xml:space="preserve">the </w:t>
      </w:r>
      <w:r w:rsidR="00947858" w:rsidRPr="00F75E58">
        <w:rPr>
          <w:szCs w:val="26"/>
        </w:rPr>
        <w:t>conditions required</w:t>
      </w:r>
      <w:r w:rsidR="00922919" w:rsidRPr="00F75E58">
        <w:rPr>
          <w:szCs w:val="26"/>
        </w:rPr>
        <w:t xml:space="preserve"> to participate in education</w:t>
      </w:r>
      <w:r w:rsidR="00DD2B2D" w:rsidRPr="00F75E58">
        <w:rPr>
          <w:szCs w:val="26"/>
        </w:rPr>
        <w:t xml:space="preserve"> and</w:t>
      </w:r>
      <w:r w:rsidR="00922919" w:rsidRPr="00F75E58">
        <w:rPr>
          <w:szCs w:val="26"/>
        </w:rPr>
        <w:t xml:space="preserve"> work, </w:t>
      </w:r>
      <w:r w:rsidR="00BC10D7" w:rsidRPr="00F75E58">
        <w:rPr>
          <w:szCs w:val="26"/>
        </w:rPr>
        <w:t xml:space="preserve">secure </w:t>
      </w:r>
      <w:r w:rsidR="00922919" w:rsidRPr="00F75E58">
        <w:rPr>
          <w:szCs w:val="26"/>
        </w:rPr>
        <w:t>suitable accommodation</w:t>
      </w:r>
      <w:r w:rsidR="00DD2B2D" w:rsidRPr="00F75E58">
        <w:rPr>
          <w:szCs w:val="26"/>
        </w:rPr>
        <w:t>,</w:t>
      </w:r>
      <w:r w:rsidR="00922919" w:rsidRPr="00F75E58">
        <w:rPr>
          <w:szCs w:val="26"/>
        </w:rPr>
        <w:t xml:space="preserve"> and </w:t>
      </w:r>
      <w:r w:rsidR="00BC10D7" w:rsidRPr="00F75E58">
        <w:rPr>
          <w:szCs w:val="26"/>
        </w:rPr>
        <w:t>participate fully in society.</w:t>
      </w:r>
      <w:r w:rsidR="000B1CE9" w:rsidRPr="002228BC">
        <w:rPr>
          <w:szCs w:val="26"/>
          <w:lang w:eastAsia="en-IE"/>
        </w:rPr>
        <w:t xml:space="preserve"> This research confirms that </w:t>
      </w:r>
      <w:r w:rsidR="000B1CE9" w:rsidRPr="002228BC">
        <w:rPr>
          <w:szCs w:val="26"/>
        </w:rPr>
        <w:t>the best way</w:t>
      </w:r>
      <w:r w:rsidR="000B1CE9">
        <w:t xml:space="preserve"> to tackle </w:t>
      </w:r>
      <w:r w:rsidR="000B1CE9" w:rsidRPr="000B1CE9">
        <w:t xml:space="preserve">exclusionary attitudes and prejudices </w:t>
      </w:r>
      <w:r w:rsidR="000B1CE9">
        <w:t xml:space="preserve">and improve community attitudes </w:t>
      </w:r>
      <w:r w:rsidR="000B1CE9" w:rsidRPr="000B1CE9">
        <w:t xml:space="preserve">is </w:t>
      </w:r>
      <w:r w:rsidR="000B1CE9">
        <w:t xml:space="preserve">through greater </w:t>
      </w:r>
      <w:r w:rsidR="000B1CE9" w:rsidRPr="000B1CE9">
        <w:t xml:space="preserve">everyday contact with </w:t>
      </w:r>
      <w:r w:rsidR="000B1CE9">
        <w:t xml:space="preserve">disabled people. </w:t>
      </w:r>
      <w:r w:rsidR="005C4D4F">
        <w:t xml:space="preserve">Positive attitudes increase </w:t>
      </w:r>
      <w:r w:rsidR="000B1CE9">
        <w:t>primarily by increasing</w:t>
      </w:r>
      <w:r w:rsidR="000B1CE9" w:rsidRPr="000B1CE9">
        <w:t xml:space="preserve"> </w:t>
      </w:r>
      <w:r w:rsidR="000B1CE9">
        <w:t>levels of inclusion</w:t>
      </w:r>
      <w:r w:rsidR="000B1CE9" w:rsidRPr="000B1CE9">
        <w:t xml:space="preserve"> </w:t>
      </w:r>
      <w:r w:rsidR="005C4D4F">
        <w:t xml:space="preserve">of disabled people </w:t>
      </w:r>
      <w:r w:rsidR="000B1CE9" w:rsidRPr="000B1CE9">
        <w:t>in all aspects of society, particularly education, employment, lea</w:t>
      </w:r>
      <w:r w:rsidR="000B1CE9">
        <w:t>dership roles, and the media. Government level interventions through public policies and legislation tend to target behaviours</w:t>
      </w:r>
      <w:r w:rsidR="002228BC">
        <w:t>,</w:t>
      </w:r>
      <w:r w:rsidR="000B1CE9">
        <w:t xml:space="preserve"> which change perceived norms</w:t>
      </w:r>
      <w:r w:rsidR="002228BC">
        <w:t>,</w:t>
      </w:r>
      <w:r w:rsidR="000B1CE9">
        <w:t xml:space="preserve"> which </w:t>
      </w:r>
      <w:r w:rsidR="002228BC">
        <w:t xml:space="preserve">then </w:t>
      </w:r>
      <w:r w:rsidR="000B1CE9">
        <w:t xml:space="preserve">change attitudes over time. Other approaches </w:t>
      </w:r>
      <w:r w:rsidR="000B1CE9" w:rsidRPr="000B1CE9">
        <w:t xml:space="preserve">motivate individuals to </w:t>
      </w:r>
      <w:r w:rsidR="000B1CE9">
        <w:t xml:space="preserve">become </w:t>
      </w:r>
      <w:r w:rsidR="005C4D4F">
        <w:t xml:space="preserve">more </w:t>
      </w:r>
      <w:r w:rsidR="000B1CE9">
        <w:t xml:space="preserve">aware of and </w:t>
      </w:r>
      <w:r w:rsidR="000B1CE9" w:rsidRPr="000B1CE9">
        <w:t xml:space="preserve">re-evaluate </w:t>
      </w:r>
      <w:r w:rsidR="000B1CE9">
        <w:t xml:space="preserve">prejudices and negative </w:t>
      </w:r>
      <w:r w:rsidR="000B1CE9" w:rsidRPr="000B1CE9">
        <w:t>attitudes and beliefs.</w:t>
      </w:r>
    </w:p>
    <w:p w14:paraId="479ADF6E" w14:textId="63855BF4" w:rsidR="00021CB6" w:rsidRPr="00B2142B" w:rsidRDefault="00021CB6" w:rsidP="00775672">
      <w:pPr>
        <w:pStyle w:val="Heading1"/>
        <w:rPr>
          <w:lang w:val="en-US"/>
        </w:rPr>
      </w:pPr>
      <w:bookmarkStart w:id="1" w:name="_Toc122447196"/>
      <w:r w:rsidRPr="00B2142B">
        <w:rPr>
          <w:shd w:val="clear" w:color="auto" w:fill="F2F2F2"/>
        </w:rPr>
        <w:t>Methodology</w:t>
      </w:r>
      <w:bookmarkEnd w:id="1"/>
    </w:p>
    <w:p w14:paraId="0E045D60" w14:textId="0D0C74E0" w:rsidR="00CC4C29" w:rsidRDefault="00FE5E14" w:rsidP="00CC4C29">
      <w:r>
        <w:t xml:space="preserve">Initial </w:t>
      </w:r>
      <w:r w:rsidR="0065038A">
        <w:t>s</w:t>
      </w:r>
      <w:r w:rsidR="00CC4C29">
        <w:t>earches</w:t>
      </w:r>
      <w:r w:rsidR="00D95AE6">
        <w:t xml:space="preserve"> of the literature</w:t>
      </w:r>
      <w:r w:rsidR="00CC4C29">
        <w:t xml:space="preserve"> </w:t>
      </w:r>
      <w:r w:rsidR="0065038A">
        <w:t>include</w:t>
      </w:r>
      <w:r>
        <w:t>d</w:t>
      </w:r>
      <w:r w:rsidR="0065038A">
        <w:t xml:space="preserve"> the following</w:t>
      </w:r>
      <w:r w:rsidR="00CC4C29">
        <w:t xml:space="preserve">:  </w:t>
      </w:r>
    </w:p>
    <w:p w14:paraId="587EDFCD" w14:textId="77777777" w:rsidR="00CC4C29" w:rsidRDefault="00CC4C29" w:rsidP="00CC4C29">
      <w:pPr>
        <w:pStyle w:val="ListBullet"/>
      </w:pPr>
      <w:r>
        <w:t xml:space="preserve">A search for systematic reviews on attitudes to disability </w:t>
      </w:r>
    </w:p>
    <w:p w14:paraId="165C9098" w14:textId="77777777" w:rsidR="00CC4C29" w:rsidRDefault="00CC4C29" w:rsidP="00CC4C29">
      <w:pPr>
        <w:pStyle w:val="ListBullet"/>
      </w:pPr>
      <w:r>
        <w:t>A search for s</w:t>
      </w:r>
      <w:r w:rsidRPr="00FA5A08">
        <w:t>ystematic reviews on stigma, discrimination, prej</w:t>
      </w:r>
      <w:r>
        <w:t>udice and disability</w:t>
      </w:r>
    </w:p>
    <w:p w14:paraId="1BCAE98A" w14:textId="2C6A3671" w:rsidR="003D40CF" w:rsidRDefault="003D40CF" w:rsidP="00CC4C29">
      <w:pPr>
        <w:pStyle w:val="ListBullet"/>
      </w:pPr>
      <w:r>
        <w:t>A search on changing attitudes including interventions to change negative attitudes to disability.</w:t>
      </w:r>
    </w:p>
    <w:p w14:paraId="070D6958" w14:textId="48693B65" w:rsidR="00F75E58" w:rsidRDefault="005C4D4F" w:rsidP="00F75E58">
      <w:pPr>
        <w:pStyle w:val="ListBullet"/>
      </w:pPr>
      <w:r>
        <w:t xml:space="preserve">Limited searches of Google and Google Scholar and searches across multiple library databases for </w:t>
      </w:r>
      <w:r w:rsidRPr="005C4D4F">
        <w:t>literature on implicit and explicit attitudes, interventions to change attitudes and on stigma, discrimination, and prejudice in relation to disability.</w:t>
      </w:r>
    </w:p>
    <w:p w14:paraId="667B4CBE" w14:textId="4E7DDD11" w:rsidR="00210527" w:rsidRPr="009A4D2E" w:rsidRDefault="003B078C" w:rsidP="009A4D2E">
      <w:pPr>
        <w:rPr>
          <w:b/>
        </w:rPr>
      </w:pPr>
      <w:r>
        <w:t>P</w:t>
      </w:r>
      <w:r w:rsidR="00CC4C29">
        <w:t>arameters of</w:t>
      </w:r>
      <w:r w:rsidR="005E608B">
        <w:t xml:space="preserve"> the searches conducted included the following</w:t>
      </w:r>
      <w:r w:rsidR="00D95AE6">
        <w:t xml:space="preserve"> terms</w:t>
      </w:r>
      <w:r w:rsidR="00CC4C29">
        <w:t xml:space="preserve">: </w:t>
      </w:r>
    </w:p>
    <w:p w14:paraId="233BF3BC" w14:textId="77777777" w:rsidR="009A4D2E" w:rsidRDefault="00CC4C29" w:rsidP="009A4D2E">
      <w:pPr>
        <w:pStyle w:val="ListBullet"/>
      </w:pPr>
      <w:r w:rsidRPr="00DF3417">
        <w:t>Disability (</w:t>
      </w:r>
      <w:proofErr w:type="spellStart"/>
      <w:r w:rsidRPr="00DF3417">
        <w:t>Ti</w:t>
      </w:r>
      <w:proofErr w:type="spellEnd"/>
      <w:r w:rsidRPr="00DF3417">
        <w:t>) AND attitudes/stigma/prejudice/discrimina</w:t>
      </w:r>
      <w:r w:rsidR="00210527">
        <w:t>tion (</w:t>
      </w:r>
      <w:proofErr w:type="spellStart"/>
      <w:r w:rsidR="00210527">
        <w:t>Ti</w:t>
      </w:r>
      <w:proofErr w:type="spellEnd"/>
      <w:r w:rsidR="00210527">
        <w:t xml:space="preserve">) AND </w:t>
      </w:r>
      <w:proofErr w:type="spellStart"/>
      <w:r w:rsidR="00210527">
        <w:t>systemtatic</w:t>
      </w:r>
      <w:proofErr w:type="spellEnd"/>
      <w:r w:rsidR="00210527">
        <w:t xml:space="preserve"> (</w:t>
      </w:r>
      <w:proofErr w:type="spellStart"/>
      <w:r w:rsidR="00210527">
        <w:t>Ti</w:t>
      </w:r>
      <w:proofErr w:type="spellEnd"/>
      <w:r w:rsidR="00210527">
        <w:t xml:space="preserve">). </w:t>
      </w:r>
    </w:p>
    <w:p w14:paraId="4E023D8D" w14:textId="77777777" w:rsidR="009A4D2E" w:rsidRDefault="00210527" w:rsidP="009A4D2E">
      <w:pPr>
        <w:pStyle w:val="ListBullet"/>
      </w:pPr>
      <w:r>
        <w:t>Attitudes (</w:t>
      </w:r>
      <w:proofErr w:type="spellStart"/>
      <w:r>
        <w:t>Ti</w:t>
      </w:r>
      <w:proofErr w:type="spellEnd"/>
      <w:r>
        <w:t>) AND change (</w:t>
      </w:r>
      <w:proofErr w:type="spellStart"/>
      <w:r>
        <w:t>Ti</w:t>
      </w:r>
      <w:proofErr w:type="spellEnd"/>
      <w:r>
        <w:t xml:space="preserve">). </w:t>
      </w:r>
    </w:p>
    <w:p w14:paraId="47002449" w14:textId="77777777" w:rsidR="00CC4C29" w:rsidRDefault="00210527" w:rsidP="009A4D2E">
      <w:pPr>
        <w:pStyle w:val="ListBullet"/>
      </w:pPr>
      <w:r>
        <w:t>Attitudes (</w:t>
      </w:r>
      <w:proofErr w:type="spellStart"/>
      <w:r>
        <w:t>Ti</w:t>
      </w:r>
      <w:proofErr w:type="spellEnd"/>
      <w:r>
        <w:t>) AND change (</w:t>
      </w:r>
      <w:proofErr w:type="spellStart"/>
      <w:r>
        <w:t>Ti</w:t>
      </w:r>
      <w:proofErr w:type="spellEnd"/>
      <w:r>
        <w:t xml:space="preserve">) AND disability. </w:t>
      </w:r>
    </w:p>
    <w:p w14:paraId="6B7CEB18" w14:textId="3743371C" w:rsidR="00CC4C29" w:rsidRDefault="00D95AE6" w:rsidP="009A4D2E">
      <w:r w:rsidRPr="00775672">
        <w:t>Only paper</w:t>
      </w:r>
      <w:r w:rsidR="00D92C4C">
        <w:t>s</w:t>
      </w:r>
      <w:r w:rsidRPr="00775672">
        <w:t xml:space="preserve"> that were in the English language were included. The time period reviewed was from 2010-2022.</w:t>
      </w:r>
      <w:r w:rsidR="00CC4C29" w:rsidRPr="00DF3417">
        <w:t xml:space="preserve"> </w:t>
      </w:r>
    </w:p>
    <w:p w14:paraId="586F6085" w14:textId="703A8D06" w:rsidR="00CC4C29" w:rsidRDefault="00D95AE6" w:rsidP="009A4D2E">
      <w:r w:rsidRPr="00775672">
        <w:t>The following databases were searched</w:t>
      </w:r>
      <w:r w:rsidR="00CC4C29" w:rsidRPr="00DF3417">
        <w:t xml:space="preserve"> Academic Search Complete, APA Psych, Pub Med, ER</w:t>
      </w:r>
      <w:r w:rsidR="00CC4C29">
        <w:t xml:space="preserve">IC, Cochrane and SCOPUS. </w:t>
      </w:r>
    </w:p>
    <w:p w14:paraId="64CA866C" w14:textId="39EACA17" w:rsidR="00331252" w:rsidRDefault="00CC4C29" w:rsidP="00331252">
      <w:r w:rsidRPr="00FA5A08">
        <w:t xml:space="preserve">The </w:t>
      </w:r>
      <w:r>
        <w:t xml:space="preserve">result of the </w:t>
      </w:r>
      <w:r w:rsidR="003D40CF">
        <w:t xml:space="preserve">systematic </w:t>
      </w:r>
      <w:r w:rsidRPr="00FA5A08">
        <w:t>search</w:t>
      </w:r>
      <w:r w:rsidR="003B078C">
        <w:t>es on the databases mentioned above</w:t>
      </w:r>
      <w:r w:rsidRPr="00FA5A08">
        <w:t xml:space="preserve"> </w:t>
      </w:r>
      <w:r>
        <w:t xml:space="preserve">included </w:t>
      </w:r>
      <w:r w:rsidRPr="00FA5A08">
        <w:t>20 systematic reviews</w:t>
      </w:r>
      <w:r>
        <w:t xml:space="preserve"> on attitudes and disability,</w:t>
      </w:r>
      <w:r w:rsidRPr="00DF3417">
        <w:rPr>
          <w:rStyle w:val="FootnoteReference"/>
        </w:rPr>
        <w:t xml:space="preserve"> </w:t>
      </w:r>
      <w:r>
        <w:rPr>
          <w:rStyle w:val="FootnoteReference"/>
        </w:rPr>
        <w:footnoteReference w:id="12"/>
      </w:r>
      <w:r>
        <w:t xml:space="preserve"> </w:t>
      </w:r>
      <w:r w:rsidR="00D95AE6">
        <w:t>five</w:t>
      </w:r>
      <w:r>
        <w:t xml:space="preserve"> systematic reviews on stigma and disability, </w:t>
      </w:r>
      <w:r w:rsidR="00ED5258">
        <w:t>one</w:t>
      </w:r>
      <w:r>
        <w:t xml:space="preserve"> systematic review on discrimination and disability</w:t>
      </w:r>
      <w:r w:rsidRPr="00B866B3">
        <w:t xml:space="preserve"> </w:t>
      </w:r>
      <w:r>
        <w:t>(which had already been captured in the search on attitudes and disability)</w:t>
      </w:r>
      <w:r w:rsidRPr="0043744B">
        <w:t xml:space="preserve"> </w:t>
      </w:r>
      <w:r>
        <w:t xml:space="preserve">and </w:t>
      </w:r>
      <w:r w:rsidR="00ED5258">
        <w:t>zero</w:t>
      </w:r>
      <w:r>
        <w:t xml:space="preserve"> systematic reviews </w:t>
      </w:r>
      <w:r w:rsidRPr="004A1EC0">
        <w:t>on prejudice</w:t>
      </w:r>
      <w:r>
        <w:t xml:space="preserve"> and disability. </w:t>
      </w:r>
      <w:r w:rsidR="00DC2FB2">
        <w:t>S</w:t>
      </w:r>
      <w:r w:rsidR="00DC2FB2" w:rsidRPr="00DC2FB2">
        <w:t>earches of Google</w:t>
      </w:r>
      <w:r w:rsidR="00DC2FB2">
        <w:t>,</w:t>
      </w:r>
      <w:r w:rsidR="00DC2FB2" w:rsidRPr="00DC2FB2">
        <w:t xml:space="preserve"> Google Scholar and multiple library databases </w:t>
      </w:r>
      <w:r w:rsidR="00DC2FB2">
        <w:t xml:space="preserve">yielded </w:t>
      </w:r>
      <w:r w:rsidR="00DC2FB2" w:rsidRPr="00DC2FB2">
        <w:t>pertinent repor</w:t>
      </w:r>
      <w:r w:rsidR="00DC2FB2">
        <w:t>ts and articles</w:t>
      </w:r>
      <w:r w:rsidR="00DC2FB2" w:rsidRPr="00DC2FB2">
        <w:t>.</w:t>
      </w:r>
      <w:r w:rsidR="00DC2FB2">
        <w:t xml:space="preserve"> </w:t>
      </w:r>
    </w:p>
    <w:p w14:paraId="1F0BE08A" w14:textId="294AD06F" w:rsidR="0035740D" w:rsidRDefault="00F47A24" w:rsidP="00F47A24">
      <w:pPr>
        <w:pStyle w:val="Heading1"/>
      </w:pPr>
      <w:bookmarkStart w:id="2" w:name="_Toc114656056"/>
      <w:bookmarkStart w:id="3" w:name="_Toc122447197"/>
      <w:r>
        <w:t xml:space="preserve">Chapter 1: </w:t>
      </w:r>
      <w:r w:rsidR="00230F14">
        <w:t>Understanding a</w:t>
      </w:r>
      <w:r w:rsidR="0035740D">
        <w:t>ttitudes</w:t>
      </w:r>
      <w:bookmarkEnd w:id="2"/>
      <w:bookmarkEnd w:id="3"/>
    </w:p>
    <w:p w14:paraId="25B1CE46" w14:textId="0F615F71" w:rsidR="00FE5385" w:rsidRDefault="00DC2FB2" w:rsidP="0073613A">
      <w:r>
        <w:t>Jung (1923) used t</w:t>
      </w:r>
      <w:r w:rsidR="0035740D">
        <w:t xml:space="preserve">he term attitude </w:t>
      </w:r>
      <w:r w:rsidR="0075155F">
        <w:t xml:space="preserve">to describe a readiness </w:t>
      </w:r>
      <w:r w:rsidR="00E03E68">
        <w:t xml:space="preserve">of the person to act/react in a certain way, based on their predominant </w:t>
      </w:r>
      <w:r w:rsidR="00E03E68">
        <w:rPr>
          <w:bCs/>
        </w:rPr>
        <w:t>orientation towards thinking, feeling, sensing or</w:t>
      </w:r>
      <w:r w:rsidR="00E03E68" w:rsidRPr="00E03E68">
        <w:rPr>
          <w:bCs/>
        </w:rPr>
        <w:t xml:space="preserve"> i</w:t>
      </w:r>
      <w:r w:rsidR="00E03E68">
        <w:rPr>
          <w:bCs/>
        </w:rPr>
        <w:t xml:space="preserve">ntuiting. </w:t>
      </w:r>
      <w:proofErr w:type="spellStart"/>
      <w:r>
        <w:rPr>
          <w:bCs/>
        </w:rPr>
        <w:t>Allport</w:t>
      </w:r>
      <w:proofErr w:type="spellEnd"/>
      <w:r>
        <w:rPr>
          <w:bCs/>
        </w:rPr>
        <w:t xml:space="preserve"> (1935) took up </w:t>
      </w:r>
      <w:r>
        <w:t>t</w:t>
      </w:r>
      <w:r w:rsidR="001A0D24">
        <w:t>he term</w:t>
      </w:r>
      <w:r w:rsidR="0035740D">
        <w:t xml:space="preserve"> </w:t>
      </w:r>
      <w:r w:rsidR="00E03E68">
        <w:t xml:space="preserve">and </w:t>
      </w:r>
      <w:r w:rsidR="0035740D">
        <w:t xml:space="preserve">developed </w:t>
      </w:r>
      <w:r>
        <w:t>it.</w:t>
      </w:r>
      <w:r w:rsidR="0035740D">
        <w:rPr>
          <w:rStyle w:val="FootnoteReference"/>
        </w:rPr>
        <w:footnoteReference w:id="13"/>
      </w:r>
      <w:r w:rsidR="001A0D24">
        <w:t xml:space="preserve"> </w:t>
      </w:r>
      <w:r>
        <w:t xml:space="preserve">He </w:t>
      </w:r>
      <w:r w:rsidR="001A0D24">
        <w:t>proposed</w:t>
      </w:r>
      <w:r w:rsidR="0035740D">
        <w:t xml:space="preserve"> </w:t>
      </w:r>
      <w:r w:rsidR="001A0D24">
        <w:t xml:space="preserve">thoughts and feelings as </w:t>
      </w:r>
      <w:r w:rsidR="00FE5385">
        <w:t xml:space="preserve">the </w:t>
      </w:r>
      <w:r w:rsidR="001A0D24">
        <w:t>central</w:t>
      </w:r>
      <w:r w:rsidR="0035740D">
        <w:t xml:space="preserve"> components of attitudes</w:t>
      </w:r>
      <w:r w:rsidR="006957BA">
        <w:t>,</w:t>
      </w:r>
      <w:r w:rsidR="0035740D">
        <w:t xml:space="preserve"> </w:t>
      </w:r>
      <w:r w:rsidR="00FE5385">
        <w:t xml:space="preserve">which </w:t>
      </w:r>
      <w:r w:rsidR="00602EE9">
        <w:t xml:space="preserve">may </w:t>
      </w:r>
      <w:r w:rsidR="0035740D">
        <w:t>correlate with behaviour</w:t>
      </w:r>
      <w:r w:rsidR="000E3FC2">
        <w:t>s</w:t>
      </w:r>
      <w:r w:rsidR="0035740D">
        <w:t xml:space="preserve">. </w:t>
      </w:r>
      <w:r w:rsidR="00DE52EB">
        <w:t>T</w:t>
      </w:r>
      <w:r w:rsidR="009A4D2E">
        <w:t xml:space="preserve">he attitude-behavioural relationship </w:t>
      </w:r>
      <w:r w:rsidR="000E3FC2">
        <w:t xml:space="preserve">is </w:t>
      </w:r>
      <w:r w:rsidR="00DE52EB">
        <w:t>now</w:t>
      </w:r>
      <w:r w:rsidR="00DC7523">
        <w:t xml:space="preserve"> </w:t>
      </w:r>
      <w:r w:rsidR="00DE52EB">
        <w:t xml:space="preserve">thought of </w:t>
      </w:r>
      <w:r w:rsidR="006957BA">
        <w:t xml:space="preserve">as lying </w:t>
      </w:r>
      <w:r w:rsidR="009A4D2E">
        <w:t xml:space="preserve">outside the definition of </w:t>
      </w:r>
      <w:r w:rsidR="006957BA">
        <w:t xml:space="preserve">an </w:t>
      </w:r>
      <w:r w:rsidR="009A4D2E">
        <w:t>attitude.</w:t>
      </w:r>
      <w:r w:rsidR="009A4D2E">
        <w:rPr>
          <w:rStyle w:val="FootnoteReference"/>
        </w:rPr>
        <w:footnoteReference w:id="14"/>
      </w:r>
      <w:r w:rsidR="009A4D2E">
        <w:t xml:space="preserve"> </w:t>
      </w:r>
      <w:r w:rsidR="00DD2B2D">
        <w:t xml:space="preserve">The following definition of </w:t>
      </w:r>
      <w:r w:rsidR="006957BA">
        <w:t xml:space="preserve">an </w:t>
      </w:r>
      <w:r w:rsidR="00DD2B2D">
        <w:t xml:space="preserve">attitude stresses </w:t>
      </w:r>
      <w:r w:rsidR="006957BA">
        <w:t xml:space="preserve">that its </w:t>
      </w:r>
      <w:r w:rsidR="00DD2B2D">
        <w:t xml:space="preserve">core feature </w:t>
      </w:r>
      <w:r w:rsidR="006957BA">
        <w:t xml:space="preserve">is </w:t>
      </w:r>
      <w:r w:rsidR="00DD2B2D">
        <w:t xml:space="preserve">the propensity to produce an evaluative response to </w:t>
      </w:r>
      <w:r w:rsidR="00683795">
        <w:t xml:space="preserve">an event, person, group or idea: “An attitude is </w:t>
      </w:r>
      <w:r w:rsidR="00683795" w:rsidRPr="00DD2B2D">
        <w:t>a psychological tendency</w:t>
      </w:r>
      <w:r w:rsidR="006957BA">
        <w:t xml:space="preserve"> </w:t>
      </w:r>
      <w:r w:rsidR="00683795" w:rsidRPr="00DD2B2D">
        <w:t>that is expressed by evaluating a particular entity with some degree of favo</w:t>
      </w:r>
      <w:r w:rsidR="00683795">
        <w:t>u</w:t>
      </w:r>
      <w:r w:rsidR="00683795" w:rsidRPr="00DD2B2D">
        <w:t>r or disfavo</w:t>
      </w:r>
      <w:r w:rsidR="00683795">
        <w:t>u</w:t>
      </w:r>
      <w:r w:rsidR="00683795" w:rsidRPr="00DD2B2D">
        <w:t>r</w:t>
      </w:r>
      <w:r w:rsidR="00683795">
        <w:t>.”</w:t>
      </w:r>
      <w:r w:rsidR="00683795">
        <w:rPr>
          <w:rStyle w:val="FootnoteReference"/>
        </w:rPr>
        <w:footnoteReference w:id="15"/>
      </w:r>
      <w:r w:rsidR="0069754D">
        <w:t xml:space="preserve"> </w:t>
      </w:r>
      <w:r w:rsidR="00DE52EB">
        <w:t xml:space="preserve">Attitudes or evaluative tendencies </w:t>
      </w:r>
      <w:r w:rsidR="00FE5385">
        <w:t>can influence beliefs, emotions</w:t>
      </w:r>
      <w:r w:rsidR="00DE52EB" w:rsidRPr="0069754D">
        <w:t>, and behaviou</w:t>
      </w:r>
      <w:r w:rsidR="00DE52EB">
        <w:t>r</w:t>
      </w:r>
      <w:r w:rsidR="00FE5385">
        <w:t>s.</w:t>
      </w:r>
      <w:r w:rsidR="00DE52EB">
        <w:t xml:space="preserve"> </w:t>
      </w:r>
      <w:r w:rsidR="00FE5385">
        <w:t>As human beings, we acquire thoughts and feelings through experience and form attitudes to everything we encounter</w:t>
      </w:r>
      <w:r w:rsidR="006957BA">
        <w:t>. These attitudes</w:t>
      </w:r>
      <w:r w:rsidR="00FE5385">
        <w:t xml:space="preserve"> are often neutral or positive but can be negative. Thoughts, feelings and evaluations </w:t>
      </w:r>
      <w:r w:rsidR="0069754D">
        <w:t xml:space="preserve">may influence us to </w:t>
      </w:r>
      <w:r w:rsidR="0069754D" w:rsidRPr="006A180D">
        <w:t>behave in certain ways towards</w:t>
      </w:r>
      <w:r w:rsidR="0069754D">
        <w:t xml:space="preserve"> those objects</w:t>
      </w:r>
      <w:r w:rsidR="0069754D" w:rsidRPr="006B2184">
        <w:t>.</w:t>
      </w:r>
      <w:r w:rsidR="0069754D" w:rsidRPr="006B2184">
        <w:rPr>
          <w:vertAlign w:val="superscript"/>
        </w:rPr>
        <w:footnoteReference w:id="16"/>
      </w:r>
      <w:r w:rsidR="0069754D" w:rsidRPr="006D69B7">
        <w:t xml:space="preserve"> </w:t>
      </w:r>
    </w:p>
    <w:p w14:paraId="3143197D" w14:textId="63B9A631" w:rsidR="003C4C05" w:rsidRDefault="000E3FC2" w:rsidP="0073613A">
      <w:r>
        <w:t>A</w:t>
      </w:r>
      <w:r w:rsidR="001A0D24" w:rsidRPr="00066C94">
        <w:t>s human beings</w:t>
      </w:r>
      <w:r w:rsidR="006957BA">
        <w:t>,</w:t>
      </w:r>
      <w:r w:rsidR="001A0D24" w:rsidRPr="00066C94">
        <w:t xml:space="preserve"> we form attitudes to everything we encounter and </w:t>
      </w:r>
      <w:r w:rsidR="0069754D">
        <w:t xml:space="preserve">such </w:t>
      </w:r>
      <w:r w:rsidR="001A0D24" w:rsidRPr="00066C94">
        <w:t xml:space="preserve">attitudes are usually neutral or positive. Accordingly, when we refer to attitudes that limit the rights and opportunities afforded to </w:t>
      </w:r>
      <w:r w:rsidR="001A0D24">
        <w:t xml:space="preserve">disabled </w:t>
      </w:r>
      <w:r w:rsidR="001A0D24" w:rsidRPr="00066C94">
        <w:t xml:space="preserve">people, we should refer to </w:t>
      </w:r>
      <w:r>
        <w:t xml:space="preserve">the </w:t>
      </w:r>
      <w:r w:rsidR="001A0D24" w:rsidRPr="00066C94">
        <w:t xml:space="preserve">‘negative attitudes’ that </w:t>
      </w:r>
      <w:r w:rsidR="0069754D">
        <w:t xml:space="preserve">must be </w:t>
      </w:r>
      <w:r w:rsidR="001A0D24" w:rsidRPr="00066C94">
        <w:t>tackle</w:t>
      </w:r>
      <w:r w:rsidR="0069754D">
        <w:t>d</w:t>
      </w:r>
      <w:r w:rsidR="001A0D24" w:rsidRPr="00066C94">
        <w:t xml:space="preserve">, or conversely </w:t>
      </w:r>
      <w:r>
        <w:t xml:space="preserve">the </w:t>
      </w:r>
      <w:r w:rsidR="001A0D24" w:rsidRPr="00066C94">
        <w:t xml:space="preserve">‘positive attitudes’ that </w:t>
      </w:r>
      <w:r w:rsidR="0069754D">
        <w:t xml:space="preserve">must be </w:t>
      </w:r>
      <w:r w:rsidR="001A0D24">
        <w:t>engender</w:t>
      </w:r>
      <w:r w:rsidR="0069754D">
        <w:t>ed</w:t>
      </w:r>
      <w:r w:rsidR="001A0D24">
        <w:t xml:space="preserve"> and </w:t>
      </w:r>
      <w:r w:rsidR="001A0D24" w:rsidRPr="00066C94">
        <w:t>spread.</w:t>
      </w:r>
      <w:r w:rsidR="001A0D24" w:rsidRPr="00066C94">
        <w:rPr>
          <w:rFonts w:ascii="Gill Sans" w:hAnsi="Gill Sans"/>
          <w:sz w:val="22"/>
          <w:vertAlign w:val="superscript"/>
        </w:rPr>
        <w:footnoteReference w:id="17"/>
      </w:r>
      <w:r w:rsidR="001A0D24" w:rsidRPr="00066C94">
        <w:t xml:space="preserve"> </w:t>
      </w:r>
      <w:r w:rsidR="00046B55">
        <w:t>Some p</w:t>
      </w:r>
      <w:r w:rsidR="00FE5385">
        <w:t>eople may tend to make negative or positive evaluations, irrespective of the object and so hold attitudes</w:t>
      </w:r>
      <w:r w:rsidR="00FE5385" w:rsidRPr="00FE5385">
        <w:t xml:space="preserve"> that </w:t>
      </w:r>
      <w:r w:rsidR="00046B55">
        <w:t xml:space="preserve">are </w:t>
      </w:r>
      <w:r w:rsidR="00FE5385" w:rsidRPr="00FE5385">
        <w:t xml:space="preserve">either </w:t>
      </w:r>
      <w:r w:rsidR="00046B55">
        <w:t xml:space="preserve">largely </w:t>
      </w:r>
      <w:r w:rsidR="00FE5385" w:rsidRPr="00FE5385">
        <w:t>negative or positive</w:t>
      </w:r>
      <w:r w:rsidR="00FE5385">
        <w:t>.</w:t>
      </w:r>
      <w:r w:rsidR="00FE5385">
        <w:rPr>
          <w:rStyle w:val="FootnoteReference"/>
        </w:rPr>
        <w:footnoteReference w:id="18"/>
      </w:r>
      <w:r w:rsidR="00FE5385">
        <w:t xml:space="preserve"> </w:t>
      </w:r>
      <w:r w:rsidR="00DC7523">
        <w:t>His/her context, values, experience, exposure to modelling, contact, etc. influence the strength with which a person holds a particular attitude</w:t>
      </w:r>
      <w:r w:rsidR="0035740D" w:rsidRPr="00744AB2">
        <w:t xml:space="preserve">. </w:t>
      </w:r>
    </w:p>
    <w:p w14:paraId="02DCD5EB" w14:textId="0A58B87C" w:rsidR="00CA073F" w:rsidRDefault="00CA073F" w:rsidP="00CA073F">
      <w:bookmarkStart w:id="4" w:name="_Toc114652897"/>
      <w:r>
        <w:t xml:space="preserve">Research on the differences </w:t>
      </w:r>
      <w:r w:rsidRPr="00354105">
        <w:t xml:space="preserve">between automatic and deliberative cognitive processes </w:t>
      </w:r>
      <w:r>
        <w:t xml:space="preserve">began in the 1970s and has accelerated in the last years. This social cognitive research </w:t>
      </w:r>
      <w:r w:rsidRPr="00C34B4D">
        <w:t>on automatic unconscious processes is a dynamic area of research</w:t>
      </w:r>
      <w:r w:rsidR="00230F14">
        <w:t xml:space="preserve">. </w:t>
      </w:r>
      <w:r w:rsidR="00DC7523">
        <w:t>Much research on i</w:t>
      </w:r>
      <w:r>
        <w:t xml:space="preserve">mplicit bias and attitudes </w:t>
      </w:r>
      <w:r w:rsidR="00230F14">
        <w:t>are furthering understanding of attitudes and their complexity</w:t>
      </w:r>
      <w:r>
        <w:t xml:space="preserve">. With </w:t>
      </w:r>
      <w:r w:rsidR="00DC7523">
        <w:t xml:space="preserve">the dissemination of </w:t>
      </w:r>
      <w:r>
        <w:t>new evidence at a rapid pace</w:t>
      </w:r>
      <w:r w:rsidRPr="00C34B4D">
        <w:t xml:space="preserve">, </w:t>
      </w:r>
      <w:r w:rsidR="00DC7523">
        <w:t xml:space="preserve">one must revise </w:t>
      </w:r>
      <w:r>
        <w:t xml:space="preserve">previous definitions, theories and propositions. In addition, </w:t>
      </w:r>
      <w:r w:rsidRPr="00C34B4D">
        <w:t>there is</w:t>
      </w:r>
      <w:r>
        <w:t xml:space="preserve"> </w:t>
      </w:r>
      <w:r w:rsidRPr="00C34B4D">
        <w:t xml:space="preserve">no consensus </w:t>
      </w:r>
      <w:r w:rsidR="00DC7523">
        <w:t xml:space="preserve">yet </w:t>
      </w:r>
      <w:r>
        <w:t xml:space="preserve">on several </w:t>
      </w:r>
      <w:r w:rsidRPr="00C34B4D">
        <w:t xml:space="preserve">issues pertaining to the structure, impact, and content of implicit attitudes. </w:t>
      </w:r>
      <w:r>
        <w:t xml:space="preserve">While researchers and thinkers </w:t>
      </w:r>
      <w:r w:rsidRPr="007D1B9D">
        <w:t xml:space="preserve">are summarising </w:t>
      </w:r>
      <w:r>
        <w:t xml:space="preserve">this research and </w:t>
      </w:r>
      <w:r w:rsidRPr="007D1B9D">
        <w:t>refining and clarifying definitions</w:t>
      </w:r>
      <w:r>
        <w:t xml:space="preserve"> and concepts, they </w:t>
      </w:r>
      <w:r w:rsidR="009F0FB8">
        <w:t xml:space="preserve">have </w:t>
      </w:r>
      <w:r>
        <w:t>also highlight</w:t>
      </w:r>
      <w:r w:rsidR="009F0FB8">
        <w:t>ed</w:t>
      </w:r>
      <w:r>
        <w:t xml:space="preserve"> </w:t>
      </w:r>
      <w:r w:rsidRPr="00C34B4D">
        <w:t xml:space="preserve">contradictory </w:t>
      </w:r>
      <w:r>
        <w:t xml:space="preserve">research findings </w:t>
      </w:r>
      <w:r w:rsidR="009F0FB8">
        <w:t>that</w:t>
      </w:r>
      <w:r>
        <w:t xml:space="preserve"> illustrat</w:t>
      </w:r>
      <w:r w:rsidR="009F0FB8">
        <w:t>e</w:t>
      </w:r>
      <w:r>
        <w:t xml:space="preserve"> that </w:t>
      </w:r>
      <w:r w:rsidRPr="00C34B4D">
        <w:t xml:space="preserve">the jury is still out on </w:t>
      </w:r>
      <w:r>
        <w:t xml:space="preserve">various premises, </w:t>
      </w:r>
      <w:r w:rsidRPr="00C34B4D">
        <w:t>propositions and claims regarding implicit attitudes.</w:t>
      </w:r>
      <w:r w:rsidRPr="00C34B4D">
        <w:rPr>
          <w:vertAlign w:val="superscript"/>
        </w:rPr>
        <w:footnoteReference w:id="19"/>
      </w:r>
      <w:r w:rsidRPr="004E1A08">
        <w:t xml:space="preserve"> </w:t>
      </w:r>
      <w:r w:rsidRPr="00C34B4D">
        <w:t xml:space="preserve">Thus, the best way to make progress </w:t>
      </w:r>
      <w:r>
        <w:t xml:space="preserve">is </w:t>
      </w:r>
      <w:r w:rsidRPr="00C34B4D">
        <w:t xml:space="preserve">to evaluate research </w:t>
      </w:r>
      <w:r>
        <w:t xml:space="preserve">periodically </w:t>
      </w:r>
      <w:r w:rsidRPr="00C34B4D">
        <w:t xml:space="preserve">and update one’s opinions </w:t>
      </w:r>
      <w:r>
        <w:t xml:space="preserve">and approaches </w:t>
      </w:r>
      <w:r w:rsidRPr="00C34B4D">
        <w:t>accordingly.</w:t>
      </w:r>
      <w:r w:rsidRPr="00C34B4D">
        <w:rPr>
          <w:vertAlign w:val="superscript"/>
        </w:rPr>
        <w:footnoteReference w:id="20"/>
      </w:r>
      <w:r w:rsidRPr="00C34B4D">
        <w:t xml:space="preserve"> </w:t>
      </w:r>
    </w:p>
    <w:p w14:paraId="6D07507D" w14:textId="0A97CD1A" w:rsidR="00F275DC" w:rsidRDefault="00F275DC" w:rsidP="00F275DC">
      <w:r>
        <w:t xml:space="preserve">Indirect measures </w:t>
      </w:r>
      <w:r w:rsidRPr="004608B5">
        <w:t xml:space="preserve">assess people’s </w:t>
      </w:r>
      <w:r>
        <w:t xml:space="preserve">attitudes in </w:t>
      </w:r>
      <w:r w:rsidRPr="004608B5">
        <w:t>way</w:t>
      </w:r>
      <w:r>
        <w:t>s that minimize</w:t>
      </w:r>
      <w:r w:rsidRPr="004608B5">
        <w:t xml:space="preserve"> </w:t>
      </w:r>
      <w:r>
        <w:t xml:space="preserve">their </w:t>
      </w:r>
      <w:r w:rsidRPr="004608B5">
        <w:t>ab</w:t>
      </w:r>
      <w:r>
        <w:t xml:space="preserve">ility to use introspection and respond strategically. When </w:t>
      </w:r>
      <w:r w:rsidR="009F0FB8">
        <w:t xml:space="preserve">one asks </w:t>
      </w:r>
      <w:r>
        <w:t>persons</w:t>
      </w:r>
      <w:r w:rsidRPr="00B369F8">
        <w:t xml:space="preserve"> </w:t>
      </w:r>
      <w:r>
        <w:t>directly about their attitudes</w:t>
      </w:r>
      <w:r w:rsidR="00D67FC3">
        <w:t>,</w:t>
      </w:r>
      <w:r>
        <w:t xml:space="preserve"> they </w:t>
      </w:r>
      <w:r w:rsidR="00D67FC3">
        <w:t xml:space="preserve">can be </w:t>
      </w:r>
      <w:r w:rsidR="00B42DFC">
        <w:t>wary</w:t>
      </w:r>
      <w:r>
        <w:t xml:space="preserve"> </w:t>
      </w:r>
      <w:r w:rsidR="00646FE5">
        <w:t xml:space="preserve">of </w:t>
      </w:r>
      <w:r w:rsidR="00D67FC3">
        <w:t>publicly express</w:t>
      </w:r>
      <w:r w:rsidR="00646FE5">
        <w:t>ing</w:t>
      </w:r>
      <w:r w:rsidR="00D67FC3">
        <w:t xml:space="preserve"> their </w:t>
      </w:r>
      <w:r>
        <w:t>opinions</w:t>
      </w:r>
      <w:r w:rsidRPr="00FD0334">
        <w:t>.</w:t>
      </w:r>
      <w:r w:rsidRPr="00FD0334">
        <w:rPr>
          <w:vertAlign w:val="superscript"/>
        </w:rPr>
        <w:footnoteReference w:id="21"/>
      </w:r>
      <w:r w:rsidRPr="00FD0334">
        <w:t xml:space="preserve"> </w:t>
      </w:r>
      <w:r w:rsidRPr="00FD0334">
        <w:rPr>
          <w:vertAlign w:val="superscript"/>
        </w:rPr>
        <w:footnoteReference w:id="22"/>
      </w:r>
      <w:r w:rsidR="00646FE5">
        <w:t xml:space="preserve"> Such e</w:t>
      </w:r>
      <w:r>
        <w:t xml:space="preserve">xpressed </w:t>
      </w:r>
      <w:r w:rsidRPr="00B84C7D">
        <w:t xml:space="preserve">opinions </w:t>
      </w:r>
      <w:r>
        <w:t xml:space="preserve">are </w:t>
      </w:r>
      <w:r w:rsidRPr="00B84C7D">
        <w:t xml:space="preserve">susceptible </w:t>
      </w:r>
      <w:r>
        <w:t xml:space="preserve">to social desirability motives as people </w:t>
      </w:r>
      <w:r w:rsidR="00646FE5">
        <w:t xml:space="preserve">can </w:t>
      </w:r>
      <w:r w:rsidRPr="00B369F8">
        <w:t xml:space="preserve">think through </w:t>
      </w:r>
      <w:r w:rsidR="009F0FB8">
        <w:t xml:space="preserve">the questions </w:t>
      </w:r>
      <w:r>
        <w:t>and filter out what they would prefer</w:t>
      </w:r>
      <w:r w:rsidR="00646FE5">
        <w:t xml:space="preserve"> not to say publicly</w:t>
      </w:r>
      <w:r>
        <w:t xml:space="preserve">. Therefore, measuring attitudes by direct attitude measurements may </w:t>
      </w:r>
      <w:r w:rsidRPr="006C4310">
        <w:t xml:space="preserve">not necessarily </w:t>
      </w:r>
      <w:r>
        <w:t xml:space="preserve">be </w:t>
      </w:r>
      <w:r w:rsidRPr="006C4310">
        <w:t>a</w:t>
      </w:r>
      <w:r w:rsidR="00646FE5">
        <w:t>n accurate</w:t>
      </w:r>
      <w:r w:rsidRPr="006C4310">
        <w:t xml:space="preserve"> representation of </w:t>
      </w:r>
      <w:r>
        <w:t xml:space="preserve">the </w:t>
      </w:r>
      <w:r w:rsidR="00646FE5">
        <w:t xml:space="preserve">nuances of what people </w:t>
      </w:r>
      <w:r>
        <w:t>feel and think, nor of how they</w:t>
      </w:r>
      <w:r w:rsidRPr="006C4310">
        <w:t xml:space="preserve"> </w:t>
      </w:r>
      <w:r w:rsidR="00646FE5">
        <w:t xml:space="preserve">are likely to </w:t>
      </w:r>
      <w:r w:rsidRPr="006C4310">
        <w:t>behave.</w:t>
      </w:r>
      <w:r>
        <w:rPr>
          <w:rStyle w:val="FootnoteReference"/>
        </w:rPr>
        <w:footnoteReference w:id="23"/>
      </w:r>
      <w:r>
        <w:t xml:space="preserve"> </w:t>
      </w:r>
    </w:p>
    <w:p w14:paraId="4CA7CD7D" w14:textId="1B721E3D" w:rsidR="00CA073F" w:rsidRDefault="00153256" w:rsidP="00153256">
      <w:r>
        <w:t>Research using indirect measures to detect implicit biases/evaluations (attitudes) proposes that a person can think and feel in one way but</w:t>
      </w:r>
      <w:r w:rsidRPr="00E5592F">
        <w:t xml:space="preserve"> act</w:t>
      </w:r>
      <w:r>
        <w:t xml:space="preserve"> in the </w:t>
      </w:r>
      <w:r w:rsidRPr="00E5592F">
        <w:t>opposite</w:t>
      </w:r>
      <w:r>
        <w:t xml:space="preserve"> </w:t>
      </w:r>
      <w:r w:rsidRPr="00E5592F">
        <w:t>way</w:t>
      </w:r>
      <w:r>
        <w:t xml:space="preserve"> due to implicit evaluations/biases of which he/she is largely unaware.</w:t>
      </w:r>
      <w:r>
        <w:rPr>
          <w:rStyle w:val="FootnoteReference"/>
        </w:rPr>
        <w:footnoteReference w:id="24"/>
      </w:r>
      <w:r>
        <w:t xml:space="preserve"> There may be mostly automatic formation of evaluations/biases </w:t>
      </w:r>
      <w:r w:rsidRPr="00DD60E7">
        <w:t>tow</w:t>
      </w:r>
      <w:r>
        <w:t xml:space="preserve">ards groups, people, or objects, which could conflict with </w:t>
      </w:r>
      <w:r w:rsidRPr="00DD60E7">
        <w:t xml:space="preserve">conscious attitudes and </w:t>
      </w:r>
      <w:r>
        <w:t>considered judgments</w:t>
      </w:r>
      <w:r w:rsidRPr="00DD60E7">
        <w:t>.</w:t>
      </w:r>
      <w:r>
        <w:rPr>
          <w:rStyle w:val="FootnoteReference"/>
        </w:rPr>
        <w:footnoteReference w:id="25"/>
      </w:r>
      <w:r>
        <w:t xml:space="preserve"> Thus, people might</w:t>
      </w:r>
      <w:r w:rsidRPr="00D159AE">
        <w:t xml:space="preserve"> act </w:t>
      </w:r>
      <w:r>
        <w:t xml:space="preserve">out of </w:t>
      </w:r>
      <w:r w:rsidRPr="00D159AE">
        <w:t xml:space="preserve">prejudice and </w:t>
      </w:r>
      <w:r>
        <w:t xml:space="preserve">familiarity with </w:t>
      </w:r>
      <w:r w:rsidRPr="00D159AE">
        <w:t xml:space="preserve">stereotypes without </w:t>
      </w:r>
      <w:r>
        <w:t xml:space="preserve">explicitly </w:t>
      </w:r>
      <w:r w:rsidRPr="00D159AE">
        <w:t>intending to do so</w:t>
      </w:r>
      <w:r>
        <w:t>.</w:t>
      </w:r>
      <w:r w:rsidRPr="001B17CE">
        <w:t xml:space="preserve"> </w:t>
      </w:r>
      <w:r>
        <w:t xml:space="preserve">In this way, </w:t>
      </w:r>
      <w:r w:rsidR="00657E84">
        <w:t xml:space="preserve">implicit biases can influence </w:t>
      </w:r>
      <w:r w:rsidRPr="00D159AE">
        <w:t>judgment</w:t>
      </w:r>
      <w:r>
        <w:t>s</w:t>
      </w:r>
      <w:r w:rsidRPr="00D159AE">
        <w:t xml:space="preserve"> and behaviour</w:t>
      </w:r>
      <w:r>
        <w:t>s</w:t>
      </w:r>
      <w:r w:rsidRPr="00D159AE">
        <w:t xml:space="preserve"> </w:t>
      </w:r>
      <w:r>
        <w:t xml:space="preserve">independently of a </w:t>
      </w:r>
      <w:r w:rsidRPr="00D159AE">
        <w:t>subject</w:t>
      </w:r>
      <w:r w:rsidR="00657E84">
        <w:t>’</w:t>
      </w:r>
      <w:r w:rsidRPr="00D159AE">
        <w:t xml:space="preserve">s </w:t>
      </w:r>
      <w:r>
        <w:t xml:space="preserve">reported attitudes. For example, a </w:t>
      </w:r>
      <w:r w:rsidR="00B42DFC">
        <w:t>man</w:t>
      </w:r>
      <w:r>
        <w:t xml:space="preserve"> might</w:t>
      </w:r>
      <w:r w:rsidRPr="007F277A">
        <w:t xml:space="preserve"> </w:t>
      </w:r>
      <w:r>
        <w:t>hold and express explicitly egalitarian beliefs</w:t>
      </w:r>
      <w:r w:rsidRPr="007F277A">
        <w:t xml:space="preserve"> </w:t>
      </w:r>
      <w:r>
        <w:t xml:space="preserve">about the equality of men and women but, in practice, distrust </w:t>
      </w:r>
      <w:r w:rsidR="00B42DFC">
        <w:t>fe</w:t>
      </w:r>
      <w:r w:rsidRPr="007F277A">
        <w:t xml:space="preserve">male </w:t>
      </w:r>
      <w:r>
        <w:t xml:space="preserve">colleagues and employ </w:t>
      </w:r>
      <w:r w:rsidRPr="007F277A">
        <w:t xml:space="preserve">equally qualified </w:t>
      </w:r>
      <w:r w:rsidR="00B42DFC">
        <w:t xml:space="preserve">men </w:t>
      </w:r>
      <w:r w:rsidRPr="007F277A">
        <w:t xml:space="preserve">over </w:t>
      </w:r>
      <w:r w:rsidR="00B42DFC">
        <w:t>wo</w:t>
      </w:r>
      <w:r>
        <w:t>men</w:t>
      </w:r>
      <w:r w:rsidRPr="007F277A">
        <w:t xml:space="preserve">. Part of the reason for </w:t>
      </w:r>
      <w:r>
        <w:t xml:space="preserve">this biased </w:t>
      </w:r>
      <w:r w:rsidRPr="007F277A">
        <w:t>behaviour might be an implicit gender bias. </w:t>
      </w:r>
      <w:r>
        <w:t xml:space="preserve">Many studies have confirmed the existence of implicit biases for example, </w:t>
      </w:r>
      <w:r w:rsidRPr="009E3E7C">
        <w:t>against women, Muslims, the elderly, the obese</w:t>
      </w:r>
      <w:r>
        <w:t xml:space="preserve">, </w:t>
      </w:r>
      <w:r w:rsidRPr="009E3E7C">
        <w:t>persons with mental illness</w:t>
      </w:r>
      <w:r>
        <w:t>, African Americans, etc</w:t>
      </w:r>
      <w:r w:rsidRPr="009E3E7C">
        <w:t>.</w:t>
      </w:r>
      <w:r>
        <w:rPr>
          <w:rStyle w:val="FootnoteReference"/>
        </w:rPr>
        <w:footnoteReference w:id="26"/>
      </w:r>
      <w:r>
        <w:t xml:space="preserve"> </w:t>
      </w:r>
    </w:p>
    <w:p w14:paraId="5C830B8D" w14:textId="5EB26867" w:rsidR="00153256" w:rsidRDefault="00155902" w:rsidP="00153256">
      <w:r>
        <w:t xml:space="preserve">People may acquire </w:t>
      </w:r>
      <w:r w:rsidR="00153256">
        <w:t>biases and stereotypes, as detected by indirect measures, through language and social experiences over years and, perhaps, even prior to formal educational experiences.</w:t>
      </w:r>
      <w:r w:rsidR="00153256">
        <w:rPr>
          <w:rStyle w:val="FootnoteReference"/>
        </w:rPr>
        <w:footnoteReference w:id="27"/>
      </w:r>
      <w:r w:rsidR="00153256">
        <w:t xml:space="preserve"> At the same time, there is considerable research on investigating ways that do “unfreeze” such attitudes.</w:t>
      </w:r>
      <w:r w:rsidR="00153256">
        <w:rPr>
          <w:rStyle w:val="FootnoteReference"/>
        </w:rPr>
        <w:footnoteReference w:id="28"/>
      </w:r>
      <w:r w:rsidR="00153256">
        <w:t xml:space="preserve"> </w:t>
      </w:r>
    </w:p>
    <w:p w14:paraId="2A5F0394" w14:textId="1D9751B5" w:rsidR="00E10696" w:rsidRDefault="00742AE0" w:rsidP="00E10696">
      <w:r>
        <w:t>D</w:t>
      </w:r>
      <w:r w:rsidR="003A4060">
        <w:t xml:space="preserve">istinctions between </w:t>
      </w:r>
      <w:r w:rsidR="00F275DC">
        <w:t>direct and indirect measures are</w:t>
      </w:r>
      <w:r w:rsidR="00F275DC" w:rsidRPr="00436E14">
        <w:t xml:space="preserve"> </w:t>
      </w:r>
      <w:r w:rsidR="00F275DC">
        <w:t>relative rather than absolute. For example</w:t>
      </w:r>
      <w:r w:rsidR="00155902">
        <w:t>,</w:t>
      </w:r>
      <w:r w:rsidR="00F275DC">
        <w:t xml:space="preserve"> </w:t>
      </w:r>
      <w:r w:rsidR="00D67FC3">
        <w:t xml:space="preserve">survey </w:t>
      </w:r>
      <w:r w:rsidR="00F275DC">
        <w:t xml:space="preserve">questions might be explicit and direct or explicit </w:t>
      </w:r>
      <w:r>
        <w:t xml:space="preserve">and </w:t>
      </w:r>
      <w:r w:rsidR="00F275DC">
        <w:t xml:space="preserve">indirect. </w:t>
      </w:r>
      <w:r w:rsidR="00F275DC" w:rsidRPr="00CB5233">
        <w:t>Fo</w:t>
      </w:r>
      <w:r w:rsidR="00F275DC">
        <w:t xml:space="preserve">r example, a survey </w:t>
      </w:r>
      <w:r w:rsidR="00155902">
        <w:t>question,</w:t>
      </w:r>
      <w:r w:rsidR="00F275DC">
        <w:t xml:space="preserve"> “W</w:t>
      </w:r>
      <w:r w:rsidR="00F275DC" w:rsidRPr="00CB5233">
        <w:t xml:space="preserve">hat do you think of </w:t>
      </w:r>
      <w:r w:rsidR="00F275DC" w:rsidRPr="00436E14">
        <w:t>disabled peo</w:t>
      </w:r>
      <w:r w:rsidR="00E10696">
        <w:t xml:space="preserve">ple” is explicit and direct because </w:t>
      </w:r>
      <w:r w:rsidR="00155902">
        <w:t xml:space="preserve">one asks </w:t>
      </w:r>
      <w:r w:rsidR="00F275DC" w:rsidRPr="00436E14">
        <w:t>the subject directly</w:t>
      </w:r>
      <w:r w:rsidR="00155902">
        <w:t xml:space="preserve"> </w:t>
      </w:r>
      <w:r w:rsidR="00F275DC" w:rsidRPr="00436E14">
        <w:t xml:space="preserve">about </w:t>
      </w:r>
      <w:r w:rsidR="00F275DC">
        <w:t>the issue</w:t>
      </w:r>
      <w:r w:rsidR="00F275DC" w:rsidRPr="00B84C7D">
        <w:t xml:space="preserve"> </w:t>
      </w:r>
      <w:r w:rsidR="00E10696">
        <w:t xml:space="preserve">and </w:t>
      </w:r>
      <w:r w:rsidR="00155902">
        <w:t xml:space="preserve">reports </w:t>
      </w:r>
      <w:r w:rsidR="00E10696">
        <w:t xml:space="preserve">his/her </w:t>
      </w:r>
      <w:r w:rsidR="00F275DC" w:rsidRPr="00436E14">
        <w:t>j</w:t>
      </w:r>
      <w:r w:rsidR="00F275DC">
        <w:t xml:space="preserve">udgment explicitly. However, a </w:t>
      </w:r>
      <w:r w:rsidR="00D67FC3">
        <w:t>question</w:t>
      </w:r>
      <w:r w:rsidR="00155902">
        <w:t>,</w:t>
      </w:r>
      <w:r w:rsidR="00D67FC3">
        <w:t xml:space="preserve"> </w:t>
      </w:r>
      <w:r w:rsidR="00F275DC">
        <w:t>“W</w:t>
      </w:r>
      <w:r w:rsidR="00F275DC" w:rsidRPr="00436E14">
        <w:t xml:space="preserve">hat do you </w:t>
      </w:r>
      <w:r w:rsidR="00F275DC">
        <w:t>think about this per</w:t>
      </w:r>
      <w:r w:rsidR="00D67FC3">
        <w:t xml:space="preserve">son”, </w:t>
      </w:r>
      <w:r w:rsidR="00155902">
        <w:t xml:space="preserve">who is </w:t>
      </w:r>
      <w:r w:rsidR="00F275DC">
        <w:t xml:space="preserve">for example, </w:t>
      </w:r>
      <w:r w:rsidR="00F275DC" w:rsidRPr="00436E14">
        <w:t xml:space="preserve">an outstanding </w:t>
      </w:r>
      <w:r w:rsidR="00F275DC">
        <w:t xml:space="preserve">disabled athlete, </w:t>
      </w:r>
      <w:r w:rsidR="00F275DC" w:rsidRPr="00436E14">
        <w:t xml:space="preserve">is </w:t>
      </w:r>
      <w:r w:rsidR="00F275DC">
        <w:t xml:space="preserve">both </w:t>
      </w:r>
      <w:r w:rsidR="00F275DC" w:rsidRPr="00436E14">
        <w:t>explicit and indirect, because</w:t>
      </w:r>
      <w:r w:rsidR="00F275DC">
        <w:t>,</w:t>
      </w:r>
      <w:r w:rsidR="00F275DC" w:rsidRPr="00436E14">
        <w:t xml:space="preserve"> </w:t>
      </w:r>
      <w:r w:rsidR="00155902">
        <w:t xml:space="preserve">one explicitly reports </w:t>
      </w:r>
      <w:r w:rsidR="00F275DC" w:rsidRPr="00436E14">
        <w:t xml:space="preserve">the subject’s judgment </w:t>
      </w:r>
      <w:r w:rsidR="00D67FC3">
        <w:t>but</w:t>
      </w:r>
      <w:r w:rsidR="00E10696">
        <w:t xml:space="preserve"> </w:t>
      </w:r>
      <w:r w:rsidR="00E0307C">
        <w:t xml:space="preserve">the researcher infers </w:t>
      </w:r>
      <w:r w:rsidR="00E10696">
        <w:t>his/her attitude</w:t>
      </w:r>
      <w:r w:rsidR="00F275DC" w:rsidRPr="00436E14">
        <w:t xml:space="preserve"> toward disability</w:t>
      </w:r>
      <w:r w:rsidR="00F275DC" w:rsidRPr="00CB5233">
        <w:t>.</w:t>
      </w:r>
      <w:r w:rsidR="00F275DC" w:rsidRPr="00CB5233">
        <w:rPr>
          <w:vertAlign w:val="superscript"/>
        </w:rPr>
        <w:footnoteReference w:id="29"/>
      </w:r>
      <w:r w:rsidR="00646FE5">
        <w:t xml:space="preserve"> </w:t>
      </w:r>
    </w:p>
    <w:p w14:paraId="6397866C" w14:textId="7C9596F7" w:rsidR="00F15A9B" w:rsidRDefault="00F75394" w:rsidP="004E1A08">
      <w:r>
        <w:t xml:space="preserve">Indirect measures often use </w:t>
      </w:r>
      <w:r w:rsidRPr="00DD6F19">
        <w:t xml:space="preserve">tasks </w:t>
      </w:r>
      <w:r>
        <w:t xml:space="preserve">that </w:t>
      </w:r>
      <w:r w:rsidRPr="00DD6F19">
        <w:t>assess associations through behavio</w:t>
      </w:r>
      <w:r>
        <w:t>u</w:t>
      </w:r>
      <w:r w:rsidRPr="00DD6F19">
        <w:t>r that does not require deliberate retri</w:t>
      </w:r>
      <w:r w:rsidR="00742AE0">
        <w:t xml:space="preserve">eval of the target association. </w:t>
      </w:r>
      <w:r w:rsidRPr="00DD6F19">
        <w:t xml:space="preserve">In contrast, </w:t>
      </w:r>
      <w:r>
        <w:t xml:space="preserve">direct </w:t>
      </w:r>
      <w:r w:rsidRPr="00DD6F19">
        <w:t>tasks assess associations through behavio</w:t>
      </w:r>
      <w:r>
        <w:t>ur that require</w:t>
      </w:r>
      <w:r w:rsidRPr="00DD6F19">
        <w:t xml:space="preserve"> </w:t>
      </w:r>
      <w:r>
        <w:t xml:space="preserve">and allow </w:t>
      </w:r>
      <w:r w:rsidRPr="00DD6F19">
        <w:t>deliberate retri</w:t>
      </w:r>
      <w:r w:rsidR="00742AE0">
        <w:t>eval of the target association</w:t>
      </w:r>
      <w:r w:rsidRPr="00DD6F19">
        <w:t xml:space="preserve">. </w:t>
      </w:r>
      <w:r w:rsidR="00646FE5">
        <w:t>B</w:t>
      </w:r>
      <w:r>
        <w:t>oth d</w:t>
      </w:r>
      <w:r w:rsidRPr="00FD0334">
        <w:t xml:space="preserve">irect and indirect attitude </w:t>
      </w:r>
      <w:r>
        <w:t>measures</w:t>
      </w:r>
      <w:r w:rsidR="00E10696">
        <w:t xml:space="preserve"> </w:t>
      </w:r>
      <w:r w:rsidRPr="00FD0334">
        <w:t xml:space="preserve">vary in the extent to which they permit deliberative responding. </w:t>
      </w:r>
      <w:r>
        <w:t xml:space="preserve">For example, </w:t>
      </w:r>
      <w:r w:rsidR="00277B9C">
        <w:t xml:space="preserve">a direct measure </w:t>
      </w:r>
      <w:r w:rsidR="00E10696">
        <w:t xml:space="preserve">such as </w:t>
      </w:r>
      <w:r>
        <w:t>t</w:t>
      </w:r>
      <w:r w:rsidRPr="00FD0334">
        <w:t xml:space="preserve">he </w:t>
      </w:r>
      <w:r w:rsidR="00B42DFC">
        <w:t>single-</w:t>
      </w:r>
      <w:r w:rsidRPr="00FD0334">
        <w:t>item rating scale</w:t>
      </w:r>
      <w:r w:rsidR="00B42DFC">
        <w:rPr>
          <w:rStyle w:val="FootnoteReference"/>
        </w:rPr>
        <w:footnoteReference w:id="30"/>
      </w:r>
      <w:r w:rsidRPr="00FD0334">
        <w:t xml:space="preserve"> asks people </w:t>
      </w:r>
      <w:r w:rsidR="004B7713">
        <w:t>about th</w:t>
      </w:r>
      <w:r w:rsidRPr="00FD0334">
        <w:t xml:space="preserve">eir attitudes, but the </w:t>
      </w:r>
      <w:r w:rsidR="00E0307C">
        <w:t xml:space="preserve">research conditions </w:t>
      </w:r>
      <w:r w:rsidRPr="00FD0334">
        <w:t xml:space="preserve">could facilitate getting </w:t>
      </w:r>
      <w:r w:rsidR="004B7713">
        <w:t xml:space="preserve">a </w:t>
      </w:r>
      <w:r w:rsidR="00742AE0">
        <w:t xml:space="preserve">gut reaction or a </w:t>
      </w:r>
      <w:r w:rsidRPr="00FD0334">
        <w:t>deliberative assessment.</w:t>
      </w:r>
      <w:r w:rsidR="004B7713">
        <w:t xml:space="preserve"> That is</w:t>
      </w:r>
      <w:r>
        <w:t xml:space="preserve">, experimenters could </w:t>
      </w:r>
      <w:r w:rsidRPr="00FD0334">
        <w:t>require individuals to report their attit</w:t>
      </w:r>
      <w:r w:rsidR="00E10696">
        <w:t xml:space="preserve">udes </w:t>
      </w:r>
      <w:r w:rsidRPr="00FD0334">
        <w:t xml:space="preserve">with </w:t>
      </w:r>
      <w:r w:rsidR="004B7713">
        <w:t xml:space="preserve">time for thinking, or quickly, </w:t>
      </w:r>
      <w:r w:rsidR="00742AE0">
        <w:t xml:space="preserve">with </w:t>
      </w:r>
      <w:r w:rsidRPr="00FD0334">
        <w:t>no time for deliberation. Similarly, some indirect attitude measures permit deliberate</w:t>
      </w:r>
      <w:r w:rsidR="00277B9C">
        <w:t>, slow</w:t>
      </w:r>
      <w:r w:rsidRPr="00FD0334">
        <w:t xml:space="preserve"> responding whereas others</w:t>
      </w:r>
      <w:r>
        <w:t>,</w:t>
      </w:r>
      <w:r w:rsidRPr="00FD0334">
        <w:t xml:space="preserve"> such as the </w:t>
      </w:r>
      <w:r w:rsidR="00F15A9B" w:rsidRPr="00F15A9B">
        <w:t xml:space="preserve">Implicit Association Test </w:t>
      </w:r>
      <w:r w:rsidR="00F15A9B">
        <w:t>(</w:t>
      </w:r>
      <w:r w:rsidRPr="00FD0334">
        <w:t>IAT</w:t>
      </w:r>
      <w:r w:rsidR="00F15A9B">
        <w:t>)</w:t>
      </w:r>
      <w:r>
        <w:t>,</w:t>
      </w:r>
      <w:r w:rsidR="00F15A9B">
        <w:rPr>
          <w:rStyle w:val="FootnoteReference"/>
        </w:rPr>
        <w:footnoteReference w:id="31"/>
      </w:r>
      <w:r w:rsidRPr="00FD0334">
        <w:t xml:space="preserve"> require fast responses.</w:t>
      </w:r>
      <w:r w:rsidRPr="004B53B9">
        <w:t xml:space="preserve"> </w:t>
      </w:r>
    </w:p>
    <w:p w14:paraId="1A191910" w14:textId="134C4798" w:rsidR="004E1A08" w:rsidRPr="00130AEF" w:rsidRDefault="00E10696" w:rsidP="004E1A08">
      <w:r>
        <w:t>I</w:t>
      </w:r>
      <w:r w:rsidRPr="00FD0334">
        <w:t>ndirect and direct measures are prone to distinct measurement errors such as task-switching ability and impulse i</w:t>
      </w:r>
      <w:r>
        <w:t>nhibition for implicit measures and</w:t>
      </w:r>
      <w:r w:rsidRPr="00FD0334">
        <w:t xml:space="preserve"> social desirability and acquiescence bias for explicit measures.</w:t>
      </w:r>
      <w:r w:rsidRPr="00FD0334">
        <w:rPr>
          <w:vertAlign w:val="superscript"/>
        </w:rPr>
        <w:footnoteReference w:id="32"/>
      </w:r>
      <w:r>
        <w:t xml:space="preserve"> </w:t>
      </w:r>
      <w:r w:rsidR="00742AE0">
        <w:t>Indirect</w:t>
      </w:r>
      <w:r w:rsidR="00742AE0" w:rsidRPr="00130AEF">
        <w:t xml:space="preserve"> </w:t>
      </w:r>
      <w:r w:rsidR="00E0307C">
        <w:t xml:space="preserve">measures correlate with  </w:t>
      </w:r>
      <w:r w:rsidR="00742AE0">
        <w:t>direct measures</w:t>
      </w:r>
      <w:r w:rsidR="007F1233">
        <w:t>,</w:t>
      </w:r>
      <w:r w:rsidR="00742AE0">
        <w:t xml:space="preserve"> but c</w:t>
      </w:r>
      <w:r w:rsidR="006C5F53">
        <w:t>orrelations range</w:t>
      </w:r>
      <w:r w:rsidR="004E1A08" w:rsidRPr="00130AEF">
        <w:t xml:space="preserve"> from low to high </w:t>
      </w:r>
      <w:r w:rsidR="006C5F53">
        <w:t xml:space="preserve">with </w:t>
      </w:r>
      <w:r w:rsidR="007F1233">
        <w:t xml:space="preserve">the following </w:t>
      </w:r>
      <w:r w:rsidR="00742AE0" w:rsidRPr="00130AEF">
        <w:t>aspects of the social and mental context</w:t>
      </w:r>
      <w:r w:rsidR="00742AE0">
        <w:t xml:space="preserve"> accounting for </w:t>
      </w:r>
      <w:r w:rsidR="00D4142F">
        <w:t>h</w:t>
      </w:r>
      <w:r w:rsidR="004E1A08" w:rsidRPr="00130AEF">
        <w:t>alf the variation</w:t>
      </w:r>
      <w:r w:rsidR="00742AE0">
        <w:t xml:space="preserve"> in implicit-explicit relations</w:t>
      </w:r>
      <w:r w:rsidR="004E1A08" w:rsidRPr="00130AEF">
        <w:t>:</w:t>
      </w:r>
      <w:r w:rsidR="004E1A08" w:rsidRPr="00130AEF">
        <w:rPr>
          <w:vertAlign w:val="superscript"/>
        </w:rPr>
        <w:footnoteReference w:id="33"/>
      </w:r>
      <w:r w:rsidR="004E1A08" w:rsidRPr="00130AEF">
        <w:t xml:space="preserve"> </w:t>
      </w:r>
    </w:p>
    <w:p w14:paraId="4FE33B8D" w14:textId="77777777" w:rsidR="004E1A08" w:rsidRPr="00130AEF" w:rsidRDefault="00007CE2" w:rsidP="00D4142F">
      <w:pPr>
        <w:pStyle w:val="ListBullet"/>
      </w:pPr>
      <w:r>
        <w:t xml:space="preserve">The social sensitivity of </w:t>
      </w:r>
      <w:r w:rsidR="004E1A08" w:rsidRPr="00130AEF">
        <w:t>target concepts.</w:t>
      </w:r>
    </w:p>
    <w:p w14:paraId="5B7067AA" w14:textId="77777777" w:rsidR="00D4142F" w:rsidRPr="00130AEF" w:rsidRDefault="00D4142F" w:rsidP="00D4142F">
      <w:pPr>
        <w:pStyle w:val="ListBullet"/>
      </w:pPr>
      <w:r w:rsidRPr="00130AEF">
        <w:t>The extent to which people have thought about the concepts.</w:t>
      </w:r>
    </w:p>
    <w:p w14:paraId="0245BDA0" w14:textId="77777777" w:rsidR="004E1A08" w:rsidRPr="00130AEF" w:rsidRDefault="004B7713" w:rsidP="00D4142F">
      <w:pPr>
        <w:pStyle w:val="ListBullet"/>
      </w:pPr>
      <w:r>
        <w:t xml:space="preserve">The degree to which </w:t>
      </w:r>
      <w:r w:rsidR="004E1A08" w:rsidRPr="00130AEF">
        <w:t xml:space="preserve">concepts in the implicit task are diametrically opposed or not. </w:t>
      </w:r>
    </w:p>
    <w:p w14:paraId="488866EF" w14:textId="0E4FE228" w:rsidR="0091432E" w:rsidRDefault="004E1A08" w:rsidP="00AD4C43">
      <w:pPr>
        <w:pStyle w:val="ListBullet"/>
      </w:pPr>
      <w:r w:rsidRPr="00130AEF">
        <w:t xml:space="preserve">The degree to which people view their opinions about the concepts to be distinct from others. </w:t>
      </w:r>
    </w:p>
    <w:p w14:paraId="33E1C76D" w14:textId="77777777" w:rsidR="00FD5E36" w:rsidRDefault="000956F4" w:rsidP="00775672">
      <w:pPr>
        <w:pStyle w:val="Heading1"/>
      </w:pPr>
      <w:bookmarkStart w:id="5" w:name="_Toc122447198"/>
      <w:r>
        <w:t xml:space="preserve">Chapter 2: </w:t>
      </w:r>
      <w:r w:rsidR="00DC1C47">
        <w:t xml:space="preserve">Negative </w:t>
      </w:r>
      <w:r w:rsidR="00BF3F79">
        <w:t>attitudes</w:t>
      </w:r>
      <w:bookmarkEnd w:id="5"/>
      <w:r w:rsidR="00BF3F79">
        <w:t xml:space="preserve"> </w:t>
      </w:r>
    </w:p>
    <w:p w14:paraId="4A675F22" w14:textId="77777777" w:rsidR="007E3409" w:rsidRPr="00476A60" w:rsidRDefault="007E3409" w:rsidP="007E3409">
      <w:r>
        <w:t xml:space="preserve">Various </w:t>
      </w:r>
      <w:r w:rsidRPr="00476A60">
        <w:t xml:space="preserve">attitudes </w:t>
      </w:r>
      <w:r>
        <w:t>to disability include the following:</w:t>
      </w:r>
      <w:r w:rsidRPr="00476A60">
        <w:rPr>
          <w:vertAlign w:val="superscript"/>
        </w:rPr>
        <w:footnoteReference w:id="34"/>
      </w:r>
      <w:r w:rsidRPr="00476A60">
        <w:t xml:space="preserve"> </w:t>
      </w:r>
    </w:p>
    <w:p w14:paraId="7AB966CD" w14:textId="77777777" w:rsidR="007E3409" w:rsidRPr="00476A60" w:rsidRDefault="007E3409" w:rsidP="007E3409">
      <w:pPr>
        <w:numPr>
          <w:ilvl w:val="0"/>
          <w:numId w:val="1"/>
        </w:numPr>
        <w:spacing w:before="120" w:after="120"/>
      </w:pPr>
      <w:r>
        <w:t xml:space="preserve">An inclusive positive </w:t>
      </w:r>
      <w:r w:rsidRPr="00476A60">
        <w:t>attitude</w:t>
      </w:r>
      <w:r>
        <w:t xml:space="preserve"> where </w:t>
      </w:r>
      <w:r w:rsidRPr="00476A60">
        <w:t xml:space="preserve">people engage </w:t>
      </w:r>
      <w:r>
        <w:t xml:space="preserve">willingly </w:t>
      </w:r>
      <w:r w:rsidRPr="00476A60">
        <w:t>with disabled people</w:t>
      </w:r>
      <w:r>
        <w:t xml:space="preserve"> as a matter of course and are aware of their distinctive needs</w:t>
      </w:r>
      <w:r w:rsidRPr="00476A60">
        <w:t xml:space="preserve">. </w:t>
      </w:r>
    </w:p>
    <w:p w14:paraId="35A9C34E" w14:textId="77777777" w:rsidR="007E3409" w:rsidRPr="00476A60" w:rsidRDefault="007E3409" w:rsidP="007E3409">
      <w:pPr>
        <w:numPr>
          <w:ilvl w:val="0"/>
          <w:numId w:val="1"/>
        </w:numPr>
        <w:spacing w:before="120" w:after="120"/>
      </w:pPr>
      <w:r>
        <w:t xml:space="preserve">An </w:t>
      </w:r>
      <w:r w:rsidRPr="00476A60">
        <w:t>attitude characterised by a lack of awareness of disabled peo</w:t>
      </w:r>
      <w:r>
        <w:t>ple, the difficulties they face</w:t>
      </w:r>
      <w:r w:rsidRPr="00476A60">
        <w:t>, their support requirements and ambitions.</w:t>
      </w:r>
    </w:p>
    <w:p w14:paraId="4CB6527D" w14:textId="77777777" w:rsidR="007E3409" w:rsidRPr="00476A60" w:rsidRDefault="007E3409" w:rsidP="007E3409">
      <w:pPr>
        <w:numPr>
          <w:ilvl w:val="0"/>
          <w:numId w:val="1"/>
        </w:numPr>
        <w:spacing w:before="120" w:after="120"/>
      </w:pPr>
      <w:r>
        <w:t xml:space="preserve">An </w:t>
      </w:r>
      <w:r w:rsidRPr="00476A60">
        <w:t xml:space="preserve">attitude of discomfort </w:t>
      </w:r>
      <w:r>
        <w:t xml:space="preserve">and anxiety </w:t>
      </w:r>
      <w:r w:rsidRPr="00476A60">
        <w:t xml:space="preserve">with the ‘Otherness’ of disabled people. </w:t>
      </w:r>
    </w:p>
    <w:p w14:paraId="6ADB63FA" w14:textId="5E1AB338" w:rsidR="007E3409" w:rsidRDefault="00E52E6A" w:rsidP="00EC228A">
      <w:r w:rsidRPr="00476A60">
        <w:t xml:space="preserve">Globally, public attitudes toward different types of disabilities </w:t>
      </w:r>
      <w:r w:rsidR="00AD4C43">
        <w:t>show stability</w:t>
      </w:r>
      <w:r w:rsidRPr="00476A60">
        <w:t xml:space="preserve"> over time when measured using the Disability Social Distance Scale</w:t>
      </w:r>
      <w:r w:rsidR="007F1233">
        <w:rPr>
          <w:rStyle w:val="FootnoteReference"/>
        </w:rPr>
        <w:footnoteReference w:id="35"/>
      </w:r>
      <w:r w:rsidRPr="00476A60">
        <w:t xml:space="preserve"> and other measures. </w:t>
      </w:r>
      <w:r w:rsidR="003A12C1" w:rsidRPr="00476A60">
        <w:t xml:space="preserve">Research in 2001 showed that the categorization by the </w:t>
      </w:r>
      <w:r w:rsidR="007E3409" w:rsidRPr="00476A60">
        <w:t>public</w:t>
      </w:r>
      <w:r w:rsidR="003A12C1" w:rsidRPr="00476A60">
        <w:t xml:space="preserve"> of types of disab</w:t>
      </w:r>
      <w:r w:rsidR="003A12C1">
        <w:t xml:space="preserve">ility and chronic illnesses had been relatively stable for </w:t>
      </w:r>
      <w:r w:rsidR="003A12C1" w:rsidRPr="00476A60">
        <w:t>30 years.</w:t>
      </w:r>
      <w:r w:rsidR="003A12C1" w:rsidRPr="00476A60">
        <w:rPr>
          <w:rFonts w:ascii="Gill Sans" w:hAnsi="Gill Sans"/>
          <w:sz w:val="22"/>
          <w:vertAlign w:val="superscript"/>
        </w:rPr>
        <w:footnoteReference w:id="36"/>
      </w:r>
      <w:r w:rsidR="003A12C1">
        <w:t xml:space="preserve"> </w:t>
      </w:r>
      <w:r w:rsidRPr="00476A60">
        <w:t>Research in 2017</w:t>
      </w:r>
      <w:r w:rsidRPr="00476A60">
        <w:rPr>
          <w:rFonts w:ascii="Gill Sans" w:hAnsi="Gill Sans"/>
          <w:sz w:val="22"/>
          <w:vertAlign w:val="superscript"/>
        </w:rPr>
        <w:footnoteReference w:id="37"/>
      </w:r>
      <w:r w:rsidRPr="00476A60">
        <w:t xml:space="preserve"> compared and contrasted the social distance literature on attitudes and preferences of the public towards differ</w:t>
      </w:r>
      <w:r w:rsidR="00AD4C43">
        <w:t xml:space="preserve">ent types of disabilities with </w:t>
      </w:r>
      <w:r w:rsidR="003A12C1">
        <w:t xml:space="preserve">the </w:t>
      </w:r>
      <w:r w:rsidRPr="00476A60">
        <w:t>attitudes and preferences of health care p</w:t>
      </w:r>
      <w:r w:rsidR="00AD4C43">
        <w:t>rofessions</w:t>
      </w:r>
      <w:r w:rsidR="003A12C1">
        <w:t>. The study</w:t>
      </w:r>
      <w:r w:rsidR="00AD4C43">
        <w:t xml:space="preserve"> compared both </w:t>
      </w:r>
      <w:r w:rsidRPr="00476A60">
        <w:t>these views with claims filed under that Americans with Disabilities Act (ADA). Unobserved conditions such as diabetes and heart conditions were the most ‘favoured’ and ‘prestigious’ conditions and the subject of more claims under the ADA Act. Observable mental health difficulties were</w:t>
      </w:r>
      <w:r w:rsidR="00AD4C43">
        <w:t xml:space="preserve">, as before, </w:t>
      </w:r>
      <w:r w:rsidRPr="00476A60">
        <w:t>the least favoured disability in terms of social dis</w:t>
      </w:r>
      <w:r w:rsidR="003A12C1">
        <w:t xml:space="preserve">tance preferences </w:t>
      </w:r>
      <w:r w:rsidR="00AD4C43">
        <w:t>and</w:t>
      </w:r>
      <w:r w:rsidRPr="00476A60">
        <w:t xml:space="preserve"> were the subject of few</w:t>
      </w:r>
      <w:r w:rsidR="003A12C1">
        <w:t>er</w:t>
      </w:r>
      <w:r w:rsidRPr="00476A60">
        <w:t xml:space="preserve"> claims under the ADA Act. </w:t>
      </w:r>
    </w:p>
    <w:p w14:paraId="26235B60" w14:textId="415A464F" w:rsidR="00D85515" w:rsidRDefault="00EC228A" w:rsidP="00EC228A">
      <w:r>
        <w:rPr>
          <w:szCs w:val="26"/>
        </w:rPr>
        <w:t>In 2021, t</w:t>
      </w:r>
      <w:r w:rsidRPr="00476A60">
        <w:rPr>
          <w:szCs w:val="26"/>
        </w:rPr>
        <w:t xml:space="preserve">he </w:t>
      </w:r>
      <w:r>
        <w:rPr>
          <w:szCs w:val="26"/>
        </w:rPr>
        <w:t>World Health Organisation (WHO) recognised</w:t>
      </w:r>
      <w:r w:rsidRPr="00476A60">
        <w:rPr>
          <w:szCs w:val="26"/>
        </w:rPr>
        <w:t xml:space="preserve"> the persistence of negative attitude</w:t>
      </w:r>
      <w:r>
        <w:rPr>
          <w:szCs w:val="26"/>
        </w:rPr>
        <w:t>s to disability globally</w:t>
      </w:r>
      <w:r w:rsidR="00095795">
        <w:rPr>
          <w:szCs w:val="26"/>
        </w:rPr>
        <w:t xml:space="preserve"> and </w:t>
      </w:r>
      <w:r>
        <w:rPr>
          <w:szCs w:val="26"/>
        </w:rPr>
        <w:t xml:space="preserve">that they continue to create, </w:t>
      </w:r>
      <w:r w:rsidRPr="00476A60">
        <w:rPr>
          <w:szCs w:val="26"/>
        </w:rPr>
        <w:t>alongside communication and financial barriers, a significant obstacle to accessing adequate healthcare.</w:t>
      </w:r>
      <w:r w:rsidRPr="00476A60">
        <w:rPr>
          <w:rFonts w:ascii="Gill Sans" w:hAnsi="Gill Sans"/>
          <w:sz w:val="22"/>
          <w:szCs w:val="26"/>
          <w:vertAlign w:val="superscript"/>
        </w:rPr>
        <w:footnoteReference w:id="38"/>
      </w:r>
      <w:bookmarkStart w:id="6" w:name="_Toc114652898"/>
      <w:r>
        <w:t xml:space="preserve"> </w:t>
      </w:r>
      <w:bookmarkEnd w:id="6"/>
    </w:p>
    <w:p w14:paraId="3575414D" w14:textId="49F9C623" w:rsidR="00825AA0" w:rsidRDefault="00CD5B30" w:rsidP="00E52E6A">
      <w:pPr>
        <w:tabs>
          <w:tab w:val="num" w:pos="720"/>
        </w:tabs>
      </w:pPr>
      <w:r w:rsidRPr="00476A60">
        <w:t xml:space="preserve">In Ireland, four NDA surveys on attitudes to disability show that, while overall attitudes to all disability types </w:t>
      </w:r>
      <w:r>
        <w:t xml:space="preserve">have </w:t>
      </w:r>
      <w:r w:rsidRPr="00476A60">
        <w:t xml:space="preserve">improved, the proportion of people with negative attitudes towards mental health issues, as demonstrated through social distance preferences, remains greater than </w:t>
      </w:r>
      <w:r>
        <w:t xml:space="preserve">that </w:t>
      </w:r>
      <w:r w:rsidRPr="00476A60">
        <w:t xml:space="preserve">for other disability types. </w:t>
      </w:r>
      <w:r w:rsidR="00095795">
        <w:t>T</w:t>
      </w:r>
      <w:r w:rsidR="007E3409">
        <w:t>h</w:t>
      </w:r>
      <w:r w:rsidR="00095795">
        <w:t>us, t</w:t>
      </w:r>
      <w:r w:rsidRPr="00476A60">
        <w:t xml:space="preserve">hese surveys </w:t>
      </w:r>
      <w:r>
        <w:t xml:space="preserve">also </w:t>
      </w:r>
      <w:r w:rsidRPr="00476A60">
        <w:t>demonstrate the stability of attitudes towards different disability types.</w:t>
      </w:r>
      <w:r>
        <w:rPr>
          <w:rStyle w:val="FootnoteReference"/>
        </w:rPr>
        <w:footnoteReference w:id="39"/>
      </w:r>
      <w:r>
        <w:t xml:space="preserve"> </w:t>
      </w:r>
    </w:p>
    <w:p w14:paraId="63FD9E62" w14:textId="5D259F0E" w:rsidR="00095795" w:rsidRDefault="000D3C72" w:rsidP="00095795">
      <w:pPr>
        <w:tabs>
          <w:tab w:val="num" w:pos="720"/>
        </w:tabs>
      </w:pPr>
      <w:r w:rsidRPr="000D3C72">
        <w:t>In a 2021 sy</w:t>
      </w:r>
      <w:r>
        <w:t>stematic literature review</w:t>
      </w:r>
      <w:r w:rsidRPr="000D3C72">
        <w:t xml:space="preserve"> on students’ attitudes to disability</w:t>
      </w:r>
      <w:r>
        <w:t>,</w:t>
      </w:r>
      <w:r w:rsidRPr="000D3C72">
        <w:rPr>
          <w:vertAlign w:val="superscript"/>
        </w:rPr>
        <w:footnoteReference w:id="40"/>
      </w:r>
      <w:r w:rsidRPr="000D3C72">
        <w:t xml:space="preserve"> students generally reported more positive attitudes for overt disabilities such as sensory and physical disabilities compared to less obvious disabilities such as learning disabilities.</w:t>
      </w:r>
    </w:p>
    <w:p w14:paraId="751C2E9C" w14:textId="3E407A20" w:rsidR="00C70400" w:rsidRDefault="00513442" w:rsidP="00DE31FF">
      <w:r>
        <w:t xml:space="preserve">An international review by </w:t>
      </w:r>
      <w:r w:rsidRPr="00476A60">
        <w:t xml:space="preserve">Thompson et al (2011) </w:t>
      </w:r>
      <w:r w:rsidR="00095795">
        <w:t xml:space="preserve">on community attitudes </w:t>
      </w:r>
      <w:r>
        <w:t xml:space="preserve">found </w:t>
      </w:r>
      <w:r w:rsidR="00095795" w:rsidRPr="00095795">
        <w:t>information about both attitudes and outcomes, but little about the relationship between the two.</w:t>
      </w:r>
      <w:r w:rsidR="00F66AEC" w:rsidRPr="00F66AEC">
        <w:t xml:space="preserve"> One study in the US found that lower wage rates for men with physical disability were probably partly a result of prejudice.</w:t>
      </w:r>
      <w:r w:rsidR="00F66AEC">
        <w:t xml:space="preserve"> </w:t>
      </w:r>
      <w:r w:rsidR="00C70400">
        <w:t>T</w:t>
      </w:r>
      <w:r w:rsidR="00F66AEC">
        <w:t xml:space="preserve">he review </w:t>
      </w:r>
      <w:r>
        <w:t xml:space="preserve">found that </w:t>
      </w:r>
      <w:r w:rsidRPr="009B0281">
        <w:t xml:space="preserve">women </w:t>
      </w:r>
      <w:r>
        <w:t>in the workforce were more disadvantaged than men</w:t>
      </w:r>
      <w:r w:rsidR="001E11F3">
        <w:t xml:space="preserve"> and</w:t>
      </w:r>
      <w:r>
        <w:t xml:space="preserve"> </w:t>
      </w:r>
      <w:r w:rsidR="00F66AEC">
        <w:t xml:space="preserve">that </w:t>
      </w:r>
      <w:r w:rsidRPr="009B0281">
        <w:t xml:space="preserve">people were less comfortable with </w:t>
      </w:r>
      <w:r w:rsidR="00C70400">
        <w:t xml:space="preserve">colleagues </w:t>
      </w:r>
      <w:r w:rsidRPr="009B0281">
        <w:t xml:space="preserve">with </w:t>
      </w:r>
      <w:r w:rsidR="00F66AEC">
        <w:t xml:space="preserve">mental illness </w:t>
      </w:r>
      <w:r>
        <w:t xml:space="preserve">than </w:t>
      </w:r>
      <w:r w:rsidR="001E11F3">
        <w:t xml:space="preserve">those </w:t>
      </w:r>
      <w:r>
        <w:t xml:space="preserve">with </w:t>
      </w:r>
      <w:r w:rsidR="00F66AEC">
        <w:t xml:space="preserve">physical </w:t>
      </w:r>
      <w:r>
        <w:t>disabilities</w:t>
      </w:r>
      <w:r w:rsidRPr="009B0281">
        <w:t>.</w:t>
      </w:r>
      <w:r w:rsidRPr="001338DC">
        <w:t xml:space="preserve"> </w:t>
      </w:r>
      <w:r w:rsidR="00C70400">
        <w:t>M</w:t>
      </w:r>
      <w:r w:rsidRPr="001338DC">
        <w:t>any employers fe</w:t>
      </w:r>
      <w:r w:rsidR="00C70400">
        <w:t>lt</w:t>
      </w:r>
      <w:r w:rsidRPr="001338DC">
        <w:t xml:space="preserve"> </w:t>
      </w:r>
      <w:r w:rsidR="00C70400" w:rsidRPr="001338DC">
        <w:t>ill prepared</w:t>
      </w:r>
      <w:r w:rsidRPr="001338DC">
        <w:t xml:space="preserve"> </w:t>
      </w:r>
      <w:r>
        <w:t>to employ disabled people</w:t>
      </w:r>
      <w:r w:rsidRPr="001338DC">
        <w:t xml:space="preserve">, especially </w:t>
      </w:r>
      <w:r>
        <w:t xml:space="preserve">persons </w:t>
      </w:r>
      <w:r w:rsidRPr="001338DC">
        <w:t>with a mental illness, a</w:t>
      </w:r>
      <w:r>
        <w:t xml:space="preserve">lthough they were </w:t>
      </w:r>
      <w:r w:rsidRPr="001338DC">
        <w:t>more ready to support current employees who acquire</w:t>
      </w:r>
      <w:r>
        <w:t xml:space="preserve">d a disability. The </w:t>
      </w:r>
      <w:r w:rsidRPr="001338DC">
        <w:t xml:space="preserve">review found that </w:t>
      </w:r>
      <w:r>
        <w:t xml:space="preserve">health </w:t>
      </w:r>
      <w:r w:rsidRPr="001338DC">
        <w:t>professionals sometimes lack</w:t>
      </w:r>
      <w:r>
        <w:t>ed</w:t>
      </w:r>
      <w:r w:rsidRPr="001338DC">
        <w:t xml:space="preserve"> training and awareness about </w:t>
      </w:r>
      <w:r>
        <w:t xml:space="preserve">the needs of specific groups of disabled people and that </w:t>
      </w:r>
      <w:r w:rsidRPr="00D85515">
        <w:t xml:space="preserve">negative attitudes </w:t>
      </w:r>
      <w:r>
        <w:t xml:space="preserve">made </w:t>
      </w:r>
      <w:r w:rsidRPr="00D85515">
        <w:t>people’s access to treatment, preventive screening and health promotion difficult.</w:t>
      </w:r>
      <w:r>
        <w:rPr>
          <w:rStyle w:val="FootnoteReference"/>
        </w:rPr>
        <w:footnoteReference w:id="41"/>
      </w:r>
      <w:r w:rsidRPr="00D85515">
        <w:t xml:space="preserve"> </w:t>
      </w:r>
    </w:p>
    <w:p w14:paraId="36042224" w14:textId="6E1DCA93" w:rsidR="00A52BE8" w:rsidRDefault="00251AEB" w:rsidP="00DE31FF">
      <w:r>
        <w:t>While disability type or category is important, a</w:t>
      </w:r>
      <w:r w:rsidR="00A52BE8">
        <w:t xml:space="preserve"> study on discrimination against the physica</w:t>
      </w:r>
      <w:r w:rsidR="007A365D">
        <w:t>lly disabled showed the complexity of factors involved in attitudes, evaluation and behaviour towards types of disability:</w:t>
      </w:r>
      <w:r w:rsidR="00C70400">
        <w:rPr>
          <w:rStyle w:val="FootnoteReference"/>
        </w:rPr>
        <w:footnoteReference w:id="42"/>
      </w:r>
    </w:p>
    <w:p w14:paraId="579E8F8D" w14:textId="0A382D1F" w:rsidR="00A52BE8" w:rsidRDefault="00A52BE8" w:rsidP="007A365D">
      <w:pPr>
        <w:ind w:left="397" w:right="397"/>
      </w:pPr>
      <w:r w:rsidRPr="00825AA0">
        <w:t xml:space="preserve">Our prior research found an interaction between disability type and situational expectations. For instance, when screening for a job where the person would be in public view, </w:t>
      </w:r>
      <w:r w:rsidR="00F75E58">
        <w:t xml:space="preserve">employers would discriminate against </w:t>
      </w:r>
      <w:r w:rsidRPr="00825AA0">
        <w:t xml:space="preserve">a person with a viewable disability in terms of obtaining a hiring recommendation. However, where the job was not </w:t>
      </w:r>
      <w:r w:rsidR="00F75E58">
        <w:t>i</w:t>
      </w:r>
      <w:r w:rsidRPr="00825AA0">
        <w:t>n the public view, a viewable disability worked in favo</w:t>
      </w:r>
      <w:r>
        <w:t>u</w:t>
      </w:r>
      <w:r w:rsidRPr="00825AA0">
        <w:t>r of obtaining a positive hiring recommendation when judged against someone not presenting such a disability</w:t>
      </w:r>
      <w:r w:rsidR="003D30F2">
        <w:t>.</w:t>
      </w:r>
      <w:r w:rsidR="003D30F2">
        <w:rPr>
          <w:rStyle w:val="FootnoteReference"/>
        </w:rPr>
        <w:footnoteReference w:id="43"/>
      </w:r>
      <w:r w:rsidRPr="00825AA0">
        <w:t xml:space="preserve"> </w:t>
      </w:r>
    </w:p>
    <w:p w14:paraId="338413E4" w14:textId="207225A8" w:rsidR="000E6077" w:rsidRPr="005C7E16" w:rsidRDefault="000E6077" w:rsidP="000E6077">
      <w:pPr>
        <w:tabs>
          <w:tab w:val="num" w:pos="720"/>
        </w:tabs>
      </w:pPr>
      <w:r w:rsidRPr="00476A60">
        <w:rPr>
          <w:szCs w:val="26"/>
        </w:rPr>
        <w:t>In Ireland, the ESRI, using data from the 2004, 2010 and 2014 Equality modules of the Quarterly National Household Survey, examined disability and discrimination in the workplace and in public and private services.</w:t>
      </w:r>
      <w:r w:rsidRPr="00476A60">
        <w:t xml:space="preserve"> It found that disabled p</w:t>
      </w:r>
      <w:r w:rsidRPr="00476A60">
        <w:rPr>
          <w:szCs w:val="26"/>
        </w:rPr>
        <w:t xml:space="preserve">eople reported discrimination more frequently than those without a </w:t>
      </w:r>
      <w:r w:rsidR="00B83E8B" w:rsidRPr="00476A60">
        <w:rPr>
          <w:szCs w:val="26"/>
        </w:rPr>
        <w:t>disability</w:t>
      </w:r>
      <w:r w:rsidR="00B83E8B">
        <w:rPr>
          <w:szCs w:val="26"/>
        </w:rPr>
        <w:t>.</w:t>
      </w:r>
      <w:r w:rsidRPr="00476A60">
        <w:rPr>
          <w:szCs w:val="26"/>
        </w:rPr>
        <w:t xml:space="preserve"> </w:t>
      </w:r>
      <w:r w:rsidR="00B83E8B">
        <w:rPr>
          <w:szCs w:val="26"/>
        </w:rPr>
        <w:t>T</w:t>
      </w:r>
      <w:r w:rsidRPr="00476A60">
        <w:rPr>
          <w:szCs w:val="26"/>
        </w:rPr>
        <w:t xml:space="preserve">he discrimination experienced has </w:t>
      </w:r>
      <w:r w:rsidR="00B83E8B">
        <w:rPr>
          <w:szCs w:val="26"/>
        </w:rPr>
        <w:t xml:space="preserve">a </w:t>
      </w:r>
      <w:r w:rsidRPr="00476A60">
        <w:rPr>
          <w:szCs w:val="26"/>
        </w:rPr>
        <w:t xml:space="preserve">more serious effect on </w:t>
      </w:r>
      <w:r w:rsidR="00B83E8B">
        <w:rPr>
          <w:szCs w:val="26"/>
        </w:rPr>
        <w:t xml:space="preserve">disabled people </w:t>
      </w:r>
      <w:r w:rsidRPr="00476A60">
        <w:rPr>
          <w:szCs w:val="26"/>
        </w:rPr>
        <w:t xml:space="preserve"> </w:t>
      </w:r>
      <w:r w:rsidR="00B83E8B">
        <w:rPr>
          <w:szCs w:val="26"/>
        </w:rPr>
        <w:t xml:space="preserve"> than </w:t>
      </w:r>
      <w:r w:rsidRPr="00476A60">
        <w:rPr>
          <w:szCs w:val="26"/>
        </w:rPr>
        <w:t>those without a disability.</w:t>
      </w:r>
      <w:r w:rsidRPr="00476A60">
        <w:rPr>
          <w:rFonts w:ascii="Gill Sans" w:hAnsi="Gill Sans"/>
          <w:sz w:val="22"/>
          <w:szCs w:val="26"/>
          <w:vertAlign w:val="superscript"/>
        </w:rPr>
        <w:footnoteReference w:id="44"/>
      </w:r>
      <w:r>
        <w:rPr>
          <w:szCs w:val="26"/>
        </w:rPr>
        <w:t xml:space="preserve"> </w:t>
      </w:r>
    </w:p>
    <w:p w14:paraId="6CFBCE4B" w14:textId="0ED7D5CF" w:rsidR="00E52E6A" w:rsidRPr="00476A60" w:rsidRDefault="00E52E6A" w:rsidP="00E52E6A">
      <w:pPr>
        <w:tabs>
          <w:tab w:val="num" w:pos="720"/>
        </w:tabs>
        <w:rPr>
          <w:szCs w:val="26"/>
        </w:rPr>
      </w:pPr>
      <w:r w:rsidRPr="00476A60">
        <w:rPr>
          <w:szCs w:val="26"/>
        </w:rPr>
        <w:t>In 2017, a UK survey,</w:t>
      </w:r>
      <w:r w:rsidRPr="00476A60">
        <w:rPr>
          <w:rFonts w:ascii="Gill Sans" w:hAnsi="Gill Sans"/>
          <w:sz w:val="22"/>
          <w:szCs w:val="26"/>
          <w:vertAlign w:val="superscript"/>
        </w:rPr>
        <w:footnoteReference w:id="45"/>
      </w:r>
      <w:r w:rsidRPr="00476A60">
        <w:rPr>
          <w:szCs w:val="26"/>
        </w:rPr>
        <w:t xml:space="preserve"> conducted by Scope revealed that 32% of disabled respondents and 22% of non-disabled people agreed that there was a lot of prejudice in Britain towards disabled people.</w:t>
      </w:r>
      <w:r w:rsidRPr="00476A60">
        <w:rPr>
          <w:rFonts w:ascii="Gill Sans" w:hAnsi="Gill Sans"/>
          <w:sz w:val="22"/>
          <w:szCs w:val="26"/>
          <w:vertAlign w:val="superscript"/>
        </w:rPr>
        <w:footnoteReference w:id="46"/>
      </w:r>
      <w:r w:rsidRPr="00476A60">
        <w:rPr>
          <w:szCs w:val="26"/>
        </w:rPr>
        <w:t xml:space="preserve"> </w:t>
      </w:r>
      <w:r w:rsidR="00B83E8B">
        <w:rPr>
          <w:szCs w:val="26"/>
        </w:rPr>
        <w:t>The survey investigated t</w:t>
      </w:r>
      <w:r w:rsidRPr="00476A60">
        <w:rPr>
          <w:szCs w:val="26"/>
        </w:rPr>
        <w:t>he perception gap between disabled and nondisabled people in 2018 with ethnographic research, which found that</w:t>
      </w:r>
      <w:r w:rsidR="0038470B">
        <w:rPr>
          <w:szCs w:val="26"/>
        </w:rPr>
        <w:t>,</w:t>
      </w:r>
      <w:r w:rsidRPr="00476A60">
        <w:rPr>
          <w:szCs w:val="26"/>
        </w:rPr>
        <w:t xml:space="preserve"> in addition to insults and abuse, disabled </w:t>
      </w:r>
      <w:r w:rsidR="0038470B" w:rsidRPr="00476A60">
        <w:rPr>
          <w:szCs w:val="26"/>
        </w:rPr>
        <w:t>people,</w:t>
      </w:r>
      <w:r w:rsidRPr="00476A60">
        <w:rPr>
          <w:szCs w:val="26"/>
        </w:rPr>
        <w:t xml:space="preserve"> encounter small acts of negative behaviour. </w:t>
      </w:r>
    </w:p>
    <w:p w14:paraId="1326037E" w14:textId="0FF5CAB6" w:rsidR="00E52E6A" w:rsidRPr="00476A60" w:rsidRDefault="00E52E6A" w:rsidP="00E52E6A">
      <w:pPr>
        <w:tabs>
          <w:tab w:val="num" w:pos="720"/>
        </w:tabs>
        <w:ind w:left="397" w:right="397"/>
        <w:rPr>
          <w:szCs w:val="26"/>
        </w:rPr>
      </w:pPr>
      <w:r w:rsidRPr="00476A60">
        <w:rPr>
          <w:szCs w:val="26"/>
        </w:rPr>
        <w:t>Any one of these incidents by themselves may not be seen by a non-disabled person as much more than a small social faux pas, but for disabled people they can add up to a constant background of negative attitudes and behaviours which present a significant barrier to living the lives they choose.</w:t>
      </w:r>
      <w:r w:rsidRPr="00476A60">
        <w:rPr>
          <w:rFonts w:ascii="Gill Sans" w:hAnsi="Gill Sans"/>
          <w:sz w:val="22"/>
          <w:szCs w:val="26"/>
          <w:vertAlign w:val="superscript"/>
        </w:rPr>
        <w:footnoteReference w:id="47"/>
      </w:r>
    </w:p>
    <w:p w14:paraId="3460B025" w14:textId="2EF43949" w:rsidR="00E52E6A" w:rsidRPr="00476A60" w:rsidRDefault="00446594" w:rsidP="00E52E6A">
      <w:pPr>
        <w:tabs>
          <w:tab w:val="num" w:pos="720"/>
        </w:tabs>
      </w:pPr>
      <w:r>
        <w:rPr>
          <w:szCs w:val="26"/>
        </w:rPr>
        <w:t>Five years later, i</w:t>
      </w:r>
      <w:r w:rsidR="00E52E6A" w:rsidRPr="00476A60">
        <w:rPr>
          <w:szCs w:val="26"/>
        </w:rPr>
        <w:t>n 2022, Scope conducted a survey of 4,000 disabled people’s ex</w:t>
      </w:r>
      <w:r w:rsidR="00EC228A">
        <w:rPr>
          <w:szCs w:val="26"/>
        </w:rPr>
        <w:t xml:space="preserve">periences of attitudes in </w:t>
      </w:r>
      <w:r w:rsidR="00E52E6A" w:rsidRPr="00476A60">
        <w:rPr>
          <w:szCs w:val="26"/>
        </w:rPr>
        <w:t xml:space="preserve">Britain. </w:t>
      </w:r>
      <w:r>
        <w:rPr>
          <w:szCs w:val="26"/>
        </w:rPr>
        <w:t>This survey found that 36% of disa</w:t>
      </w:r>
      <w:r w:rsidR="00E52E6A" w:rsidRPr="00476A60">
        <w:rPr>
          <w:szCs w:val="26"/>
        </w:rPr>
        <w:t xml:space="preserve">bled </w:t>
      </w:r>
      <w:r w:rsidR="00EC228A">
        <w:rPr>
          <w:szCs w:val="26"/>
        </w:rPr>
        <w:t>people reported frequent experiences of</w:t>
      </w:r>
      <w:r w:rsidR="00E52E6A" w:rsidRPr="00476A60">
        <w:rPr>
          <w:szCs w:val="26"/>
        </w:rPr>
        <w:t xml:space="preserve"> negative attitudes and behavio</w:t>
      </w:r>
      <w:r>
        <w:rPr>
          <w:szCs w:val="26"/>
        </w:rPr>
        <w:t>urs in the past 12 months. T</w:t>
      </w:r>
      <w:r w:rsidR="00E52E6A" w:rsidRPr="00476A60">
        <w:rPr>
          <w:szCs w:val="26"/>
        </w:rPr>
        <w:t>his increased to 50% of disabled people under the age of 55.</w:t>
      </w:r>
      <w:r w:rsidR="00E52E6A" w:rsidRPr="00476A60">
        <w:t xml:space="preserve"> </w:t>
      </w:r>
      <w:r w:rsidRPr="00476A60">
        <w:t>Negative attitudes and behaviours ranged from everyday rudeness and ignorance, to assumptions, judgements and unfounded criticism or accusations of faking</w:t>
      </w:r>
      <w:r>
        <w:t xml:space="preserve">. </w:t>
      </w:r>
      <w:r w:rsidR="00E52E6A" w:rsidRPr="00476A60">
        <w:t xml:space="preserve">In </w:t>
      </w:r>
      <w:r>
        <w:t>the previous 12 months,</w:t>
      </w:r>
      <w:r w:rsidR="00E52E6A" w:rsidRPr="00476A60">
        <w:t xml:space="preserve"> 26% had experienced discr</w:t>
      </w:r>
      <w:r>
        <w:t>imination</w:t>
      </w:r>
      <w:r w:rsidR="00E52E6A" w:rsidRPr="00476A60">
        <w:t>.</w:t>
      </w:r>
      <w:r w:rsidR="00E52E6A" w:rsidRPr="00476A60">
        <w:rPr>
          <w:rFonts w:ascii="Gill Sans" w:hAnsi="Gill Sans"/>
          <w:sz w:val="22"/>
          <w:vertAlign w:val="superscript"/>
        </w:rPr>
        <w:footnoteReference w:id="48"/>
      </w:r>
      <w:r w:rsidR="00E52E6A" w:rsidRPr="00476A60">
        <w:t xml:space="preserve"> </w:t>
      </w:r>
    </w:p>
    <w:p w14:paraId="7C525E32" w14:textId="4379A15E" w:rsidR="00E52E6A" w:rsidRPr="003A12C1" w:rsidRDefault="003A12C1" w:rsidP="003A12C1">
      <w:r>
        <w:rPr>
          <w:szCs w:val="26"/>
        </w:rPr>
        <w:t xml:space="preserve">In Australia, </w:t>
      </w:r>
      <w:r w:rsidR="00446594">
        <w:rPr>
          <w:szCs w:val="26"/>
        </w:rPr>
        <w:t>over a five</w:t>
      </w:r>
      <w:r w:rsidR="00B83E8B">
        <w:rPr>
          <w:szCs w:val="26"/>
        </w:rPr>
        <w:t>-</w:t>
      </w:r>
      <w:r w:rsidR="00446594">
        <w:rPr>
          <w:szCs w:val="26"/>
        </w:rPr>
        <w:t>year period</w:t>
      </w:r>
      <w:r w:rsidR="00B83E8B">
        <w:rPr>
          <w:szCs w:val="26"/>
        </w:rPr>
        <w:t>,</w:t>
      </w:r>
      <w:r w:rsidR="00446594">
        <w:rPr>
          <w:szCs w:val="26"/>
        </w:rPr>
        <w:t xml:space="preserve"> </w:t>
      </w:r>
      <w:r>
        <w:rPr>
          <w:szCs w:val="26"/>
        </w:rPr>
        <w:t>the biggest a</w:t>
      </w:r>
      <w:r w:rsidRPr="00C12704">
        <w:rPr>
          <w:szCs w:val="26"/>
        </w:rPr>
        <w:t xml:space="preserve">rea of </w:t>
      </w:r>
      <w:r w:rsidR="00EC228A">
        <w:rPr>
          <w:szCs w:val="26"/>
        </w:rPr>
        <w:t xml:space="preserve">discrimination </w:t>
      </w:r>
      <w:r w:rsidRPr="00C12704">
        <w:rPr>
          <w:szCs w:val="26"/>
        </w:rPr>
        <w:t>complaint</w:t>
      </w:r>
      <w:r w:rsidR="00446594">
        <w:rPr>
          <w:szCs w:val="26"/>
        </w:rPr>
        <w:t>s</w:t>
      </w:r>
      <w:r w:rsidRPr="00C12704">
        <w:rPr>
          <w:szCs w:val="26"/>
        </w:rPr>
        <w:t xml:space="preserve"> </w:t>
      </w:r>
      <w:r>
        <w:rPr>
          <w:szCs w:val="26"/>
        </w:rPr>
        <w:t>to the Human Rights Commission</w:t>
      </w:r>
      <w:r w:rsidR="00446594">
        <w:rPr>
          <w:szCs w:val="26"/>
        </w:rPr>
        <w:t xml:space="preserve"> </w:t>
      </w:r>
      <w:r w:rsidR="00C82B1F">
        <w:rPr>
          <w:szCs w:val="26"/>
        </w:rPr>
        <w:t xml:space="preserve">were </w:t>
      </w:r>
      <w:r w:rsidRPr="00C12704">
        <w:rPr>
          <w:szCs w:val="26"/>
        </w:rPr>
        <w:t>disability</w:t>
      </w:r>
      <w:r w:rsidR="00EC228A">
        <w:rPr>
          <w:szCs w:val="26"/>
        </w:rPr>
        <w:t>-related</w:t>
      </w:r>
      <w:r w:rsidR="00B83E8B">
        <w:rPr>
          <w:szCs w:val="26"/>
        </w:rPr>
        <w:t>.</w:t>
      </w:r>
      <w:r w:rsidR="00A15968">
        <w:rPr>
          <w:szCs w:val="26"/>
        </w:rPr>
        <w:t xml:space="preserve"> </w:t>
      </w:r>
      <w:r w:rsidR="00C82B1F">
        <w:rPr>
          <w:szCs w:val="26"/>
        </w:rPr>
        <w:t>For example, i</w:t>
      </w:r>
      <w:r w:rsidR="00EC228A">
        <w:rPr>
          <w:szCs w:val="26"/>
        </w:rPr>
        <w:t>n 2017-18, 42% of complaints were disability related</w:t>
      </w:r>
      <w:r w:rsidRPr="00C12704">
        <w:rPr>
          <w:szCs w:val="26"/>
        </w:rPr>
        <w:t>.</w:t>
      </w:r>
      <w:r>
        <w:rPr>
          <w:rStyle w:val="FootnoteReference"/>
          <w:szCs w:val="26"/>
        </w:rPr>
        <w:footnoteReference w:id="49"/>
      </w:r>
      <w:r w:rsidR="00A15968">
        <w:rPr>
          <w:szCs w:val="26"/>
        </w:rPr>
        <w:t> </w:t>
      </w:r>
      <w:r w:rsidR="00F014BA">
        <w:rPr>
          <w:szCs w:val="26"/>
        </w:rPr>
        <w:t xml:space="preserve"> </w:t>
      </w:r>
      <w:r w:rsidR="00E52E6A" w:rsidRPr="00476A60">
        <w:t xml:space="preserve">In 2018, </w:t>
      </w:r>
      <w:r w:rsidR="00E31637">
        <w:t xml:space="preserve">an </w:t>
      </w:r>
      <w:r w:rsidR="00EC228A">
        <w:t xml:space="preserve">Australian national </w:t>
      </w:r>
      <w:r w:rsidR="00E52E6A" w:rsidRPr="00476A60">
        <w:t xml:space="preserve">community survey </w:t>
      </w:r>
      <w:r w:rsidR="00A15968">
        <w:t>on</w:t>
      </w:r>
      <w:r w:rsidR="00E52E6A" w:rsidRPr="00476A60">
        <w:t xml:space="preserve"> attitudes toward disabled people</w:t>
      </w:r>
      <w:r w:rsidR="00E52E6A" w:rsidRPr="00476A60">
        <w:rPr>
          <w:rFonts w:ascii="Gill Sans" w:hAnsi="Gill Sans"/>
          <w:sz w:val="22"/>
          <w:vertAlign w:val="superscript"/>
        </w:rPr>
        <w:footnoteReference w:id="50"/>
      </w:r>
      <w:r w:rsidR="00E52E6A" w:rsidRPr="00476A60">
        <w:rPr>
          <w:rFonts w:ascii="Arial" w:hAnsi="Arial" w:cs="Arial"/>
          <w:color w:val="252525"/>
          <w:shd w:val="clear" w:color="auto" w:fill="F5F5F5"/>
        </w:rPr>
        <w:t xml:space="preserve"> </w:t>
      </w:r>
      <w:r w:rsidR="00B83E8B">
        <w:t>employed d</w:t>
      </w:r>
      <w:r w:rsidR="00E52E6A" w:rsidRPr="00476A60">
        <w:t>isabled people</w:t>
      </w:r>
      <w:r w:rsidR="00A52BE8">
        <w:t xml:space="preserve"> </w:t>
      </w:r>
      <w:r w:rsidR="00E52E6A" w:rsidRPr="00476A60">
        <w:t>as co-researchers</w:t>
      </w:r>
      <w:r w:rsidR="00C82B1F">
        <w:t xml:space="preserve"> to</w:t>
      </w:r>
      <w:r w:rsidR="00A52BE8">
        <w:t xml:space="preserve"> develop the survey</w:t>
      </w:r>
      <w:r w:rsidR="00E31637">
        <w:t>. </w:t>
      </w:r>
      <w:r w:rsidR="00E52E6A" w:rsidRPr="00476A60">
        <w:t xml:space="preserve">Most respondents reported positive </w:t>
      </w:r>
      <w:r w:rsidR="00E31637">
        <w:t xml:space="preserve">personal </w:t>
      </w:r>
      <w:r w:rsidR="00E52E6A" w:rsidRPr="00476A60">
        <w:t>attitudes</w:t>
      </w:r>
      <w:r w:rsidR="00E31637">
        <w:t xml:space="preserve"> but with</w:t>
      </w:r>
      <w:r w:rsidR="00E52E6A" w:rsidRPr="00476A60">
        <w:t xml:space="preserve"> regards mistreatment and social exclusion, 42% agreed that disable</w:t>
      </w:r>
      <w:r w:rsidR="00E31637">
        <w:t xml:space="preserve">d people are ignored, 63% </w:t>
      </w:r>
      <w:r w:rsidR="00A52BE8">
        <w:t xml:space="preserve">agreed </w:t>
      </w:r>
      <w:r w:rsidR="00E52E6A" w:rsidRPr="00476A60">
        <w:t>that people tend to become impatient with disabled peopl</w:t>
      </w:r>
      <w:r w:rsidR="00EC228A">
        <w:t>e; 42% thought work-places accepted</w:t>
      </w:r>
      <w:r w:rsidR="00E31637">
        <w:t xml:space="preserve"> disabled people while</w:t>
      </w:r>
      <w:r w:rsidR="00E52E6A" w:rsidRPr="00476A60">
        <w:t xml:space="preserve"> 63% agreed that disabled people are easier to exploit</w:t>
      </w:r>
      <w:r w:rsidR="00A15968">
        <w:t xml:space="preserve"> than non-disabled people</w:t>
      </w:r>
      <w:r w:rsidR="00E31637">
        <w:t xml:space="preserve">. Finally, </w:t>
      </w:r>
      <w:r w:rsidR="00E52E6A" w:rsidRPr="00476A60">
        <w:t xml:space="preserve">78% </w:t>
      </w:r>
      <w:r w:rsidR="00E52E6A" w:rsidRPr="00476A60">
        <w:rPr>
          <w:szCs w:val="26"/>
        </w:rPr>
        <w:t xml:space="preserve">agreed that people without disability are unsure how to act toward disabled people. </w:t>
      </w:r>
    </w:p>
    <w:p w14:paraId="7EF48D6F" w14:textId="35784404" w:rsidR="00887F41" w:rsidRDefault="00904EFC" w:rsidP="00904EFC">
      <w:r w:rsidRPr="005D3067">
        <w:t>A 2017 systematic review of barriers in attitudes of mainstream health professionals towards people with intellectual disabilities</w:t>
      </w:r>
      <w:r w:rsidRPr="005D3067">
        <w:rPr>
          <w:rFonts w:ascii="Gill Sans" w:hAnsi="Gill Sans"/>
          <w:sz w:val="22"/>
          <w:vertAlign w:val="superscript"/>
        </w:rPr>
        <w:footnoteReference w:id="51"/>
      </w:r>
      <w:r w:rsidRPr="005D3067">
        <w:t xml:space="preserve"> found that mainstream health professionals had either low or high expectations of the capabilities of people with ID. Professionals reported stress, lack of confidence, fear and anxiety</w:t>
      </w:r>
      <w:r w:rsidR="004768BC">
        <w:t xml:space="preserve"> and</w:t>
      </w:r>
      <w:r w:rsidRPr="005D3067">
        <w:t xml:space="preserve"> a tendency to treat people with ID differently. Stigmatising attitudes were associated with lack of contact with people with ID and lack of knowledge about ID. Contact and collaboration with experts-by-experience in the education programs of health professionals can facilitate inclusion in mainstream healthcare services.</w:t>
      </w:r>
      <w:r w:rsidRPr="005D3067">
        <w:rPr>
          <w:rFonts w:ascii="Gill Sans" w:hAnsi="Gill Sans"/>
          <w:sz w:val="22"/>
          <w:vertAlign w:val="superscript"/>
        </w:rPr>
        <w:footnoteReference w:id="52"/>
      </w:r>
      <w:r w:rsidRPr="005D3067">
        <w:t xml:space="preserve"> Healthcare professionals reported positive attitudes towards providing mainstream healthcare for people with ID, </w:t>
      </w:r>
      <w:r w:rsidR="00887F41">
        <w:t xml:space="preserve">and </w:t>
      </w:r>
      <w:r w:rsidRPr="005D3067">
        <w:t xml:space="preserve">primary care and hospital staff considered </w:t>
      </w:r>
      <w:r w:rsidR="009F1869">
        <w:t xml:space="preserve">that </w:t>
      </w:r>
      <w:r w:rsidRPr="005D3067">
        <w:t>people with ID hav</w:t>
      </w:r>
      <w:r w:rsidR="009F1869">
        <w:t>e</w:t>
      </w:r>
      <w:r w:rsidRPr="005D3067">
        <w:t xml:space="preserve"> the same rights for health services as others. Despite such positive attitudes, research describes</w:t>
      </w:r>
      <w:r w:rsidR="00887F41">
        <w:t xml:space="preserve"> </w:t>
      </w:r>
      <w:r w:rsidRPr="005D3067">
        <w:t xml:space="preserve">the tendency of clinicians to overlook symptoms of mental health problems </w:t>
      </w:r>
      <w:r w:rsidR="00171948">
        <w:t xml:space="preserve">in persons with ID, </w:t>
      </w:r>
      <w:r w:rsidRPr="005D3067">
        <w:t xml:space="preserve">attribute them to being part of ‘having an intellectual disability’ (diagnostic overshadowing). </w:t>
      </w:r>
      <w:r w:rsidR="009F1869">
        <w:t>P</w:t>
      </w:r>
      <w:r w:rsidRPr="005D3067">
        <w:t>eople with ID and their carers have reported perceived discrimination and negative comments as a significant experience in general hospitals.</w:t>
      </w:r>
      <w:r w:rsidRPr="005D3067">
        <w:rPr>
          <w:rFonts w:ascii="Gill Sans" w:hAnsi="Gill Sans"/>
          <w:sz w:val="22"/>
          <w:vertAlign w:val="superscript"/>
        </w:rPr>
        <w:footnoteReference w:id="53"/>
      </w:r>
      <w:r w:rsidRPr="005D3067">
        <w:t xml:space="preserve"> </w:t>
      </w:r>
    </w:p>
    <w:p w14:paraId="06E2E379" w14:textId="13A891F0" w:rsidR="00904EFC" w:rsidRDefault="00904EFC" w:rsidP="00904EFC">
      <w:r w:rsidRPr="005D3067">
        <w:t xml:space="preserve">Some research </w:t>
      </w:r>
      <w:r w:rsidR="00513442">
        <w:t xml:space="preserve">in 2021 </w:t>
      </w:r>
      <w:r w:rsidRPr="005D3067">
        <w:t>found evidence of stigmatisati</w:t>
      </w:r>
      <w:r w:rsidR="00513442">
        <w:t xml:space="preserve">on by carers/staff </w:t>
      </w:r>
      <w:r w:rsidRPr="005D3067">
        <w:t>of people with intellectual disabilities who have high support needs.</w:t>
      </w:r>
      <w:r w:rsidRPr="005D3067">
        <w:rPr>
          <w:rFonts w:ascii="Gill Sans" w:hAnsi="Gill Sans"/>
          <w:sz w:val="22"/>
          <w:vertAlign w:val="superscript"/>
        </w:rPr>
        <w:footnoteReference w:id="54"/>
      </w:r>
      <w:r w:rsidRPr="005D3067">
        <w:t> Agreement of staff with certain rights does not necessarily lead to staff acting in accordance with such rights. Staff reported scepticism regarding community inclusion for people with high support needs, and tended to be ambivalent about the protection-or-empowerment balance when support</w:t>
      </w:r>
      <w:r w:rsidR="00140C93">
        <w:t>ing</w:t>
      </w:r>
      <w:r w:rsidRPr="005D3067">
        <w:t xml:space="preserve"> people with ID. </w:t>
      </w:r>
    </w:p>
    <w:p w14:paraId="3076D897" w14:textId="38A0A4DE" w:rsidR="00314726" w:rsidRPr="0016533B" w:rsidRDefault="00171948" w:rsidP="0016533B">
      <w:r>
        <w:t xml:space="preserve">Freer (2021) conducted </w:t>
      </w:r>
      <w:r w:rsidRPr="00171948">
        <w:t xml:space="preserve">a systematic literature review (SLR) of </w:t>
      </w:r>
      <w:r w:rsidR="009F1869">
        <w:t>research</w:t>
      </w:r>
      <w:r w:rsidR="00587776">
        <w:t xml:space="preserve"> (2012-2019) </w:t>
      </w:r>
      <w:r w:rsidRPr="00171948">
        <w:t>on studen</w:t>
      </w:r>
      <w:r w:rsidR="005C7205">
        <w:t>ts’ attitudes to</w:t>
      </w:r>
      <w:r>
        <w:t xml:space="preserve"> disability.</w:t>
      </w:r>
      <w:r w:rsidR="00756923">
        <w:rPr>
          <w:rStyle w:val="FootnoteReference"/>
        </w:rPr>
        <w:footnoteReference w:id="55"/>
      </w:r>
      <w:r w:rsidR="000E6077">
        <w:t xml:space="preserve"> </w:t>
      </w:r>
      <w:r w:rsidR="00587776">
        <w:t>C</w:t>
      </w:r>
      <w:r w:rsidR="009538D9" w:rsidRPr="009538D9">
        <w:t>ontact</w:t>
      </w:r>
      <w:r w:rsidR="00140C93">
        <w:t xml:space="preserve"> with disabled people</w:t>
      </w:r>
      <w:r w:rsidR="009538D9" w:rsidRPr="009538D9">
        <w:t xml:space="preserve"> was associated with positive attitudes toward disability</w:t>
      </w:r>
      <w:r w:rsidR="00CC05D4">
        <w:t>.</w:t>
      </w:r>
      <w:r w:rsidR="000E6077">
        <w:t xml:space="preserve"> </w:t>
      </w:r>
      <w:r w:rsidR="00CC05D4">
        <w:t>P</w:t>
      </w:r>
      <w:r w:rsidR="00F00179">
        <w:t xml:space="preserve">ersonal factors </w:t>
      </w:r>
      <w:r w:rsidR="000E6077">
        <w:t xml:space="preserve">influenced </w:t>
      </w:r>
      <w:r w:rsidR="00F00179">
        <w:t xml:space="preserve">attitudes. </w:t>
      </w:r>
      <w:r w:rsidR="00666438">
        <w:t>R</w:t>
      </w:r>
      <w:r w:rsidR="005C7205">
        <w:t>educed anxiety about contact</w:t>
      </w:r>
      <w:r w:rsidR="009F1869">
        <w:t xml:space="preserve"> with disabled people and </w:t>
      </w:r>
      <w:r w:rsidR="00666438" w:rsidRPr="00666438">
        <w:t>high</w:t>
      </w:r>
      <w:r w:rsidR="009F1869">
        <w:t>er</w:t>
      </w:r>
      <w:r w:rsidR="00666438" w:rsidRPr="00666438">
        <w:t xml:space="preserve"> scores on an empathy measure</w:t>
      </w:r>
      <w:r w:rsidR="009F1869">
        <w:t>,</w:t>
      </w:r>
      <w:r w:rsidR="00666438" w:rsidRPr="00666438">
        <w:t xml:space="preserve"> were associated wit</w:t>
      </w:r>
      <w:r w:rsidR="005C7205">
        <w:t>h positive attitudes to</w:t>
      </w:r>
      <w:r w:rsidR="00666438" w:rsidRPr="00666438">
        <w:t xml:space="preserve"> disability.</w:t>
      </w:r>
      <w:r w:rsidR="00666438">
        <w:t xml:space="preserve"> </w:t>
      </w:r>
      <w:r w:rsidR="00F00179">
        <w:t>S</w:t>
      </w:r>
      <w:r w:rsidR="00F00179" w:rsidRPr="00F00179">
        <w:t xml:space="preserve">elf-esteem was a predictor of better attitudes toward </w:t>
      </w:r>
      <w:r w:rsidR="00F00179">
        <w:t xml:space="preserve">some types of disability. </w:t>
      </w:r>
      <w:r w:rsidR="00666438">
        <w:t>S</w:t>
      </w:r>
      <w:r w:rsidR="0016533B">
        <w:t>tudents’ self-efficacy regarding</w:t>
      </w:r>
      <w:r w:rsidR="00666438" w:rsidRPr="00F00179">
        <w:t xml:space="preserve"> </w:t>
      </w:r>
      <w:r w:rsidR="0016533B">
        <w:t xml:space="preserve">their </w:t>
      </w:r>
      <w:r w:rsidR="00666438" w:rsidRPr="00F00179">
        <w:t>interperson</w:t>
      </w:r>
      <w:r w:rsidR="005C7205">
        <w:t>al skills with students with</w:t>
      </w:r>
      <w:r w:rsidR="00666438" w:rsidRPr="00F00179">
        <w:t xml:space="preserve"> special education needs </w:t>
      </w:r>
      <w:r w:rsidR="005C7205">
        <w:t xml:space="preserve">led to positive attitudes. </w:t>
      </w:r>
      <w:r w:rsidR="0016533B">
        <w:t>Generally</w:t>
      </w:r>
      <w:r w:rsidR="00140C93">
        <w:t xml:space="preserve">, </w:t>
      </w:r>
      <w:r w:rsidR="0016533B">
        <w:t>f</w:t>
      </w:r>
      <w:r w:rsidRPr="00171948">
        <w:t xml:space="preserve">emale students </w:t>
      </w:r>
      <w:r w:rsidR="00CC05D4">
        <w:t xml:space="preserve">were </w:t>
      </w:r>
      <w:r w:rsidRPr="00171948">
        <w:t>more positive toward</w:t>
      </w:r>
      <w:r w:rsidR="00CC05D4">
        <w:t>s</w:t>
      </w:r>
      <w:r w:rsidRPr="00171948">
        <w:t xml:space="preserve"> </w:t>
      </w:r>
      <w:r w:rsidR="00CC05D4">
        <w:t>disabled persons</w:t>
      </w:r>
      <w:r w:rsidRPr="00171948">
        <w:t xml:space="preserve"> compared to their male counterparts</w:t>
      </w:r>
      <w:r w:rsidR="00CC05D4">
        <w:t>. However,</w:t>
      </w:r>
      <w:r w:rsidR="005C7205">
        <w:t xml:space="preserve"> a </w:t>
      </w:r>
      <w:r w:rsidR="0016533B">
        <w:t xml:space="preserve">few </w:t>
      </w:r>
      <w:r w:rsidRPr="00171948">
        <w:t>studies found no difference based on gender</w:t>
      </w:r>
      <w:r w:rsidR="0016533B">
        <w:t xml:space="preserve"> and one</w:t>
      </w:r>
      <w:r w:rsidR="00B6411A">
        <w:t xml:space="preserve"> study</w:t>
      </w:r>
      <w:r w:rsidR="00756923">
        <w:t xml:space="preserve"> </w:t>
      </w:r>
      <w:r w:rsidR="00756923" w:rsidRPr="00756923">
        <w:t xml:space="preserve">found that males had more positive attitudes </w:t>
      </w:r>
      <w:r w:rsidR="00CC05D4">
        <w:t xml:space="preserve">than females. </w:t>
      </w:r>
      <w:r w:rsidR="00756923" w:rsidRPr="00756923">
        <w:t xml:space="preserve">Some </w:t>
      </w:r>
      <w:r w:rsidR="00756923">
        <w:t xml:space="preserve">studies found that </w:t>
      </w:r>
      <w:r w:rsidR="00CC05D4">
        <w:t xml:space="preserve">other variables mediated </w:t>
      </w:r>
      <w:r w:rsidR="00756923">
        <w:t xml:space="preserve">the </w:t>
      </w:r>
      <w:r w:rsidR="00756923" w:rsidRPr="00756923">
        <w:t>effect of gender</w:t>
      </w:r>
      <w:r w:rsidR="00CC05D4">
        <w:t xml:space="preserve">. </w:t>
      </w:r>
      <w:r w:rsidR="00756923" w:rsidRPr="00756923">
        <w:t xml:space="preserve">For example, </w:t>
      </w:r>
      <w:r w:rsidR="0016533B">
        <w:t xml:space="preserve">a </w:t>
      </w:r>
      <w:r w:rsidR="00756923">
        <w:t xml:space="preserve">study </w:t>
      </w:r>
      <w:r w:rsidR="00756923" w:rsidRPr="00756923">
        <w:t xml:space="preserve">found that females </w:t>
      </w:r>
      <w:r w:rsidR="00CC05D4">
        <w:t xml:space="preserve">attitudes were </w:t>
      </w:r>
      <w:r w:rsidR="00756923" w:rsidRPr="00756923">
        <w:t xml:space="preserve">more positive attitude when </w:t>
      </w:r>
      <w:r w:rsidR="004D14DA">
        <w:t xml:space="preserve">disabled </w:t>
      </w:r>
      <w:r w:rsidR="00756923" w:rsidRPr="00756923">
        <w:t>students were not educated i</w:t>
      </w:r>
      <w:r w:rsidR="0016533B">
        <w:t>n a general education class</w:t>
      </w:r>
      <w:r w:rsidR="00756923">
        <w:t xml:space="preserve"> whereas</w:t>
      </w:r>
      <w:r w:rsidR="00756923" w:rsidRPr="00756923">
        <w:t xml:space="preserve"> </w:t>
      </w:r>
      <w:r w:rsidR="0016533B">
        <w:t>the converse was true for males</w:t>
      </w:r>
      <w:r w:rsidR="00756923" w:rsidRPr="00756923">
        <w:t xml:space="preserve">. </w:t>
      </w:r>
      <w:r w:rsidR="0016533B">
        <w:t xml:space="preserve">They way </w:t>
      </w:r>
      <w:r w:rsidR="0016533B" w:rsidRPr="00756923">
        <w:t>girls and boys are socialised vary from one country to the next</w:t>
      </w:r>
      <w:r w:rsidR="007A365D">
        <w:t xml:space="preserve"> and in some countries, schools are single sex schools. Such contextual factors</w:t>
      </w:r>
      <w:r w:rsidR="000D3C72">
        <w:t xml:space="preserve"> </w:t>
      </w:r>
      <w:r w:rsidR="007A365D">
        <w:t xml:space="preserve">influence findings. </w:t>
      </w:r>
      <w:r w:rsidR="0016533B" w:rsidRPr="0016533B">
        <w:t xml:space="preserve">Overall, </w:t>
      </w:r>
      <w:r w:rsidR="007A365D">
        <w:t xml:space="preserve">however, </w:t>
      </w:r>
      <w:r w:rsidR="009369AC">
        <w:t xml:space="preserve">the attitudes of </w:t>
      </w:r>
      <w:r w:rsidR="0016533B" w:rsidRPr="0016533B">
        <w:t>female students</w:t>
      </w:r>
      <w:r w:rsidR="001E5DF6">
        <w:t xml:space="preserve"> are </w:t>
      </w:r>
      <w:r w:rsidR="0016533B" w:rsidRPr="0016533B">
        <w:t>more positive</w:t>
      </w:r>
      <w:r w:rsidR="001E5DF6">
        <w:t>.</w:t>
      </w:r>
      <w:r w:rsidR="0016533B" w:rsidRPr="0016533B">
        <w:t xml:space="preserve"> A few studies examined the impact of teachers and parents on children’s attitudes. They found that students’ </w:t>
      </w:r>
      <w:r w:rsidR="001E5DF6">
        <w:t xml:space="preserve">perception of their </w:t>
      </w:r>
      <w:r w:rsidR="001E5DF6" w:rsidRPr="001E5DF6">
        <w:t>teacher’s behaviours toward student</w:t>
      </w:r>
      <w:r w:rsidR="001E5DF6">
        <w:t xml:space="preserve">s with special education needs influenced their </w:t>
      </w:r>
      <w:r w:rsidR="009369AC">
        <w:t xml:space="preserve">own </w:t>
      </w:r>
      <w:r w:rsidR="001E5DF6">
        <w:t xml:space="preserve">attitudes. </w:t>
      </w:r>
      <w:r w:rsidR="00314726">
        <w:t>C</w:t>
      </w:r>
      <w:r w:rsidR="00314726" w:rsidRPr="00314726">
        <w:t>ulture affect</w:t>
      </w:r>
      <w:r w:rsidR="0017102E">
        <w:t>s</w:t>
      </w:r>
      <w:r w:rsidR="00314726" w:rsidRPr="00314726">
        <w:t xml:space="preserve"> social acceptance towar</w:t>
      </w:r>
      <w:r w:rsidR="00314726">
        <w:t>d individuals with disability.</w:t>
      </w:r>
      <w:r w:rsidR="00314726">
        <w:rPr>
          <w:rStyle w:val="FootnoteReference"/>
        </w:rPr>
        <w:footnoteReference w:id="56"/>
      </w:r>
      <w:r w:rsidR="00314726" w:rsidRPr="00314726">
        <w:t xml:space="preserve"> </w:t>
      </w:r>
      <w:r w:rsidR="00314726">
        <w:t>A</w:t>
      </w:r>
      <w:r w:rsidR="00314726" w:rsidRPr="00314726">
        <w:t xml:space="preserve">wareness of intellectual disability </w:t>
      </w:r>
      <w:r w:rsidR="00314726">
        <w:t xml:space="preserve">and </w:t>
      </w:r>
      <w:r w:rsidR="00314726" w:rsidRPr="00314726">
        <w:t>causal and intervention beliefs determine the degree of social distance. </w:t>
      </w:r>
      <w:r w:rsidR="00314726">
        <w:t xml:space="preserve">This gives rise to different levels of social acceptance in different cultures. </w:t>
      </w:r>
      <w:r w:rsidR="00314726" w:rsidRPr="00314726">
        <w:t>Age, gender</w:t>
      </w:r>
      <w:r w:rsidR="00314726">
        <w:t>,</w:t>
      </w:r>
      <w:r w:rsidR="0017102E">
        <w:t xml:space="preserve"> knowledge about</w:t>
      </w:r>
      <w:r w:rsidR="00314726" w:rsidRPr="00314726">
        <w:t xml:space="preserve"> and contact are also significant for social acceptance</w:t>
      </w:r>
      <w:r w:rsidR="0017102E">
        <w:t>.</w:t>
      </w:r>
      <w:r w:rsidR="00314726" w:rsidRPr="00314726">
        <w:t xml:space="preserve"> </w:t>
      </w:r>
      <w:r w:rsidR="0017102E">
        <w:t>O</w:t>
      </w:r>
      <w:r w:rsidR="00314726" w:rsidRPr="00314726">
        <w:t>lder and less educated individuals expressed greater social distance toward individuals with intellectual disabilities. Having a family member with a disability increase</w:t>
      </w:r>
      <w:r w:rsidR="0017102E">
        <w:t>d</w:t>
      </w:r>
      <w:r w:rsidR="00314726" w:rsidRPr="00314726">
        <w:t xml:space="preserve"> level</w:t>
      </w:r>
      <w:r w:rsidR="0017102E">
        <w:t>s</w:t>
      </w:r>
      <w:r w:rsidR="00314726" w:rsidRPr="00314726">
        <w:t xml:space="preserve"> of social acceptance.</w:t>
      </w:r>
      <w:r w:rsidR="0017102E">
        <w:t xml:space="preserve"> A</w:t>
      </w:r>
      <w:r w:rsidR="0017102E" w:rsidRPr="0017102E">
        <w:t xml:space="preserve"> meta-analysis</w:t>
      </w:r>
      <w:r w:rsidR="0017102E">
        <w:t xml:space="preserve"> </w:t>
      </w:r>
      <w:r w:rsidR="00915EB6">
        <w:t xml:space="preserve">found </w:t>
      </w:r>
      <w:r w:rsidR="0017102E" w:rsidRPr="0017102E">
        <w:t xml:space="preserve">that age, education level and prior contact with an individual with disability predict </w:t>
      </w:r>
      <w:r w:rsidR="009369AC">
        <w:t xml:space="preserve">positive </w:t>
      </w:r>
      <w:r w:rsidR="0017102E" w:rsidRPr="0017102E">
        <w:t>attitudes, while the effect of gender is inconsistent.</w:t>
      </w:r>
      <w:r w:rsidR="00525ED6">
        <w:rPr>
          <w:rStyle w:val="FootnoteReference"/>
        </w:rPr>
        <w:footnoteReference w:id="57"/>
      </w:r>
    </w:p>
    <w:p w14:paraId="4FE94D26" w14:textId="7533EBC5" w:rsidR="005C7205" w:rsidRDefault="00DE31FF" w:rsidP="00CB4B2B">
      <w:pPr>
        <w:rPr>
          <w:szCs w:val="26"/>
        </w:rPr>
      </w:pPr>
      <w:r>
        <w:rPr>
          <w:szCs w:val="26"/>
        </w:rPr>
        <w:t>A systematic review</w:t>
      </w:r>
      <w:r w:rsidR="009369AC">
        <w:rPr>
          <w:szCs w:val="26"/>
        </w:rPr>
        <w:t>,</w:t>
      </w:r>
      <w:r>
        <w:rPr>
          <w:szCs w:val="26"/>
        </w:rPr>
        <w:t xml:space="preserve"> </w:t>
      </w:r>
      <w:r w:rsidR="009369AC">
        <w:rPr>
          <w:szCs w:val="26"/>
        </w:rPr>
        <w:t>where 16 research studies met the inclusion criteria,</w:t>
      </w:r>
      <w:r w:rsidR="009369AC" w:rsidRPr="00DE31FF">
        <w:rPr>
          <w:szCs w:val="26"/>
        </w:rPr>
        <w:t xml:space="preserve"> </w:t>
      </w:r>
      <w:r w:rsidRPr="00DE31FF">
        <w:rPr>
          <w:szCs w:val="26"/>
        </w:rPr>
        <w:t>examine</w:t>
      </w:r>
      <w:r>
        <w:rPr>
          <w:szCs w:val="26"/>
        </w:rPr>
        <w:t>d</w:t>
      </w:r>
      <w:r w:rsidRPr="00DE31FF">
        <w:rPr>
          <w:szCs w:val="26"/>
        </w:rPr>
        <w:t xml:space="preserve"> the association between stigma and stereotype threat and psychological and academic outcomes in individuals with </w:t>
      </w:r>
      <w:r>
        <w:rPr>
          <w:szCs w:val="26"/>
        </w:rPr>
        <w:t>Specific Learning disabilities</w:t>
      </w:r>
      <w:r w:rsidR="008E3020">
        <w:rPr>
          <w:szCs w:val="26"/>
        </w:rPr>
        <w:t xml:space="preserve"> (SLDs)</w:t>
      </w:r>
      <w:r>
        <w:rPr>
          <w:szCs w:val="26"/>
        </w:rPr>
        <w:t>.</w:t>
      </w:r>
      <w:r>
        <w:rPr>
          <w:rStyle w:val="FootnoteReference"/>
          <w:szCs w:val="26"/>
        </w:rPr>
        <w:footnoteReference w:id="58"/>
      </w:r>
      <w:r>
        <w:rPr>
          <w:szCs w:val="26"/>
        </w:rPr>
        <w:t xml:space="preserve"> </w:t>
      </w:r>
      <w:r w:rsidR="008E3020" w:rsidRPr="008E3020">
        <w:rPr>
          <w:szCs w:val="26"/>
        </w:rPr>
        <w:t>Results s</w:t>
      </w:r>
      <w:r w:rsidR="00622349">
        <w:rPr>
          <w:szCs w:val="26"/>
        </w:rPr>
        <w:t>howed that stigma has a</w:t>
      </w:r>
      <w:r w:rsidR="007A365D">
        <w:rPr>
          <w:szCs w:val="26"/>
        </w:rPr>
        <w:t xml:space="preserve"> </w:t>
      </w:r>
      <w:r w:rsidR="008E3020" w:rsidRPr="008E3020">
        <w:rPr>
          <w:szCs w:val="26"/>
        </w:rPr>
        <w:t>significant effect on self-esteem in individuals with SLDs and influence</w:t>
      </w:r>
      <w:r w:rsidR="009369AC">
        <w:rPr>
          <w:szCs w:val="26"/>
        </w:rPr>
        <w:t>d</w:t>
      </w:r>
      <w:r w:rsidR="008E3020" w:rsidRPr="008E3020">
        <w:rPr>
          <w:szCs w:val="26"/>
        </w:rPr>
        <w:t xml:space="preserve"> oth</w:t>
      </w:r>
      <w:r w:rsidR="00622349">
        <w:rPr>
          <w:szCs w:val="26"/>
        </w:rPr>
        <w:t xml:space="preserve">er psychological </w:t>
      </w:r>
      <w:r w:rsidR="008E3020" w:rsidRPr="008E3020">
        <w:rPr>
          <w:szCs w:val="26"/>
        </w:rPr>
        <w:t xml:space="preserve">outcomes. </w:t>
      </w:r>
      <w:r w:rsidR="007A365D">
        <w:rPr>
          <w:szCs w:val="26"/>
        </w:rPr>
        <w:t>However, t</w:t>
      </w:r>
      <w:r w:rsidR="00622349">
        <w:rPr>
          <w:szCs w:val="26"/>
        </w:rPr>
        <w:t xml:space="preserve">his </w:t>
      </w:r>
      <w:r w:rsidR="009369AC">
        <w:rPr>
          <w:szCs w:val="26"/>
        </w:rPr>
        <w:t xml:space="preserve">study and </w:t>
      </w:r>
      <w:r w:rsidR="00622349">
        <w:rPr>
          <w:szCs w:val="26"/>
        </w:rPr>
        <w:t xml:space="preserve">other </w:t>
      </w:r>
      <w:r w:rsidR="008E3020">
        <w:rPr>
          <w:szCs w:val="26"/>
        </w:rPr>
        <w:t xml:space="preserve">systematic reviews </w:t>
      </w:r>
      <w:r w:rsidR="00770D88">
        <w:rPr>
          <w:szCs w:val="26"/>
        </w:rPr>
        <w:t xml:space="preserve">found </w:t>
      </w:r>
      <w:r w:rsidR="007A365D">
        <w:rPr>
          <w:szCs w:val="26"/>
        </w:rPr>
        <w:t>poor quality research design</w:t>
      </w:r>
      <w:r w:rsidR="009369AC">
        <w:rPr>
          <w:szCs w:val="26"/>
        </w:rPr>
        <w:t xml:space="preserve">. </w:t>
      </w:r>
      <w:r w:rsidR="00D617D3">
        <w:rPr>
          <w:szCs w:val="26"/>
        </w:rPr>
        <w:t>T</w:t>
      </w:r>
      <w:r w:rsidR="009369AC">
        <w:rPr>
          <w:szCs w:val="26"/>
        </w:rPr>
        <w:t xml:space="preserve">here is a </w:t>
      </w:r>
      <w:r w:rsidR="00BF465A">
        <w:rPr>
          <w:szCs w:val="26"/>
        </w:rPr>
        <w:t>need for intersectional approaches to interrogat</w:t>
      </w:r>
      <w:r w:rsidR="009369AC">
        <w:rPr>
          <w:szCs w:val="26"/>
        </w:rPr>
        <w:t>e</w:t>
      </w:r>
      <w:r w:rsidR="00BF465A">
        <w:rPr>
          <w:szCs w:val="26"/>
        </w:rPr>
        <w:t xml:space="preserve"> co-occurring soc</w:t>
      </w:r>
      <w:r w:rsidR="00770D88">
        <w:rPr>
          <w:szCs w:val="26"/>
        </w:rPr>
        <w:t>ial identities and stigma;</w:t>
      </w:r>
      <w:r w:rsidR="00BF465A">
        <w:rPr>
          <w:rStyle w:val="FootnoteReference"/>
          <w:szCs w:val="26"/>
        </w:rPr>
        <w:footnoteReference w:id="59"/>
      </w:r>
      <w:r w:rsidR="00BF465A">
        <w:rPr>
          <w:szCs w:val="26"/>
        </w:rPr>
        <w:t xml:space="preserve"> the </w:t>
      </w:r>
      <w:r w:rsidR="00770D88">
        <w:rPr>
          <w:szCs w:val="26"/>
        </w:rPr>
        <w:t xml:space="preserve">need for </w:t>
      </w:r>
      <w:r w:rsidR="00BF465A" w:rsidRPr="00BF465A">
        <w:rPr>
          <w:szCs w:val="26"/>
        </w:rPr>
        <w:t xml:space="preserve">consistent use of contextually relevant </w:t>
      </w:r>
      <w:r w:rsidR="00BF465A">
        <w:rPr>
          <w:szCs w:val="26"/>
        </w:rPr>
        <w:t xml:space="preserve">and validated </w:t>
      </w:r>
      <w:r w:rsidR="00BF465A" w:rsidRPr="00BF465A">
        <w:rPr>
          <w:szCs w:val="26"/>
        </w:rPr>
        <w:t>scales to measure stigma</w:t>
      </w:r>
      <w:r w:rsidR="00770D88">
        <w:rPr>
          <w:szCs w:val="26"/>
        </w:rPr>
        <w:t>;</w:t>
      </w:r>
      <w:r w:rsidR="00622349">
        <w:rPr>
          <w:szCs w:val="26"/>
        </w:rPr>
        <w:t xml:space="preserve"> the </w:t>
      </w:r>
      <w:r w:rsidR="00D617D3">
        <w:rPr>
          <w:szCs w:val="26"/>
        </w:rPr>
        <w:t xml:space="preserve">need to develop </w:t>
      </w:r>
      <w:r w:rsidR="00622349">
        <w:rPr>
          <w:szCs w:val="26"/>
        </w:rPr>
        <w:t>effective strategies to reduce stigma for children with disabilities.</w:t>
      </w:r>
      <w:r w:rsidR="00622349">
        <w:rPr>
          <w:rStyle w:val="FootnoteReference"/>
          <w:szCs w:val="26"/>
        </w:rPr>
        <w:footnoteReference w:id="60"/>
      </w:r>
    </w:p>
    <w:p w14:paraId="44419C9F" w14:textId="23298E43" w:rsidR="00622349" w:rsidRDefault="004B3949" w:rsidP="00CB4B2B">
      <w:pPr>
        <w:rPr>
          <w:szCs w:val="26"/>
        </w:rPr>
      </w:pPr>
      <w:r>
        <w:rPr>
          <w:szCs w:val="26"/>
        </w:rPr>
        <w:t>A 2012 systematic review of research</w:t>
      </w:r>
      <w:r w:rsidR="00770D88">
        <w:rPr>
          <w:szCs w:val="26"/>
        </w:rPr>
        <w:t xml:space="preserve"> between 1990 and 2012 </w:t>
      </w:r>
      <w:r>
        <w:rPr>
          <w:szCs w:val="26"/>
        </w:rPr>
        <w:t>on self-stigma</w:t>
      </w:r>
      <w:r w:rsidRPr="004B3949">
        <w:rPr>
          <w:szCs w:val="26"/>
        </w:rPr>
        <w:t xml:space="preserve"> in people with intellectual disability</w:t>
      </w:r>
      <w:r w:rsidR="00770D88">
        <w:rPr>
          <w:szCs w:val="26"/>
        </w:rPr>
        <w:t xml:space="preserve"> </w:t>
      </w:r>
      <w:r>
        <w:rPr>
          <w:szCs w:val="26"/>
        </w:rPr>
        <w:t>included 37 papers on self-</w:t>
      </w:r>
      <w:r w:rsidR="00622349" w:rsidRPr="00622349">
        <w:rPr>
          <w:szCs w:val="26"/>
        </w:rPr>
        <w:t>stigma</w:t>
      </w:r>
      <w:r>
        <w:rPr>
          <w:szCs w:val="26"/>
        </w:rPr>
        <w:t xml:space="preserve"> (17) and affiliate or courtesy stigma</w:t>
      </w:r>
      <w:r w:rsidR="009E73FD">
        <w:rPr>
          <w:rStyle w:val="FootnoteReference"/>
          <w:szCs w:val="26"/>
        </w:rPr>
        <w:footnoteReference w:id="61"/>
      </w:r>
      <w:r>
        <w:rPr>
          <w:szCs w:val="26"/>
        </w:rPr>
        <w:t xml:space="preserve"> (</w:t>
      </w:r>
      <w:r w:rsidR="00622349" w:rsidRPr="00622349">
        <w:rPr>
          <w:szCs w:val="26"/>
        </w:rPr>
        <w:t>20</w:t>
      </w:r>
      <w:r>
        <w:rPr>
          <w:szCs w:val="26"/>
        </w:rPr>
        <w:t xml:space="preserve">). </w:t>
      </w:r>
      <w:r w:rsidR="00770D88">
        <w:rPr>
          <w:szCs w:val="26"/>
        </w:rPr>
        <w:t xml:space="preserve">The review found that </w:t>
      </w:r>
      <w:r w:rsidR="00622349" w:rsidRPr="00622349">
        <w:rPr>
          <w:szCs w:val="26"/>
        </w:rPr>
        <w:t>individuals and family carers experience stigma that may negative</w:t>
      </w:r>
      <w:r w:rsidR="00770D88">
        <w:rPr>
          <w:szCs w:val="26"/>
        </w:rPr>
        <w:t>ly</w:t>
      </w:r>
      <w:r w:rsidR="00622349" w:rsidRPr="00622349">
        <w:rPr>
          <w:szCs w:val="26"/>
        </w:rPr>
        <w:t xml:space="preserve"> </w:t>
      </w:r>
      <w:r w:rsidR="00D617D3" w:rsidRPr="00622349">
        <w:rPr>
          <w:szCs w:val="26"/>
        </w:rPr>
        <w:t>influence</w:t>
      </w:r>
      <w:r w:rsidR="00D617D3">
        <w:rPr>
          <w:szCs w:val="26"/>
        </w:rPr>
        <w:t xml:space="preserve"> </w:t>
      </w:r>
      <w:r w:rsidR="00770D88">
        <w:rPr>
          <w:szCs w:val="26"/>
        </w:rPr>
        <w:t xml:space="preserve">their </w:t>
      </w:r>
      <w:r w:rsidR="00622349" w:rsidRPr="00622349">
        <w:rPr>
          <w:szCs w:val="26"/>
        </w:rPr>
        <w:t xml:space="preserve">psychological wellbeing. </w:t>
      </w:r>
      <w:r w:rsidR="00770D88">
        <w:rPr>
          <w:szCs w:val="26"/>
        </w:rPr>
        <w:t>Awareness of stigma</w:t>
      </w:r>
      <w:r w:rsidR="00D617D3">
        <w:rPr>
          <w:szCs w:val="26"/>
        </w:rPr>
        <w:t xml:space="preserve"> </w:t>
      </w:r>
      <w:r w:rsidR="0038470B">
        <w:rPr>
          <w:szCs w:val="26"/>
        </w:rPr>
        <w:t xml:space="preserve">depends on </w:t>
      </w:r>
      <w:r w:rsidRPr="00622349">
        <w:rPr>
          <w:szCs w:val="26"/>
        </w:rPr>
        <w:t xml:space="preserve">the extent to which </w:t>
      </w:r>
      <w:r w:rsidR="00770D88">
        <w:rPr>
          <w:szCs w:val="26"/>
        </w:rPr>
        <w:t>persons</w:t>
      </w:r>
      <w:r w:rsidR="00770D88" w:rsidRPr="00622349">
        <w:rPr>
          <w:szCs w:val="26"/>
        </w:rPr>
        <w:t xml:space="preserve"> with intellectual disability </w:t>
      </w:r>
      <w:r w:rsidRPr="00622349">
        <w:rPr>
          <w:szCs w:val="26"/>
        </w:rPr>
        <w:t>accept and internalise the label of intellectual disability.</w:t>
      </w:r>
      <w:r w:rsidR="00770D88">
        <w:rPr>
          <w:rStyle w:val="FootnoteReference"/>
          <w:szCs w:val="26"/>
        </w:rPr>
        <w:footnoteReference w:id="62"/>
      </w:r>
      <w:r w:rsidR="00770D88">
        <w:rPr>
          <w:szCs w:val="26"/>
        </w:rPr>
        <w:t xml:space="preserve"> </w:t>
      </w:r>
      <w:r w:rsidRPr="00622349">
        <w:rPr>
          <w:szCs w:val="26"/>
        </w:rPr>
        <w:t xml:space="preserve"> </w:t>
      </w:r>
    </w:p>
    <w:p w14:paraId="2422563B" w14:textId="118336F9" w:rsidR="00CB4B2B" w:rsidRDefault="00487307" w:rsidP="00CB4B2B">
      <w:pPr>
        <w:rPr>
          <w:szCs w:val="26"/>
        </w:rPr>
      </w:pPr>
      <w:r>
        <w:rPr>
          <w:szCs w:val="26"/>
        </w:rPr>
        <w:t xml:space="preserve">In summary, </w:t>
      </w:r>
      <w:r w:rsidR="00E52E6A">
        <w:rPr>
          <w:szCs w:val="26"/>
        </w:rPr>
        <w:t>p</w:t>
      </w:r>
      <w:r w:rsidR="00E52E6A" w:rsidRPr="00476A60">
        <w:rPr>
          <w:szCs w:val="26"/>
        </w:rPr>
        <w:t>ositive attitudes facili</w:t>
      </w:r>
      <w:r w:rsidR="0006529E">
        <w:rPr>
          <w:szCs w:val="26"/>
        </w:rPr>
        <w:t>tate</w:t>
      </w:r>
      <w:r w:rsidR="00E52E6A" w:rsidRPr="00476A60">
        <w:rPr>
          <w:szCs w:val="26"/>
        </w:rPr>
        <w:t xml:space="preserve"> ope</w:t>
      </w:r>
      <w:r w:rsidR="0006529E">
        <w:rPr>
          <w:szCs w:val="26"/>
        </w:rPr>
        <w:t>nness, acceptance and inclusion</w:t>
      </w:r>
      <w:r w:rsidR="00E52E6A">
        <w:rPr>
          <w:szCs w:val="26"/>
        </w:rPr>
        <w:t xml:space="preserve"> </w:t>
      </w:r>
      <w:r w:rsidR="00D617D3">
        <w:rPr>
          <w:szCs w:val="26"/>
        </w:rPr>
        <w:t xml:space="preserve">of others </w:t>
      </w:r>
      <w:r w:rsidR="0006529E">
        <w:rPr>
          <w:szCs w:val="26"/>
        </w:rPr>
        <w:t xml:space="preserve">but, globally, </w:t>
      </w:r>
      <w:r w:rsidR="00E52E6A">
        <w:rPr>
          <w:szCs w:val="26"/>
        </w:rPr>
        <w:t>negative attitudes, stigma</w:t>
      </w:r>
      <w:r w:rsidR="0006529E">
        <w:rPr>
          <w:szCs w:val="26"/>
        </w:rPr>
        <w:t>, etc.</w:t>
      </w:r>
      <w:r w:rsidR="00E52E6A">
        <w:rPr>
          <w:szCs w:val="26"/>
        </w:rPr>
        <w:t xml:space="preserve"> contribute to </w:t>
      </w:r>
      <w:r w:rsidR="0006529E">
        <w:rPr>
          <w:szCs w:val="26"/>
        </w:rPr>
        <w:t xml:space="preserve">ongoing </w:t>
      </w:r>
      <w:r w:rsidR="00BF3F79" w:rsidRPr="00CB4B2B">
        <w:rPr>
          <w:szCs w:val="26"/>
        </w:rPr>
        <w:t xml:space="preserve">discrimination and exclusion experienced by </w:t>
      </w:r>
      <w:r w:rsidR="00D617D3">
        <w:rPr>
          <w:szCs w:val="26"/>
        </w:rPr>
        <w:t xml:space="preserve">many </w:t>
      </w:r>
      <w:r w:rsidR="0006529E">
        <w:rPr>
          <w:szCs w:val="26"/>
        </w:rPr>
        <w:t xml:space="preserve">disabled people </w:t>
      </w:r>
      <w:r w:rsidR="00BF3F79" w:rsidRPr="00CB4B2B">
        <w:rPr>
          <w:szCs w:val="26"/>
        </w:rPr>
        <w:t>and their famili</w:t>
      </w:r>
      <w:r w:rsidR="007614A4" w:rsidRPr="00CB4B2B">
        <w:rPr>
          <w:szCs w:val="26"/>
        </w:rPr>
        <w:t>es</w:t>
      </w:r>
      <w:r w:rsidR="00BF3F79" w:rsidRPr="00CB4B2B">
        <w:rPr>
          <w:szCs w:val="26"/>
        </w:rPr>
        <w:t xml:space="preserve">. </w:t>
      </w:r>
      <w:r w:rsidR="0006529E">
        <w:rPr>
          <w:szCs w:val="26"/>
        </w:rPr>
        <w:t xml:space="preserve">This </w:t>
      </w:r>
      <w:r w:rsidR="005940DF" w:rsidRPr="00CB4B2B">
        <w:rPr>
          <w:szCs w:val="26"/>
        </w:rPr>
        <w:t>create</w:t>
      </w:r>
      <w:r w:rsidR="0006529E">
        <w:rPr>
          <w:szCs w:val="26"/>
        </w:rPr>
        <w:t>s</w:t>
      </w:r>
      <w:r w:rsidR="005940DF" w:rsidRPr="00CB4B2B">
        <w:rPr>
          <w:szCs w:val="26"/>
        </w:rPr>
        <w:t xml:space="preserve"> disparities in access to heal</w:t>
      </w:r>
      <w:r w:rsidR="007614A4" w:rsidRPr="00CB4B2B">
        <w:rPr>
          <w:szCs w:val="26"/>
        </w:rPr>
        <w:t>th, housing, employment,</w:t>
      </w:r>
      <w:r w:rsidR="005940DF" w:rsidRPr="00CB4B2B">
        <w:rPr>
          <w:szCs w:val="26"/>
        </w:rPr>
        <w:t xml:space="preserve"> </w:t>
      </w:r>
      <w:r w:rsidR="007614A4" w:rsidRPr="00CB4B2B">
        <w:rPr>
          <w:szCs w:val="26"/>
        </w:rPr>
        <w:t>increase</w:t>
      </w:r>
      <w:r w:rsidR="007307D3">
        <w:rPr>
          <w:szCs w:val="26"/>
        </w:rPr>
        <w:t>s</w:t>
      </w:r>
      <w:r w:rsidR="007614A4" w:rsidRPr="00CB4B2B">
        <w:rPr>
          <w:szCs w:val="26"/>
        </w:rPr>
        <w:t xml:space="preserve"> social distance and </w:t>
      </w:r>
      <w:r w:rsidR="005940DF" w:rsidRPr="00CB4B2B">
        <w:rPr>
          <w:szCs w:val="26"/>
        </w:rPr>
        <w:t>limit</w:t>
      </w:r>
      <w:r w:rsidR="007307D3">
        <w:rPr>
          <w:szCs w:val="26"/>
        </w:rPr>
        <w:t>s</w:t>
      </w:r>
      <w:r w:rsidR="005940DF" w:rsidRPr="00CB4B2B">
        <w:rPr>
          <w:szCs w:val="26"/>
        </w:rPr>
        <w:t xml:space="preserve"> community </w:t>
      </w:r>
      <w:r w:rsidR="007614A4" w:rsidRPr="00CB4B2B">
        <w:rPr>
          <w:szCs w:val="26"/>
        </w:rPr>
        <w:t>participation.</w:t>
      </w:r>
      <w:r w:rsidR="005940DF" w:rsidRPr="00CB4B2B">
        <w:rPr>
          <w:rStyle w:val="FootnoteReference"/>
          <w:rFonts w:ascii="Gill Sans MT" w:hAnsi="Gill Sans MT"/>
          <w:sz w:val="26"/>
          <w:szCs w:val="26"/>
        </w:rPr>
        <w:footnoteReference w:id="63"/>
      </w:r>
      <w:r w:rsidR="005940DF" w:rsidRPr="00CB4B2B">
        <w:rPr>
          <w:szCs w:val="26"/>
        </w:rPr>
        <w:t xml:space="preserve"> Parents of children with disabilities have described how negative attitudes are often more disabling for their chil</w:t>
      </w:r>
      <w:r w:rsidR="00CB4B2B" w:rsidRPr="00CB4B2B">
        <w:rPr>
          <w:szCs w:val="26"/>
        </w:rPr>
        <w:t>dren than their</w:t>
      </w:r>
      <w:r w:rsidR="005940DF" w:rsidRPr="00CB4B2B">
        <w:rPr>
          <w:szCs w:val="26"/>
        </w:rPr>
        <w:t xml:space="preserve"> impairments.</w:t>
      </w:r>
      <w:r w:rsidR="005940DF" w:rsidRPr="00CB4B2B">
        <w:rPr>
          <w:szCs w:val="26"/>
          <w:vertAlign w:val="superscript"/>
        </w:rPr>
        <w:footnoteReference w:id="64"/>
      </w:r>
      <w:r w:rsidR="007614A4" w:rsidRPr="00CB4B2B">
        <w:rPr>
          <w:szCs w:val="26"/>
        </w:rPr>
        <w:t xml:space="preserve"> </w:t>
      </w:r>
      <w:r w:rsidR="00CB4B2B" w:rsidRPr="00CB4B2B">
        <w:rPr>
          <w:szCs w:val="26"/>
        </w:rPr>
        <w:t xml:space="preserve">Negative attitudes </w:t>
      </w:r>
      <w:r w:rsidR="007614A4" w:rsidRPr="00CB4B2B">
        <w:rPr>
          <w:szCs w:val="26"/>
        </w:rPr>
        <w:t>lead to disc</w:t>
      </w:r>
      <w:r w:rsidR="00CB4B2B" w:rsidRPr="00CB4B2B">
        <w:rPr>
          <w:szCs w:val="26"/>
        </w:rPr>
        <w:t>rimination and low expectations,</w:t>
      </w:r>
      <w:r w:rsidR="007614A4" w:rsidRPr="00CB4B2B">
        <w:rPr>
          <w:szCs w:val="26"/>
          <w:vertAlign w:val="superscript"/>
        </w:rPr>
        <w:footnoteReference w:id="65"/>
      </w:r>
      <w:r w:rsidR="007614A4" w:rsidRPr="00CB4B2B">
        <w:rPr>
          <w:szCs w:val="26"/>
        </w:rPr>
        <w:t xml:space="preserve"> affect inclusion and access to public services</w:t>
      </w:r>
      <w:r w:rsidR="00CB4B2B" w:rsidRPr="00CB4B2B">
        <w:rPr>
          <w:szCs w:val="26"/>
        </w:rPr>
        <w:t>,</w:t>
      </w:r>
      <w:r w:rsidR="007614A4" w:rsidRPr="00CB4B2B">
        <w:rPr>
          <w:szCs w:val="26"/>
          <w:vertAlign w:val="superscript"/>
        </w:rPr>
        <w:footnoteReference w:id="66"/>
      </w:r>
      <w:r w:rsidR="007614A4" w:rsidRPr="00CB4B2B">
        <w:rPr>
          <w:szCs w:val="26"/>
        </w:rPr>
        <w:t xml:space="preserve"> </w:t>
      </w:r>
      <w:r w:rsidR="007614A4" w:rsidRPr="00CB4B2B">
        <w:rPr>
          <w:rStyle w:val="FootnoteReference"/>
          <w:rFonts w:ascii="Gill Sans MT" w:hAnsi="Gill Sans MT"/>
          <w:sz w:val="26"/>
          <w:szCs w:val="26"/>
        </w:rPr>
        <w:footnoteReference w:id="67"/>
      </w:r>
      <w:r w:rsidR="007614A4" w:rsidRPr="00CB4B2B">
        <w:rPr>
          <w:szCs w:val="26"/>
        </w:rPr>
        <w:t xml:space="preserve"> </w:t>
      </w:r>
      <w:r w:rsidR="00CB4B2B" w:rsidRPr="00CB4B2B">
        <w:rPr>
          <w:szCs w:val="26"/>
        </w:rPr>
        <w:t>and can result in disabled persons internalizing the prejudice and discrimination they experience.</w:t>
      </w:r>
      <w:r w:rsidR="00CB4B2B" w:rsidRPr="00CB4B2B">
        <w:rPr>
          <w:szCs w:val="26"/>
          <w:vertAlign w:val="superscript"/>
        </w:rPr>
        <w:footnoteReference w:id="68"/>
      </w:r>
      <w:r w:rsidR="00CB4B2B">
        <w:rPr>
          <w:szCs w:val="26"/>
        </w:rPr>
        <w:t xml:space="preserve"> </w:t>
      </w:r>
    </w:p>
    <w:p w14:paraId="0A78FBB6" w14:textId="66789488" w:rsidR="000956F4" w:rsidRDefault="00987CA8" w:rsidP="000956F4">
      <w:pPr>
        <w:pStyle w:val="Heading1"/>
      </w:pPr>
      <w:bookmarkStart w:id="8" w:name="_Toc122447199"/>
      <w:r>
        <w:t xml:space="preserve">Chapter </w:t>
      </w:r>
      <w:r w:rsidR="00275338">
        <w:t>3</w:t>
      </w:r>
      <w:r>
        <w:t>: Changing</w:t>
      </w:r>
      <w:r w:rsidR="000956F4">
        <w:t xml:space="preserve"> attitudes</w:t>
      </w:r>
      <w:bookmarkEnd w:id="8"/>
    </w:p>
    <w:p w14:paraId="5E5D327B" w14:textId="77777777" w:rsidR="006822DC" w:rsidRDefault="00615DD7" w:rsidP="00C32B61">
      <w:pPr>
        <w:pStyle w:val="Heading2"/>
      </w:pPr>
      <w:bookmarkStart w:id="9" w:name="_Toc122447200"/>
      <w:r>
        <w:t xml:space="preserve">Factors influencing the formation </w:t>
      </w:r>
      <w:r w:rsidR="00AB4681">
        <w:t xml:space="preserve">and changing </w:t>
      </w:r>
      <w:r>
        <w:t>of attitudes</w:t>
      </w:r>
      <w:bookmarkEnd w:id="9"/>
    </w:p>
    <w:p w14:paraId="324D9A09" w14:textId="54EFC9B5" w:rsidR="00895F91" w:rsidRDefault="00175248" w:rsidP="005364D5">
      <w:r>
        <w:t xml:space="preserve">A </w:t>
      </w:r>
      <w:r w:rsidRPr="00175248">
        <w:t>review</w:t>
      </w:r>
      <w:r w:rsidR="00AB4681">
        <w:t xml:space="preserve"> </w:t>
      </w:r>
      <w:r w:rsidRPr="00175248">
        <w:t xml:space="preserve">on attitude change </w:t>
      </w:r>
      <w:r w:rsidR="004A491D">
        <w:t xml:space="preserve">research </w:t>
      </w:r>
      <w:r w:rsidR="00497513">
        <w:t>(2010 to</w:t>
      </w:r>
      <w:r>
        <w:t xml:space="preserve"> 2017</w:t>
      </w:r>
      <w:r w:rsidR="00497513">
        <w:t>)</w:t>
      </w:r>
      <w:r w:rsidR="00AB4681" w:rsidRPr="00AB4681">
        <w:rPr>
          <w:rStyle w:val="FootnoteReference"/>
        </w:rPr>
        <w:t xml:space="preserve"> </w:t>
      </w:r>
      <w:r w:rsidR="00AB4681">
        <w:rPr>
          <w:rStyle w:val="FootnoteReference"/>
        </w:rPr>
        <w:footnoteReference w:id="69"/>
      </w:r>
      <w:r>
        <w:t xml:space="preserve"> </w:t>
      </w:r>
      <w:r w:rsidR="00497513">
        <w:t xml:space="preserve">shows </w:t>
      </w:r>
      <w:r w:rsidR="00AF6510">
        <w:t xml:space="preserve">progress </w:t>
      </w:r>
      <w:r w:rsidR="00EE1919">
        <w:t xml:space="preserve">in </w:t>
      </w:r>
      <w:r w:rsidRPr="00175248">
        <w:t xml:space="preserve">understanding </w:t>
      </w:r>
      <w:r w:rsidR="00EE1919">
        <w:t xml:space="preserve">factors involved in </w:t>
      </w:r>
      <w:r w:rsidRPr="00175248">
        <w:t>att</w:t>
      </w:r>
      <w:r w:rsidR="00EE1919">
        <w:t>itude</w:t>
      </w:r>
      <w:r w:rsidR="00487307">
        <w:t xml:space="preserve"> form</w:t>
      </w:r>
      <w:r w:rsidR="00EE1919">
        <w:t>ation</w:t>
      </w:r>
      <w:r w:rsidR="00AB4681">
        <w:t xml:space="preserve"> and change</w:t>
      </w:r>
      <w:r w:rsidR="00AF6510">
        <w:t xml:space="preserve">. </w:t>
      </w:r>
      <w:r w:rsidR="00037B50">
        <w:t xml:space="preserve">Understanding </w:t>
      </w:r>
      <w:r w:rsidR="00497513">
        <w:t>personal, social, envir</w:t>
      </w:r>
      <w:r w:rsidR="00037B50">
        <w:t>onmental,</w:t>
      </w:r>
      <w:r w:rsidR="00497513">
        <w:t xml:space="preserve"> cultural and historical </w:t>
      </w:r>
      <w:r w:rsidR="00037B50">
        <w:t xml:space="preserve">factors that </w:t>
      </w:r>
      <w:r w:rsidR="0013120C">
        <w:t xml:space="preserve">impact on </w:t>
      </w:r>
      <w:r w:rsidR="00497513">
        <w:t>attitude formation and change</w:t>
      </w:r>
      <w:r w:rsidR="00037B50">
        <w:t xml:space="preserve">, facilitates </w:t>
      </w:r>
      <w:r w:rsidR="00AB4681">
        <w:t xml:space="preserve">planning interventions </w:t>
      </w:r>
      <w:r w:rsidR="009A1965">
        <w:t>t</w:t>
      </w:r>
      <w:r w:rsidR="00E35D7D">
        <w:t xml:space="preserve">hat target </w:t>
      </w:r>
      <w:r w:rsidR="00AB4681">
        <w:t>negative attitudes.</w:t>
      </w:r>
      <w:r w:rsidR="009A1965">
        <w:t xml:space="preserve"> </w:t>
      </w:r>
      <w:r w:rsidR="007A71AE">
        <w:t>Attitudes, emotions</w:t>
      </w:r>
      <w:r w:rsidR="007A71AE" w:rsidRPr="00FE051C">
        <w:t>, beliefs, and behavio</w:t>
      </w:r>
      <w:r w:rsidR="007A71AE">
        <w:t>u</w:t>
      </w:r>
      <w:r w:rsidR="007A71AE" w:rsidRPr="00FE051C">
        <w:t xml:space="preserve">r </w:t>
      </w:r>
      <w:r w:rsidR="007A71AE">
        <w:t xml:space="preserve">of individuals </w:t>
      </w:r>
      <w:r w:rsidR="007A71AE" w:rsidRPr="00FE051C">
        <w:t>derive f</w:t>
      </w:r>
      <w:r w:rsidR="007A71AE">
        <w:t>rom socially shared information</w:t>
      </w:r>
      <w:r w:rsidR="007A71AE" w:rsidRPr="00FE051C">
        <w:t xml:space="preserve"> and collectively influence </w:t>
      </w:r>
      <w:r w:rsidR="007A71AE">
        <w:t>social life and its rules</w:t>
      </w:r>
      <w:r w:rsidR="007A71AE" w:rsidRPr="00FE051C">
        <w:t xml:space="preserve"> and actions.</w:t>
      </w:r>
      <w:r w:rsidR="007A71AE">
        <w:t xml:space="preserve"> </w:t>
      </w:r>
      <w:r w:rsidR="00895F91" w:rsidRPr="00895F91">
        <w:t xml:space="preserve">Individual differences such as a person’s cognitive style, the need for closure and dogmatism (the extent to which people make clear-cut distinctions between beliefs and disbeliefs) influence the formation and changing of attitudes. Cognitive styles determine the extent to which people analyse information. People who score high in this cognition trait, form attitudes </w:t>
      </w:r>
      <w:r w:rsidR="00D850EE" w:rsidRPr="00895F91">
        <w:t>based on</w:t>
      </w:r>
      <w:r w:rsidR="00895F91" w:rsidRPr="00895F91">
        <w:t xml:space="preserve"> beliefs about the validity of information received </w:t>
      </w:r>
      <w:r w:rsidR="00300F2B">
        <w:t xml:space="preserve">to a greater extent </w:t>
      </w:r>
      <w:r w:rsidR="00895F91" w:rsidRPr="00895F91">
        <w:t xml:space="preserve">than </w:t>
      </w:r>
      <w:r w:rsidR="00D850EE">
        <w:t xml:space="preserve">persons </w:t>
      </w:r>
      <w:r w:rsidR="00895F91" w:rsidRPr="00895F91">
        <w:t xml:space="preserve">with a low need-to-know style (lower cognition scores). </w:t>
      </w:r>
      <w:r w:rsidR="00D850EE">
        <w:t>T</w:t>
      </w:r>
      <w:r w:rsidR="00895F91" w:rsidRPr="00895F91">
        <w:t>he cultural structure of the social environment and the interactions within it</w:t>
      </w:r>
      <w:r w:rsidR="00D850EE">
        <w:t xml:space="preserve"> affect p</w:t>
      </w:r>
      <w:r w:rsidR="00D850EE" w:rsidRPr="00D850EE">
        <w:t>ersonal attitud</w:t>
      </w:r>
      <w:r w:rsidR="00D850EE">
        <w:t xml:space="preserve">es and behaviour as do </w:t>
      </w:r>
      <w:r w:rsidR="00895F91" w:rsidRPr="00895F91">
        <w:t xml:space="preserve">anxiety, </w:t>
      </w:r>
      <w:r w:rsidR="00895F91">
        <w:t>self-</w:t>
      </w:r>
      <w:r w:rsidR="00895F91" w:rsidRPr="00895F91">
        <w:t xml:space="preserve">esteem and other personal traits. </w:t>
      </w:r>
    </w:p>
    <w:p w14:paraId="49A12626" w14:textId="3262826E" w:rsidR="0035671B" w:rsidRDefault="00895F91" w:rsidP="000138D6">
      <w:r w:rsidRPr="005D3067">
        <w:t xml:space="preserve">Research suggests that </w:t>
      </w:r>
      <w:r w:rsidR="00D850EE">
        <w:t xml:space="preserve">policy can directly address </w:t>
      </w:r>
      <w:r w:rsidRPr="005D3067">
        <w:t>conscious, explicit attitudes and bias</w:t>
      </w:r>
      <w:r w:rsidR="0035671B">
        <w:t>.</w:t>
      </w:r>
      <w:r w:rsidRPr="005D3067">
        <w:t xml:space="preserve"> An approach to implicit attitudes and bias might be to identify specific situations where biased decisions are likely to occur and develop interventions to address them. </w:t>
      </w:r>
      <w:r>
        <w:t>T</w:t>
      </w:r>
      <w:r w:rsidRPr="005D3067">
        <w:t xml:space="preserve">hese approaches focus on changing attitudes or the behaviours that reflect </w:t>
      </w:r>
      <w:r>
        <w:t xml:space="preserve">underlying </w:t>
      </w:r>
      <w:r w:rsidRPr="005D3067">
        <w:t>attitudes. Policies and interventions that change attitudes and behaviours and maintain behaviour change are critical to the outcomes of equality, inclusion and participation of disabled people.</w:t>
      </w:r>
      <w:r w:rsidRPr="005D3067">
        <w:rPr>
          <w:rFonts w:ascii="Gill Sans" w:hAnsi="Gill Sans"/>
          <w:sz w:val="22"/>
          <w:vertAlign w:val="superscript"/>
        </w:rPr>
        <w:footnoteReference w:id="70"/>
      </w:r>
      <w:r w:rsidRPr="005D3067">
        <w:t xml:space="preserve"> </w:t>
      </w:r>
      <w:r w:rsidR="007A71AE">
        <w:t xml:space="preserve">Contexts such as prolonged intergroup conflict </w:t>
      </w:r>
      <w:r w:rsidR="00CF2386">
        <w:t>often lead to</w:t>
      </w:r>
      <w:r w:rsidR="007A71AE">
        <w:t xml:space="preserve"> the development of entrenched attitudes. In such contexts, people are socialised to hold particular views from an early age, </w:t>
      </w:r>
      <w:r>
        <w:t xml:space="preserve">which </w:t>
      </w:r>
      <w:r w:rsidR="007A71AE">
        <w:t>institutions</w:t>
      </w:r>
      <w:r w:rsidR="00CF2386">
        <w:t xml:space="preserve"> and</w:t>
      </w:r>
      <w:r w:rsidR="007A71AE">
        <w:t xml:space="preserve"> leaders </w:t>
      </w:r>
      <w:r w:rsidR="002B5817">
        <w:t xml:space="preserve">can reinforce and which </w:t>
      </w:r>
      <w:r w:rsidR="007A71AE">
        <w:t>personal and collective experiences</w:t>
      </w:r>
      <w:r w:rsidR="002B5817">
        <w:t xml:space="preserve"> validate</w:t>
      </w:r>
      <w:r w:rsidR="007A71AE">
        <w:t>.</w:t>
      </w:r>
      <w:r w:rsidR="007A71AE">
        <w:rPr>
          <w:rStyle w:val="FootnoteReference"/>
        </w:rPr>
        <w:footnoteReference w:id="71"/>
      </w:r>
      <w:r w:rsidR="007A71AE">
        <w:t xml:space="preserve"> </w:t>
      </w:r>
    </w:p>
    <w:p w14:paraId="2FA6A780" w14:textId="46C191FF" w:rsidR="000E3662" w:rsidRDefault="00FE051C" w:rsidP="00615DD7">
      <w:r>
        <w:t>In summary, s</w:t>
      </w:r>
      <w:r w:rsidR="0013120C">
        <w:t xml:space="preserve">ocial </w:t>
      </w:r>
      <w:r w:rsidR="00011223">
        <w:t xml:space="preserve">and </w:t>
      </w:r>
      <w:r>
        <w:t>environmental factors alongside</w:t>
      </w:r>
      <w:r w:rsidR="0013120C">
        <w:t xml:space="preserve"> p</w:t>
      </w:r>
      <w:r w:rsidR="000E3662">
        <w:t>ersonality, cognitive sty</w:t>
      </w:r>
      <w:r w:rsidR="00011223">
        <w:t>le and demographic factors</w:t>
      </w:r>
      <w:r w:rsidR="0013120C">
        <w:t xml:space="preserve"> </w:t>
      </w:r>
      <w:r w:rsidR="000E3662">
        <w:t xml:space="preserve">affect the </w:t>
      </w:r>
      <w:r w:rsidR="000E3662" w:rsidRPr="00E93562">
        <w:t>motive</w:t>
      </w:r>
      <w:r w:rsidR="000A76DD">
        <w:t>s of knowledge-</w:t>
      </w:r>
      <w:r w:rsidR="000E3662" w:rsidRPr="00E93562">
        <w:t>seeki</w:t>
      </w:r>
      <w:r w:rsidR="000A76DD">
        <w:t>ng, consistency, self-worth</w:t>
      </w:r>
      <w:r w:rsidR="00CF2386">
        <w:t xml:space="preserve"> and</w:t>
      </w:r>
      <w:r w:rsidR="000E3662" w:rsidRPr="00E93562">
        <w:t xml:space="preserve"> social approval</w:t>
      </w:r>
      <w:r w:rsidR="00CF2386">
        <w:t>, which</w:t>
      </w:r>
      <w:r w:rsidR="000A76DD">
        <w:t xml:space="preserve"> </w:t>
      </w:r>
      <w:r w:rsidR="00713697">
        <w:t>affect attitudes and the strength of those attitudes as well as the forging</w:t>
      </w:r>
      <w:r w:rsidR="0013120C">
        <w:t xml:space="preserve"> of identity and</w:t>
      </w:r>
      <w:r w:rsidR="000E3662">
        <w:t xml:space="preserve"> </w:t>
      </w:r>
      <w:r w:rsidR="0013120C">
        <w:t>social cognition</w:t>
      </w:r>
      <w:r w:rsidR="000E3662">
        <w:t>.</w:t>
      </w:r>
      <w:r w:rsidR="000E3662">
        <w:rPr>
          <w:rStyle w:val="FootnoteReference"/>
        </w:rPr>
        <w:footnoteReference w:id="72"/>
      </w:r>
      <w:r w:rsidR="000E3662">
        <w:t xml:space="preserve"> </w:t>
      </w:r>
      <w:r w:rsidR="002A42F1">
        <w:t>Much work now focuse</w:t>
      </w:r>
      <w:r w:rsidR="002B5817">
        <w:t>s</w:t>
      </w:r>
      <w:r w:rsidR="002A42F1">
        <w:t xml:space="preserve"> on developing various effective interventions to modify negative attitudes to disability. </w:t>
      </w:r>
      <w:r w:rsidR="002B5817" w:rsidRPr="002B5817">
        <w:t>A major challenge is to develop ways of motivating individuals to re-evaluate long-held or life-long a</w:t>
      </w:r>
      <w:r w:rsidR="002B5817">
        <w:t xml:space="preserve">ttitudes </w:t>
      </w:r>
      <w:r w:rsidR="002B5817" w:rsidRPr="002B5817">
        <w:t>to facilitate their ‘unfreezing’.</w:t>
      </w:r>
      <w:r w:rsidR="002B5817" w:rsidRPr="002B5817">
        <w:rPr>
          <w:vertAlign w:val="superscript"/>
        </w:rPr>
        <w:footnoteReference w:id="73"/>
      </w:r>
      <w:r w:rsidR="002B5817" w:rsidRPr="002B5817">
        <w:t xml:space="preserve"> An example </w:t>
      </w:r>
      <w:r w:rsidR="002B5817">
        <w:t xml:space="preserve">given below </w:t>
      </w:r>
      <w:r w:rsidR="002B5817" w:rsidRPr="002B5817">
        <w:t>is the use of socio-psychological interventions, some novel, to unfreeze entrenched attitudes among Palestinians and Israelis</w:t>
      </w:r>
      <w:r w:rsidR="002B5817">
        <w:t>,</w:t>
      </w:r>
      <w:r w:rsidR="002B5817" w:rsidRPr="002B5817">
        <w:t xml:space="preserve"> as some of these approaches may prove useful in other groups and settings.</w:t>
      </w:r>
      <w:r w:rsidR="002B5817" w:rsidRPr="002B5817">
        <w:rPr>
          <w:vertAlign w:val="superscript"/>
        </w:rPr>
        <w:footnoteReference w:id="74"/>
      </w:r>
      <w:r w:rsidR="002B5817" w:rsidRPr="002B5817">
        <w:t xml:space="preserve"> </w:t>
      </w:r>
    </w:p>
    <w:p w14:paraId="2774A960" w14:textId="77777777" w:rsidR="0088544A" w:rsidRDefault="00621785" w:rsidP="00C32B61">
      <w:pPr>
        <w:pStyle w:val="Heading2"/>
      </w:pPr>
      <w:bookmarkStart w:id="10" w:name="_Toc122447201"/>
      <w:r>
        <w:t>I</w:t>
      </w:r>
      <w:r w:rsidR="00366782">
        <w:t xml:space="preserve">nterventions at </w:t>
      </w:r>
      <w:r w:rsidR="0088544A" w:rsidRPr="00BD06F2">
        <w:t>personal, organisational and governm</w:t>
      </w:r>
      <w:r w:rsidR="00BD06F2">
        <w:t>ent level</w:t>
      </w:r>
      <w:r w:rsidR="00366782">
        <w:t>s</w:t>
      </w:r>
      <w:bookmarkEnd w:id="10"/>
      <w:r w:rsidR="00BD06F2">
        <w:t xml:space="preserve"> </w:t>
      </w:r>
    </w:p>
    <w:p w14:paraId="4B185072" w14:textId="76812810" w:rsidR="00340E14" w:rsidRDefault="001F32B5" w:rsidP="0041120B">
      <w:pPr>
        <w:rPr>
          <w:bCs/>
          <w:iCs/>
        </w:rPr>
      </w:pPr>
      <w:r w:rsidRPr="001F32B5">
        <w:rPr>
          <w:bCs/>
          <w:iCs/>
        </w:rPr>
        <w:t>Attitude change research</w:t>
      </w:r>
      <w:r w:rsidRPr="001F32B5">
        <w:rPr>
          <w:bCs/>
          <w:iCs/>
          <w:vertAlign w:val="superscript"/>
        </w:rPr>
        <w:footnoteReference w:id="75"/>
      </w:r>
      <w:r w:rsidRPr="001F32B5">
        <w:rPr>
          <w:bCs/>
          <w:iCs/>
        </w:rPr>
        <w:t xml:space="preserve"> shows progress in understanding some of the factors involved in attitude formation and change. Understanding the wide-ranging personal, social, environmental, cultural and historical factors that inter-relate and </w:t>
      </w:r>
      <w:r w:rsidR="002B5817" w:rsidRPr="001F32B5">
        <w:rPr>
          <w:bCs/>
          <w:iCs/>
        </w:rPr>
        <w:t>affect</w:t>
      </w:r>
      <w:r w:rsidRPr="001F32B5">
        <w:rPr>
          <w:bCs/>
          <w:iCs/>
        </w:rPr>
        <w:t xml:space="preserve"> attitude formation and change, facilitates planning </w:t>
      </w:r>
      <w:r w:rsidR="00275338">
        <w:rPr>
          <w:bCs/>
          <w:iCs/>
        </w:rPr>
        <w:t xml:space="preserve">and implementing </w:t>
      </w:r>
      <w:r w:rsidRPr="001F32B5">
        <w:rPr>
          <w:bCs/>
          <w:iCs/>
        </w:rPr>
        <w:t xml:space="preserve">interventions that </w:t>
      </w:r>
      <w:r w:rsidR="00275338">
        <w:rPr>
          <w:bCs/>
          <w:iCs/>
        </w:rPr>
        <w:t xml:space="preserve">can contribute to </w:t>
      </w:r>
      <w:r w:rsidRPr="001F32B5">
        <w:rPr>
          <w:bCs/>
          <w:iCs/>
        </w:rPr>
        <w:t>chang</w:t>
      </w:r>
      <w:r w:rsidR="00275338">
        <w:rPr>
          <w:bCs/>
          <w:iCs/>
        </w:rPr>
        <w:t>ing</w:t>
      </w:r>
      <w:r w:rsidRPr="001F32B5">
        <w:rPr>
          <w:bCs/>
          <w:iCs/>
        </w:rPr>
        <w:t xml:space="preserve"> negative </w:t>
      </w:r>
      <w:r w:rsidR="00C515C2" w:rsidRPr="001F32B5">
        <w:rPr>
          <w:bCs/>
          <w:iCs/>
        </w:rPr>
        <w:t>attitudes.</w:t>
      </w:r>
      <w:r w:rsidR="00C515C2">
        <w:rPr>
          <w:bCs/>
          <w:iCs/>
        </w:rPr>
        <w:t xml:space="preserve"> </w:t>
      </w:r>
    </w:p>
    <w:p w14:paraId="2F3093BA" w14:textId="4161F36A" w:rsidR="0041120B" w:rsidRPr="00D55324" w:rsidRDefault="006B6677" w:rsidP="0041120B">
      <w:pPr>
        <w:rPr>
          <w:bCs/>
          <w:iCs/>
        </w:rPr>
      </w:pPr>
      <w:r>
        <w:rPr>
          <w:bCs/>
          <w:iCs/>
        </w:rPr>
        <w:t>E</w:t>
      </w:r>
      <w:r w:rsidRPr="00CA1258">
        <w:rPr>
          <w:bCs/>
          <w:iCs/>
        </w:rPr>
        <w:t>fforts to modify attitudes and behaviours can be categorised and examined in different ways.</w:t>
      </w:r>
      <w:r w:rsidRPr="006B6677">
        <w:rPr>
          <w:bCs/>
          <w:iCs/>
        </w:rPr>
        <w:t xml:space="preserve"> </w:t>
      </w:r>
      <w:r w:rsidR="002B5817">
        <w:rPr>
          <w:bCs/>
          <w:iCs/>
        </w:rPr>
        <w:t>For example, o</w:t>
      </w:r>
      <w:r w:rsidR="00C515C2">
        <w:rPr>
          <w:bCs/>
          <w:iCs/>
        </w:rPr>
        <w:t>ne</w:t>
      </w:r>
      <w:r w:rsidR="0041120B">
        <w:rPr>
          <w:bCs/>
          <w:iCs/>
        </w:rPr>
        <w:t xml:space="preserve"> can</w:t>
      </w:r>
      <w:r w:rsidR="002B5817">
        <w:rPr>
          <w:bCs/>
          <w:iCs/>
        </w:rPr>
        <w:t xml:space="preserve"> </w:t>
      </w:r>
      <w:r w:rsidR="0041120B">
        <w:rPr>
          <w:bCs/>
          <w:iCs/>
        </w:rPr>
        <w:t>examine the facilitators o</w:t>
      </w:r>
      <w:r w:rsidR="00615DD7">
        <w:rPr>
          <w:bCs/>
          <w:iCs/>
        </w:rPr>
        <w:t>f attitude and behaviour change</w:t>
      </w:r>
      <w:r w:rsidR="00300F2B">
        <w:rPr>
          <w:bCs/>
          <w:iCs/>
        </w:rPr>
        <w:t xml:space="preserve"> that</w:t>
      </w:r>
      <w:r w:rsidR="00452D10">
        <w:rPr>
          <w:bCs/>
          <w:iCs/>
        </w:rPr>
        <w:t xml:space="preserve"> include the following</w:t>
      </w:r>
      <w:r w:rsidR="0041120B" w:rsidRPr="00D55324">
        <w:rPr>
          <w:bCs/>
          <w:iCs/>
        </w:rPr>
        <w:t>:</w:t>
      </w:r>
      <w:r w:rsidR="0041120B" w:rsidRPr="00D55324">
        <w:rPr>
          <w:bCs/>
          <w:iCs/>
          <w:vertAlign w:val="superscript"/>
        </w:rPr>
        <w:footnoteReference w:id="76"/>
      </w:r>
      <w:r w:rsidR="0041120B" w:rsidRPr="00D55324">
        <w:rPr>
          <w:bCs/>
          <w:iCs/>
        </w:rPr>
        <w:t xml:space="preserve"> </w:t>
      </w:r>
    </w:p>
    <w:p w14:paraId="75A00954" w14:textId="77777777" w:rsidR="0041120B" w:rsidRPr="00D55324" w:rsidRDefault="0041120B" w:rsidP="0041120B">
      <w:pPr>
        <w:pStyle w:val="ListBullet"/>
      </w:pPr>
      <w:r w:rsidRPr="00D55324">
        <w:t>Active presence of disabled people</w:t>
      </w:r>
      <w:r>
        <w:t xml:space="preserve"> living alongside their peers in education, employment and social, civic and political participation</w:t>
      </w:r>
      <w:r w:rsidR="00615DD7">
        <w:t xml:space="preserve"> or interventions that facilitate contact (contact hypothesis)</w:t>
      </w:r>
    </w:p>
    <w:p w14:paraId="1792D5A7" w14:textId="77777777" w:rsidR="0041120B" w:rsidRPr="00D55324" w:rsidRDefault="0041120B" w:rsidP="0041120B">
      <w:pPr>
        <w:pStyle w:val="ListBullet"/>
      </w:pPr>
      <w:r>
        <w:t>Disabled people in leadership roles</w:t>
      </w:r>
      <w:r w:rsidR="00615DD7">
        <w:t xml:space="preserve"> (contact hypothesis, in effect) </w:t>
      </w:r>
      <w:r>
        <w:t xml:space="preserve"> </w:t>
      </w:r>
    </w:p>
    <w:p w14:paraId="771B1E23" w14:textId="77777777" w:rsidR="0041120B" w:rsidRPr="00D55324" w:rsidRDefault="0041120B" w:rsidP="0041120B">
      <w:pPr>
        <w:pStyle w:val="ListBullet"/>
      </w:pPr>
      <w:r w:rsidRPr="00D55324">
        <w:t>Targeting multiple levels and multiple types of policy and intervention</w:t>
      </w:r>
      <w:r w:rsidR="00615DD7">
        <w:t>s</w:t>
      </w:r>
      <w:r w:rsidRPr="00D55324">
        <w:t xml:space="preserve"> </w:t>
      </w:r>
    </w:p>
    <w:p w14:paraId="666026F0" w14:textId="3EE268F0" w:rsidR="0041120B" w:rsidRPr="00D55324" w:rsidRDefault="0041120B" w:rsidP="0041120B">
      <w:pPr>
        <w:pStyle w:val="ListBullet"/>
      </w:pPr>
      <w:r w:rsidRPr="00D55324">
        <w:t>Long-term approaches with adequate resources</w:t>
      </w:r>
    </w:p>
    <w:p w14:paraId="11C2B9B4" w14:textId="60137AA5" w:rsidR="0041120B" w:rsidRPr="00D55324" w:rsidRDefault="0041120B" w:rsidP="0041120B">
      <w:pPr>
        <w:pStyle w:val="ListBullet"/>
      </w:pPr>
      <w:r w:rsidRPr="00D55324">
        <w:t>Measuring and monitoring change</w:t>
      </w:r>
    </w:p>
    <w:p w14:paraId="765AF32C" w14:textId="67C8B3EF" w:rsidR="0041120B" w:rsidRDefault="0041120B" w:rsidP="0041120B">
      <w:pPr>
        <w:rPr>
          <w:bCs/>
          <w:iCs/>
        </w:rPr>
      </w:pPr>
      <w:r>
        <w:rPr>
          <w:bCs/>
          <w:iCs/>
        </w:rPr>
        <w:t xml:space="preserve">Another way of categorising attitude change </w:t>
      </w:r>
      <w:r w:rsidR="00046B55">
        <w:rPr>
          <w:bCs/>
          <w:iCs/>
        </w:rPr>
        <w:t xml:space="preserve">interventions </w:t>
      </w:r>
      <w:r>
        <w:rPr>
          <w:bCs/>
          <w:iCs/>
        </w:rPr>
        <w:t>is to divide then into top down and bottom up approaches:</w:t>
      </w:r>
    </w:p>
    <w:p w14:paraId="1A2FD573" w14:textId="33FE7BE5" w:rsidR="0041120B" w:rsidRPr="00D55324" w:rsidRDefault="0041120B" w:rsidP="0041120B">
      <w:pPr>
        <w:pStyle w:val="ListBullet"/>
        <w:rPr>
          <w:bCs/>
          <w:iCs/>
        </w:rPr>
      </w:pPr>
      <w:r>
        <w:t xml:space="preserve">Top down interventions tend to target behaviours, which change perceived norms </w:t>
      </w:r>
      <w:r w:rsidR="00452D10">
        <w:t>which</w:t>
      </w:r>
      <w:r>
        <w:t xml:space="preserve">, over time, influence </w:t>
      </w:r>
      <w:r w:rsidR="00452D10">
        <w:t xml:space="preserve">and change </w:t>
      </w:r>
      <w:r>
        <w:t xml:space="preserve">attitudes. Such </w:t>
      </w:r>
      <w:r w:rsidR="00046B55">
        <w:t xml:space="preserve">“indirect” </w:t>
      </w:r>
      <w:r>
        <w:t>interventions include public policies, incentives for change, legislation, environmental restructuring, nudge interventions,</w:t>
      </w:r>
      <w:r>
        <w:rPr>
          <w:rStyle w:val="FootnoteReference"/>
        </w:rPr>
        <w:footnoteReference w:id="77"/>
      </w:r>
      <w:r>
        <w:t xml:space="preserve"> etc.  </w:t>
      </w:r>
    </w:p>
    <w:p w14:paraId="381C56FF" w14:textId="5345E67E" w:rsidR="0041120B" w:rsidRPr="0041120B" w:rsidRDefault="0041120B" w:rsidP="0041120B">
      <w:pPr>
        <w:pStyle w:val="ListBullet"/>
        <w:rPr>
          <w:bCs/>
          <w:iCs/>
        </w:rPr>
      </w:pPr>
      <w:r>
        <w:t xml:space="preserve">Bottom up interventions </w:t>
      </w:r>
      <w:r w:rsidR="008D015B">
        <w:t xml:space="preserve">such as </w:t>
      </w:r>
      <w:r w:rsidR="008D015B" w:rsidRPr="008D015B">
        <w:t xml:space="preserve">various socio-psychological approaches </w:t>
      </w:r>
      <w:r w:rsidR="008D015B">
        <w:t xml:space="preserve">to motivate individuals to </w:t>
      </w:r>
      <w:r w:rsidR="008D015B" w:rsidRPr="008D015B">
        <w:t xml:space="preserve">re-evaluate </w:t>
      </w:r>
      <w:r w:rsidR="008D015B">
        <w:t>attitudes and beliefs.</w:t>
      </w:r>
    </w:p>
    <w:p w14:paraId="324253A6" w14:textId="2CAB0C3F" w:rsidR="00B942B9" w:rsidRDefault="0041120B" w:rsidP="00B942B9">
      <w:pPr>
        <w:pStyle w:val="ListBullet"/>
        <w:numPr>
          <w:ilvl w:val="0"/>
          <w:numId w:val="0"/>
        </w:numPr>
      </w:pPr>
      <w:r>
        <w:t xml:space="preserve">A third way to categorise interventions </w:t>
      </w:r>
      <w:r w:rsidR="00442896">
        <w:t xml:space="preserve">is to group them </w:t>
      </w:r>
      <w:r>
        <w:t xml:space="preserve">into </w:t>
      </w:r>
      <w:r w:rsidR="008D015B">
        <w:t xml:space="preserve">interventions </w:t>
      </w:r>
      <w:r w:rsidR="00442896">
        <w:t>at the personal, organisational</w:t>
      </w:r>
      <w:r>
        <w:t xml:space="preserve"> and government level</w:t>
      </w:r>
      <w:r w:rsidR="008D015B">
        <w:t xml:space="preserve"> as</w:t>
      </w:r>
      <w:r>
        <w:t xml:space="preserve"> </w:t>
      </w:r>
      <w:r w:rsidR="00615DD7">
        <w:t xml:space="preserve">Fisher and </w:t>
      </w:r>
      <w:proofErr w:type="spellStart"/>
      <w:r w:rsidR="00615DD7">
        <w:t>Purcal</w:t>
      </w:r>
      <w:proofErr w:type="spellEnd"/>
      <w:r w:rsidR="00615DD7">
        <w:t xml:space="preserve"> (2017)</w:t>
      </w:r>
      <w:r w:rsidR="00B942B9">
        <w:rPr>
          <w:rStyle w:val="FootnoteReference"/>
        </w:rPr>
        <w:footnoteReference w:id="78"/>
      </w:r>
      <w:r w:rsidR="00615DD7">
        <w:t xml:space="preserve"> </w:t>
      </w:r>
      <w:r w:rsidR="007D361B">
        <w:t xml:space="preserve">did when they </w:t>
      </w:r>
      <w:r w:rsidR="00B2432C" w:rsidRPr="00B2432C">
        <w:t>analyse</w:t>
      </w:r>
      <w:r w:rsidR="00B2432C">
        <w:t>d</w:t>
      </w:r>
      <w:r w:rsidR="00B2432C" w:rsidRPr="00B2432C">
        <w:t xml:space="preserve"> </w:t>
      </w:r>
      <w:r w:rsidR="00B942B9">
        <w:t xml:space="preserve">research </w:t>
      </w:r>
      <w:r w:rsidR="00B2432C" w:rsidRPr="00B2432C">
        <w:t xml:space="preserve">evidence about the effectiveness of </w:t>
      </w:r>
      <w:r w:rsidR="00B2432C">
        <w:t xml:space="preserve">policies </w:t>
      </w:r>
      <w:r w:rsidR="00B942B9">
        <w:t>to change attitudes</w:t>
      </w:r>
      <w:r w:rsidR="00B2432C">
        <w:t xml:space="preserve">. </w:t>
      </w:r>
      <w:r w:rsidR="00B942B9">
        <w:t xml:space="preserve">Some </w:t>
      </w:r>
      <w:r w:rsidR="008D015B">
        <w:t xml:space="preserve">of their </w:t>
      </w:r>
      <w:r w:rsidR="00B942B9">
        <w:t xml:space="preserve">conclusions include the following: </w:t>
      </w:r>
    </w:p>
    <w:p w14:paraId="358FC712" w14:textId="77777777" w:rsidR="00B942B9" w:rsidRDefault="00B942B9" w:rsidP="00B942B9">
      <w:pPr>
        <w:pStyle w:val="ListBullet"/>
      </w:pPr>
      <w:r>
        <w:t>S</w:t>
      </w:r>
      <w:r w:rsidR="009256F8" w:rsidRPr="009256F8">
        <w:t>ystemic and large-scale change requires overarching p</w:t>
      </w:r>
      <w:r>
        <w:t xml:space="preserve">olicies at the government level such as </w:t>
      </w:r>
      <w:r w:rsidR="009256F8" w:rsidRPr="009256F8">
        <w:t xml:space="preserve">inclusive education and disability rights legislation. </w:t>
      </w:r>
    </w:p>
    <w:p w14:paraId="67D4C71E" w14:textId="77777777" w:rsidR="00B942B9" w:rsidRDefault="009256F8" w:rsidP="00B2432C">
      <w:pPr>
        <w:pStyle w:val="ListBullet"/>
      </w:pPr>
      <w:r w:rsidRPr="009256F8">
        <w:t>The three levels of policies to change attitudes – personal, organizational and governmental – are equally important, and they interact and reinforce each other</w:t>
      </w:r>
      <w:r w:rsidR="00577AA3">
        <w:t>,</w:t>
      </w:r>
      <w:r w:rsidRPr="009256F8">
        <w:t xml:space="preserve"> </w:t>
      </w:r>
      <w:r w:rsidR="00577AA3">
        <w:t>providing</w:t>
      </w:r>
      <w:r w:rsidRPr="009256F8">
        <w:t xml:space="preserve"> a framework for categorizing policies aimed at changing</w:t>
      </w:r>
      <w:r>
        <w:t xml:space="preserve"> </w:t>
      </w:r>
      <w:r w:rsidRPr="009256F8">
        <w:t>attitudes.</w:t>
      </w:r>
      <w:r>
        <w:rPr>
          <w:rStyle w:val="FootnoteReference"/>
        </w:rPr>
        <w:footnoteReference w:id="79"/>
      </w:r>
      <w:r w:rsidR="00577AA3">
        <w:t xml:space="preserve"> </w:t>
      </w:r>
    </w:p>
    <w:p w14:paraId="68E7B1F9" w14:textId="77777777" w:rsidR="00536708" w:rsidRDefault="00536708" w:rsidP="00536708">
      <w:pPr>
        <w:pStyle w:val="ListBullet"/>
      </w:pPr>
      <w:r>
        <w:t>T</w:t>
      </w:r>
      <w:r w:rsidRPr="00577AA3">
        <w:t xml:space="preserve">argeting policies only at the individual and organizational levels has the disadvantage that only some </w:t>
      </w:r>
      <w:r>
        <w:t xml:space="preserve">disabled people experience the benefits. </w:t>
      </w:r>
    </w:p>
    <w:p w14:paraId="1BA382C3" w14:textId="497D0C01" w:rsidR="000E176A" w:rsidRPr="00B942B9" w:rsidRDefault="008D604E" w:rsidP="00F554D3">
      <w:pPr>
        <w:rPr>
          <w:b/>
        </w:rPr>
      </w:pPr>
      <w:r w:rsidRPr="008D604E">
        <w:rPr>
          <w:b/>
        </w:rPr>
        <w:t xml:space="preserve">Personal level </w:t>
      </w:r>
      <w:r w:rsidR="00044F78">
        <w:rPr>
          <w:b/>
        </w:rPr>
        <w:t>approaches</w:t>
      </w:r>
      <w:r w:rsidR="000E176A">
        <w:t xml:space="preserve"> to </w:t>
      </w:r>
      <w:r w:rsidRPr="008D604E">
        <w:t xml:space="preserve">changing </w:t>
      </w:r>
      <w:r w:rsidR="00536708">
        <w:t xml:space="preserve">negative </w:t>
      </w:r>
      <w:r w:rsidRPr="008D604E">
        <w:t>attitudes of individuals to</w:t>
      </w:r>
      <w:r w:rsidR="00536708">
        <w:t>wards disability</w:t>
      </w:r>
      <w:r w:rsidR="000E176A">
        <w:t xml:space="preserve"> </w:t>
      </w:r>
      <w:r>
        <w:t xml:space="preserve">involve various </w:t>
      </w:r>
      <w:r w:rsidRPr="008D604E">
        <w:t xml:space="preserve">elements in combination: information, education, training, positive portrayal of people with disabilities, and supported opportunities for contact between people with and without disabilities. </w:t>
      </w:r>
      <w:r w:rsidR="000E176A">
        <w:t>The</w:t>
      </w:r>
      <w:r w:rsidR="00340E14">
        <w:t xml:space="preserve">se approaches fall into </w:t>
      </w:r>
      <w:r w:rsidR="000E176A">
        <w:t>three policy types:</w:t>
      </w:r>
      <w:r w:rsidR="00B942B9">
        <w:rPr>
          <w:rStyle w:val="FootnoteReference"/>
        </w:rPr>
        <w:footnoteReference w:id="80"/>
      </w:r>
    </w:p>
    <w:p w14:paraId="6ADC3C7E" w14:textId="77777777" w:rsidR="000E176A" w:rsidRDefault="000E176A" w:rsidP="000E176A">
      <w:pPr>
        <w:pStyle w:val="ListBullet"/>
      </w:pPr>
      <w:r>
        <w:t>A</w:t>
      </w:r>
      <w:r w:rsidR="00F554D3" w:rsidRPr="00F554D3">
        <w:t xml:space="preserve">wareness raising </w:t>
      </w:r>
      <w:r>
        <w:t xml:space="preserve">- </w:t>
      </w:r>
      <w:r w:rsidRPr="000E176A">
        <w:t>information and awa</w:t>
      </w:r>
      <w:r>
        <w:t xml:space="preserve">reness training (Art. 8 CRPD). For example, </w:t>
      </w:r>
      <w:r w:rsidRPr="000E176A">
        <w:t>In</w:t>
      </w:r>
      <w:r>
        <w:t>ternational Day of People with D</w:t>
      </w:r>
      <w:r w:rsidRPr="000E176A">
        <w:t>isabilities on 3 December each year</w:t>
      </w:r>
    </w:p>
    <w:p w14:paraId="1E099CD2" w14:textId="77777777" w:rsidR="000E176A" w:rsidRDefault="000E176A" w:rsidP="000E176A">
      <w:pPr>
        <w:pStyle w:val="ListBullet"/>
      </w:pPr>
      <w:r>
        <w:t>Social contact</w:t>
      </w:r>
    </w:p>
    <w:p w14:paraId="71D1DF41" w14:textId="77777777" w:rsidR="00F554D3" w:rsidRPr="00F554D3" w:rsidRDefault="000E176A" w:rsidP="000E176A">
      <w:pPr>
        <w:pStyle w:val="ListBullet"/>
      </w:pPr>
      <w:r>
        <w:t>P</w:t>
      </w:r>
      <w:r w:rsidR="00F554D3" w:rsidRPr="00F554D3">
        <w:t>ositive portrayal of people with disabil</w:t>
      </w:r>
      <w:r>
        <w:t>ities in the media and the arts</w:t>
      </w:r>
    </w:p>
    <w:p w14:paraId="1B6EBEF2" w14:textId="3661D7FA" w:rsidR="00536708" w:rsidRDefault="00340E14" w:rsidP="00B2432C">
      <w:r>
        <w:t xml:space="preserve">Social psychological </w:t>
      </w:r>
      <w:r w:rsidRPr="008D604E">
        <w:t>theories of persuasion</w:t>
      </w:r>
      <w:r>
        <w:t xml:space="preserve"> </w:t>
      </w:r>
      <w:r w:rsidR="00A72EE6">
        <w:t>inform p</w:t>
      </w:r>
      <w:r w:rsidR="000E176A">
        <w:t xml:space="preserve">ersonal level </w:t>
      </w:r>
      <w:r w:rsidR="00536708">
        <w:t>policy interventions</w:t>
      </w:r>
      <w:r w:rsidR="00A72EE6">
        <w:t>.</w:t>
      </w:r>
      <w:r w:rsidR="008D604E" w:rsidRPr="008D604E">
        <w:t xml:space="preserve"> According to </w:t>
      </w:r>
      <w:r w:rsidR="000E176A">
        <w:t>these theories, persuasion can</w:t>
      </w:r>
      <w:r w:rsidR="008D604E" w:rsidRPr="008D604E">
        <w:t xml:space="preserve"> come from </w:t>
      </w:r>
      <w:r w:rsidR="000E176A">
        <w:t>information that</w:t>
      </w:r>
      <w:r w:rsidR="008D604E" w:rsidRPr="008D604E">
        <w:t xml:space="preserve"> challenge negative thinking and beliefs, ignorance,</w:t>
      </w:r>
      <w:r w:rsidR="000E176A">
        <w:t xml:space="preserve"> myths, fear,</w:t>
      </w:r>
      <w:r w:rsidR="008D604E" w:rsidRPr="008D604E">
        <w:t xml:space="preserve"> misunderstanding, </w:t>
      </w:r>
      <w:r w:rsidR="000E176A">
        <w:t>misperceptions and stereotyping</w:t>
      </w:r>
      <w:r w:rsidR="008D604E" w:rsidRPr="008D604E">
        <w:t>. Clar</w:t>
      </w:r>
      <w:r w:rsidR="00536708">
        <w:t>ity of the message is important with</w:t>
      </w:r>
      <w:r w:rsidR="008D604E" w:rsidRPr="008D604E">
        <w:t xml:space="preserve"> </w:t>
      </w:r>
      <w:r w:rsidR="00A72EE6">
        <w:t xml:space="preserve">easily understood </w:t>
      </w:r>
      <w:r w:rsidR="008D604E" w:rsidRPr="008D604E">
        <w:t xml:space="preserve">information </w:t>
      </w:r>
      <w:r w:rsidR="00536708">
        <w:t xml:space="preserve">that is </w:t>
      </w:r>
      <w:r w:rsidR="008D604E" w:rsidRPr="008D604E">
        <w:t xml:space="preserve">specific about what to do. </w:t>
      </w:r>
    </w:p>
    <w:p w14:paraId="0A688816" w14:textId="77777777" w:rsidR="006000C4" w:rsidRDefault="008D604E" w:rsidP="00536708">
      <w:r w:rsidRPr="008D604E">
        <w:rPr>
          <w:b/>
        </w:rPr>
        <w:t xml:space="preserve">Organizational-level policies </w:t>
      </w:r>
      <w:r w:rsidRPr="008D604E">
        <w:t>attempt to improve attitudes towards people with disabilities in various life domains, such as education, employment and health. Policy types include training, complaints mechanisms and targeted information programmes, which seek to mitigate the power disadvantages experienced by people with disabilities, by changing the behaviour and attitudes of people without disabilities. At the same time, these policies try to empower people with disabilities to claim their rights to equal access and participation. This is consistent with a social investment approach that intends to realize the potential of peopl</w:t>
      </w:r>
      <w:r>
        <w:t>e with disabilities</w:t>
      </w:r>
      <w:r w:rsidRPr="008D604E">
        <w:t>. Effective, long-term improvement of attitudes requires significant levels of combined educational and ex</w:t>
      </w:r>
      <w:r>
        <w:t xml:space="preserve">periential interventions. </w:t>
      </w:r>
      <w:r w:rsidR="00A72EE6">
        <w:t>O</w:t>
      </w:r>
      <w:r w:rsidRPr="008D604E">
        <w:t>rganizational-level initiatives</w:t>
      </w:r>
      <w:r w:rsidR="00A72EE6">
        <w:t>,</w:t>
      </w:r>
      <w:r w:rsidRPr="008D604E">
        <w:t xml:space="preserve"> similar to policies at the personal level</w:t>
      </w:r>
      <w:r w:rsidR="00A72EE6">
        <w:t>,</w:t>
      </w:r>
      <w:r w:rsidRPr="008D604E">
        <w:t xml:space="preserve"> </w:t>
      </w:r>
      <w:r w:rsidR="00A72EE6">
        <w:t xml:space="preserve">are </w:t>
      </w:r>
      <w:r w:rsidRPr="008D604E">
        <w:t>directed at individuals</w:t>
      </w:r>
      <w:r w:rsidR="00A72EE6">
        <w:t>. T</w:t>
      </w:r>
      <w:r w:rsidRPr="008D604E">
        <w:t xml:space="preserve">hey are distinguished through their focus on life domains and types of organizations, such as schools and workplaces. </w:t>
      </w:r>
    </w:p>
    <w:p w14:paraId="5038A672" w14:textId="494580BC" w:rsidR="00536708" w:rsidRDefault="00A72EE6" w:rsidP="00536708">
      <w:r>
        <w:t>G</w:t>
      </w:r>
      <w:r w:rsidR="00536708" w:rsidRPr="00F554D3">
        <w:t>overnments, non-government agencies or advocacy groups</w:t>
      </w:r>
      <w:r>
        <w:t xml:space="preserve"> can develop</w:t>
      </w:r>
      <w:r w:rsidRPr="00A72EE6">
        <w:t xml:space="preserve"> </w:t>
      </w:r>
      <w:r>
        <w:t>p</w:t>
      </w:r>
      <w:r w:rsidRPr="00A72EE6">
        <w:t>ersonal and organizational leve</w:t>
      </w:r>
      <w:r>
        <w:t>l policies.</w:t>
      </w:r>
    </w:p>
    <w:p w14:paraId="28564666" w14:textId="2C934B2B" w:rsidR="00BD06F2" w:rsidRDefault="008D604E" w:rsidP="00536708">
      <w:r w:rsidRPr="008D604E">
        <w:rPr>
          <w:b/>
        </w:rPr>
        <w:t xml:space="preserve">Government-level policies </w:t>
      </w:r>
      <w:r w:rsidR="00514197" w:rsidRPr="00514197">
        <w:t xml:space="preserve">originate from governments, although they may need other agencies and community groups to implement the policies and tailor them to local requirements. Each policy intervention level reinforces the others, and </w:t>
      </w:r>
      <w:r w:rsidR="00A72EE6">
        <w:t xml:space="preserve">one can apply a </w:t>
      </w:r>
      <w:r w:rsidR="00514197" w:rsidRPr="00514197">
        <w:t>polic</w:t>
      </w:r>
      <w:r w:rsidR="00A72EE6">
        <w:t>y</w:t>
      </w:r>
      <w:r w:rsidR="00514197" w:rsidRPr="00514197">
        <w:t xml:space="preserve"> at different levels at the same time.</w:t>
      </w:r>
      <w:r w:rsidR="00514197">
        <w:t xml:space="preserve"> </w:t>
      </w:r>
      <w:r w:rsidR="00514197" w:rsidRPr="00514197">
        <w:t xml:space="preserve">Experience from </w:t>
      </w:r>
      <w:r w:rsidR="00514197">
        <w:t xml:space="preserve">interventions </w:t>
      </w:r>
      <w:r w:rsidR="00514197" w:rsidRPr="00514197">
        <w:t>to change attitudes indicates that a multifaceted and collaborative approach contributes to policy effectiveness</w:t>
      </w:r>
      <w:r w:rsidR="00A72EE6">
        <w:t>.</w:t>
      </w:r>
      <w:r w:rsidR="00514197">
        <w:t xml:space="preserve"> </w:t>
      </w:r>
      <w:r w:rsidR="00514197" w:rsidRPr="00514197">
        <w:t xml:space="preserve">Government-level policies include disability rights legislation and mechanisms to support </w:t>
      </w:r>
      <w:r w:rsidR="00A72EE6">
        <w:t xml:space="preserve">such </w:t>
      </w:r>
      <w:r w:rsidR="00514197" w:rsidRPr="00514197">
        <w:t xml:space="preserve">legislation, </w:t>
      </w:r>
      <w:r w:rsidR="00A72EE6">
        <w:t xml:space="preserve">including </w:t>
      </w:r>
      <w:r w:rsidR="00514197" w:rsidRPr="00514197">
        <w:t>standards, strategies and human rights agencies. Their effectiveness relies on inter</w:t>
      </w:r>
      <w:r w:rsidR="00A72EE6">
        <w:t>-</w:t>
      </w:r>
      <w:r w:rsidR="00514197" w:rsidRPr="00514197">
        <w:t>relationships with the personal and organizational</w:t>
      </w:r>
      <w:r w:rsidR="00A72EE6">
        <w:t xml:space="preserve"> </w:t>
      </w:r>
      <w:r w:rsidR="00514197" w:rsidRPr="00514197">
        <w:t xml:space="preserve">level policy interventions, such as related awareness and training programmes and cooperation across government and community levels. </w:t>
      </w:r>
      <w:r w:rsidR="00CE755A">
        <w:t>Governments initiate</w:t>
      </w:r>
      <w:r>
        <w:t xml:space="preserve"> policies </w:t>
      </w:r>
      <w:r w:rsidRPr="008D604E">
        <w:t xml:space="preserve">to influence attitudes by mandating behaviour change. </w:t>
      </w:r>
      <w:r w:rsidR="004C7A5D">
        <w:t xml:space="preserve">There may be </w:t>
      </w:r>
      <w:r w:rsidRPr="008D604E">
        <w:t xml:space="preserve">policy statements and laws that define actions reflective of positive attitudes, together with the means for implementation and monitoring. This approach assumes that </w:t>
      </w:r>
      <w:r w:rsidR="00165001">
        <w:t xml:space="preserve">mandating </w:t>
      </w:r>
      <w:r w:rsidR="00F554D3" w:rsidRPr="00F554D3">
        <w:t xml:space="preserve">people to change their behaviour </w:t>
      </w:r>
      <w:r w:rsidR="006000C4">
        <w:t xml:space="preserve">will </w:t>
      </w:r>
      <w:r w:rsidR="00F554D3" w:rsidRPr="00F554D3">
        <w:t xml:space="preserve"> eventually change most pe</w:t>
      </w:r>
      <w:r w:rsidR="00F554D3">
        <w:t>ople’s underlying attitudes too.</w:t>
      </w:r>
      <w:r w:rsidR="00F554D3" w:rsidRPr="00F554D3">
        <w:t xml:space="preserve"> Not all people </w:t>
      </w:r>
      <w:r w:rsidR="00F554D3">
        <w:t xml:space="preserve">may change their attitudes but </w:t>
      </w:r>
      <w:r w:rsidR="00F554D3" w:rsidRPr="00F554D3">
        <w:t xml:space="preserve">at the least, they </w:t>
      </w:r>
      <w:r w:rsidR="00165001">
        <w:t xml:space="preserve">have </w:t>
      </w:r>
      <w:r w:rsidR="00F554D3" w:rsidRPr="00F554D3">
        <w:t xml:space="preserve">to change </w:t>
      </w:r>
      <w:r w:rsidR="00165001">
        <w:t xml:space="preserve">any unacceptable </w:t>
      </w:r>
      <w:r w:rsidR="00F554D3" w:rsidRPr="00F554D3">
        <w:t>behaviour</w:t>
      </w:r>
      <w:r w:rsidR="00165001">
        <w:t>s</w:t>
      </w:r>
      <w:r w:rsidR="00F554D3" w:rsidRPr="00F554D3">
        <w:t xml:space="preserve"> in the meantime. In addition, laws that mandate the social and economic integration of people with disabilities provide public confirmation that discrimination ‘is no longer acceptable’</w:t>
      </w:r>
      <w:r w:rsidR="00F554D3">
        <w:t>.</w:t>
      </w:r>
      <w:r w:rsidR="00044F78">
        <w:rPr>
          <w:rStyle w:val="FootnoteReference"/>
        </w:rPr>
        <w:footnoteReference w:id="81"/>
      </w:r>
    </w:p>
    <w:p w14:paraId="364390DE" w14:textId="3F1923D9" w:rsidR="00621785" w:rsidRPr="00536708" w:rsidRDefault="006334D3" w:rsidP="006334D3">
      <w:pPr>
        <w:pStyle w:val="ListBullet"/>
        <w:numPr>
          <w:ilvl w:val="0"/>
          <w:numId w:val="0"/>
        </w:numPr>
      </w:pPr>
      <w:r>
        <w:rPr>
          <w:szCs w:val="26"/>
        </w:rPr>
        <w:t>Below are s</w:t>
      </w:r>
      <w:r w:rsidR="00621785">
        <w:t xml:space="preserve">ome further details on interventions </w:t>
      </w:r>
      <w:r w:rsidR="007D361B">
        <w:t xml:space="preserve">and </w:t>
      </w:r>
      <w:r w:rsidR="005260A0">
        <w:t xml:space="preserve">details of some of </w:t>
      </w:r>
      <w:r w:rsidR="007D361B" w:rsidRPr="007D361B">
        <w:t xml:space="preserve">the theories behind </w:t>
      </w:r>
      <w:r w:rsidR="007D361B">
        <w:t xml:space="preserve">the </w:t>
      </w:r>
      <w:r w:rsidR="007D361B" w:rsidRPr="007D361B">
        <w:t>interventions</w:t>
      </w:r>
      <w:r>
        <w:t>.</w:t>
      </w:r>
      <w:r w:rsidR="00621785">
        <w:t xml:space="preserve"> </w:t>
      </w:r>
    </w:p>
    <w:p w14:paraId="59196B0A" w14:textId="26A0E868" w:rsidR="00BD06F2" w:rsidRPr="00BD06F2" w:rsidRDefault="008030E7" w:rsidP="00C32B61">
      <w:pPr>
        <w:pStyle w:val="Heading2"/>
      </w:pPr>
      <w:bookmarkStart w:id="11" w:name="_Toc122447202"/>
      <w:r>
        <w:t xml:space="preserve">Examples of </w:t>
      </w:r>
      <w:r w:rsidR="000138D6">
        <w:t>i</w:t>
      </w:r>
      <w:r w:rsidR="00E23388">
        <w:t>nterventions</w:t>
      </w:r>
      <w:r w:rsidR="005364D5">
        <w:t xml:space="preserve"> to</w:t>
      </w:r>
      <w:r w:rsidR="00E23388">
        <w:t xml:space="preserve"> </w:t>
      </w:r>
      <w:r w:rsidR="0086260E">
        <w:t>chang</w:t>
      </w:r>
      <w:r w:rsidR="005364D5">
        <w:t>e</w:t>
      </w:r>
      <w:r w:rsidR="0086260E">
        <w:t xml:space="preserve"> attitudes</w:t>
      </w:r>
      <w:bookmarkEnd w:id="11"/>
    </w:p>
    <w:p w14:paraId="7C5E8F67" w14:textId="7941ADF9" w:rsidR="005364D5" w:rsidRDefault="005364D5" w:rsidP="005364D5">
      <w:pPr>
        <w:pStyle w:val="Heading3"/>
      </w:pPr>
      <w:bookmarkStart w:id="12" w:name="_Toc122447203"/>
      <w:r>
        <w:t>Australia’s 2021-2031 strategy to tackle negative attitudes to disability</w:t>
      </w:r>
      <w:bookmarkEnd w:id="12"/>
    </w:p>
    <w:p w14:paraId="52B04C8E" w14:textId="1D2A00A1" w:rsidR="005364D5" w:rsidRDefault="00417928" w:rsidP="005364D5">
      <w:r>
        <w:t xml:space="preserve">This strategy </w:t>
      </w:r>
      <w:r w:rsidR="005364D5">
        <w:t>has a Community Attitudes Outcome</w:t>
      </w:r>
      <w:r w:rsidR="004C7A5D">
        <w:t>,</w:t>
      </w:r>
      <w:r w:rsidR="005364D5">
        <w:t xml:space="preserve"> which is that c</w:t>
      </w:r>
      <w:r w:rsidR="005364D5" w:rsidRPr="009B3D8A">
        <w:t xml:space="preserve">ommunity attitudes </w:t>
      </w:r>
      <w:r w:rsidR="005364D5">
        <w:t xml:space="preserve">will </w:t>
      </w:r>
      <w:r w:rsidR="005364D5" w:rsidRPr="009B3D8A">
        <w:t xml:space="preserve">support equality, inclusion and participation in society for </w:t>
      </w:r>
      <w:r w:rsidR="005364D5">
        <w:t>disabled people.</w:t>
      </w:r>
      <w:r w:rsidR="005364D5">
        <w:rPr>
          <w:rStyle w:val="FootnoteReference"/>
        </w:rPr>
        <w:footnoteReference w:id="82"/>
      </w:r>
      <w:r w:rsidR="005364D5" w:rsidRPr="00FA59A0">
        <w:t xml:space="preserve"> </w:t>
      </w:r>
      <w:r w:rsidR="005364D5">
        <w:t>An Outcomes Framework and f</w:t>
      </w:r>
      <w:r w:rsidR="005364D5" w:rsidRPr="000A141B">
        <w:t xml:space="preserve">ive Targeted Action Plans </w:t>
      </w:r>
      <w:r w:rsidR="005364D5">
        <w:t>accompany the Strategy. To attain the Community Attitudes outcome of supporting equality, inclusion and participation, there are four policy priorities in the strategy:</w:t>
      </w:r>
    </w:p>
    <w:p w14:paraId="5075B5A2" w14:textId="77777777" w:rsidR="005364D5" w:rsidRDefault="005364D5" w:rsidP="005364D5">
      <w:pPr>
        <w:pStyle w:val="ListBullet"/>
      </w:pPr>
      <w:r w:rsidRPr="00BB404C">
        <w:t xml:space="preserve">Increase representation of people with disability in leadership roles </w:t>
      </w:r>
      <w:r>
        <w:t>[“T</w:t>
      </w:r>
      <w:r w:rsidRPr="00BB404C">
        <w:t>he best challenge to deeply rooted exclusionary attitudes and prejudices is everyday conta</w:t>
      </w:r>
      <w:r>
        <w:t xml:space="preserve">ct with people with disability.” - </w:t>
      </w:r>
      <w:r w:rsidRPr="00BB404C">
        <w:t>Off</w:t>
      </w:r>
      <w:r>
        <w:t>ice of the Public Advocate 2020</w:t>
      </w:r>
      <w:r>
        <w:rPr>
          <w:rStyle w:val="FootnoteReference"/>
        </w:rPr>
        <w:footnoteReference w:id="83"/>
      </w:r>
      <w:r>
        <w:t xml:space="preserve"> and </w:t>
      </w:r>
      <w:r w:rsidRPr="00BB404C">
        <w:t>“The most effective way to improve community attitudes is to increase levels of inclusion of people with disability in all aspects of society, particularly education, employment, lea</w:t>
      </w:r>
      <w:r>
        <w:t>dership roles, and the media.” -</w:t>
      </w:r>
      <w:r w:rsidRPr="00BB404C">
        <w:t>Centre of Research Excellenc</w:t>
      </w:r>
      <w:r>
        <w:t>e in Disability and Health 2020</w:t>
      </w:r>
      <w:r>
        <w:rPr>
          <w:rStyle w:val="FootnoteReference"/>
        </w:rPr>
        <w:footnoteReference w:id="84"/>
      </w:r>
      <w:r>
        <w:t>]</w:t>
      </w:r>
    </w:p>
    <w:p w14:paraId="4EC5DDB8" w14:textId="752B9C4D" w:rsidR="005364D5" w:rsidRDefault="005364D5" w:rsidP="005364D5">
      <w:pPr>
        <w:pStyle w:val="ListBullet"/>
      </w:pPr>
      <w:r w:rsidRPr="004E5A77">
        <w:t>Employers value the contribution people with disability make to the workforce, and recognise the benefits of </w:t>
      </w:r>
      <w:r>
        <w:t>employing people with disability [</w:t>
      </w:r>
      <w:r w:rsidRPr="00F46C67">
        <w:t>In a 2011 study from the Organisation for Economic Co-operation and Development (OECD), Australia ranked 21st out of 29 countries in terms of the employment of people with disability.</w:t>
      </w:r>
      <w:r w:rsidR="00145C1E">
        <w:t>]</w:t>
      </w:r>
      <w:r w:rsidRPr="00F46C67">
        <w:t> </w:t>
      </w:r>
    </w:p>
    <w:p w14:paraId="17D7BBD4" w14:textId="77777777" w:rsidR="005364D5" w:rsidRDefault="005364D5" w:rsidP="005364D5">
      <w:pPr>
        <w:pStyle w:val="ListBullet"/>
      </w:pPr>
      <w:r w:rsidRPr="004E5A77">
        <w:t>Key professional workforces are able to confidently and positively respond to people with disability</w:t>
      </w:r>
    </w:p>
    <w:p w14:paraId="4A4D81A4" w14:textId="77777777" w:rsidR="005364D5" w:rsidRDefault="005364D5" w:rsidP="005364D5">
      <w:pPr>
        <w:pStyle w:val="ListBullet"/>
      </w:pPr>
      <w:r w:rsidRPr="00522E69">
        <w:t>Improving community attitudes to positively impact on Policy Priorities under the Strategy</w:t>
      </w:r>
    </w:p>
    <w:p w14:paraId="1A735150" w14:textId="77777777" w:rsidR="005364D5" w:rsidRPr="005D3067" w:rsidRDefault="005364D5" w:rsidP="005364D5">
      <w:pPr>
        <w:tabs>
          <w:tab w:val="num" w:pos="720"/>
        </w:tabs>
      </w:pPr>
      <w:r w:rsidRPr="005D3067">
        <w:t>The Royal Commission into Violence, Abuse, Neglect and Exploitation of People with Disability (Royal Commission) in Australia (2022) summarised effective ways to change negative attitudes and associated behaviours so that disabled persons are included in society.</w:t>
      </w:r>
      <w:r w:rsidRPr="005D3067">
        <w:rPr>
          <w:rFonts w:ascii="Gill Sans" w:hAnsi="Gill Sans"/>
          <w:sz w:val="22"/>
          <w:vertAlign w:val="superscript"/>
        </w:rPr>
        <w:footnoteReference w:id="85"/>
      </w:r>
      <w:r w:rsidRPr="005D3067">
        <w:t xml:space="preserve"> </w:t>
      </w:r>
      <w:r>
        <w:t>I</w:t>
      </w:r>
      <w:r w:rsidRPr="005D3067">
        <w:t xml:space="preserve">nterventions need to target individuals, organisations and communities to change attitudes, behaviours and outcomes. The research evidence found that effective interventions used a combination of regulation, guidelines, persuasion and modelling and that structural interventions led by government </w:t>
      </w:r>
      <w:r>
        <w:t xml:space="preserve">are </w:t>
      </w:r>
      <w:r w:rsidRPr="005D3067">
        <w:t xml:space="preserve">important for successful outcomes. </w:t>
      </w:r>
      <w:r>
        <w:t>T</w:t>
      </w:r>
      <w:r w:rsidRPr="005D3067">
        <w:t>he following elements</w:t>
      </w:r>
      <w:r>
        <w:t xml:space="preserve"> are required</w:t>
      </w:r>
      <w:r w:rsidRPr="005D3067">
        <w:t>:</w:t>
      </w:r>
      <w:r w:rsidRPr="005D3067">
        <w:rPr>
          <w:rFonts w:ascii="Gill Sans" w:hAnsi="Gill Sans"/>
          <w:sz w:val="22"/>
          <w:vertAlign w:val="superscript"/>
        </w:rPr>
        <w:footnoteReference w:id="86"/>
      </w:r>
    </w:p>
    <w:p w14:paraId="550330A5" w14:textId="77777777" w:rsidR="005364D5" w:rsidRPr="005D3067" w:rsidRDefault="005364D5" w:rsidP="005364D5">
      <w:pPr>
        <w:numPr>
          <w:ilvl w:val="0"/>
          <w:numId w:val="1"/>
        </w:numPr>
        <w:spacing w:before="120" w:after="120"/>
      </w:pPr>
      <w:r w:rsidRPr="005D3067">
        <w:t xml:space="preserve">The active presence of a diversity of disabled people in all life domains, including inclusive schooling, employment and communities (contact). </w:t>
      </w:r>
    </w:p>
    <w:p w14:paraId="766E07D3" w14:textId="1F078853" w:rsidR="005364D5" w:rsidRPr="005D3067" w:rsidRDefault="005364D5" w:rsidP="005364D5">
      <w:pPr>
        <w:numPr>
          <w:ilvl w:val="0"/>
          <w:numId w:val="1"/>
        </w:numPr>
        <w:spacing w:before="120" w:after="120"/>
      </w:pPr>
      <w:r w:rsidRPr="005D3067">
        <w:t xml:space="preserve">Leadership by disabled people and by organisations and government that highlights the diverse contribution of disabled people. </w:t>
      </w:r>
    </w:p>
    <w:p w14:paraId="762F1A57" w14:textId="77777777" w:rsidR="005364D5" w:rsidRPr="005D3067" w:rsidRDefault="005364D5" w:rsidP="005364D5">
      <w:pPr>
        <w:numPr>
          <w:ilvl w:val="0"/>
          <w:numId w:val="1"/>
        </w:numPr>
        <w:spacing w:before="120" w:after="120"/>
      </w:pPr>
      <w:r w:rsidRPr="005D3067">
        <w:t>Targeting multiple levels and types of policy and interventions based on information and education in a holistic approach to system and attitude change.</w:t>
      </w:r>
    </w:p>
    <w:p w14:paraId="08128301" w14:textId="77777777" w:rsidR="005364D5" w:rsidRPr="005D3067" w:rsidRDefault="005364D5" w:rsidP="005364D5">
      <w:pPr>
        <w:numPr>
          <w:ilvl w:val="0"/>
          <w:numId w:val="1"/>
        </w:numPr>
        <w:spacing w:before="120" w:after="120"/>
      </w:pPr>
      <w:r w:rsidRPr="005D3067">
        <w:t xml:space="preserve">The implementation of long-term approaches with adequate resourcing to achieve structural and sustained changes in attitudes and behaviours. </w:t>
      </w:r>
    </w:p>
    <w:p w14:paraId="49387988" w14:textId="77777777" w:rsidR="005364D5" w:rsidRPr="005D3067" w:rsidRDefault="005364D5" w:rsidP="005364D5">
      <w:pPr>
        <w:numPr>
          <w:ilvl w:val="0"/>
          <w:numId w:val="1"/>
        </w:numPr>
        <w:spacing w:before="120" w:after="120"/>
      </w:pPr>
      <w:r w:rsidRPr="005D3067">
        <w:t>Measuring and monitoring attitudes and behaviour and conducting research that inform decisions on interventions and accountability across organisations.</w:t>
      </w:r>
    </w:p>
    <w:p w14:paraId="3F2C4908" w14:textId="2919FCED" w:rsidR="003B142C" w:rsidRDefault="00584A4F" w:rsidP="00C32B61">
      <w:pPr>
        <w:pStyle w:val="Heading3"/>
      </w:pPr>
      <w:bookmarkStart w:id="13" w:name="_Toc122447204"/>
      <w:r>
        <w:t>I</w:t>
      </w:r>
      <w:r w:rsidR="003B142C">
        <w:t>ntergroup contact theory</w:t>
      </w:r>
      <w:r w:rsidR="005364D5">
        <w:t>:</w:t>
      </w:r>
      <w:r w:rsidR="002A42F1">
        <w:t xml:space="preserve"> </w:t>
      </w:r>
      <w:r w:rsidR="005364D5">
        <w:t xml:space="preserve">the </w:t>
      </w:r>
      <w:r w:rsidR="003B142C">
        <w:t xml:space="preserve">contact </w:t>
      </w:r>
      <w:r w:rsidR="003B142C" w:rsidRPr="0040107F">
        <w:t>hypothesis</w:t>
      </w:r>
      <w:bookmarkEnd w:id="13"/>
    </w:p>
    <w:p w14:paraId="2B6F38FD" w14:textId="141BCCC9" w:rsidR="00E97D9E" w:rsidRPr="00E97D9E" w:rsidRDefault="006522A9" w:rsidP="00BE2566">
      <w:r>
        <w:t>R</w:t>
      </w:r>
      <w:r w:rsidR="009A1C1D" w:rsidRPr="005D3067">
        <w:t xml:space="preserve">esearch </w:t>
      </w:r>
      <w:r>
        <w:t>continues</w:t>
      </w:r>
      <w:r w:rsidR="009A1C1D">
        <w:t xml:space="preserve"> </w:t>
      </w:r>
      <w:r w:rsidR="009A1C1D" w:rsidRPr="005D3067">
        <w:t xml:space="preserve">to </w:t>
      </w:r>
      <w:r>
        <w:t xml:space="preserve">confirm </w:t>
      </w:r>
      <w:r w:rsidR="009A1C1D" w:rsidRPr="005D3067">
        <w:t xml:space="preserve">Gordon </w:t>
      </w:r>
      <w:proofErr w:type="spellStart"/>
      <w:r w:rsidR="009A1C1D" w:rsidRPr="005D3067">
        <w:t>Allport’s</w:t>
      </w:r>
      <w:proofErr w:type="spellEnd"/>
      <w:r w:rsidR="009A1C1D" w:rsidRPr="005D3067">
        <w:t xml:space="preserve"> ‘</w:t>
      </w:r>
      <w:r>
        <w:t xml:space="preserve">intergroup </w:t>
      </w:r>
      <w:r w:rsidR="009A1C1D" w:rsidRPr="005D3067">
        <w:t xml:space="preserve">contact hypothesis’ </w:t>
      </w:r>
      <w:r>
        <w:t>(1954)</w:t>
      </w:r>
      <w:r w:rsidR="004C7A5D">
        <w:t>, which is</w:t>
      </w:r>
      <w:r>
        <w:t xml:space="preserve"> </w:t>
      </w:r>
      <w:r w:rsidR="009A1C1D" w:rsidRPr="005D3067">
        <w:t xml:space="preserve">that interpersonal </w:t>
      </w:r>
      <w:r>
        <w:t xml:space="preserve">group </w:t>
      </w:r>
      <w:r w:rsidR="009A1C1D" w:rsidRPr="005D3067">
        <w:t xml:space="preserve">contact promotes </w:t>
      </w:r>
      <w:r w:rsidR="009A1C1D" w:rsidRPr="005D3067">
        <w:rPr>
          <w:bCs/>
        </w:rPr>
        <w:t>tolerance and accep</w:t>
      </w:r>
      <w:r>
        <w:rPr>
          <w:bCs/>
        </w:rPr>
        <w:t>tance under certain conditions</w:t>
      </w:r>
      <w:r w:rsidR="004C7A5D">
        <w:rPr>
          <w:bCs/>
        </w:rPr>
        <w:t>. A</w:t>
      </w:r>
      <w:r>
        <w:rPr>
          <w:bCs/>
        </w:rPr>
        <w:t xml:space="preserve">nd, indeed, </w:t>
      </w:r>
      <w:r w:rsidR="007D518F">
        <w:rPr>
          <w:bCs/>
        </w:rPr>
        <w:t xml:space="preserve">research </w:t>
      </w:r>
      <w:r w:rsidR="004C7A5D">
        <w:rPr>
          <w:bCs/>
        </w:rPr>
        <w:t xml:space="preserve">confirms that </w:t>
      </w:r>
      <w:r>
        <w:rPr>
          <w:bCs/>
        </w:rPr>
        <w:t>personal contact outside group situations</w:t>
      </w:r>
      <w:r w:rsidR="007D518F">
        <w:rPr>
          <w:bCs/>
        </w:rPr>
        <w:t xml:space="preserve"> impacts on attitudes</w:t>
      </w:r>
      <w:r>
        <w:rPr>
          <w:bCs/>
        </w:rPr>
        <w:t xml:space="preserve">. </w:t>
      </w:r>
      <w:proofErr w:type="spellStart"/>
      <w:r w:rsidR="009A1C1D" w:rsidRPr="005D3067">
        <w:rPr>
          <w:bCs/>
        </w:rPr>
        <w:t>Allport</w:t>
      </w:r>
      <w:proofErr w:type="spellEnd"/>
      <w:r w:rsidR="009A1C1D" w:rsidRPr="005D3067">
        <w:rPr>
          <w:bCs/>
        </w:rPr>
        <w:t xml:space="preserve"> considered </w:t>
      </w:r>
      <w:r>
        <w:rPr>
          <w:bCs/>
        </w:rPr>
        <w:t xml:space="preserve">that </w:t>
      </w:r>
      <w:r w:rsidR="009A1C1D" w:rsidRPr="005D3067">
        <w:rPr>
          <w:bCs/>
        </w:rPr>
        <w:t xml:space="preserve">conditions such as </w:t>
      </w:r>
      <w:r w:rsidR="009A1C1D" w:rsidRPr="005D3067">
        <w:t xml:space="preserve">equal status among groups, common goals and collaboration as necessary </w:t>
      </w:r>
      <w:r w:rsidR="00BE2566">
        <w:t xml:space="preserve">if </w:t>
      </w:r>
      <w:r w:rsidR="009A1C1D" w:rsidRPr="005D3067">
        <w:t xml:space="preserve">contact </w:t>
      </w:r>
      <w:r w:rsidR="00BE2566">
        <w:t xml:space="preserve">was </w:t>
      </w:r>
      <w:r w:rsidR="009A1C1D" w:rsidRPr="005D3067">
        <w:t>to generate acceptance and positive atti</w:t>
      </w:r>
      <w:r w:rsidR="00666438">
        <w:t>tudes. However, Pettigrew et al</w:t>
      </w:r>
      <w:r w:rsidR="009A1C1D" w:rsidRPr="005D3067">
        <w:t xml:space="preserve"> (</w:t>
      </w:r>
      <w:r w:rsidR="007D518F">
        <w:t>2005</w:t>
      </w:r>
      <w:r w:rsidR="009A1C1D" w:rsidRPr="005D3067">
        <w:t>) aggregated the effects of contact over 516 studies</w:t>
      </w:r>
      <w:r>
        <w:t xml:space="preserve"> and found</w:t>
      </w:r>
      <w:r w:rsidR="009A1C1D" w:rsidRPr="005D3067">
        <w:t xml:space="preserve"> a significant relationship between contact and the reduction of prejudice regardless of conditions.</w:t>
      </w:r>
      <w:r w:rsidR="007D518F">
        <w:rPr>
          <w:rStyle w:val="FootnoteReference"/>
        </w:rPr>
        <w:footnoteReference w:id="87"/>
      </w:r>
      <w:r w:rsidR="009A1C1D" w:rsidRPr="005D3067">
        <w:t xml:space="preserve"> </w:t>
      </w:r>
      <w:r w:rsidR="00137B7B">
        <w:t>While changes are significant for disabled people</w:t>
      </w:r>
      <w:r w:rsidR="004C7A5D">
        <w:t>,</w:t>
      </w:r>
      <w:r w:rsidR="00137B7B">
        <w:t xml:space="preserve"> changes are much greater for racial and ethnic groups and greatest of all for contact between heterosexuals and gay and lesbians. </w:t>
      </w:r>
      <w:r w:rsidR="00666438" w:rsidRPr="005D3067">
        <w:t xml:space="preserve">Thus, increased contact generally leads to greater understanding between groups although the positive effect is larger when the extra conditions </w:t>
      </w:r>
      <w:r w:rsidR="003330EC">
        <w:t xml:space="preserve">specified by </w:t>
      </w:r>
      <w:proofErr w:type="spellStart"/>
      <w:r w:rsidR="003330EC">
        <w:t>Allport</w:t>
      </w:r>
      <w:proofErr w:type="spellEnd"/>
      <w:r w:rsidR="003330EC">
        <w:t xml:space="preserve"> </w:t>
      </w:r>
      <w:r w:rsidR="00666438" w:rsidRPr="005D3067">
        <w:t>are met</w:t>
      </w:r>
      <w:r w:rsidR="003330EC">
        <w:t>, that is, equal status, common goals and collaboration</w:t>
      </w:r>
      <w:r w:rsidR="00666438" w:rsidRPr="005D3067">
        <w:t xml:space="preserve">. </w:t>
      </w:r>
      <w:r w:rsidR="00FA57EA" w:rsidRPr="00BE2566">
        <w:t xml:space="preserve">In both controlled and field settings, intergroup contact theory results in favourable attitude change where race, ethnicity, mental illness, age, people with HIV/AIDs, LGBTQ individuals, and </w:t>
      </w:r>
      <w:r w:rsidR="00FA57EA">
        <w:t xml:space="preserve">disabled people </w:t>
      </w:r>
      <w:r w:rsidR="00FA57EA" w:rsidRPr="00BE2566">
        <w:t>are concerned.</w:t>
      </w:r>
      <w:r w:rsidR="00FA57EA" w:rsidRPr="00BE2566">
        <w:rPr>
          <w:vertAlign w:val="superscript"/>
        </w:rPr>
        <w:footnoteReference w:id="88"/>
      </w:r>
      <w:r w:rsidR="00FA57EA">
        <w:t xml:space="preserve"> </w:t>
      </w:r>
      <w:r w:rsidR="00CE3727" w:rsidRPr="00CE3727">
        <w:t xml:space="preserve">The </w:t>
      </w:r>
      <w:r w:rsidR="008054AD">
        <w:t>meta-</w:t>
      </w:r>
      <w:r w:rsidR="00CE3727" w:rsidRPr="00CE3727">
        <w:t>an</w:t>
      </w:r>
      <w:r w:rsidR="008054AD">
        <w:t>alyses of Pettigrew et al.</w:t>
      </w:r>
      <w:r w:rsidR="007D518F">
        <w:rPr>
          <w:rStyle w:val="FootnoteReference"/>
        </w:rPr>
        <w:footnoteReference w:id="89"/>
      </w:r>
      <w:r w:rsidR="00CE3727" w:rsidRPr="00CE3727">
        <w:t xml:space="preserve"> found that contact worked by altering emotions, with approximately 21% of the effect of contact mediated by reducing anxiety.</w:t>
      </w:r>
      <w:r w:rsidR="00FA57EA">
        <w:t xml:space="preserve"> </w:t>
      </w:r>
      <w:r w:rsidR="00666438">
        <w:t>E</w:t>
      </w:r>
      <w:r w:rsidR="00666438" w:rsidRPr="00666438">
        <w:t xml:space="preserve">mpathy had a strong mediation value </w:t>
      </w:r>
      <w:r w:rsidR="00666438">
        <w:t>accounting</w:t>
      </w:r>
      <w:r w:rsidR="00666438" w:rsidRPr="00666438">
        <w:t xml:space="preserve"> for the positive association between intergroup </w:t>
      </w:r>
      <w:r w:rsidR="00666438">
        <w:t>contact and prejudice reduction.</w:t>
      </w:r>
      <w:r w:rsidR="00CE3727">
        <w:rPr>
          <w:rStyle w:val="FootnoteReference"/>
        </w:rPr>
        <w:footnoteReference w:id="90"/>
      </w:r>
    </w:p>
    <w:p w14:paraId="2EC51AC7" w14:textId="77777777" w:rsidR="00853D29" w:rsidRDefault="00853D29" w:rsidP="00853D29">
      <w:pPr>
        <w:pStyle w:val="Heading3"/>
      </w:pPr>
      <w:bookmarkStart w:id="14" w:name="_Toc122447205"/>
      <w:r>
        <w:t>Contact in ordinary life</w:t>
      </w:r>
      <w:bookmarkEnd w:id="14"/>
    </w:p>
    <w:p w14:paraId="5AA10508" w14:textId="77777777" w:rsidR="0088544A" w:rsidRDefault="00853D29" w:rsidP="00B36895">
      <w:r>
        <w:t xml:space="preserve">What research also continues to confirm is that ordinary daily contact changes attitudes. </w:t>
      </w:r>
      <w:r w:rsidR="0088544A">
        <w:t>For example,</w:t>
      </w:r>
      <w:r>
        <w:t xml:space="preserve"> recent research studies include the following:</w:t>
      </w:r>
      <w:r w:rsidR="0088544A">
        <w:t xml:space="preserve"> </w:t>
      </w:r>
    </w:p>
    <w:p w14:paraId="5153116A" w14:textId="77777777" w:rsidR="00145C1E" w:rsidRDefault="0088544A" w:rsidP="00564073">
      <w:pPr>
        <w:pStyle w:val="ListBullet"/>
        <w:numPr>
          <w:ilvl w:val="0"/>
          <w:numId w:val="0"/>
        </w:numPr>
      </w:pPr>
      <w:r>
        <w:t xml:space="preserve">A </w:t>
      </w:r>
      <w:r w:rsidR="00BE2566" w:rsidRPr="005D3067">
        <w:t>2021 systematic review of factors associated with public attitudes towards people with various disabilities</w:t>
      </w:r>
      <w:r w:rsidR="00BE2566" w:rsidRPr="005D3067">
        <w:rPr>
          <w:rFonts w:ascii="Gill Sans" w:hAnsi="Gill Sans"/>
          <w:sz w:val="22"/>
          <w:vertAlign w:val="superscript"/>
        </w:rPr>
        <w:footnoteReference w:id="91"/>
      </w:r>
      <w:r w:rsidR="00BE2566" w:rsidRPr="005D3067">
        <w:t xml:space="preserve"> found that the </w:t>
      </w:r>
    </w:p>
    <w:p w14:paraId="03143DA3" w14:textId="348A139F" w:rsidR="00145C1E" w:rsidRDefault="00145C1E" w:rsidP="00145C1E">
      <w:pPr>
        <w:pStyle w:val="ListBullet"/>
      </w:pPr>
      <w:r>
        <w:t xml:space="preserve">The </w:t>
      </w:r>
      <w:r w:rsidR="00BE2566" w:rsidRPr="005D3067">
        <w:t xml:space="preserve">frequency and quality of contact with </w:t>
      </w:r>
      <w:r w:rsidR="00BE2566">
        <w:t xml:space="preserve">disabled </w:t>
      </w:r>
      <w:r w:rsidR="00BE2566" w:rsidRPr="005D3067">
        <w:t>persons improved attitudes</w:t>
      </w:r>
    </w:p>
    <w:p w14:paraId="6E4ADB58" w14:textId="6AC0DFAF" w:rsidR="00BE2566" w:rsidRDefault="00145C1E" w:rsidP="00145C1E">
      <w:pPr>
        <w:pStyle w:val="ListBullet"/>
      </w:pPr>
      <w:r>
        <w:t>T</w:t>
      </w:r>
      <w:r w:rsidR="00BE2566" w:rsidRPr="005D3067">
        <w:t xml:space="preserve">he more people know about disabilities, the more likely they are to have positive attitudes. </w:t>
      </w:r>
    </w:p>
    <w:p w14:paraId="48CDBE32" w14:textId="098C014E" w:rsidR="00322EE0" w:rsidRDefault="00322EE0" w:rsidP="00564073">
      <w:pPr>
        <w:pStyle w:val="ListBullet"/>
        <w:numPr>
          <w:ilvl w:val="0"/>
          <w:numId w:val="0"/>
        </w:numPr>
      </w:pPr>
      <w:r w:rsidRPr="005D3067">
        <w:t>A 2021 cross-sectional survey among a nationally representative sa</w:t>
      </w:r>
      <w:r>
        <w:t xml:space="preserve">mple of the Dutch population </w:t>
      </w:r>
      <w:r w:rsidRPr="005D3067">
        <w:t>explore</w:t>
      </w:r>
      <w:r>
        <w:t>d</w:t>
      </w:r>
      <w:r w:rsidRPr="005D3067">
        <w:t xml:space="preserve"> relationships between different measures of stigma and levels of familiarity with persons with intellectual disability.</w:t>
      </w:r>
      <w:r w:rsidRPr="005D3067">
        <w:rPr>
          <w:rFonts w:ascii="Gill Sans" w:hAnsi="Gill Sans"/>
          <w:sz w:val="22"/>
          <w:vertAlign w:val="superscript"/>
        </w:rPr>
        <w:footnoteReference w:id="92"/>
      </w:r>
      <w:r w:rsidRPr="005D3067">
        <w:t xml:space="preserve"> Participants who reported no familiarity (31% of the sample) had higher levels of stigmatisation of persons with intellectual disabilities than participants who reported any form of real-life familiarity (69% of the sample). Fear was the most important mediator of the relationship between familiarity and discrimination.</w:t>
      </w:r>
      <w:r w:rsidRPr="005D3067">
        <w:rPr>
          <w:rFonts w:ascii="Gill Sans" w:hAnsi="Gill Sans"/>
          <w:sz w:val="22"/>
          <w:vertAlign w:val="superscript"/>
        </w:rPr>
        <w:footnoteReference w:id="93"/>
      </w:r>
      <w:r w:rsidRPr="005D3067">
        <w:t xml:space="preserve"> </w:t>
      </w:r>
    </w:p>
    <w:p w14:paraId="18066E7D" w14:textId="5B1ACF59" w:rsidR="004C2D12" w:rsidRDefault="00FA57EA" w:rsidP="00564073">
      <w:pPr>
        <w:pStyle w:val="ListBullet"/>
        <w:numPr>
          <w:ilvl w:val="0"/>
          <w:numId w:val="0"/>
        </w:numPr>
      </w:pPr>
      <w:r>
        <w:t>In a 2022 systematic review of attitudes of students, c</w:t>
      </w:r>
      <w:r w:rsidR="004D14DA" w:rsidRPr="004D14DA">
        <w:t xml:space="preserve">ontact </w:t>
      </w:r>
      <w:r w:rsidR="001E217D">
        <w:t xml:space="preserve">created </w:t>
      </w:r>
      <w:r w:rsidR="004D14DA" w:rsidRPr="004D14DA">
        <w:t>positive attitudes toward disability</w:t>
      </w:r>
      <w:r w:rsidR="003F1023">
        <w:t xml:space="preserve">. One study in this review </w:t>
      </w:r>
      <w:r w:rsidR="003F1023" w:rsidRPr="004D14DA">
        <w:t>reported that larger inclusive classes were associated with more positive attitudes toward disability than smaller classes.</w:t>
      </w:r>
      <w:r w:rsidR="003F1023">
        <w:rPr>
          <w:rStyle w:val="FootnoteReference"/>
        </w:rPr>
        <w:footnoteReference w:id="94"/>
      </w:r>
      <w:r w:rsidR="003F1023" w:rsidRPr="004D14DA">
        <w:t xml:space="preserve"> </w:t>
      </w:r>
      <w:r w:rsidR="003F1023">
        <w:t>However, another study</w:t>
      </w:r>
      <w:r w:rsidR="003F1023" w:rsidRPr="004D14DA">
        <w:t xml:space="preserve">, </w:t>
      </w:r>
      <w:r w:rsidR="003F1023">
        <w:t xml:space="preserve">found that having students </w:t>
      </w:r>
      <w:r w:rsidR="003F1023" w:rsidRPr="004D14DA">
        <w:t>with exceptionalities present in the same learning space was not associated with more positive attitudes toward disability,</w:t>
      </w:r>
      <w:r w:rsidR="003F1023" w:rsidRPr="003F1023">
        <w:t xml:space="preserve"> </w:t>
      </w:r>
      <w:r w:rsidR="003F1023">
        <w:t>but that engaging student</w:t>
      </w:r>
      <w:r w:rsidR="003F1023" w:rsidRPr="004D14DA">
        <w:t>s in a voluntary joint activity was associated with more positive attitudes.</w:t>
      </w:r>
      <w:r w:rsidR="003F1023">
        <w:rPr>
          <w:rStyle w:val="FootnoteReference"/>
        </w:rPr>
        <w:footnoteReference w:id="95"/>
      </w:r>
      <w:r w:rsidR="004C2D12">
        <w:t xml:space="preserve"> Generally having </w:t>
      </w:r>
      <w:r w:rsidR="004D14DA" w:rsidRPr="004D14DA">
        <w:t xml:space="preserve">a friend with a disability was found to be associated with more positive attitudes toward disability </w:t>
      </w:r>
      <w:r w:rsidR="004C2D12">
        <w:t>but the research suggests that the relationship between attitudes and friendship is complicated and multifactorial.</w:t>
      </w:r>
      <w:r w:rsidR="004C2D12">
        <w:rPr>
          <w:rStyle w:val="FootnoteReference"/>
        </w:rPr>
        <w:footnoteReference w:id="96"/>
      </w:r>
      <w:r w:rsidR="004C2D12">
        <w:t xml:space="preserve">  </w:t>
      </w:r>
    </w:p>
    <w:p w14:paraId="2AC5365E" w14:textId="2D1321AD" w:rsidR="00AD3B19" w:rsidRPr="00AD3B19" w:rsidRDefault="009A1C1D" w:rsidP="00564073">
      <w:pPr>
        <w:pStyle w:val="ListBullet"/>
        <w:numPr>
          <w:ilvl w:val="0"/>
          <w:numId w:val="0"/>
        </w:numPr>
        <w:rPr>
          <w:szCs w:val="26"/>
        </w:rPr>
      </w:pPr>
      <w:r>
        <w:t>A 2014 systematic review</w:t>
      </w:r>
      <w:r w:rsidR="00B36895" w:rsidRPr="005D3067">
        <w:t xml:space="preserve"> examine</w:t>
      </w:r>
      <w:r>
        <w:t>d</w:t>
      </w:r>
      <w:r w:rsidR="00B36895" w:rsidRPr="005D3067">
        <w:t xml:space="preserve"> the association between naturally occurring contact and children</w:t>
      </w:r>
      <w:r>
        <w:t>'s attitudes towards disability. It</w:t>
      </w:r>
      <w:r w:rsidR="00B36895" w:rsidRPr="005D3067">
        <w:t xml:space="preserve"> found that children who have more contact with people with disabilities generally report more positive attitudes towards disability.</w:t>
      </w:r>
      <w:r w:rsidR="00B36895" w:rsidRPr="005D3067">
        <w:rPr>
          <w:vertAlign w:val="superscript"/>
        </w:rPr>
        <w:footnoteReference w:id="97"/>
      </w:r>
    </w:p>
    <w:p w14:paraId="51FFC52F" w14:textId="4B16092F" w:rsidR="00AD3B19" w:rsidRPr="00AD3B19" w:rsidRDefault="00AD3B19" w:rsidP="00AD3B19">
      <w:pPr>
        <w:rPr>
          <w:b/>
        </w:rPr>
      </w:pPr>
      <w:r w:rsidRPr="00AD3B19">
        <w:rPr>
          <w:b/>
        </w:rPr>
        <w:t>Contact interventions</w:t>
      </w:r>
    </w:p>
    <w:p w14:paraId="4A5B72FD" w14:textId="4B43E72E" w:rsidR="003330EC" w:rsidRPr="00EE3C53" w:rsidRDefault="003330EC" w:rsidP="00564073">
      <w:pPr>
        <w:pStyle w:val="ListBullet"/>
        <w:numPr>
          <w:ilvl w:val="0"/>
          <w:numId w:val="0"/>
        </w:numPr>
        <w:rPr>
          <w:szCs w:val="26"/>
        </w:rPr>
      </w:pPr>
      <w:r>
        <w:rPr>
          <w:szCs w:val="26"/>
        </w:rPr>
        <w:t>A 2021 meta-analytic review of interventions to improve children’s attitudes toward their peers with intellectual disabilities found that</w:t>
      </w:r>
      <w:r w:rsidR="005A5742">
        <w:rPr>
          <w:szCs w:val="26"/>
        </w:rPr>
        <w:t xml:space="preserve">, overall, </w:t>
      </w:r>
      <w:r>
        <w:rPr>
          <w:szCs w:val="26"/>
        </w:rPr>
        <w:t xml:space="preserve">interventions reduced children’s biases toward peers with intellectual disability. </w:t>
      </w:r>
      <w:r w:rsidR="005A5742">
        <w:rPr>
          <w:szCs w:val="26"/>
        </w:rPr>
        <w:t xml:space="preserve">The most effective interventions were those that occurred over multiple sessions, involved active engagement in multiple strategies and social interactions, emphasised equal status contact that was unstructured or indirect, and had little adult guidance. </w:t>
      </w:r>
      <w:r w:rsidRPr="005A5742">
        <w:rPr>
          <w:szCs w:val="26"/>
        </w:rPr>
        <w:t xml:space="preserve">These interventions are important as </w:t>
      </w:r>
      <w:r w:rsidRPr="00EE3C53">
        <w:rPr>
          <w:szCs w:val="26"/>
        </w:rPr>
        <w:t xml:space="preserve">children’s biases towards their peers with intellectual disabilities </w:t>
      </w:r>
      <w:r w:rsidR="005A5742" w:rsidRPr="00EE3C53">
        <w:rPr>
          <w:szCs w:val="26"/>
        </w:rPr>
        <w:t xml:space="preserve">tend to have negative developmental and social consequences for those with intellectual disabilities. </w:t>
      </w:r>
      <w:r w:rsidR="00EE3C53">
        <w:rPr>
          <w:rStyle w:val="FootnoteReference"/>
          <w:szCs w:val="26"/>
        </w:rPr>
        <w:footnoteReference w:id="98"/>
      </w:r>
    </w:p>
    <w:p w14:paraId="3EF5A0E3" w14:textId="4DF35045" w:rsidR="00601DC8" w:rsidRPr="00D91872" w:rsidRDefault="00564073" w:rsidP="00564073">
      <w:pPr>
        <w:pStyle w:val="ListBullet"/>
        <w:numPr>
          <w:ilvl w:val="0"/>
          <w:numId w:val="0"/>
        </w:numPr>
        <w:rPr>
          <w:szCs w:val="26"/>
        </w:rPr>
      </w:pPr>
      <w:r>
        <w:rPr>
          <w:szCs w:val="26"/>
        </w:rPr>
        <w:t>Changing negative attitudes t</w:t>
      </w:r>
      <w:r w:rsidRPr="00601DC8">
        <w:rPr>
          <w:szCs w:val="26"/>
        </w:rPr>
        <w:t xml:space="preserve">hrough increased positive interactions which </w:t>
      </w:r>
      <w:r>
        <w:rPr>
          <w:szCs w:val="26"/>
        </w:rPr>
        <w:t>challenge existing stereotypes</w:t>
      </w:r>
      <w:r>
        <w:rPr>
          <w:rStyle w:val="FootnoteReference"/>
          <w:szCs w:val="26"/>
        </w:rPr>
        <w:footnoteReference w:id="99"/>
      </w:r>
      <w:r>
        <w:rPr>
          <w:szCs w:val="26"/>
        </w:rPr>
        <w:t xml:space="preserve"> </w:t>
      </w:r>
      <w:r w:rsidRPr="00601DC8">
        <w:rPr>
          <w:szCs w:val="26"/>
        </w:rPr>
        <w:t xml:space="preserve">is at the </w:t>
      </w:r>
      <w:r>
        <w:rPr>
          <w:szCs w:val="26"/>
        </w:rPr>
        <w:t xml:space="preserve">heart </w:t>
      </w:r>
      <w:r w:rsidRPr="00601DC8">
        <w:rPr>
          <w:szCs w:val="26"/>
        </w:rPr>
        <w:t>of the Special Olympics Movement and is a strategic priority for the organization</w:t>
      </w:r>
      <w:r>
        <w:rPr>
          <w:szCs w:val="26"/>
        </w:rPr>
        <w:t xml:space="preserve">. </w:t>
      </w:r>
      <w:r w:rsidR="005546DA">
        <w:rPr>
          <w:szCs w:val="26"/>
        </w:rPr>
        <w:t xml:space="preserve">Special Olympics is an international organisation that </w:t>
      </w:r>
      <w:r w:rsidRPr="0065218B">
        <w:rPr>
          <w:szCs w:val="26"/>
        </w:rPr>
        <w:t>utilizes sport to fight stigma faced by people with ID, demonstrate their abilities, a</w:t>
      </w:r>
      <w:r>
        <w:rPr>
          <w:szCs w:val="26"/>
        </w:rPr>
        <w:t>nd change attitudes</w:t>
      </w:r>
      <w:r w:rsidRPr="00601DC8">
        <w:rPr>
          <w:szCs w:val="26"/>
        </w:rPr>
        <w:t>.</w:t>
      </w:r>
      <w:r>
        <w:rPr>
          <w:rStyle w:val="FootnoteReference"/>
          <w:szCs w:val="26"/>
        </w:rPr>
        <w:footnoteReference w:id="100"/>
      </w:r>
      <w:r w:rsidRPr="00601DC8">
        <w:rPr>
          <w:szCs w:val="26"/>
        </w:rPr>
        <w:t xml:space="preserve"> </w:t>
      </w:r>
      <w:r w:rsidR="005546DA">
        <w:rPr>
          <w:szCs w:val="26"/>
        </w:rPr>
        <w:t xml:space="preserve">It </w:t>
      </w:r>
      <w:r w:rsidR="005546DA" w:rsidRPr="00D322BA">
        <w:rPr>
          <w:szCs w:val="26"/>
        </w:rPr>
        <w:t xml:space="preserve">raises awareness about the abilities of people with intellectual disabilities and, at the same time, it brings people with and without intellectual disabilities to take part in </w:t>
      </w:r>
      <w:r w:rsidR="005546DA">
        <w:rPr>
          <w:szCs w:val="26"/>
        </w:rPr>
        <w:t xml:space="preserve">and experience </w:t>
      </w:r>
      <w:r w:rsidR="005546DA" w:rsidRPr="00D322BA">
        <w:rPr>
          <w:szCs w:val="26"/>
        </w:rPr>
        <w:t>sport</w:t>
      </w:r>
      <w:r w:rsidR="005546DA">
        <w:rPr>
          <w:szCs w:val="26"/>
        </w:rPr>
        <w:t xml:space="preserve"> together</w:t>
      </w:r>
      <w:r w:rsidR="005546DA" w:rsidRPr="00D322BA">
        <w:rPr>
          <w:szCs w:val="26"/>
        </w:rPr>
        <w:t xml:space="preserve">. </w:t>
      </w:r>
      <w:r w:rsidR="005546DA">
        <w:rPr>
          <w:szCs w:val="26"/>
        </w:rPr>
        <w:t>Its e</w:t>
      </w:r>
      <w:r w:rsidR="005546DA" w:rsidRPr="00D91872">
        <w:rPr>
          <w:szCs w:val="26"/>
        </w:rPr>
        <w:t xml:space="preserve">valuations </w:t>
      </w:r>
      <w:r w:rsidR="005546DA">
        <w:rPr>
          <w:szCs w:val="26"/>
        </w:rPr>
        <w:t xml:space="preserve">have found that its </w:t>
      </w:r>
      <w:r w:rsidR="005546DA" w:rsidRPr="00D91872">
        <w:rPr>
          <w:szCs w:val="26"/>
        </w:rPr>
        <w:t>programs are changing the attitudes of parents, athletes, health care professionals, students, and the general public.</w:t>
      </w:r>
      <w:r w:rsidR="005546DA">
        <w:rPr>
          <w:szCs w:val="26"/>
        </w:rPr>
        <w:t xml:space="preserve"> </w:t>
      </w:r>
      <w:r w:rsidR="002A42F1" w:rsidRPr="00D322BA">
        <w:rPr>
          <w:szCs w:val="26"/>
        </w:rPr>
        <w:t xml:space="preserve">A study in 17 countries found that the relationship between prior contact with people with intellectual disability and support for their rights and full inclusion was mediated through comfort at meeting people with intellectual disabilities and through perceptions of </w:t>
      </w:r>
      <w:r w:rsidR="005546DA">
        <w:rPr>
          <w:szCs w:val="26"/>
        </w:rPr>
        <w:t xml:space="preserve">their </w:t>
      </w:r>
      <w:r w:rsidR="002A42F1" w:rsidRPr="00D322BA">
        <w:rPr>
          <w:szCs w:val="26"/>
        </w:rPr>
        <w:t xml:space="preserve">capabilities. </w:t>
      </w:r>
      <w:r w:rsidR="005546DA">
        <w:rPr>
          <w:szCs w:val="26"/>
        </w:rPr>
        <w:t xml:space="preserve">It </w:t>
      </w:r>
      <w:r w:rsidR="002A42F1" w:rsidRPr="00D322BA">
        <w:rPr>
          <w:szCs w:val="26"/>
        </w:rPr>
        <w:t>seems to indirect</w:t>
      </w:r>
      <w:r w:rsidR="005546DA">
        <w:rPr>
          <w:szCs w:val="26"/>
        </w:rPr>
        <w:t>ly affect</w:t>
      </w:r>
      <w:r w:rsidR="002A42F1" w:rsidRPr="00D322BA">
        <w:rPr>
          <w:szCs w:val="26"/>
        </w:rPr>
        <w:t xml:space="preserve"> public attitudes by boosting perceptions of the capabilities of persons with intellectual disabilities and making the public more comfortable with meeting them.</w:t>
      </w:r>
      <w:r w:rsidR="00D322BA">
        <w:rPr>
          <w:rStyle w:val="FootnoteReference"/>
          <w:szCs w:val="26"/>
        </w:rPr>
        <w:footnoteReference w:id="101"/>
      </w:r>
      <w:r w:rsidR="002A42F1" w:rsidRPr="00D322BA">
        <w:rPr>
          <w:szCs w:val="26"/>
        </w:rPr>
        <w:t xml:space="preserve"> </w:t>
      </w:r>
      <w:r w:rsidR="0065218B" w:rsidRPr="00D91872">
        <w:rPr>
          <w:szCs w:val="26"/>
        </w:rPr>
        <w:t>A U.S. study found that many parents credit Special Olympics with helping them better understand their child’s capabilities. Sixty-five percent (65%) of parents felt that participation in Special Olympics had raised their expectations of their sons and daughters.</w:t>
      </w:r>
      <w:r w:rsidR="0065218B">
        <w:rPr>
          <w:rStyle w:val="FootnoteReference"/>
          <w:szCs w:val="26"/>
        </w:rPr>
        <w:footnoteReference w:id="102"/>
      </w:r>
      <w:r w:rsidR="0065218B" w:rsidRPr="0065218B">
        <w:t xml:space="preserve"> </w:t>
      </w:r>
      <w:r w:rsidR="0065218B" w:rsidRPr="00D91872">
        <w:rPr>
          <w:szCs w:val="26"/>
        </w:rPr>
        <w:t xml:space="preserve">Special Olympics sports </w:t>
      </w:r>
      <w:r w:rsidR="00D91872">
        <w:rPr>
          <w:szCs w:val="26"/>
        </w:rPr>
        <w:t>has influenced</w:t>
      </w:r>
      <w:r w:rsidR="0065218B" w:rsidRPr="00D91872">
        <w:rPr>
          <w:szCs w:val="26"/>
        </w:rPr>
        <w:t xml:space="preserve"> the attitudes </w:t>
      </w:r>
      <w:r w:rsidR="00864024">
        <w:rPr>
          <w:szCs w:val="26"/>
        </w:rPr>
        <w:t xml:space="preserve">that </w:t>
      </w:r>
      <w:r w:rsidR="0065218B" w:rsidRPr="00D91872">
        <w:rPr>
          <w:szCs w:val="26"/>
        </w:rPr>
        <w:t>people with ID hold about themselves. An evaluation of Special Olympics in Brazil, Argentina, and Peru found that nearly all athletes who participated in Special Olympics reported improvements in feeling good about themselves.</w:t>
      </w:r>
      <w:r w:rsidR="00D91872">
        <w:rPr>
          <w:rStyle w:val="FootnoteReference"/>
          <w:szCs w:val="26"/>
        </w:rPr>
        <w:footnoteReference w:id="103"/>
      </w:r>
    </w:p>
    <w:p w14:paraId="62E93604" w14:textId="0BF8EB91" w:rsidR="00786F9D" w:rsidRDefault="00322EE0" w:rsidP="00564073">
      <w:pPr>
        <w:pStyle w:val="ListBullet"/>
        <w:numPr>
          <w:ilvl w:val="0"/>
          <w:numId w:val="0"/>
        </w:numPr>
        <w:rPr>
          <w:szCs w:val="26"/>
        </w:rPr>
      </w:pPr>
      <w:r w:rsidRPr="00D97072">
        <w:rPr>
          <w:szCs w:val="26"/>
        </w:rPr>
        <w:t xml:space="preserve">A </w:t>
      </w:r>
      <w:r w:rsidR="004C2D12" w:rsidRPr="00D97072">
        <w:rPr>
          <w:szCs w:val="26"/>
        </w:rPr>
        <w:t xml:space="preserve">2014 </w:t>
      </w:r>
      <w:r w:rsidRPr="00D97072">
        <w:rPr>
          <w:szCs w:val="26"/>
        </w:rPr>
        <w:t>review was conducted of interventions that aimed to increase public knowledge of disability and improve attitudes towards persons with intellectual disabilities.</w:t>
      </w:r>
      <w:r w:rsidRPr="005D3067">
        <w:rPr>
          <w:szCs w:val="26"/>
          <w:vertAlign w:val="superscript"/>
        </w:rPr>
        <w:footnoteReference w:id="104"/>
      </w:r>
      <w:r w:rsidRPr="00D97072">
        <w:rPr>
          <w:szCs w:val="26"/>
        </w:rPr>
        <w:t xml:space="preserve">  Several interventions showed the positive influence of direct contact with people with intellectual disabilities. Programmes delivered partly by individuals with intellectual disabilities appear to hold promise. Some studies reported very small benefits of education as a route to increasing knowledge. However, the weaknesses of the measurement tools used limited the evidence in the review. Other studies have shown positive effects of training in inclusive education on pre-service teacher attitudes towards inclusion, their sentiments about people with a disability and their concerns about inclusion.</w:t>
      </w:r>
      <w:r w:rsidRPr="005D3067">
        <w:rPr>
          <w:rFonts w:ascii="Gill Sans" w:hAnsi="Gill Sans"/>
          <w:sz w:val="22"/>
          <w:szCs w:val="26"/>
          <w:vertAlign w:val="superscript"/>
        </w:rPr>
        <w:footnoteReference w:id="105"/>
      </w:r>
      <w:r w:rsidRPr="00D97072">
        <w:rPr>
          <w:szCs w:val="26"/>
        </w:rPr>
        <w:t xml:space="preserve"> Architecture students who received universal design education possessed significantly more positive attitudes about some aspects of interacting with people with disability.</w:t>
      </w:r>
      <w:r w:rsidRPr="005D3067">
        <w:rPr>
          <w:rFonts w:ascii="Gill Sans" w:hAnsi="Gill Sans"/>
          <w:sz w:val="22"/>
          <w:szCs w:val="26"/>
          <w:vertAlign w:val="superscript"/>
        </w:rPr>
        <w:footnoteReference w:id="106"/>
      </w:r>
      <w:r w:rsidRPr="00D97072">
        <w:rPr>
          <w:szCs w:val="26"/>
        </w:rPr>
        <w:t xml:space="preserve"> Indirect contact through, for example, stories, dramas, documentaries, etc. can also impact attitudes.</w:t>
      </w:r>
      <w:r w:rsidRPr="005D3067">
        <w:rPr>
          <w:rFonts w:ascii="Gill Sans" w:hAnsi="Gill Sans"/>
          <w:sz w:val="22"/>
          <w:szCs w:val="26"/>
          <w:vertAlign w:val="superscript"/>
        </w:rPr>
        <w:footnoteReference w:id="107"/>
      </w:r>
      <w:r w:rsidRPr="00D97072">
        <w:rPr>
          <w:szCs w:val="26"/>
        </w:rPr>
        <w:t xml:space="preserve"> The type of disability that is the focus of the awareness activities is a factor that can influence the effectiveness of the interventions.</w:t>
      </w:r>
      <w:r w:rsidRPr="005D3067">
        <w:rPr>
          <w:szCs w:val="26"/>
          <w:vertAlign w:val="superscript"/>
        </w:rPr>
        <w:footnoteReference w:id="108"/>
      </w:r>
      <w:r w:rsidRPr="00D97072">
        <w:rPr>
          <w:szCs w:val="26"/>
        </w:rPr>
        <w:t xml:space="preserve"> Overall, disability awareness education and training can be effective to some extent.</w:t>
      </w:r>
      <w:r w:rsidRPr="005D3067">
        <w:rPr>
          <w:szCs w:val="26"/>
          <w:vertAlign w:val="superscript"/>
        </w:rPr>
        <w:footnoteReference w:id="109"/>
      </w:r>
      <w:r w:rsidRPr="00D97072">
        <w:rPr>
          <w:szCs w:val="26"/>
        </w:rPr>
        <w:t xml:space="preserve"> </w:t>
      </w:r>
    </w:p>
    <w:p w14:paraId="5A9C28F3" w14:textId="6189C41E" w:rsidR="00FD4C58" w:rsidRPr="00452D10" w:rsidRDefault="00D67F81" w:rsidP="00564073">
      <w:pPr>
        <w:pStyle w:val="ListBullet"/>
        <w:numPr>
          <w:ilvl w:val="0"/>
          <w:numId w:val="0"/>
        </w:numPr>
        <w:rPr>
          <w:szCs w:val="26"/>
        </w:rPr>
      </w:pPr>
      <w:r w:rsidRPr="00D67F81">
        <w:rPr>
          <w:szCs w:val="26"/>
        </w:rPr>
        <w:t xml:space="preserve">Contact interventions have been found to reduce animosity in conflictual contexts. For example, a longitudinal study between Jewish-Israel and Arab high school students showed a positive effect on attitudes and feelings of students who were extrinsically motivated to take part because they were interested in the fun activities rather than intergroup encounters.  </w:t>
      </w:r>
      <w:r w:rsidR="002061B6">
        <w:rPr>
          <w:szCs w:val="26"/>
        </w:rPr>
        <w:t xml:space="preserve">However, other participants </w:t>
      </w:r>
      <w:r w:rsidRPr="00D67F81">
        <w:rPr>
          <w:szCs w:val="26"/>
        </w:rPr>
        <w:t xml:space="preserve">were not positively or negatively affected by the intervention. </w:t>
      </w:r>
      <w:r w:rsidR="00AD3B19">
        <w:rPr>
          <w:szCs w:val="26"/>
        </w:rPr>
        <w:t>W</w:t>
      </w:r>
      <w:r w:rsidRPr="00D67F81">
        <w:rPr>
          <w:szCs w:val="26"/>
        </w:rPr>
        <w:t xml:space="preserve">here attitudes and beliefs are </w:t>
      </w:r>
      <w:r w:rsidR="002061B6">
        <w:rPr>
          <w:szCs w:val="26"/>
        </w:rPr>
        <w:t xml:space="preserve">entrenched from a young age and </w:t>
      </w:r>
      <w:r w:rsidRPr="00D67F81">
        <w:rPr>
          <w:szCs w:val="26"/>
        </w:rPr>
        <w:t xml:space="preserve">held with high confidence, individuals can reject alternative </w:t>
      </w:r>
      <w:r w:rsidR="002061B6">
        <w:rPr>
          <w:szCs w:val="26"/>
        </w:rPr>
        <w:t xml:space="preserve">experiences and </w:t>
      </w:r>
      <w:r w:rsidRPr="00D67F81">
        <w:rPr>
          <w:szCs w:val="26"/>
        </w:rPr>
        <w:t>information.</w:t>
      </w:r>
      <w:r w:rsidR="002061B6">
        <w:rPr>
          <w:rStyle w:val="FootnoteReference"/>
          <w:szCs w:val="26"/>
        </w:rPr>
        <w:footnoteReference w:id="110"/>
      </w:r>
    </w:p>
    <w:p w14:paraId="5CA98C54" w14:textId="77777777" w:rsidR="008539AD" w:rsidRDefault="008539AD" w:rsidP="008030E7">
      <w:pPr>
        <w:pStyle w:val="Heading3"/>
      </w:pPr>
      <w:bookmarkStart w:id="17" w:name="_Toc122447206"/>
      <w:r>
        <w:t>The UNCRPD</w:t>
      </w:r>
      <w:bookmarkEnd w:id="17"/>
      <w:r>
        <w:t xml:space="preserve"> </w:t>
      </w:r>
    </w:p>
    <w:p w14:paraId="6F795066" w14:textId="04522806" w:rsidR="008539AD" w:rsidRDefault="008539AD" w:rsidP="008539AD">
      <w:r w:rsidRPr="000538AF">
        <w:t xml:space="preserve">The </w:t>
      </w:r>
      <w:r>
        <w:t xml:space="preserve">UNCRPD </w:t>
      </w:r>
      <w:r w:rsidR="000E4778">
        <w:t xml:space="preserve">has </w:t>
      </w:r>
      <w:r w:rsidRPr="000538AF">
        <w:t>an explicit, social development dimension</w:t>
      </w:r>
      <w:r w:rsidR="000E4778">
        <w:t>,</w:t>
      </w:r>
      <w:r w:rsidR="00732C4A">
        <w:t xml:space="preserve"> developed </w:t>
      </w:r>
      <w:r>
        <w:t>following decades of work to change attitudes and</w:t>
      </w:r>
      <w:r w:rsidRPr="00CE147C">
        <w:rPr>
          <w:rFonts w:ascii="Helvetica Neue" w:hAnsi="Helvetica Neue"/>
          <w:color w:val="000000"/>
          <w:sz w:val="20"/>
          <w:szCs w:val="20"/>
          <w:shd w:val="clear" w:color="auto" w:fill="FFFFFF"/>
        </w:rPr>
        <w:t xml:space="preserve"> </w:t>
      </w:r>
      <w:r w:rsidRPr="00CE147C">
        <w:t xml:space="preserve">approaches to </w:t>
      </w:r>
      <w:r w:rsidR="000E4778">
        <w:t>disabled persons</w:t>
      </w:r>
      <w:r w:rsidRPr="00CE147C">
        <w:t>.</w:t>
      </w:r>
      <w:r>
        <w:rPr>
          <w:rStyle w:val="FootnoteReference"/>
        </w:rPr>
        <w:footnoteReference w:id="111"/>
      </w:r>
      <w:r w:rsidRPr="000538AF">
        <w:t> </w:t>
      </w:r>
      <w:r>
        <w:t>It considers active participation of persons with disabilities and their representative organisations as a crucial part of changing a</w:t>
      </w:r>
      <w:r w:rsidR="002A273F">
        <w:t>ttitudes and eliminating stigma. In their guidelines on consulting with persons with disabilities it states</w:t>
      </w:r>
      <w:r>
        <w:t xml:space="preserve"> </w:t>
      </w:r>
    </w:p>
    <w:p w14:paraId="1C0E49C0" w14:textId="1ABBBEFA" w:rsidR="008539AD" w:rsidRPr="00417928" w:rsidRDefault="008539AD" w:rsidP="008539AD">
      <w:pPr>
        <w:ind w:left="454" w:right="454"/>
      </w:pPr>
      <w:r w:rsidRPr="00417928">
        <w:t xml:space="preserve">When persons with disabilities participate in decision-making processes, it provides </w:t>
      </w:r>
      <w:r>
        <w:t xml:space="preserve">strong </w:t>
      </w:r>
      <w:r w:rsidRPr="00417928">
        <w:t xml:space="preserve">support towards ensuring that policies, strategies, programmes and operations </w:t>
      </w:r>
      <w:r>
        <w:t xml:space="preserve">are </w:t>
      </w:r>
      <w:r w:rsidRPr="00417928">
        <w:t>more effective in addressing barriers to inclusion and more relevant in supporting their full and equal participation. Persons with disabilities have first-hand experience of the challenges they face and know better what enhance</w:t>
      </w:r>
      <w:r w:rsidR="001E217D">
        <w:t>s</w:t>
      </w:r>
      <w:r w:rsidRPr="00417928">
        <w:t xml:space="preserve"> their rights and wellbeing. In addition, active participation of persons with disabilities and their representative organizations is a key part of shifting attitudes and dismantling stigma.</w:t>
      </w:r>
      <w:r>
        <w:rPr>
          <w:rStyle w:val="FootnoteReference"/>
        </w:rPr>
        <w:footnoteReference w:id="112"/>
      </w:r>
    </w:p>
    <w:p w14:paraId="6491891C" w14:textId="6E30AE35" w:rsidR="00F600FC" w:rsidRDefault="001E217D" w:rsidP="004F4274">
      <w:r>
        <w:t>I</w:t>
      </w:r>
      <w:r w:rsidR="003509A8">
        <w:t xml:space="preserve">mplementation of the </w:t>
      </w:r>
      <w:r w:rsidR="00572C3B">
        <w:t>UN</w:t>
      </w:r>
      <w:r w:rsidR="00732C4A">
        <w:t xml:space="preserve">CRPD will </w:t>
      </w:r>
      <w:r w:rsidR="00732C4A" w:rsidRPr="00732C4A">
        <w:t xml:space="preserve">change the </w:t>
      </w:r>
      <w:r w:rsidR="00572C3B">
        <w:t>w</w:t>
      </w:r>
      <w:r w:rsidR="00732C4A" w:rsidRPr="00732C4A">
        <w:t xml:space="preserve">ay </w:t>
      </w:r>
      <w:r w:rsidR="000E4778">
        <w:t xml:space="preserve">people </w:t>
      </w:r>
      <w:r w:rsidR="00732C4A" w:rsidRPr="00732C4A">
        <w:t xml:space="preserve">think about </w:t>
      </w:r>
      <w:r w:rsidR="000E4778">
        <w:t xml:space="preserve">persons with </w:t>
      </w:r>
      <w:r w:rsidR="00732C4A" w:rsidRPr="00732C4A">
        <w:t xml:space="preserve">disability and ensure that </w:t>
      </w:r>
      <w:r w:rsidR="000E4778">
        <w:t xml:space="preserve">they </w:t>
      </w:r>
      <w:r w:rsidR="00732C4A" w:rsidRPr="00732C4A">
        <w:t xml:space="preserve">are not discriminated against and can </w:t>
      </w:r>
      <w:r w:rsidR="00572C3B">
        <w:t>enjoy the same rights as others</w:t>
      </w:r>
      <w:r w:rsidR="003509A8">
        <w:t xml:space="preserve">. </w:t>
      </w:r>
      <w:r w:rsidR="00572C3B">
        <w:t>The implementation of each Article contributes to changing attitudes</w:t>
      </w:r>
      <w:r w:rsidR="002A273F">
        <w:t>.</w:t>
      </w:r>
      <w:r w:rsidR="00572C3B">
        <w:t xml:space="preserve"> </w:t>
      </w:r>
      <w:r w:rsidR="00E4174F" w:rsidRPr="00E4174F">
        <w:t xml:space="preserve">Article 8 of </w:t>
      </w:r>
      <w:r w:rsidR="004F4274">
        <w:t>the UN</w:t>
      </w:r>
      <w:r w:rsidR="00572C3B">
        <w:t xml:space="preserve">CRPD addresses </w:t>
      </w:r>
      <w:r w:rsidR="003509A8">
        <w:t>awareness r</w:t>
      </w:r>
      <w:r w:rsidR="000E4778">
        <w:t xml:space="preserve">aising in a specific way. </w:t>
      </w:r>
      <w:r w:rsidR="00F600FC" w:rsidRPr="00F600FC">
        <w:t xml:space="preserve">Although </w:t>
      </w:r>
      <w:r w:rsidRPr="00F600FC">
        <w:t>awareness raising</w:t>
      </w:r>
      <w:r w:rsidR="00F600FC" w:rsidRPr="00F600FC">
        <w:t xml:space="preserve"> has not been defined in international law, it is considered </w:t>
      </w:r>
      <w:r w:rsidR="008030E7">
        <w:t>to encompass</w:t>
      </w:r>
      <w:r w:rsidR="00F600FC" w:rsidRPr="00F600FC">
        <w:t xml:space="preserve"> fostering communication and information in order to improve mutual understanding and mobilize communities to bring about changes in attitudes and behaviour. Awareness-raising programmes include interventions, such as public campaigns, training sessions, seminars, workshops, formal education, audio</w:t>
      </w:r>
      <w:r w:rsidR="00F600FC">
        <w:t>-</w:t>
      </w:r>
      <w:r w:rsidR="00F600FC" w:rsidRPr="00F600FC">
        <w:t xml:space="preserve">visual and printed materials, and actions on social media. </w:t>
      </w:r>
      <w:r w:rsidRPr="00F600FC">
        <w:t>Awareness raising</w:t>
      </w:r>
      <w:r w:rsidR="00F600FC" w:rsidRPr="00F600FC">
        <w:t xml:space="preserve"> </w:t>
      </w:r>
      <w:r w:rsidR="00F600FC">
        <w:t>promotes</w:t>
      </w:r>
      <w:r w:rsidR="00F600FC" w:rsidRPr="00F600FC">
        <w:t xml:space="preserve"> respect for human rights </w:t>
      </w:r>
      <w:r w:rsidR="00F600FC">
        <w:t>by targeting</w:t>
      </w:r>
      <w:r w:rsidR="00F600FC" w:rsidRPr="00F600FC">
        <w:t xml:space="preserve"> the attitudes, values and beliefs that are at the root of human rights violations, including discriminatory laws, policies, discourse and conduct</w:t>
      </w:r>
      <w:r w:rsidR="00F600FC">
        <w:t>.</w:t>
      </w:r>
      <w:r w:rsidR="00F600FC">
        <w:rPr>
          <w:rStyle w:val="FootnoteReference"/>
        </w:rPr>
        <w:footnoteReference w:id="113"/>
      </w:r>
    </w:p>
    <w:p w14:paraId="45B98BD4" w14:textId="6C4EC9D7" w:rsidR="00F04B4B" w:rsidRDefault="00DE5AE4" w:rsidP="0086260E">
      <w:pPr>
        <w:pStyle w:val="Heading3"/>
      </w:pPr>
      <w:bookmarkStart w:id="18" w:name="_Toc122447207"/>
      <w:r>
        <w:t>Bottom up s</w:t>
      </w:r>
      <w:r w:rsidR="00F04B4B">
        <w:t xml:space="preserve">ocio-psychological interventions </w:t>
      </w:r>
      <w:r w:rsidR="00DF6714">
        <w:t xml:space="preserve">to change </w:t>
      </w:r>
      <w:r w:rsidR="00F04B4B">
        <w:t>attitude</w:t>
      </w:r>
      <w:r w:rsidR="00DF6714">
        <w:t>s</w:t>
      </w:r>
      <w:r w:rsidR="00DF6714">
        <w:rPr>
          <w:rStyle w:val="FootnoteReference"/>
        </w:rPr>
        <w:footnoteReference w:id="114"/>
      </w:r>
      <w:bookmarkEnd w:id="18"/>
    </w:p>
    <w:p w14:paraId="7A362977" w14:textId="3A882131" w:rsidR="00F04B4B" w:rsidRDefault="00CA1258" w:rsidP="00F04B4B">
      <w:r w:rsidRPr="00CA1258">
        <w:rPr>
          <w:bCs/>
          <w:iCs/>
        </w:rPr>
        <w:t>Changing attitudes</w:t>
      </w:r>
      <w:r>
        <w:rPr>
          <w:bCs/>
          <w:iCs/>
        </w:rPr>
        <w:t xml:space="preserve"> when they are entrenched is challenging but </w:t>
      </w:r>
      <w:r w:rsidR="00D91872">
        <w:rPr>
          <w:bCs/>
          <w:iCs/>
        </w:rPr>
        <w:t xml:space="preserve">various </w:t>
      </w:r>
      <w:r>
        <w:rPr>
          <w:bCs/>
          <w:iCs/>
        </w:rPr>
        <w:t>interventions have been successful</w:t>
      </w:r>
      <w:r w:rsidRPr="00CA1258">
        <w:rPr>
          <w:bCs/>
          <w:iCs/>
        </w:rPr>
        <w:t xml:space="preserve">. </w:t>
      </w:r>
      <w:proofErr w:type="spellStart"/>
      <w:r>
        <w:t>Hovland</w:t>
      </w:r>
      <w:proofErr w:type="spellEnd"/>
      <w:r>
        <w:t xml:space="preserve"> et al (1953) </w:t>
      </w:r>
      <w:r w:rsidR="00D91872">
        <w:t xml:space="preserve">names </w:t>
      </w:r>
      <w:r>
        <w:t>four factors to be considered i</w:t>
      </w:r>
      <w:r w:rsidR="00F04B4B">
        <w:t>n socio-psychological attempts to elicit attitude change</w:t>
      </w:r>
      <w:r>
        <w:t xml:space="preserve"> at the personal level</w:t>
      </w:r>
      <w:r w:rsidR="00F04B4B">
        <w:t>:</w:t>
      </w:r>
      <w:r w:rsidR="00D2582D">
        <w:rPr>
          <w:rStyle w:val="FootnoteReference"/>
        </w:rPr>
        <w:footnoteReference w:id="115"/>
      </w:r>
      <w:r w:rsidR="006D32BF">
        <w:t xml:space="preserve"> the communicator (the message source), the message (argument, scope of argument), target audience and the context</w:t>
      </w:r>
    </w:p>
    <w:p w14:paraId="7E733F73" w14:textId="6CD2CB9C" w:rsidR="00CA6497" w:rsidRDefault="00D2582D" w:rsidP="004417AD">
      <w:r>
        <w:t>Bar-Tal et al (2020)</w:t>
      </w:r>
      <w:r>
        <w:rPr>
          <w:rStyle w:val="FootnoteReference"/>
        </w:rPr>
        <w:footnoteReference w:id="116"/>
      </w:r>
      <w:r>
        <w:t xml:space="preserve"> </w:t>
      </w:r>
      <w:r w:rsidR="007D23EE">
        <w:t xml:space="preserve">in Israel </w:t>
      </w:r>
      <w:r w:rsidR="00D91872">
        <w:t xml:space="preserve">used </w:t>
      </w:r>
      <w:r w:rsidR="0086260E">
        <w:t xml:space="preserve">various </w:t>
      </w:r>
      <w:r>
        <w:t>socio-psychological</w:t>
      </w:r>
      <w:r w:rsidR="007D23EE">
        <w:t xml:space="preserve"> approaches</w:t>
      </w:r>
      <w:r>
        <w:t xml:space="preserve"> </w:t>
      </w:r>
      <w:r w:rsidR="00D91872">
        <w:t xml:space="preserve">to </w:t>
      </w:r>
      <w:r>
        <w:t>motivate individual</w:t>
      </w:r>
      <w:r w:rsidR="00CA6497">
        <w:t>s</w:t>
      </w:r>
      <w:r w:rsidR="003425A2">
        <w:t>,</w:t>
      </w:r>
      <w:r>
        <w:t xml:space="preserve"> </w:t>
      </w:r>
      <w:r w:rsidR="00CA6497">
        <w:t>experiencing violent and protracted intergroup conflict in Israel</w:t>
      </w:r>
      <w:r w:rsidR="003425A2">
        <w:t>,</w:t>
      </w:r>
      <w:r w:rsidR="00CA6497">
        <w:t xml:space="preserve"> </w:t>
      </w:r>
      <w:r>
        <w:t>to re-evaluate entrenched, long-held</w:t>
      </w:r>
      <w:r w:rsidR="00CA6497">
        <w:t>,</w:t>
      </w:r>
      <w:r>
        <w:t xml:space="preserve"> frozen</w:t>
      </w:r>
      <w:r w:rsidR="00CA6497">
        <w:t xml:space="preserve"> attitudes and beliefs, common in these situations</w:t>
      </w:r>
      <w:r w:rsidR="00B131F4">
        <w:t>. The</w:t>
      </w:r>
      <w:r w:rsidR="007D23EE">
        <w:t xml:space="preserve">y used these </w:t>
      </w:r>
      <w:r w:rsidR="00B131F4">
        <w:t xml:space="preserve">approaches </w:t>
      </w:r>
      <w:r w:rsidR="007D23EE">
        <w:t xml:space="preserve">in field studies, online and in “laboratory” conditions </w:t>
      </w:r>
      <w:r w:rsidR="00B131F4">
        <w:t>in Israel</w:t>
      </w:r>
      <w:r w:rsidR="00361710">
        <w:t>.</w:t>
      </w:r>
      <w:r w:rsidR="0086260E">
        <w:rPr>
          <w:rStyle w:val="FootnoteReference"/>
        </w:rPr>
        <w:footnoteReference w:id="117"/>
      </w:r>
      <w:r w:rsidR="00B131F4">
        <w:t xml:space="preserve"> </w:t>
      </w:r>
      <w:r w:rsidR="00DB7C60">
        <w:t>Of the approaches</w:t>
      </w:r>
      <w:r w:rsidR="00DB7C60" w:rsidRPr="00DB7C60">
        <w:t xml:space="preserve"> used in Israel to address intergroup conflict, contact intervention</w:t>
      </w:r>
      <w:r w:rsidR="00361710">
        <w:t xml:space="preserve"> </w:t>
      </w:r>
      <w:r w:rsidR="00DB7C60" w:rsidRPr="00DB7C60">
        <w:t xml:space="preserve">is the only approach </w:t>
      </w:r>
      <w:r w:rsidR="00361710">
        <w:t xml:space="preserve">already </w:t>
      </w:r>
      <w:r w:rsidR="00DB7C60" w:rsidRPr="00DB7C60">
        <w:t xml:space="preserve">researched in other fields including disability. Some of the </w:t>
      </w:r>
      <w:r w:rsidR="00DB4B76">
        <w:t xml:space="preserve">novel </w:t>
      </w:r>
      <w:r w:rsidR="00DB7C60" w:rsidRPr="00DB7C60">
        <w:t xml:space="preserve">approaches deserve attention because they </w:t>
      </w:r>
      <w:r w:rsidR="003425A2">
        <w:t xml:space="preserve">may </w:t>
      </w:r>
      <w:r w:rsidR="00DB7C60" w:rsidRPr="00DB7C60">
        <w:t xml:space="preserve">applicable </w:t>
      </w:r>
      <w:r w:rsidR="003425A2">
        <w:t>in</w:t>
      </w:r>
      <w:r w:rsidR="00DB7C60" w:rsidRPr="00DB7C60">
        <w:t xml:space="preserve"> </w:t>
      </w:r>
      <w:r w:rsidR="003425A2">
        <w:t xml:space="preserve">other </w:t>
      </w:r>
      <w:r w:rsidR="00DB7C60" w:rsidRPr="00DB7C60">
        <w:t>situations.</w:t>
      </w:r>
      <w:r w:rsidR="00DB4B76">
        <w:t xml:space="preserve">. </w:t>
      </w:r>
      <w:r w:rsidR="00DB7C60" w:rsidRPr="00DB7C60">
        <w:t xml:space="preserve">Bar-Tal et al (2021) spell out challenges with these approaches </w:t>
      </w:r>
      <w:r w:rsidR="00DB4B76">
        <w:t xml:space="preserve">and stress </w:t>
      </w:r>
      <w:r w:rsidR="00DB7C60" w:rsidRPr="00DB7C60">
        <w:t>the need to understand the context</w:t>
      </w:r>
      <w:r w:rsidR="00DB4B76">
        <w:t xml:space="preserve"> and</w:t>
      </w:r>
      <w:r w:rsidR="00DB7C60" w:rsidRPr="00DB7C60">
        <w:t xml:space="preserve"> the characteristics of those involved</w:t>
      </w:r>
      <w:r w:rsidR="00DB4B76">
        <w:t xml:space="preserve">. </w:t>
      </w:r>
      <w:r w:rsidR="003425A2">
        <w:t xml:space="preserve">They pointed out that they used these approaches under controlled situations or in online studies. </w:t>
      </w:r>
      <w:r w:rsidR="00DB7C60" w:rsidRPr="00DB7C60">
        <w:t xml:space="preserve">In real-life contexts, other variables </w:t>
      </w:r>
      <w:r w:rsidR="00DB4B76">
        <w:t xml:space="preserve">will </w:t>
      </w:r>
      <w:r w:rsidR="00DB7C60" w:rsidRPr="00DB7C60">
        <w:t xml:space="preserve">appear simultaneously, and/or the messages provided </w:t>
      </w:r>
      <w:r w:rsidR="00DB4B76">
        <w:t xml:space="preserve">may </w:t>
      </w:r>
      <w:r w:rsidR="00DB7C60" w:rsidRPr="00DB7C60">
        <w:t xml:space="preserve">compete with opposing prevalent messages. </w:t>
      </w:r>
      <w:r w:rsidR="00DB4B76">
        <w:t>T</w:t>
      </w:r>
      <w:r w:rsidR="00DB7C60" w:rsidRPr="00DB7C60">
        <w:t xml:space="preserve">hese interventions </w:t>
      </w:r>
      <w:r w:rsidR="003425A2">
        <w:t>c</w:t>
      </w:r>
      <w:r w:rsidR="00DB7C60" w:rsidRPr="00DB7C60">
        <w:t>an be used in small groups</w:t>
      </w:r>
      <w:r w:rsidR="003425A2">
        <w:t>,</w:t>
      </w:r>
      <w:r w:rsidR="00DB7C60" w:rsidRPr="00DB7C60">
        <w:t xml:space="preserve"> with those who are interested in attitude change</w:t>
      </w:r>
      <w:r w:rsidR="003425A2">
        <w:t>,</w:t>
      </w:r>
      <w:r w:rsidR="00DB7C60" w:rsidRPr="00DB7C60">
        <w:t xml:space="preserve"> or in institutions, which have the authority to carry out interventions, such as diversity training used by workplaces for their employees. In these cases, it is possible to implement interventions based on providing inconsistent information or teaching skills relevant to attitude change.</w:t>
      </w:r>
      <w:r w:rsidR="003425A2">
        <w:t xml:space="preserve"> </w:t>
      </w:r>
      <w:r w:rsidR="007C5D7F">
        <w:t>T</w:t>
      </w:r>
      <w:r w:rsidR="003425A2" w:rsidRPr="00DB7C60">
        <w:t>he interventions are dependent, to some degree, on participants' openness to new information.</w:t>
      </w:r>
      <w:r w:rsidR="004417AD">
        <w:t xml:space="preserve"> </w:t>
      </w:r>
      <w:r w:rsidR="00DB7C60" w:rsidRPr="00DB7C60">
        <w:t xml:space="preserve">Each society has specific features related to culture, </w:t>
      </w:r>
      <w:r w:rsidR="007C5D7F">
        <w:t xml:space="preserve">the </w:t>
      </w:r>
      <w:r w:rsidR="00DB7C60" w:rsidRPr="00DB7C60">
        <w:t xml:space="preserve">economic situation, </w:t>
      </w:r>
      <w:r w:rsidR="007C5D7F">
        <w:t xml:space="preserve">the </w:t>
      </w:r>
      <w:r w:rsidR="00DB7C60" w:rsidRPr="00DB7C60">
        <w:t xml:space="preserve">political climate, and others. As a result, </w:t>
      </w:r>
      <w:r w:rsidR="004417AD">
        <w:t xml:space="preserve">it </w:t>
      </w:r>
      <w:r w:rsidR="00DB7C60" w:rsidRPr="00DB7C60">
        <w:t xml:space="preserve">is difficult </w:t>
      </w:r>
      <w:r w:rsidR="0043305A">
        <w:t xml:space="preserve">to know </w:t>
      </w:r>
      <w:r w:rsidR="00DB7C60" w:rsidRPr="00DB7C60">
        <w:t xml:space="preserve">how generalizable the findings </w:t>
      </w:r>
      <w:r w:rsidR="0043305A">
        <w:t>might be</w:t>
      </w:r>
      <w:r w:rsidR="004417AD">
        <w:t xml:space="preserve"> to other contexts</w:t>
      </w:r>
      <w:r w:rsidR="00DB7C60" w:rsidRPr="00DB7C60">
        <w:t xml:space="preserve">. </w:t>
      </w:r>
    </w:p>
    <w:p w14:paraId="4620120A" w14:textId="3DDF5B3E" w:rsidR="00C345B7" w:rsidRDefault="0086260E" w:rsidP="00D2582D">
      <w:r>
        <w:rPr>
          <w:b/>
        </w:rPr>
        <w:t xml:space="preserve">Approach I: </w:t>
      </w:r>
      <w:r w:rsidR="00342560" w:rsidRPr="0086260E">
        <w:rPr>
          <w:b/>
        </w:rPr>
        <w:t>Providing information</w:t>
      </w:r>
      <w:r w:rsidR="0094486A">
        <w:rPr>
          <w:b/>
        </w:rPr>
        <w:t xml:space="preserve"> directly or indirectly</w:t>
      </w:r>
      <w:r w:rsidR="00E14C1F">
        <w:rPr>
          <w:b/>
        </w:rPr>
        <w:t>:</w:t>
      </w:r>
      <w:r w:rsidR="0094486A">
        <w:rPr>
          <w:b/>
        </w:rPr>
        <w:t xml:space="preserve"> </w:t>
      </w:r>
      <w:r w:rsidR="00CE3BDA">
        <w:t>The d</w:t>
      </w:r>
      <w:r w:rsidR="00342560" w:rsidRPr="0041120B">
        <w:t xml:space="preserve">irect approach </w:t>
      </w:r>
      <w:r w:rsidR="00D67F81">
        <w:t xml:space="preserve">is </w:t>
      </w:r>
      <w:r w:rsidR="00E14C1F">
        <w:t xml:space="preserve">the provision of </w:t>
      </w:r>
      <w:r w:rsidR="003A05BD">
        <w:t xml:space="preserve">more accurate </w:t>
      </w:r>
      <w:r w:rsidR="00E14C1F">
        <w:t xml:space="preserve">and </w:t>
      </w:r>
      <w:r w:rsidR="004417AD">
        <w:t xml:space="preserve">contradictory </w:t>
      </w:r>
      <w:r w:rsidR="00CA6497" w:rsidRPr="0041120B">
        <w:t xml:space="preserve">information </w:t>
      </w:r>
      <w:r w:rsidR="004417AD">
        <w:t xml:space="preserve">to </w:t>
      </w:r>
      <w:r w:rsidR="00CA6497" w:rsidRPr="0041120B">
        <w:t>held attitudes and beliefs. The</w:t>
      </w:r>
      <w:r w:rsidR="00CA6497">
        <w:t xml:space="preserve"> theory is that</w:t>
      </w:r>
      <w:r w:rsidR="00AA1BCD">
        <w:t xml:space="preserve"> exposure to </w:t>
      </w:r>
      <w:r w:rsidR="007C5D7F">
        <w:t xml:space="preserve">relevant and credible </w:t>
      </w:r>
      <w:r w:rsidR="00AA1BCD">
        <w:t>information that contradicts a held atti</w:t>
      </w:r>
      <w:r w:rsidR="007C5D7F">
        <w:t xml:space="preserve">tude, </w:t>
      </w:r>
      <w:r w:rsidR="00AA1BCD">
        <w:t xml:space="preserve">arouses an unpleasant psychological state, and leads to behaviours to regain consistency, which include the possibility of changing the held attitude. </w:t>
      </w:r>
      <w:r w:rsidR="00C76A99">
        <w:t>A field study in Colombia identified that Colombians had erroneous perceptions about FARC members being unwilling to integrate into Colombian society. The</w:t>
      </w:r>
      <w:r w:rsidR="00C345B7">
        <w:t xml:space="preserve"> researchers</w:t>
      </w:r>
      <w:r w:rsidR="00C76A99">
        <w:t xml:space="preserve"> created a media intervention using interviews with FARC members </w:t>
      </w:r>
      <w:r w:rsidR="00D67F81">
        <w:t xml:space="preserve">that </w:t>
      </w:r>
      <w:r w:rsidR="00C76A99">
        <w:t>highlight</w:t>
      </w:r>
      <w:r w:rsidR="00D67F81">
        <w:t>ed</w:t>
      </w:r>
      <w:r w:rsidR="00C76A99">
        <w:t xml:space="preserve"> evidence of successful coexistence between demobilised FARC members and local residents. This intervention reduced anti-FARC attitudes and beliefs and increased support for pro-FARC policies and the peace process. These effects persisted </w:t>
      </w:r>
      <w:r w:rsidR="00C345B7">
        <w:t xml:space="preserve">when </w:t>
      </w:r>
      <w:r w:rsidR="00C76A99">
        <w:t>reassessed 3 months later.</w:t>
      </w:r>
      <w:r w:rsidR="004417AD">
        <w:t xml:space="preserve"> </w:t>
      </w:r>
      <w:r w:rsidR="00CE3BDA">
        <w:t xml:space="preserve">The </w:t>
      </w:r>
      <w:r w:rsidR="00D67F81">
        <w:t>i</w:t>
      </w:r>
      <w:r w:rsidR="00C76A99" w:rsidRPr="0041120B">
        <w:t>ndirect approach</w:t>
      </w:r>
      <w:r w:rsidR="00CE3BDA">
        <w:t xml:space="preserve"> included </w:t>
      </w:r>
      <w:r w:rsidR="008F14D9" w:rsidRPr="0041120B">
        <w:t xml:space="preserve">intergroup contact </w:t>
      </w:r>
      <w:r w:rsidR="00CE3BDA">
        <w:t>interventions</w:t>
      </w:r>
      <w:r w:rsidR="003A05BD">
        <w:t>.</w:t>
      </w:r>
      <w:r w:rsidR="00CE3BDA">
        <w:t xml:space="preserve"> </w:t>
      </w:r>
      <w:r w:rsidR="008F14D9">
        <w:t>The assumption is that through face to face, virtual or through the formation of intergroup friendships</w:t>
      </w:r>
      <w:r w:rsidR="004E4BF9">
        <w:t xml:space="preserve">, </w:t>
      </w:r>
      <w:r w:rsidR="003A05BD">
        <w:t xml:space="preserve">there is </w:t>
      </w:r>
      <w:r w:rsidR="004E4BF9">
        <w:t>persona</w:t>
      </w:r>
      <w:r w:rsidR="003A05BD">
        <w:t>l</w:t>
      </w:r>
      <w:r w:rsidR="004E4BF9">
        <w:t xml:space="preserve"> experience </w:t>
      </w:r>
      <w:r w:rsidR="003A05BD">
        <w:t xml:space="preserve">of </w:t>
      </w:r>
      <w:r w:rsidR="004E4BF9">
        <w:t>counter-stereotypical information about the other</w:t>
      </w:r>
      <w:r w:rsidR="003A05BD">
        <w:t>s, which</w:t>
      </w:r>
      <w:r w:rsidR="004E4BF9">
        <w:t xml:space="preserve"> leads to personalising and humanising the other group members</w:t>
      </w:r>
      <w:r w:rsidR="00C345B7">
        <w:t>.</w:t>
      </w:r>
      <w:r w:rsidR="001A6A3B">
        <w:rPr>
          <w:rStyle w:val="FootnoteReference"/>
        </w:rPr>
        <w:footnoteReference w:id="118"/>
      </w:r>
    </w:p>
    <w:p w14:paraId="2150B907" w14:textId="50610124" w:rsidR="005308FE" w:rsidRDefault="00CE3BDA" w:rsidP="0086260E">
      <w:r>
        <w:rPr>
          <w:b/>
        </w:rPr>
        <w:t>Approach II: The Paradoxical Thinking P</w:t>
      </w:r>
      <w:r w:rsidR="0081106E" w:rsidRPr="0086260E">
        <w:rPr>
          <w:b/>
        </w:rPr>
        <w:t>aradigm</w:t>
      </w:r>
      <w:r w:rsidR="0086260E">
        <w:rPr>
          <w:b/>
        </w:rPr>
        <w:t xml:space="preserve"> </w:t>
      </w:r>
      <w:r w:rsidR="001C0C0A">
        <w:t>This approach provides</w:t>
      </w:r>
      <w:r w:rsidR="001C0C0A" w:rsidRPr="001C0C0A">
        <w:t xml:space="preserve"> messages consistent with held </w:t>
      </w:r>
      <w:r w:rsidR="001C0C0A">
        <w:t xml:space="preserve">beliefs and attitudes, but </w:t>
      </w:r>
      <w:r w:rsidR="007C5D7F">
        <w:t xml:space="preserve">formulated in </w:t>
      </w:r>
      <w:r w:rsidR="00834540">
        <w:t>an exaggerated</w:t>
      </w:r>
      <w:r w:rsidR="001C0C0A" w:rsidRPr="001C0C0A">
        <w:t xml:space="preserve"> or even absurd manner. </w:t>
      </w:r>
      <w:r w:rsidR="001C0C0A">
        <w:t xml:space="preserve">This approach was used to </w:t>
      </w:r>
      <w:r w:rsidR="001C0C0A" w:rsidRPr="001C0C0A">
        <w:t>moderate rightist Jewish-Israelis' views regarding the Israeli–Palestinian conflict</w:t>
      </w:r>
      <w:r w:rsidR="001C0C0A">
        <w:t>.</w:t>
      </w:r>
      <w:r w:rsidR="001C0C0A" w:rsidRPr="001C0C0A">
        <w:t xml:space="preserve"> </w:t>
      </w:r>
      <w:r w:rsidR="00B54B59" w:rsidRPr="00B54B59">
        <w:t xml:space="preserve">The premise of most interventions is that information that is inconsistent with held beliefs </w:t>
      </w:r>
      <w:r w:rsidR="00723185">
        <w:t xml:space="preserve">leads to </w:t>
      </w:r>
      <w:r w:rsidR="00B54B59" w:rsidRPr="00B54B59">
        <w:t xml:space="preserve">tension, </w:t>
      </w:r>
      <w:r w:rsidR="00723185">
        <w:t xml:space="preserve">which </w:t>
      </w:r>
      <w:r w:rsidR="00B54B59" w:rsidRPr="00B54B59">
        <w:t>may motivate alternative information seeking. However, individuals</w:t>
      </w:r>
      <w:r w:rsidR="00834540">
        <w:t xml:space="preserve">, </w:t>
      </w:r>
      <w:r w:rsidR="00B54B59" w:rsidRPr="00B54B59">
        <w:t>especially during conflict</w:t>
      </w:r>
      <w:r w:rsidR="00834540">
        <w:t xml:space="preserve">, </w:t>
      </w:r>
      <w:r w:rsidR="00B54B59">
        <w:t xml:space="preserve">may </w:t>
      </w:r>
      <w:r w:rsidR="00B54B59" w:rsidRPr="00B54B59">
        <w:t>use different defences to preserve their societal beliefs. The paradoxical thinking intervention provides consistent</w:t>
      </w:r>
      <w:r w:rsidR="00834540">
        <w:t xml:space="preserve">, </w:t>
      </w:r>
      <w:r w:rsidR="00B54B59" w:rsidRPr="00B54B59">
        <w:t>though extreme</w:t>
      </w:r>
      <w:r w:rsidR="00834540">
        <w:t xml:space="preserve">, </w:t>
      </w:r>
      <w:r w:rsidR="00B54B59" w:rsidRPr="00B54B59">
        <w:t>information, with the intention of raising a s</w:t>
      </w:r>
      <w:r w:rsidR="00B54B59">
        <w:t>ense of absurdity but not personal defenc</w:t>
      </w:r>
      <w:r w:rsidR="00B54B59" w:rsidRPr="00B54B59">
        <w:t>es.</w:t>
      </w:r>
      <w:r w:rsidR="005308FE">
        <w:t xml:space="preserve"> A </w:t>
      </w:r>
      <w:r w:rsidR="005308FE" w:rsidRPr="00B54B59">
        <w:t>l</w:t>
      </w:r>
      <w:r w:rsidR="005308FE">
        <w:t xml:space="preserve">ongitudinal field experiment in Israel used this </w:t>
      </w:r>
      <w:r w:rsidR="00B54B59">
        <w:t>approach</w:t>
      </w:r>
      <w:r w:rsidR="005308FE">
        <w:t>.</w:t>
      </w:r>
      <w:r w:rsidR="00B54B59">
        <w:t xml:space="preserve"> </w:t>
      </w:r>
      <w:r w:rsidR="00834540">
        <w:t>P</w:t>
      </w:r>
      <w:r w:rsidR="00834540" w:rsidRPr="00B54B59">
        <w:t xml:space="preserve">articipants </w:t>
      </w:r>
      <w:r w:rsidR="00834540">
        <w:t>exposed</w:t>
      </w:r>
      <w:r w:rsidR="00B54B59" w:rsidRPr="00B54B59">
        <w:t xml:space="preserve"> to the intervention expressed conciliatory attitudes regarding the conflict, even </w:t>
      </w:r>
      <w:r w:rsidR="00B54B59">
        <w:t xml:space="preserve">one </w:t>
      </w:r>
      <w:r w:rsidR="00B54B59" w:rsidRPr="00B54B59">
        <w:t>year after the intervention</w:t>
      </w:r>
      <w:r w:rsidR="00723185">
        <w:t xml:space="preserve">. </w:t>
      </w:r>
      <w:r w:rsidR="005308FE">
        <w:t xml:space="preserve">They also voted </w:t>
      </w:r>
      <w:r w:rsidR="00834540">
        <w:t>for peace</w:t>
      </w:r>
      <w:r w:rsidR="00723185">
        <w:t>-oriented</w:t>
      </w:r>
      <w:r w:rsidR="00B54B59">
        <w:t xml:space="preserve"> parties</w:t>
      </w:r>
      <w:r w:rsidR="00B54B59" w:rsidRPr="00B54B59">
        <w:t xml:space="preserve"> (self-report measure).</w:t>
      </w:r>
      <w:r w:rsidR="00B54B59">
        <w:rPr>
          <w:rStyle w:val="FootnoteReference"/>
        </w:rPr>
        <w:footnoteReference w:id="119"/>
      </w:r>
      <w:r w:rsidR="00B54B59">
        <w:t xml:space="preserve"> </w:t>
      </w:r>
      <w:r w:rsidR="00DF6714">
        <w:t xml:space="preserve"> </w:t>
      </w:r>
    </w:p>
    <w:p w14:paraId="14BE15D9" w14:textId="32803303" w:rsidR="0086260E" w:rsidRPr="00B54B59" w:rsidRDefault="00E14C1F" w:rsidP="0086260E">
      <w:r>
        <w:t>B</w:t>
      </w:r>
      <w:r w:rsidR="001C0C0A" w:rsidRPr="001C0C0A">
        <w:t>ecause messages do not contradict held beliefs and attitudes</w:t>
      </w:r>
      <w:r w:rsidR="00834540">
        <w:t>,</w:t>
      </w:r>
      <w:r>
        <w:t xml:space="preserve"> </w:t>
      </w:r>
      <w:r w:rsidR="00834540">
        <w:t xml:space="preserve">they </w:t>
      </w:r>
      <w:r w:rsidR="00834540" w:rsidRPr="001C0C0A">
        <w:t>do</w:t>
      </w:r>
      <w:r w:rsidR="001C0C0A" w:rsidRPr="001C0C0A">
        <w:t xml:space="preserve"> not evoke immediate rejection. </w:t>
      </w:r>
      <w:r w:rsidR="00C345B7">
        <w:t>T</w:t>
      </w:r>
      <w:r w:rsidR="00DF6714">
        <w:t xml:space="preserve">he message </w:t>
      </w:r>
      <w:r w:rsidR="001C0C0A" w:rsidRPr="001C0C0A">
        <w:t>must be an extreme version of the held beliefs</w:t>
      </w:r>
      <w:r w:rsidR="00B554B9">
        <w:t>/</w:t>
      </w:r>
      <w:r w:rsidR="001C0C0A" w:rsidRPr="001C0C0A">
        <w:t>attitudes</w:t>
      </w:r>
      <w:r w:rsidR="00C345B7">
        <w:t>,</w:t>
      </w:r>
      <w:r w:rsidR="001C0C0A" w:rsidRPr="001C0C0A">
        <w:t xml:space="preserve"> but not too extreme, </w:t>
      </w:r>
      <w:r w:rsidR="00DF6714">
        <w:t>as this</w:t>
      </w:r>
      <w:r w:rsidR="00B554B9">
        <w:t xml:space="preserve"> results in</w:t>
      </w:r>
      <w:r w:rsidR="001C0C0A" w:rsidRPr="001C0C0A">
        <w:t xml:space="preserve"> automatic rejection. </w:t>
      </w:r>
      <w:r w:rsidR="00DF6714">
        <w:t>A</w:t>
      </w:r>
      <w:r w:rsidR="001C0C0A" w:rsidRPr="001C0C0A">
        <w:t xml:space="preserve">necdotal evidence suggests that awareness of the message's goal of exposing the absurdity of the recipients' beliefs and attitudes may diminish its credibility and render the intervention ineffective. </w:t>
      </w:r>
      <w:r w:rsidR="0039078B">
        <w:t>W</w:t>
      </w:r>
      <w:r w:rsidR="001C0C0A" w:rsidRPr="001C0C0A">
        <w:t xml:space="preserve">hile paradoxical thinking </w:t>
      </w:r>
      <w:r w:rsidR="001B319A">
        <w:t xml:space="preserve">is </w:t>
      </w:r>
      <w:r w:rsidR="001C0C0A" w:rsidRPr="001C0C0A">
        <w:t>generally an effective approach with extreme individuals</w:t>
      </w:r>
      <w:r w:rsidR="0039078B">
        <w:t>,</w:t>
      </w:r>
      <w:r w:rsidR="001C0C0A" w:rsidRPr="001C0C0A">
        <w:t xml:space="preserve"> among moderate individuals the effects varied and</w:t>
      </w:r>
      <w:r w:rsidR="00DB7C60">
        <w:t>,</w:t>
      </w:r>
      <w:r w:rsidR="001C0C0A" w:rsidRPr="001C0C0A">
        <w:t xml:space="preserve"> in some cases</w:t>
      </w:r>
      <w:r w:rsidR="0039078B">
        <w:t>,</w:t>
      </w:r>
      <w:r w:rsidR="001C0C0A" w:rsidRPr="001C0C0A">
        <w:t xml:space="preserve"> </w:t>
      </w:r>
      <w:r w:rsidR="00DF6714">
        <w:t>even backfired.</w:t>
      </w:r>
      <w:r w:rsidR="001B319A">
        <w:rPr>
          <w:rStyle w:val="FootnoteReference"/>
        </w:rPr>
        <w:footnoteReference w:id="120"/>
      </w:r>
    </w:p>
    <w:p w14:paraId="5B58D51C" w14:textId="4FD0C51C" w:rsidR="00B131F4" w:rsidRDefault="00CE3BDA" w:rsidP="00B131F4">
      <w:r>
        <w:rPr>
          <w:b/>
        </w:rPr>
        <w:t xml:space="preserve">Approach III. </w:t>
      </w:r>
      <w:r w:rsidR="00B131F4" w:rsidRPr="0086260E">
        <w:rPr>
          <w:b/>
        </w:rPr>
        <w:t xml:space="preserve">Awareness raising </w:t>
      </w:r>
      <w:r w:rsidRPr="0086260E">
        <w:rPr>
          <w:b/>
        </w:rPr>
        <w:t xml:space="preserve">(Enlightening individual </w:t>
      </w:r>
      <w:r>
        <w:rPr>
          <w:b/>
        </w:rPr>
        <w:t xml:space="preserve">on his/her </w:t>
      </w:r>
      <w:r w:rsidRPr="0086260E">
        <w:rPr>
          <w:b/>
        </w:rPr>
        <w:t>shortcomings)</w:t>
      </w:r>
      <w:r>
        <w:t xml:space="preserve"> </w:t>
      </w:r>
      <w:r w:rsidR="00B131F4" w:rsidRPr="00B131F4">
        <w:t xml:space="preserve">There is evidence suggesting that raising </w:t>
      </w:r>
      <w:r>
        <w:t xml:space="preserve">an </w:t>
      </w:r>
      <w:r w:rsidR="00B131F4" w:rsidRPr="00B131F4">
        <w:t>individual</w:t>
      </w:r>
      <w:r w:rsidR="00F6564B">
        <w:t>’</w:t>
      </w:r>
      <w:r w:rsidR="00B131F4" w:rsidRPr="00B131F4">
        <w:t>s awareness that their well-anchored attitudes are based on unconscious</w:t>
      </w:r>
      <w:r w:rsidR="00B554B9">
        <w:t>,</w:t>
      </w:r>
      <w:r w:rsidR="00B131F4" w:rsidRPr="00B131F4">
        <w:t xml:space="preserve"> biased, selective, and distort</w:t>
      </w:r>
      <w:r w:rsidR="004417AD">
        <w:t>ed</w:t>
      </w:r>
      <w:r w:rsidR="00B131F4" w:rsidRPr="00B131F4">
        <w:t xml:space="preserve"> cognitive and motivational thinking, </w:t>
      </w:r>
      <w:r w:rsidR="004417AD">
        <w:t xml:space="preserve">can </w:t>
      </w:r>
      <w:r w:rsidR="00B131F4" w:rsidRPr="00B131F4">
        <w:t>lead to</w:t>
      </w:r>
      <w:r w:rsidR="004417AD">
        <w:t xml:space="preserve"> the</w:t>
      </w:r>
      <w:r w:rsidR="00B131F4" w:rsidRPr="00B131F4">
        <w:t xml:space="preserve"> unfreezing</w:t>
      </w:r>
      <w:r w:rsidR="004417AD">
        <w:t xml:space="preserve"> of these attitudes</w:t>
      </w:r>
      <w:r w:rsidR="00B131F4" w:rsidRPr="00B131F4">
        <w:t xml:space="preserve">. In three studies, conducted both in the lab and in the field, </w:t>
      </w:r>
      <w:r w:rsidR="001B319A">
        <w:t xml:space="preserve">researchers’ trained </w:t>
      </w:r>
      <w:r w:rsidR="00B131F4" w:rsidRPr="00B131F4">
        <w:t>Israeli and Palestinian participants to be aware of their psychological bias. Participants read a short text explaining the phenomenon and describing its negative consequences, including close</w:t>
      </w:r>
      <w:r w:rsidR="006B6677">
        <w:t>-</w:t>
      </w:r>
      <w:r w:rsidR="00B131F4" w:rsidRPr="00B131F4">
        <w:t>mindedness and missed opportunities for change in general</w:t>
      </w:r>
      <w:r w:rsidR="006B6677">
        <w:t xml:space="preserve"> as well as</w:t>
      </w:r>
      <w:r w:rsidR="00B131F4" w:rsidRPr="00B131F4">
        <w:t xml:space="preserve"> in conflictual contexts. The results showed that raising awareness of psychological bias </w:t>
      </w:r>
      <w:r w:rsidR="00834540">
        <w:t>could</w:t>
      </w:r>
      <w:r w:rsidR="00B131F4" w:rsidRPr="00B131F4">
        <w:t xml:space="preserve"> lead to greater openness to alternative information, including increased perceived legitimacy and understanding of the adversary's conflict-related narrative. </w:t>
      </w:r>
      <w:r w:rsidR="00834540">
        <w:t>Rightist participants were most affected</w:t>
      </w:r>
      <w:r w:rsidR="00B131F4" w:rsidRPr="00B131F4">
        <w:t>, presumably because they showed more bias at the baseline, and were more able to identify that it influence</w:t>
      </w:r>
      <w:r w:rsidR="009A6481">
        <w:t>d</w:t>
      </w:r>
      <w:r w:rsidR="00B131F4" w:rsidRPr="00B131F4">
        <w:t xml:space="preserve"> their judgment. </w:t>
      </w:r>
      <w:r w:rsidR="00B131F4">
        <w:t xml:space="preserve">This approach holds potential. </w:t>
      </w:r>
      <w:r w:rsidR="00B131F4" w:rsidRPr="00B131F4">
        <w:t>However, bias correction requires both identification of the bias and the abilit</w:t>
      </w:r>
      <w:r w:rsidR="00656C03">
        <w:t xml:space="preserve">y and motivation to correct it. The study </w:t>
      </w:r>
      <w:r w:rsidR="006B6677">
        <w:t xml:space="preserve">undertaken </w:t>
      </w:r>
      <w:r w:rsidR="00656C03">
        <w:t>show</w:t>
      </w:r>
      <w:r w:rsidR="006B6677">
        <w:t>ed</w:t>
      </w:r>
      <w:r w:rsidR="00656C03">
        <w:t xml:space="preserve"> that </w:t>
      </w:r>
      <w:r w:rsidR="00656C03" w:rsidRPr="00656C03">
        <w:t xml:space="preserve">taking the characteristics of the recipients into account is </w:t>
      </w:r>
      <w:r w:rsidR="00656C03">
        <w:t xml:space="preserve">important </w:t>
      </w:r>
      <w:r w:rsidR="00656C03" w:rsidRPr="00656C03">
        <w:t xml:space="preserve">as only the rightist participants correctly identified that this bias was influencing their views. </w:t>
      </w:r>
      <w:r w:rsidR="00656C03">
        <w:t xml:space="preserve">It </w:t>
      </w:r>
      <w:r w:rsidR="00656C03" w:rsidRPr="00656C03">
        <w:t xml:space="preserve">is equally important to make sure that there is a motivation and ability to correct the bias. </w:t>
      </w:r>
      <w:r w:rsidR="00656C03">
        <w:t xml:space="preserve">In this study, </w:t>
      </w:r>
      <w:r w:rsidR="00656C03" w:rsidRPr="00656C03">
        <w:t xml:space="preserve">researchers included the negative consequences of </w:t>
      </w:r>
      <w:r w:rsidR="006B6677">
        <w:t xml:space="preserve">their cognitive processes </w:t>
      </w:r>
      <w:r w:rsidR="00656C03" w:rsidRPr="00656C03">
        <w:t>as part of the intervention, which probably increased participants' motivation to attempt to de</w:t>
      </w:r>
      <w:r w:rsidR="00656C03">
        <w:t>-</w:t>
      </w:r>
      <w:r w:rsidR="00656C03" w:rsidRPr="00656C03">
        <w:t>bias</w:t>
      </w:r>
      <w:r w:rsidR="00656C03">
        <w:t xml:space="preserve"> themselves. The researchers</w:t>
      </w:r>
      <w:r w:rsidR="00656C03" w:rsidRPr="00656C03">
        <w:t xml:space="preserve"> did </w:t>
      </w:r>
      <w:r w:rsidR="00656C03">
        <w:t>not directly link</w:t>
      </w:r>
      <w:r w:rsidR="00656C03" w:rsidRPr="00656C03">
        <w:t xml:space="preserve"> negative consequences to the Israeli–Palestinian con</w:t>
      </w:r>
      <w:r w:rsidR="00656C03">
        <w:t>flict. Making an explicit link c</w:t>
      </w:r>
      <w:r w:rsidR="00656C03" w:rsidRPr="00656C03">
        <w:t>ould have triggered a conflict-related ideology, resulting in reduced bias identification and motivation for correction</w:t>
      </w:r>
      <w:r w:rsidR="00656C03">
        <w:t>.</w:t>
      </w:r>
      <w:r w:rsidR="00656C03" w:rsidRPr="00656C03">
        <w:t xml:space="preserve"> Without being motivated to change their views, recipients of such interventions </w:t>
      </w:r>
      <w:r w:rsidR="009A6481">
        <w:t>acquir</w:t>
      </w:r>
      <w:r w:rsidR="00834540">
        <w:t>e</w:t>
      </w:r>
      <w:r w:rsidR="00656C03" w:rsidRPr="00656C03">
        <w:t xml:space="preserve"> the notion that their bias is normal, whi</w:t>
      </w:r>
      <w:r w:rsidR="00656C03">
        <w:t>ch can lead to complacency.</w:t>
      </w:r>
      <w:r w:rsidR="001A6A3B">
        <w:rPr>
          <w:rStyle w:val="FootnoteReference"/>
        </w:rPr>
        <w:footnoteReference w:id="121"/>
      </w:r>
      <w:r w:rsidR="00656C03">
        <w:t xml:space="preserve"> </w:t>
      </w:r>
    </w:p>
    <w:p w14:paraId="79F4849C" w14:textId="6489E044" w:rsidR="00BE12DF" w:rsidRPr="00CE3BDA" w:rsidRDefault="00CE3BDA" w:rsidP="00B131F4">
      <w:pPr>
        <w:rPr>
          <w:b/>
        </w:rPr>
      </w:pPr>
      <w:r>
        <w:rPr>
          <w:b/>
        </w:rPr>
        <w:t xml:space="preserve">Approach IV: </w:t>
      </w:r>
      <w:r w:rsidR="00656C03" w:rsidRPr="00CE3BDA">
        <w:rPr>
          <w:b/>
        </w:rPr>
        <w:t>Teaching skills relevant to attitude change</w:t>
      </w:r>
      <w:r>
        <w:rPr>
          <w:b/>
        </w:rPr>
        <w:t xml:space="preserve"> </w:t>
      </w:r>
      <w:r w:rsidR="00656C03" w:rsidRPr="00656C03">
        <w:t xml:space="preserve">help individuals </w:t>
      </w:r>
      <w:r w:rsidR="009A6481">
        <w:t xml:space="preserve">to understand and </w:t>
      </w:r>
      <w:r w:rsidR="00BE12DF" w:rsidRPr="00BE12DF">
        <w:t>overcome emotional</w:t>
      </w:r>
      <w:r w:rsidR="0039078B">
        <w:t>/</w:t>
      </w:r>
      <w:r w:rsidR="00BE12DF" w:rsidRPr="00BE12DF">
        <w:t>cognitive processes, which freez</w:t>
      </w:r>
      <w:r w:rsidR="004417AD">
        <w:t>e</w:t>
      </w:r>
      <w:r w:rsidR="00BE12DF" w:rsidRPr="00BE12DF">
        <w:t xml:space="preserve"> </w:t>
      </w:r>
      <w:r w:rsidR="0039078B">
        <w:t xml:space="preserve">attitudes </w:t>
      </w:r>
      <w:r w:rsidR="00BE12DF" w:rsidRPr="00BE12DF">
        <w:t>and hinder attitude change</w:t>
      </w:r>
      <w:r w:rsidR="00BE12DF">
        <w:t>. This approach help</w:t>
      </w:r>
      <w:r w:rsidR="0039078B">
        <w:t>s</w:t>
      </w:r>
      <w:r w:rsidR="00BE12DF">
        <w:t xml:space="preserve"> people </w:t>
      </w:r>
      <w:r w:rsidR="00FD4C58">
        <w:t xml:space="preserve">change </w:t>
      </w:r>
      <w:r w:rsidR="00656C03" w:rsidRPr="00656C03">
        <w:t>p</w:t>
      </w:r>
      <w:r w:rsidR="00BE12DF">
        <w:t xml:space="preserve">sychological processes that they </w:t>
      </w:r>
      <w:r w:rsidR="00656C03" w:rsidRPr="00656C03">
        <w:t xml:space="preserve">are aware of </w:t>
      </w:r>
      <w:r w:rsidR="009A6481">
        <w:t>and where they are motivated</w:t>
      </w:r>
      <w:r w:rsidR="00656C03" w:rsidRPr="00656C03">
        <w:t xml:space="preserve"> to change, but are held back </w:t>
      </w:r>
      <w:r w:rsidR="009A6481">
        <w:t xml:space="preserve">by </w:t>
      </w:r>
      <w:r w:rsidR="00656C03" w:rsidRPr="00656C03">
        <w:t>emotional and cognitive processes.</w:t>
      </w:r>
      <w:r w:rsidR="001A6A3B">
        <w:rPr>
          <w:rStyle w:val="FootnoteReference"/>
        </w:rPr>
        <w:footnoteReference w:id="122"/>
      </w:r>
      <w:r>
        <w:t xml:space="preserve"> </w:t>
      </w:r>
    </w:p>
    <w:p w14:paraId="34905506" w14:textId="186D8B97" w:rsidR="001327BA" w:rsidRPr="00CE3BDA" w:rsidRDefault="00CE3BDA" w:rsidP="00B131F4">
      <w:pPr>
        <w:rPr>
          <w:b/>
        </w:rPr>
      </w:pPr>
      <w:r>
        <w:rPr>
          <w:b/>
        </w:rPr>
        <w:t>Approach V: The Informative Process M</w:t>
      </w:r>
      <w:r w:rsidR="00656C03" w:rsidRPr="00CE3BDA">
        <w:rPr>
          <w:b/>
        </w:rPr>
        <w:t xml:space="preserve">odel </w:t>
      </w:r>
      <w:r w:rsidR="001327BA">
        <w:t>is a new approach</w:t>
      </w:r>
      <w:r w:rsidR="009A6481">
        <w:t>,</w:t>
      </w:r>
      <w:r w:rsidR="001327BA">
        <w:t xml:space="preserve"> which informs</w:t>
      </w:r>
      <w:r w:rsidR="001327BA" w:rsidRPr="001327BA">
        <w:t xml:space="preserve"> individuals about the socio-psychological processes through which they form and maintain their beliefs and attitudes in a particular context. It focuses on the psychological needs these processes serve, and then it challenges the message recipient to let go of them</w:t>
      </w:r>
      <w:r w:rsidR="001327BA">
        <w:t>.</w:t>
      </w:r>
      <w:r w:rsidR="001A6A3B">
        <w:rPr>
          <w:rStyle w:val="FootnoteReference"/>
        </w:rPr>
        <w:footnoteReference w:id="123"/>
      </w:r>
    </w:p>
    <w:p w14:paraId="29A5477C" w14:textId="67611C64" w:rsidR="004E1EA4" w:rsidRDefault="00ED5258" w:rsidP="00AC290A">
      <w:pPr>
        <w:pStyle w:val="Heading1"/>
      </w:pPr>
      <w:bookmarkStart w:id="19" w:name="_Toc122447208"/>
      <w:bookmarkEnd w:id="4"/>
      <w:r>
        <w:t xml:space="preserve">Chapter 4: </w:t>
      </w:r>
      <w:r w:rsidR="00590EE0">
        <w:t>Discussion and c</w:t>
      </w:r>
      <w:r w:rsidR="00AC290A">
        <w:t>onclusions</w:t>
      </w:r>
      <w:bookmarkEnd w:id="19"/>
    </w:p>
    <w:p w14:paraId="45BC7F92" w14:textId="77777777" w:rsidR="00C644DA" w:rsidRDefault="00C644DA" w:rsidP="00C644DA">
      <w:pPr>
        <w:pStyle w:val="Heading2"/>
      </w:pPr>
      <w:r>
        <w:t>Discussion</w:t>
      </w:r>
    </w:p>
    <w:p w14:paraId="6E0F1B20" w14:textId="39BFEB7B" w:rsidR="00590EE0" w:rsidRDefault="007341CC" w:rsidP="00590EE0">
      <w:r>
        <w:t>T</w:t>
      </w:r>
      <w:r w:rsidR="00620F6B">
        <w:t xml:space="preserve">here </w:t>
      </w:r>
      <w:r w:rsidR="00620F6B" w:rsidRPr="007652F5">
        <w:t xml:space="preserve">has been progress in understanding </w:t>
      </w:r>
      <w:r w:rsidR="00C25EF1">
        <w:t xml:space="preserve">the formation, measuring and changing of attitudes. </w:t>
      </w:r>
      <w:r w:rsidR="00620F6B" w:rsidRPr="007652F5">
        <w:t xml:space="preserve">The discovery of </w:t>
      </w:r>
      <w:r>
        <w:t xml:space="preserve">how </w:t>
      </w:r>
      <w:r w:rsidR="00620F6B" w:rsidRPr="007652F5">
        <w:t>to indirectly assess people’s thoughts, feelings and possible behaviours is a major advance in attitudes research</w:t>
      </w:r>
      <w:r w:rsidR="00620F6B">
        <w:t xml:space="preserve">, allowing distinctions </w:t>
      </w:r>
      <w:r w:rsidR="005B2844">
        <w:t xml:space="preserve">to be made </w:t>
      </w:r>
      <w:r>
        <w:t xml:space="preserve">between </w:t>
      </w:r>
      <w:r w:rsidR="00620F6B">
        <w:t xml:space="preserve">explicit </w:t>
      </w:r>
      <w:r w:rsidR="00007CE1">
        <w:t>(</w:t>
      </w:r>
      <w:r w:rsidR="005B2844">
        <w:t xml:space="preserve">more </w:t>
      </w:r>
      <w:r w:rsidR="00A15B6E">
        <w:t>conscious</w:t>
      </w:r>
      <w:r w:rsidR="00007CE1">
        <w:t>)</w:t>
      </w:r>
      <w:r w:rsidR="00A15B6E">
        <w:t xml:space="preserve"> </w:t>
      </w:r>
      <w:r w:rsidR="00620F6B">
        <w:t xml:space="preserve">and implicit </w:t>
      </w:r>
      <w:r w:rsidR="00007CE1">
        <w:t>(</w:t>
      </w:r>
      <w:r w:rsidR="00A15B6E">
        <w:t>less conscious</w:t>
      </w:r>
      <w:r w:rsidR="00007CE1">
        <w:t>)</w:t>
      </w:r>
      <w:r w:rsidR="00A15B6E">
        <w:t xml:space="preserve"> </w:t>
      </w:r>
      <w:r w:rsidR="00620F6B">
        <w:t>attitudes</w:t>
      </w:r>
      <w:r>
        <w:t xml:space="preserve"> and </w:t>
      </w:r>
      <w:r w:rsidR="007B0F15">
        <w:t xml:space="preserve">to conduct </w:t>
      </w:r>
      <w:r>
        <w:t>comparative research</w:t>
      </w:r>
      <w:r w:rsidR="00620F6B" w:rsidRPr="007652F5">
        <w:t xml:space="preserve">. </w:t>
      </w:r>
      <w:r w:rsidR="007B0F15">
        <w:t xml:space="preserve"> </w:t>
      </w:r>
      <w:r w:rsidR="00A15B6E" w:rsidRPr="007652F5">
        <w:t>Of note</w:t>
      </w:r>
      <w:r>
        <w:t xml:space="preserve"> </w:t>
      </w:r>
      <w:r w:rsidR="00A15B6E" w:rsidRPr="007652F5">
        <w:t xml:space="preserve">is that </w:t>
      </w:r>
      <w:r w:rsidR="00C25EF1">
        <w:t xml:space="preserve">in some studies </w:t>
      </w:r>
      <w:r w:rsidR="00A15B6E" w:rsidRPr="007652F5">
        <w:t xml:space="preserve">implicit attitudes to </w:t>
      </w:r>
      <w:r w:rsidR="00A15B6E">
        <w:t xml:space="preserve">disability, </w:t>
      </w:r>
      <w:r w:rsidR="00A15B6E" w:rsidRPr="007652F5">
        <w:t>age, and body-weight show</w:t>
      </w:r>
      <w:r w:rsidR="00436DFF">
        <w:t>ed</w:t>
      </w:r>
      <w:r w:rsidR="00A15B6E" w:rsidRPr="007652F5">
        <w:t xml:space="preserve"> little to no long-term chang</w:t>
      </w:r>
      <w:r w:rsidR="00C25EF1">
        <w:t xml:space="preserve">e, whereas there have been significant decreases in negative implicit attitudes </w:t>
      </w:r>
      <w:r w:rsidR="003B1D45">
        <w:t xml:space="preserve">to age, race, </w:t>
      </w:r>
      <w:r w:rsidR="00C25EF1">
        <w:t>sexuality</w:t>
      </w:r>
      <w:r w:rsidR="003B1D45">
        <w:t>, etc</w:t>
      </w:r>
      <w:r w:rsidR="00C25EF1">
        <w:t xml:space="preserve">. </w:t>
      </w:r>
      <w:r w:rsidR="0094769A">
        <w:t>P</w:t>
      </w:r>
      <w:r w:rsidR="00045169" w:rsidRPr="007652F5">
        <w:t xml:space="preserve">ublic attitudes toward different types of disabilities </w:t>
      </w:r>
      <w:r>
        <w:t xml:space="preserve">have </w:t>
      </w:r>
      <w:r w:rsidR="00045169" w:rsidRPr="007652F5">
        <w:t>show</w:t>
      </w:r>
      <w:r>
        <w:t>n</w:t>
      </w:r>
      <w:r w:rsidR="00045169" w:rsidRPr="007652F5">
        <w:t xml:space="preserve"> stability over decades. </w:t>
      </w:r>
      <w:r w:rsidR="0094769A">
        <w:t xml:space="preserve">Thus, </w:t>
      </w:r>
      <w:r w:rsidR="00A50A07">
        <w:t>n</w:t>
      </w:r>
      <w:r w:rsidR="00590EE0" w:rsidRPr="004C1B3F">
        <w:t>egative attitudes</w:t>
      </w:r>
      <w:r w:rsidR="00590EE0">
        <w:t xml:space="preserve"> and discrimination </w:t>
      </w:r>
      <w:r w:rsidR="00436DFF">
        <w:t xml:space="preserve">to disabled people </w:t>
      </w:r>
      <w:r w:rsidR="00590EE0">
        <w:t>persist</w:t>
      </w:r>
      <w:r w:rsidR="009A6ACC">
        <w:t>,</w:t>
      </w:r>
      <w:r w:rsidR="00590EE0" w:rsidRPr="004C1B3F">
        <w:t xml:space="preserve"> </w:t>
      </w:r>
      <w:r w:rsidR="00590EE0">
        <w:t>creat</w:t>
      </w:r>
      <w:r w:rsidR="00A50A07">
        <w:t>ing</w:t>
      </w:r>
      <w:r w:rsidR="00590EE0">
        <w:t xml:space="preserve"> communication and employment barriers and obstacles to </w:t>
      </w:r>
      <w:r w:rsidR="00436DFF">
        <w:t xml:space="preserve">their </w:t>
      </w:r>
      <w:r w:rsidR="00590EE0">
        <w:t>full societal participation</w:t>
      </w:r>
      <w:r w:rsidR="0094769A">
        <w:t xml:space="preserve"> and affecting </w:t>
      </w:r>
      <w:r w:rsidR="00436DFF">
        <w:t xml:space="preserve">their </w:t>
      </w:r>
      <w:r w:rsidR="00A50A07">
        <w:t xml:space="preserve">wellbeing. </w:t>
      </w:r>
      <w:r w:rsidR="0094769A">
        <w:t>E</w:t>
      </w:r>
      <w:r w:rsidR="00590EE0">
        <w:t xml:space="preserve">thnographic research in </w:t>
      </w:r>
      <w:r w:rsidR="00F775CC">
        <w:t xml:space="preserve">the UK </w:t>
      </w:r>
      <w:r w:rsidR="00590EE0">
        <w:t xml:space="preserve">investigated </w:t>
      </w:r>
      <w:r w:rsidR="00FC125F">
        <w:t xml:space="preserve">the </w:t>
      </w:r>
      <w:r w:rsidR="00590EE0" w:rsidRPr="000D74E6">
        <w:t>perception gap between disabled and non</w:t>
      </w:r>
      <w:r w:rsidR="003B1D45">
        <w:t>-</w:t>
      </w:r>
      <w:r w:rsidR="00590EE0" w:rsidRPr="000D74E6">
        <w:t>disabled people</w:t>
      </w:r>
      <w:r w:rsidR="00834540">
        <w:t xml:space="preserve"> </w:t>
      </w:r>
      <w:r w:rsidR="00590EE0">
        <w:t>a</w:t>
      </w:r>
      <w:r w:rsidR="003B1D45">
        <w:t xml:space="preserve">round </w:t>
      </w:r>
      <w:r w:rsidR="00864024">
        <w:t xml:space="preserve">disability </w:t>
      </w:r>
      <w:r w:rsidR="00590EE0">
        <w:t xml:space="preserve">prejudice in Britain. </w:t>
      </w:r>
      <w:r w:rsidR="00436DFF">
        <w:t>It found that, i</w:t>
      </w:r>
      <w:r w:rsidR="0094769A">
        <w:t xml:space="preserve">n </w:t>
      </w:r>
      <w:r w:rsidR="00590EE0" w:rsidRPr="000D74E6">
        <w:t>addition to insults and abuse, disabled people encounter</w:t>
      </w:r>
      <w:r w:rsidR="00F775CC">
        <w:t>ed</w:t>
      </w:r>
      <w:r w:rsidR="00590EE0" w:rsidRPr="000D74E6">
        <w:t xml:space="preserve"> s</w:t>
      </w:r>
      <w:r w:rsidR="00045169">
        <w:t xml:space="preserve">ubtle </w:t>
      </w:r>
      <w:r w:rsidR="00590EE0">
        <w:t>acts of negative behaviour</w:t>
      </w:r>
      <w:r w:rsidR="006A6057">
        <w:t>, undetected by others, but</w:t>
      </w:r>
      <w:r w:rsidR="00590EE0">
        <w:t xml:space="preserve"> </w:t>
      </w:r>
      <w:r w:rsidR="00590EE0" w:rsidRPr="000D74E6">
        <w:t>add</w:t>
      </w:r>
      <w:r w:rsidR="0094769A">
        <w:t>ing</w:t>
      </w:r>
      <w:r w:rsidR="00590EE0" w:rsidRPr="000D74E6">
        <w:t xml:space="preserve"> up to a background of negative attitudes and behaviours</w:t>
      </w:r>
      <w:r w:rsidR="00705BE1">
        <w:t>.</w:t>
      </w:r>
      <w:r w:rsidR="00590EE0" w:rsidRPr="000D74E6">
        <w:t xml:space="preserve"> </w:t>
      </w:r>
    </w:p>
    <w:p w14:paraId="4CBCB444" w14:textId="77777777" w:rsidR="00C644DA" w:rsidRDefault="007827F5" w:rsidP="00F34C51">
      <w:r>
        <w:t>Research repeatedly shows that positive attitudes are created through contact and that p</w:t>
      </w:r>
      <w:r w:rsidR="009A6ACC">
        <w:t xml:space="preserve">ositive attitudes </w:t>
      </w:r>
      <w:r w:rsidR="00436DFF">
        <w:t>increase</w:t>
      </w:r>
      <w:r w:rsidR="009A6ACC">
        <w:t xml:space="preserve"> where disabled people </w:t>
      </w:r>
      <w:r w:rsidR="00B829EE">
        <w:t xml:space="preserve">are embedded </w:t>
      </w:r>
      <w:r w:rsidR="009A6ACC">
        <w:t>in the community, workplace, social and civic life, etc.</w:t>
      </w:r>
      <w:r w:rsidR="00B829EE">
        <w:t xml:space="preserve"> alongside their peers.</w:t>
      </w:r>
      <w:r w:rsidR="009A6ACC">
        <w:t xml:space="preserve"> </w:t>
      </w:r>
      <w:r w:rsidR="004A686D" w:rsidRPr="004A686D">
        <w:t xml:space="preserve">Inclusion and participation reduce negative attitudes and stigma naturally through personal contact. </w:t>
      </w:r>
      <w:r>
        <w:t xml:space="preserve">Thus, </w:t>
      </w:r>
      <w:r w:rsidR="00834540">
        <w:t xml:space="preserve">one of </w:t>
      </w:r>
      <w:r w:rsidR="005B2844">
        <w:t>the best way</w:t>
      </w:r>
      <w:r w:rsidR="00834540">
        <w:t>s</w:t>
      </w:r>
      <w:r w:rsidR="005B2844">
        <w:t xml:space="preserve"> to </w:t>
      </w:r>
      <w:r w:rsidR="006A6057">
        <w:t xml:space="preserve">change </w:t>
      </w:r>
      <w:r w:rsidR="005B2844">
        <w:t xml:space="preserve">negative attitudes </w:t>
      </w:r>
      <w:r w:rsidR="006A6057">
        <w:t>and behaviours</w:t>
      </w:r>
      <w:r w:rsidR="00834540">
        <w:t xml:space="preserve"> is to </w:t>
      </w:r>
      <w:r w:rsidR="004A686D">
        <w:t>increas</w:t>
      </w:r>
      <w:r w:rsidR="006A6057">
        <w:t>e</w:t>
      </w:r>
      <w:r w:rsidR="004A686D">
        <w:t xml:space="preserve"> the inclusion and participation of disabled person</w:t>
      </w:r>
      <w:r w:rsidR="00436DFF">
        <w:t xml:space="preserve"> in employment, education and training</w:t>
      </w:r>
      <w:r w:rsidR="00864024">
        <w:t xml:space="preserve"> and</w:t>
      </w:r>
      <w:r w:rsidR="00436DFF">
        <w:t xml:space="preserve"> in social and civic life</w:t>
      </w:r>
      <w:r>
        <w:t xml:space="preserve">. </w:t>
      </w:r>
    </w:p>
    <w:p w14:paraId="50633187" w14:textId="288D387C" w:rsidR="00F34C51" w:rsidRPr="00F34C51" w:rsidRDefault="00F34C51" w:rsidP="00F34C51">
      <w:r w:rsidRPr="00F34C51">
        <w:t xml:space="preserve">The Royal Commission into Violence, Abuse, Neglect and Exploitation of People with Disability in Australia (2022) found that effective interventions </w:t>
      </w:r>
      <w:r>
        <w:t xml:space="preserve">to change attitudes </w:t>
      </w:r>
      <w:r w:rsidRPr="00F34C51">
        <w:t xml:space="preserve">use a combination of regulation, guidelines, persuasion and modelling and that interventions led </w:t>
      </w:r>
      <w:r w:rsidR="00864024">
        <w:t xml:space="preserve">and championed </w:t>
      </w:r>
      <w:r w:rsidRPr="00F34C51">
        <w:t xml:space="preserve">by government are important for successful outcomes. </w:t>
      </w:r>
      <w:r>
        <w:t xml:space="preserve">They considered </w:t>
      </w:r>
      <w:r w:rsidR="00436DFF">
        <w:t xml:space="preserve">that </w:t>
      </w:r>
      <w:r>
        <w:t xml:space="preserve">the </w:t>
      </w:r>
      <w:r w:rsidRPr="00F34C51">
        <w:t>following elements</w:t>
      </w:r>
      <w:r>
        <w:t xml:space="preserve"> </w:t>
      </w:r>
      <w:r w:rsidR="00436DFF">
        <w:t xml:space="preserve">are </w:t>
      </w:r>
      <w:r>
        <w:t>essential</w:t>
      </w:r>
      <w:r w:rsidRPr="00F34C51">
        <w:t>:</w:t>
      </w:r>
    </w:p>
    <w:p w14:paraId="086FDB4B" w14:textId="77777777" w:rsidR="00F34C51" w:rsidRPr="00F34C51" w:rsidRDefault="00F34C51" w:rsidP="00F34C51">
      <w:pPr>
        <w:numPr>
          <w:ilvl w:val="0"/>
          <w:numId w:val="1"/>
        </w:numPr>
      </w:pPr>
      <w:r w:rsidRPr="00F34C51">
        <w:t xml:space="preserve">The active presence of a diversity of disabled people in all life domains, including inclusive schooling, employment and communities (contact). </w:t>
      </w:r>
    </w:p>
    <w:p w14:paraId="463C7827" w14:textId="5734DAFB" w:rsidR="00F34C51" w:rsidRPr="00F34C51" w:rsidRDefault="00F34C51" w:rsidP="00F34C51">
      <w:pPr>
        <w:numPr>
          <w:ilvl w:val="0"/>
          <w:numId w:val="1"/>
        </w:numPr>
      </w:pPr>
      <w:r w:rsidRPr="00F34C51">
        <w:t xml:space="preserve">Leadership by disabled people and leadership by organisations and government that highlights the diverse contribution of disabled people. </w:t>
      </w:r>
    </w:p>
    <w:p w14:paraId="18DA5AF2" w14:textId="77777777" w:rsidR="00F34C51" w:rsidRPr="00F34C51" w:rsidRDefault="00F34C51" w:rsidP="00F34C51">
      <w:pPr>
        <w:numPr>
          <w:ilvl w:val="0"/>
          <w:numId w:val="1"/>
        </w:numPr>
      </w:pPr>
      <w:r w:rsidRPr="00F34C51">
        <w:t>Targeting multiple levels and types of policy and interventions based on information and education in a holistic approach to system and attitude change.</w:t>
      </w:r>
    </w:p>
    <w:p w14:paraId="0F012B92" w14:textId="4DFB1152" w:rsidR="006D386E" w:rsidRPr="006D386E" w:rsidRDefault="00F34C51" w:rsidP="006D386E">
      <w:pPr>
        <w:numPr>
          <w:ilvl w:val="0"/>
          <w:numId w:val="1"/>
        </w:numPr>
      </w:pPr>
      <w:r w:rsidRPr="00F34C51">
        <w:t>The implementation of long-term approaches with adequate resourcing to achieve structural and sustained changes in attitudes and behaviours</w:t>
      </w:r>
      <w:r w:rsidR="00783EDC">
        <w:t xml:space="preserve"> and t</w:t>
      </w:r>
      <w:r w:rsidR="006D386E" w:rsidRPr="006D386E">
        <w:t xml:space="preserve">argeting government, organisational and </w:t>
      </w:r>
      <w:r w:rsidR="006D386E">
        <w:t>individual levels</w:t>
      </w:r>
      <w:r w:rsidR="00783EDC">
        <w:t>.</w:t>
      </w:r>
      <w:r w:rsidR="006D386E" w:rsidRPr="006D386E">
        <w:t xml:space="preserve"> </w:t>
      </w:r>
      <w:r w:rsidR="00783EDC">
        <w:t>D</w:t>
      </w:r>
      <w:r w:rsidR="006D386E">
        <w:t>eveloping</w:t>
      </w:r>
      <w:r w:rsidR="006D386E" w:rsidRPr="006D386E">
        <w:t xml:space="preserve"> co-designed interventions targeted to sectors and life domains identified by </w:t>
      </w:r>
      <w:r w:rsidR="00783EDC">
        <w:t xml:space="preserve">disabled people </w:t>
      </w:r>
      <w:r w:rsidR="006D386E" w:rsidRPr="006D386E">
        <w:t xml:space="preserve">as </w:t>
      </w:r>
      <w:r w:rsidR="006A6057" w:rsidRPr="006D386E">
        <w:t>influencing</w:t>
      </w:r>
      <w:r w:rsidR="006D386E" w:rsidRPr="006D386E">
        <w:t xml:space="preserve"> their participation and inclusion (e.g. work, education, community). Consideration</w:t>
      </w:r>
      <w:r w:rsidR="00505410">
        <w:t xml:space="preserve"> of</w:t>
      </w:r>
      <w:r w:rsidR="006D386E" w:rsidRPr="006D386E">
        <w:t xml:space="preserve"> structural, organisational and individual interventions and draw</w:t>
      </w:r>
      <w:r w:rsidR="00505410">
        <w:t>ing</w:t>
      </w:r>
      <w:r w:rsidR="006D386E" w:rsidRPr="006D386E">
        <w:t xml:space="preserve"> on available evidence regarding the effectiveness of interventions and rigorously evaluate </w:t>
      </w:r>
      <w:r w:rsidR="006D386E">
        <w:t xml:space="preserve">them </w:t>
      </w:r>
      <w:r w:rsidR="006A6057">
        <w:t xml:space="preserve">to identify how to improve the interventions. </w:t>
      </w:r>
    </w:p>
    <w:p w14:paraId="1D839DBD" w14:textId="10CF488B" w:rsidR="00F34C51" w:rsidRPr="00F34C51" w:rsidRDefault="00F34C51" w:rsidP="00F34C51">
      <w:pPr>
        <w:numPr>
          <w:ilvl w:val="0"/>
          <w:numId w:val="1"/>
        </w:numPr>
      </w:pPr>
      <w:r w:rsidRPr="00F34C51">
        <w:t xml:space="preserve">Measuring and monitoring behaviour </w:t>
      </w:r>
      <w:r w:rsidR="00C50E3A">
        <w:t xml:space="preserve">and </w:t>
      </w:r>
      <w:r w:rsidR="006D386E">
        <w:t xml:space="preserve">attitudes </w:t>
      </w:r>
      <w:r w:rsidRPr="00F34C51">
        <w:t>and conducting research that inform</w:t>
      </w:r>
      <w:r w:rsidR="006D386E">
        <w:t>s</w:t>
      </w:r>
      <w:r w:rsidRPr="00F34C51">
        <w:t xml:space="preserve"> decisions on interventions and </w:t>
      </w:r>
      <w:r w:rsidR="006D386E">
        <w:t xml:space="preserve">investigates </w:t>
      </w:r>
      <w:r w:rsidRPr="00F34C51">
        <w:t>accountability across organisations.</w:t>
      </w:r>
    </w:p>
    <w:p w14:paraId="1CB558A3" w14:textId="7A95DE48" w:rsidR="00FC125F" w:rsidRPr="00FC125F" w:rsidDel="003B1D45" w:rsidRDefault="00FC125F" w:rsidP="00FC125F">
      <w:r w:rsidRPr="00FC125F" w:rsidDel="003B1D45">
        <w:t xml:space="preserve">The Australia’s Disability Strategy 2021 – 2031 </w:t>
      </w:r>
      <w:r w:rsidR="007F7AE9">
        <w:t xml:space="preserve">contains some of these elements </w:t>
      </w:r>
      <w:r w:rsidR="007F7AE9" w:rsidRPr="00FC125F" w:rsidDel="003B1D45">
        <w:t>to support equality, inclusion and participation in society for disabled people</w:t>
      </w:r>
      <w:r w:rsidR="007F7AE9">
        <w:t>. For example, policy priorities in its Community Attitudes Outcome</w:t>
      </w:r>
      <w:r w:rsidRPr="00FC125F" w:rsidDel="003B1D45">
        <w:t xml:space="preserve"> includ</w:t>
      </w:r>
      <w:r w:rsidR="007F7AE9">
        <w:t>e the following</w:t>
      </w:r>
      <w:r w:rsidRPr="00FC125F" w:rsidDel="003B1D45">
        <w:t>:</w:t>
      </w:r>
    </w:p>
    <w:p w14:paraId="741623A1" w14:textId="5330BA4D" w:rsidR="00FC125F" w:rsidRPr="00FC125F" w:rsidDel="003B1D45" w:rsidRDefault="00FC125F" w:rsidP="00FC125F">
      <w:pPr>
        <w:numPr>
          <w:ilvl w:val="0"/>
          <w:numId w:val="2"/>
        </w:numPr>
      </w:pPr>
      <w:r w:rsidRPr="00FC125F" w:rsidDel="003B1D45">
        <w:t>Increase representation of people with disability in leadership roles [“The best challenge to deeply rooted exclusionary attitudes and prejudices is everyday contact with people with disability.” - Office of the Public Advocate 2020</w:t>
      </w:r>
      <w:r w:rsidR="00C644DA">
        <w:rPr>
          <w:rStyle w:val="FootnoteReference"/>
        </w:rPr>
        <w:footnoteReference w:id="124"/>
      </w:r>
      <w:r w:rsidRPr="00FC125F" w:rsidDel="003B1D45">
        <w:t xml:space="preserve"> and “The most effective way to improve community attitudes is to increase levels of inclusion of people with disability in all aspects of society, particularly education, employment, leadership roles, and the media.” -Centre of Research Excellence in Disability and Health 2020</w:t>
      </w:r>
      <w:r w:rsidR="003B7295">
        <w:rPr>
          <w:rStyle w:val="FootnoteReference"/>
        </w:rPr>
        <w:footnoteReference w:id="125"/>
      </w:r>
      <w:r w:rsidRPr="00FC125F" w:rsidDel="003B1D45">
        <w:t>]</w:t>
      </w:r>
    </w:p>
    <w:p w14:paraId="1061BD18" w14:textId="77777777" w:rsidR="00FC125F" w:rsidRPr="00FC125F" w:rsidDel="003B1D45" w:rsidRDefault="00FC125F" w:rsidP="00FC125F">
      <w:pPr>
        <w:numPr>
          <w:ilvl w:val="0"/>
          <w:numId w:val="2"/>
        </w:numPr>
      </w:pPr>
      <w:r w:rsidRPr="00FC125F" w:rsidDel="003B1D45">
        <w:t>Support employers to value the contribution that people with disability make to the workforce, and recognise the benefits of employing people with disability [In a 2011 study from the Organisation for Economic Co-operation and Development (OECD), Australia ranked 21st out of 29 countries in terms of the employment of people with disability.</w:t>
      </w:r>
    </w:p>
    <w:p w14:paraId="19D4B994" w14:textId="33D456B3" w:rsidR="00BD16E1" w:rsidRPr="003203E6" w:rsidRDefault="00BD16E1" w:rsidP="00BD16E1">
      <w:r>
        <w:t>Over-arching policies at the government level alongside interventions at the organisational and personal levels support effectiveness</w:t>
      </w:r>
      <w:r w:rsidR="007A40DC">
        <w:t xml:space="preserve">. </w:t>
      </w:r>
      <w:r w:rsidRPr="003203E6">
        <w:t>Top down interventions target behaviours, which change perceived norms and, over time, influence attitudes. Such “indirect” interventions include public policies, incentives for change, legislation, environmental restructuring, nudge interventions, etc. Bottom up interventions such as various socio-psychological approaches motivate individuals to re-evaluate attitudes and beliefs.</w:t>
      </w:r>
    </w:p>
    <w:p w14:paraId="298BC43C" w14:textId="6F5F75A0" w:rsidR="00DF638E" w:rsidRDefault="00783EDC" w:rsidP="00783EDC">
      <w:r>
        <w:t>In the world of sport, the Special Olympics and the support and development of structure</w:t>
      </w:r>
      <w:r w:rsidR="00E069E8">
        <w:t>s</w:t>
      </w:r>
      <w:r>
        <w:t xml:space="preserve"> for disabled athletes, show how targets can be set, outcomes evaluated, attitudes changed and the transition made to inclusion, participation and visibility alongside peers and mainstream sports people. </w:t>
      </w:r>
      <w:r w:rsidR="003B1D45">
        <w:t>One could make s</w:t>
      </w:r>
      <w:r>
        <w:t xml:space="preserve">imilar transitions in other fields. </w:t>
      </w:r>
      <w:r w:rsidR="00DF638E" w:rsidRPr="00A4712C">
        <w:t>An effective human rights disability employment strategy</w:t>
      </w:r>
      <w:r w:rsidR="007F7AE9">
        <w:t xml:space="preserve"> in Europe, for example, could</w:t>
      </w:r>
      <w:r w:rsidR="003B1D45">
        <w:t xml:space="preserve"> </w:t>
      </w:r>
      <w:r w:rsidR="000F0F5E">
        <w:t>push</w:t>
      </w:r>
      <w:r w:rsidR="00DF638E" w:rsidRPr="00A4712C">
        <w:t xml:space="preserve"> </w:t>
      </w:r>
      <w:r w:rsidR="000F0F5E">
        <w:t xml:space="preserve">employers </w:t>
      </w:r>
      <w:r w:rsidR="00DF638E" w:rsidRPr="00A4712C">
        <w:t>to increase the number of their</w:t>
      </w:r>
      <w:r w:rsidR="000F0F5E">
        <w:t xml:space="preserve"> </w:t>
      </w:r>
      <w:r w:rsidR="00DF638E" w:rsidRPr="00A4712C">
        <w:t>disabled employees.</w:t>
      </w:r>
      <w:r w:rsidR="00DF638E">
        <w:rPr>
          <w:rStyle w:val="FootnoteReference"/>
        </w:rPr>
        <w:footnoteReference w:id="126"/>
      </w:r>
      <w:r w:rsidR="00DF638E">
        <w:t xml:space="preserve"> Employers </w:t>
      </w:r>
      <w:r w:rsidR="000F0F5E">
        <w:t xml:space="preserve">can </w:t>
      </w:r>
      <w:r w:rsidR="00DF638E">
        <w:t xml:space="preserve">feel </w:t>
      </w:r>
      <w:r w:rsidR="00DF638E" w:rsidRPr="00A4712C">
        <w:t>insufficiently supported and are afraid to risk employ</w:t>
      </w:r>
      <w:r w:rsidR="00DF638E">
        <w:t>ing disabled people.</w:t>
      </w:r>
      <w:r w:rsidR="00DF638E">
        <w:rPr>
          <w:rStyle w:val="FootnoteReference"/>
        </w:rPr>
        <w:footnoteReference w:id="127"/>
      </w:r>
      <w:r w:rsidR="00DF638E">
        <w:t xml:space="preserve"> </w:t>
      </w:r>
      <w:r w:rsidR="00DF638E" w:rsidRPr="00A4712C">
        <w:t xml:space="preserve">In many European countries, employers are reluctant to take advantage of wage subsidies or job support services to create more jobs for </w:t>
      </w:r>
      <w:r w:rsidR="00DF638E">
        <w:t>disabled persons.</w:t>
      </w:r>
      <w:r w:rsidR="00DF638E" w:rsidRPr="00A4712C">
        <w:t xml:space="preserve"> Employers’ discriminatory attitudes thus continue to be a significant barrier and a significant cause of people with disabilities’ exclusion from the regular labour market. Employers openly express prejudice and bias during recruitment processes and often equate reduced functioning to reduced work capacity. Therefore, although anti-discrimination laws regulate the labour market across Europe, prospective employers </w:t>
      </w:r>
      <w:r w:rsidR="000F0F5E">
        <w:t xml:space="preserve">can </w:t>
      </w:r>
      <w:r w:rsidR="00DF638E" w:rsidRPr="00A4712C">
        <w:t xml:space="preserve">operate under </w:t>
      </w:r>
      <w:r w:rsidR="00B4683C">
        <w:t>‘</w:t>
      </w:r>
      <w:proofErr w:type="spellStart"/>
      <w:r w:rsidR="00DF638E" w:rsidRPr="00A4712C">
        <w:t>ableist</w:t>
      </w:r>
      <w:proofErr w:type="spellEnd"/>
      <w:r w:rsidR="00B4683C">
        <w:t>’</w:t>
      </w:r>
      <w:r w:rsidR="00DF638E" w:rsidRPr="00A4712C">
        <w:t xml:space="preserve"> assumptions and engage in both direct and indirect forms of discrimination during recruitment.</w:t>
      </w:r>
      <w:r w:rsidR="00DF638E">
        <w:rPr>
          <w:rStyle w:val="FootnoteReference"/>
        </w:rPr>
        <w:footnoteReference w:id="128"/>
      </w:r>
      <w:r w:rsidR="00DF638E" w:rsidRPr="00A4712C">
        <w:t xml:space="preserve"> </w:t>
      </w:r>
      <w:r w:rsidR="00DF638E" w:rsidRPr="00974361">
        <w:t>For the EU Commission (2020), unemployment of persons with disabilities remains one of the Union</w:t>
      </w:r>
      <w:r w:rsidR="00DF638E">
        <w:t>’s</w:t>
      </w:r>
      <w:r w:rsidR="00DF638E" w:rsidRPr="00974361">
        <w:t xml:space="preserve"> main challenges. Moreover, access to inclusive and quality education – a factor of higher employability</w:t>
      </w:r>
      <w:r w:rsidR="00DF638E">
        <w:t xml:space="preserve"> </w:t>
      </w:r>
      <w:r w:rsidR="00DF638E" w:rsidRPr="00974361">
        <w:t>remains limited for many persons with disabilities.</w:t>
      </w:r>
      <w:r w:rsidR="00DF638E">
        <w:rPr>
          <w:rStyle w:val="FootnoteReference"/>
        </w:rPr>
        <w:footnoteReference w:id="129"/>
      </w:r>
      <w:r w:rsidR="00DF638E">
        <w:t xml:space="preserve"> </w:t>
      </w:r>
      <w:r w:rsidR="003B1D45">
        <w:t>S</w:t>
      </w:r>
      <w:r w:rsidR="00DF638E">
        <w:t>pecific m</w:t>
      </w:r>
      <w:r w:rsidR="00DF638E" w:rsidRPr="006F1C1D">
        <w:t>easurement, disclosure, accountability, transparency</w:t>
      </w:r>
      <w:r w:rsidR="00DF638E">
        <w:t xml:space="preserve"> and</w:t>
      </w:r>
      <w:r w:rsidR="00DF638E" w:rsidRPr="006F1C1D">
        <w:t xml:space="preserve"> leadership are </w:t>
      </w:r>
      <w:r w:rsidR="00DF638E">
        <w:t xml:space="preserve">important </w:t>
      </w:r>
      <w:r w:rsidR="00DF638E" w:rsidRPr="006F1C1D">
        <w:t>in increasing the disabled workforce. In the US, the Disability Equality Index (DEI) is a benchmarking tool that companies use to build a roadmap of measurable, tangible actions to achieve disability inclusion and equality. Each company receives a score, on a scale of zero (0) to 100, with those earning 80 and above recognized as “Best Places to Work for Disability Inclusion.”</w:t>
      </w:r>
      <w:r w:rsidR="00DF638E" w:rsidRPr="006F1C1D">
        <w:rPr>
          <w:vertAlign w:val="superscript"/>
        </w:rPr>
        <w:footnoteReference w:id="130"/>
      </w:r>
      <w:r w:rsidR="00DF638E" w:rsidRPr="006F1C1D">
        <w:t xml:space="preserve"> The DEI measures culture and leadership on disability issues and examines elements such as enterprise-wide access, employment practices, support in initial recruitment and training thereafter, engagement with the disabled community, and support services. Using DEI indicates a willingness to promote visibility of disabled professionals.</w:t>
      </w:r>
    </w:p>
    <w:p w14:paraId="3FAE7440" w14:textId="77777777" w:rsidR="00DF638E" w:rsidRPr="00DF638E" w:rsidRDefault="00DF638E" w:rsidP="00775672">
      <w:pPr>
        <w:pStyle w:val="Heading2"/>
      </w:pPr>
      <w:bookmarkStart w:id="20" w:name="_Toc122447209"/>
      <w:r w:rsidRPr="00DF638E">
        <w:t>Conclusion</w:t>
      </w:r>
      <w:bookmarkEnd w:id="20"/>
      <w:r w:rsidRPr="00DF638E">
        <w:t xml:space="preserve"> </w:t>
      </w:r>
    </w:p>
    <w:p w14:paraId="4ADE7C4D" w14:textId="76999C4C" w:rsidR="00783EDC" w:rsidRDefault="004574B0" w:rsidP="00783EDC">
      <w:r w:rsidRPr="004574B0">
        <w:t>The literature review shows that negative attitudes towards disability and disability type have been relatively stable through the decades. In terms of interventions to change attitudes, the most effective way to change attitudes appears to be contact with disabled people. Contact is most effective in changing attitudes and eliminating stereotype and prejudice when it takes place on an equal basis and contact happens through employment, education, social life and civic participation.</w:t>
      </w:r>
      <w:r>
        <w:t xml:space="preserve"> While e</w:t>
      </w:r>
      <w:r w:rsidR="007F16B0" w:rsidRPr="004938D5">
        <w:t xml:space="preserve">arly disability policies </w:t>
      </w:r>
      <w:r w:rsidR="007F16B0">
        <w:t>focused on care and rehabilitation</w:t>
      </w:r>
      <w:r>
        <w:t>,</w:t>
      </w:r>
      <w:r w:rsidR="00047F11">
        <w:t xml:space="preserve"> </w:t>
      </w:r>
      <w:r w:rsidR="00227D8D">
        <w:t xml:space="preserve">in </w:t>
      </w:r>
      <w:r w:rsidR="007F16B0" w:rsidRPr="004938D5">
        <w:t>current disability policies</w:t>
      </w:r>
      <w:r>
        <w:t>, informed by the UNCRPD,</w:t>
      </w:r>
      <w:r w:rsidR="007F16B0" w:rsidRPr="004938D5">
        <w:t xml:space="preserve"> </w:t>
      </w:r>
      <w:r w:rsidR="00227D8D">
        <w:t xml:space="preserve">human rights are the driver for attaining </w:t>
      </w:r>
      <w:r w:rsidR="007F16B0" w:rsidRPr="004938D5">
        <w:t xml:space="preserve">citizenship, full participation, and </w:t>
      </w:r>
      <w:r w:rsidR="007F16B0">
        <w:t xml:space="preserve">removing </w:t>
      </w:r>
      <w:r w:rsidR="007F16B0" w:rsidRPr="004938D5">
        <w:t xml:space="preserve">structural barriers to </w:t>
      </w:r>
      <w:r w:rsidR="007F16B0">
        <w:t>social and civic participation, education</w:t>
      </w:r>
      <w:r w:rsidR="007E5E64">
        <w:t xml:space="preserve"> and</w:t>
      </w:r>
      <w:r w:rsidR="007F16B0">
        <w:t xml:space="preserve"> employment</w:t>
      </w:r>
      <w:r w:rsidR="007F16B0" w:rsidRPr="004938D5">
        <w:t>.</w:t>
      </w:r>
      <w:r w:rsidR="007F16B0">
        <w:t xml:space="preserve"> </w:t>
      </w:r>
      <w:r w:rsidR="000F0F5E">
        <w:t>Implementation of the Articles of the UNCRPD will increase contact with disabled persons and change attitudes</w:t>
      </w:r>
      <w:r w:rsidR="00227D8D">
        <w:t xml:space="preserve"> and behaviours</w:t>
      </w:r>
      <w:r w:rsidR="000F0F5E">
        <w:t xml:space="preserve">. </w:t>
      </w:r>
      <w:r>
        <w:t>Wh</w:t>
      </w:r>
      <w:r w:rsidR="00A42442">
        <w:t xml:space="preserve">at is important </w:t>
      </w:r>
      <w:r w:rsidR="0040257B">
        <w:t>in</w:t>
      </w:r>
      <w:bookmarkStart w:id="21" w:name="_GoBack"/>
      <w:bookmarkEnd w:id="21"/>
      <w:r w:rsidR="000F0F5E">
        <w:t xml:space="preserve"> </w:t>
      </w:r>
      <w:r w:rsidR="00227D8D">
        <w:t xml:space="preserve">changing negative </w:t>
      </w:r>
      <w:r w:rsidR="000F0F5E">
        <w:t>attitudes and implementation of the UNCRPD</w:t>
      </w:r>
      <w:r w:rsidR="00A42442">
        <w:t xml:space="preserve"> are</w:t>
      </w:r>
      <w:r>
        <w:t xml:space="preserve"> </w:t>
      </w:r>
      <w:r w:rsidR="007E5E64" w:rsidRPr="00D538C1">
        <w:t xml:space="preserve">specific targets </w:t>
      </w:r>
      <w:r w:rsidR="000F0F5E">
        <w:t xml:space="preserve">in specific areas </w:t>
      </w:r>
      <w:r w:rsidR="007E5E64">
        <w:t xml:space="preserve">using defined </w:t>
      </w:r>
      <w:r w:rsidR="007E5E64" w:rsidRPr="00D538C1">
        <w:t>outcome measures</w:t>
      </w:r>
      <w:r w:rsidR="00CD5D51">
        <w:t>,</w:t>
      </w:r>
      <w:r w:rsidR="00A42442">
        <w:t xml:space="preserve"> </w:t>
      </w:r>
      <w:r w:rsidR="000F0F5E">
        <w:t>careful</w:t>
      </w:r>
      <w:r w:rsidR="00227D8D">
        <w:t>ly</w:t>
      </w:r>
      <w:r w:rsidR="000F0F5E">
        <w:t xml:space="preserve"> </w:t>
      </w:r>
      <w:r w:rsidR="00DF638E" w:rsidRPr="00DF638E">
        <w:t xml:space="preserve">planning </w:t>
      </w:r>
      <w:r w:rsidR="00215308">
        <w:t>and implement</w:t>
      </w:r>
      <w:r w:rsidR="00227D8D">
        <w:t>ing</w:t>
      </w:r>
      <w:r w:rsidR="000F0F5E">
        <w:t xml:space="preserve"> the </w:t>
      </w:r>
      <w:r w:rsidR="00DF638E" w:rsidRPr="00DF638E">
        <w:t>intervention</w:t>
      </w:r>
      <w:r w:rsidR="00DF638E">
        <w:t>s</w:t>
      </w:r>
      <w:r w:rsidR="00DF638E" w:rsidRPr="00DF638E">
        <w:t xml:space="preserve"> to address </w:t>
      </w:r>
      <w:r w:rsidR="00047F11">
        <w:t xml:space="preserve">defined </w:t>
      </w:r>
      <w:r w:rsidR="00DF638E" w:rsidRPr="00DF638E">
        <w:t>issue</w:t>
      </w:r>
      <w:r w:rsidR="00DF638E">
        <w:t>s</w:t>
      </w:r>
      <w:r w:rsidR="00CD5D51">
        <w:t>, and</w:t>
      </w:r>
      <w:r w:rsidR="00A42442">
        <w:t xml:space="preserve"> </w:t>
      </w:r>
      <w:r w:rsidR="00215308">
        <w:t xml:space="preserve">evaluating implementation and making changes based on the </w:t>
      </w:r>
      <w:r w:rsidR="00047F11">
        <w:t>evaluation</w:t>
      </w:r>
      <w:r w:rsidR="00DF638E" w:rsidRPr="00DF638E">
        <w:t xml:space="preserve"> outcome</w:t>
      </w:r>
      <w:r w:rsidR="00B85F7A">
        <w:t>s</w:t>
      </w:r>
      <w:r w:rsidR="00DF638E" w:rsidRPr="00DF638E">
        <w:t xml:space="preserve">. </w:t>
      </w:r>
    </w:p>
    <w:p w14:paraId="64062BE8" w14:textId="3B16ECA7" w:rsidR="008C2617" w:rsidRDefault="008C2617">
      <w:pPr>
        <w:spacing w:after="0"/>
      </w:pPr>
      <w:r>
        <w:br w:type="page"/>
      </w:r>
    </w:p>
    <w:p w14:paraId="7FF6CD9E" w14:textId="0477BCBA" w:rsidR="00AC290A" w:rsidRDefault="00507FF7" w:rsidP="00507FF7">
      <w:pPr>
        <w:pStyle w:val="Heading1"/>
      </w:pPr>
      <w:bookmarkStart w:id="22" w:name="_Toc122447210"/>
      <w:r>
        <w:t>References</w:t>
      </w:r>
      <w:bookmarkEnd w:id="22"/>
    </w:p>
    <w:p w14:paraId="31E06745" w14:textId="295C1296" w:rsidR="00507FF7" w:rsidRPr="00507FF7" w:rsidRDefault="00507FF7" w:rsidP="00507FF7">
      <w:pPr>
        <w:rPr>
          <w:bCs/>
        </w:rPr>
      </w:pPr>
      <w:proofErr w:type="spellStart"/>
      <w:r w:rsidRPr="00507FF7">
        <w:t>Albaracin</w:t>
      </w:r>
      <w:proofErr w:type="spellEnd"/>
      <w:r w:rsidRPr="00507FF7">
        <w:t xml:space="preserve">, D., Johnson, BT., </w:t>
      </w:r>
      <w:proofErr w:type="spellStart"/>
      <w:r w:rsidRPr="00507FF7">
        <w:t>Zanna</w:t>
      </w:r>
      <w:proofErr w:type="spellEnd"/>
      <w:r w:rsidRPr="00507FF7">
        <w:t>, MP</w:t>
      </w:r>
      <w:r w:rsidR="008C2617">
        <w:t>.</w:t>
      </w:r>
      <w:r w:rsidR="008D3074">
        <w:t xml:space="preserve"> (editors) (2005)</w:t>
      </w:r>
      <w:r w:rsidR="00047F11">
        <w:t>.</w:t>
      </w:r>
      <w:r w:rsidRPr="00507FF7">
        <w:t xml:space="preserve"> </w:t>
      </w:r>
      <w:r w:rsidR="0087243C">
        <w:rPr>
          <w:bCs/>
        </w:rPr>
        <w:t xml:space="preserve">The Handbook of Attitudes, </w:t>
      </w:r>
      <w:r w:rsidRPr="00507FF7">
        <w:rPr>
          <w:bCs/>
        </w:rPr>
        <w:t>Routledge: New York</w:t>
      </w:r>
      <w:r w:rsidR="0087243C">
        <w:rPr>
          <w:bCs/>
        </w:rPr>
        <w:t xml:space="preserve">, </w:t>
      </w:r>
      <w:r w:rsidR="0087243C" w:rsidRPr="00507FF7">
        <w:t>2005</w:t>
      </w:r>
      <w:r w:rsidR="0087243C">
        <w:rPr>
          <w:bCs/>
        </w:rPr>
        <w:t xml:space="preserve"> [Note: There is a</w:t>
      </w:r>
      <w:r w:rsidRPr="00507FF7">
        <w:rPr>
          <w:bCs/>
        </w:rPr>
        <w:t xml:space="preserve"> 2018 </w:t>
      </w:r>
      <w:r w:rsidR="0087243C">
        <w:rPr>
          <w:bCs/>
        </w:rPr>
        <w:t>2</w:t>
      </w:r>
      <w:r w:rsidR="0087243C" w:rsidRPr="0087243C">
        <w:rPr>
          <w:bCs/>
          <w:vertAlign w:val="superscript"/>
        </w:rPr>
        <w:t>nd</w:t>
      </w:r>
      <w:r w:rsidR="0087243C">
        <w:rPr>
          <w:bCs/>
        </w:rPr>
        <w:t xml:space="preserve"> </w:t>
      </w:r>
      <w:r w:rsidRPr="00507FF7">
        <w:rPr>
          <w:bCs/>
        </w:rPr>
        <w:t>editi</w:t>
      </w:r>
      <w:r w:rsidR="0087243C">
        <w:rPr>
          <w:bCs/>
        </w:rPr>
        <w:t>on of this handbook</w:t>
      </w:r>
      <w:r w:rsidRPr="00507FF7">
        <w:rPr>
          <w:bCs/>
        </w:rPr>
        <w:t xml:space="preserve">] </w:t>
      </w:r>
    </w:p>
    <w:p w14:paraId="08E67F5D" w14:textId="24FB3958" w:rsidR="00507FF7" w:rsidRPr="00507FF7" w:rsidRDefault="00507FF7" w:rsidP="00507FF7">
      <w:proofErr w:type="spellStart"/>
      <w:r w:rsidRPr="00507FF7">
        <w:t>Albarracin</w:t>
      </w:r>
      <w:proofErr w:type="spellEnd"/>
      <w:r w:rsidRPr="00507FF7">
        <w:t xml:space="preserve">, D., </w:t>
      </w:r>
      <w:proofErr w:type="spellStart"/>
      <w:r w:rsidRPr="00507FF7">
        <w:t>Shavitt</w:t>
      </w:r>
      <w:proofErr w:type="spellEnd"/>
      <w:r w:rsidRPr="00507FF7">
        <w:t>, S</w:t>
      </w:r>
      <w:r w:rsidR="0087243C">
        <w:t>.</w:t>
      </w:r>
      <w:r w:rsidRPr="00507FF7">
        <w:t xml:space="preserve"> (2018) Attitudes and Attitude Change, </w:t>
      </w:r>
      <w:r w:rsidRPr="00507FF7">
        <w:rPr>
          <w:i/>
        </w:rPr>
        <w:t>Annual Review of Psychology</w:t>
      </w:r>
      <w:r w:rsidR="008D3074">
        <w:t>, 69,</w:t>
      </w:r>
      <w:r w:rsidRPr="00507FF7">
        <w:t xml:space="preserve"> 299-327.</w:t>
      </w:r>
    </w:p>
    <w:p w14:paraId="0DB0B63B" w14:textId="51BDBA7C" w:rsidR="00507FF7" w:rsidRPr="00507FF7" w:rsidRDefault="00507FF7" w:rsidP="00507FF7">
      <w:r w:rsidRPr="00507FF7">
        <w:t xml:space="preserve">Ali A, </w:t>
      </w:r>
      <w:proofErr w:type="spellStart"/>
      <w:r w:rsidRPr="00507FF7">
        <w:t>Hassiotis</w:t>
      </w:r>
      <w:proofErr w:type="spellEnd"/>
      <w:r w:rsidRPr="00507FF7">
        <w:t xml:space="preserve"> A, </w:t>
      </w:r>
      <w:proofErr w:type="spellStart"/>
      <w:r w:rsidRPr="00507FF7">
        <w:t>Strydom</w:t>
      </w:r>
      <w:proofErr w:type="spellEnd"/>
      <w:r w:rsidRPr="00507FF7">
        <w:t xml:space="preserve"> A, King M</w:t>
      </w:r>
      <w:r w:rsidR="0087243C">
        <w:t>. (2012)</w:t>
      </w:r>
      <w:r w:rsidRPr="00507FF7">
        <w:t xml:space="preserve"> Self-stigma in people with intellectual disabilities and courtesy stigma in family carers: a systematic review. </w:t>
      </w:r>
      <w:r w:rsidRPr="00507FF7">
        <w:rPr>
          <w:i/>
        </w:rPr>
        <w:t>Res</w:t>
      </w:r>
      <w:r w:rsidR="008C2617">
        <w:rPr>
          <w:i/>
        </w:rPr>
        <w:t>earch</w:t>
      </w:r>
      <w:r w:rsidRPr="00507FF7">
        <w:rPr>
          <w:i/>
        </w:rPr>
        <w:t xml:space="preserve"> Dev</w:t>
      </w:r>
      <w:r w:rsidR="008C2617">
        <w:rPr>
          <w:i/>
        </w:rPr>
        <w:t>elopmental</w:t>
      </w:r>
      <w:r w:rsidRPr="00507FF7">
        <w:rPr>
          <w:i/>
        </w:rPr>
        <w:t xml:space="preserve"> </w:t>
      </w:r>
      <w:proofErr w:type="spellStart"/>
      <w:r w:rsidRPr="00507FF7">
        <w:rPr>
          <w:i/>
        </w:rPr>
        <w:t>Disabi</w:t>
      </w:r>
      <w:r w:rsidR="008C2617">
        <w:rPr>
          <w:i/>
        </w:rPr>
        <w:t>ities</w:t>
      </w:r>
      <w:r w:rsidRPr="00507FF7">
        <w:rPr>
          <w:i/>
        </w:rPr>
        <w:t>l</w:t>
      </w:r>
      <w:proofErr w:type="spellEnd"/>
      <w:r w:rsidR="0087243C">
        <w:t>,</w:t>
      </w:r>
      <w:r w:rsidR="008D3074">
        <w:t xml:space="preserve"> 33(6),</w:t>
      </w:r>
      <w:r w:rsidR="0087243C">
        <w:t xml:space="preserve"> 2122-40.</w:t>
      </w:r>
    </w:p>
    <w:p w14:paraId="4F4BA5B0" w14:textId="11FFDAF9" w:rsidR="00507FF7" w:rsidRPr="00507FF7" w:rsidRDefault="00507FF7" w:rsidP="00507FF7">
      <w:proofErr w:type="spellStart"/>
      <w:r w:rsidRPr="00507FF7">
        <w:t>Allport</w:t>
      </w:r>
      <w:proofErr w:type="spellEnd"/>
      <w:r w:rsidRPr="00507FF7">
        <w:t>, GW</w:t>
      </w:r>
      <w:r w:rsidR="008D3074">
        <w:t>. (1935)</w:t>
      </w:r>
      <w:r w:rsidRPr="00507FF7">
        <w:t xml:space="preserve"> ‘Attitudes’, in CM Murchison (ed.), Handbook of social psychology, Clark Univ</w:t>
      </w:r>
      <w:r w:rsidR="0087243C">
        <w:t>ersity Press:</w:t>
      </w:r>
      <w:r w:rsidR="008D3074">
        <w:t xml:space="preserve"> Worchester: </w:t>
      </w:r>
      <w:r w:rsidRPr="00507FF7">
        <w:t>789–844</w:t>
      </w:r>
      <w:r w:rsidR="008D3074">
        <w:t>.</w:t>
      </w:r>
    </w:p>
    <w:p w14:paraId="242029E1" w14:textId="55C05765" w:rsidR="00507FF7" w:rsidRPr="00507FF7" w:rsidRDefault="00507FF7" w:rsidP="00507FF7">
      <w:proofErr w:type="spellStart"/>
      <w:r w:rsidRPr="00507FF7">
        <w:t>Antonak</w:t>
      </w:r>
      <w:proofErr w:type="spellEnd"/>
      <w:r w:rsidRPr="00507FF7">
        <w:t xml:space="preserve">, RF., </w:t>
      </w:r>
      <w:proofErr w:type="spellStart"/>
      <w:r w:rsidRPr="00507FF7">
        <w:t>Livneh</w:t>
      </w:r>
      <w:proofErr w:type="spellEnd"/>
      <w:r w:rsidRPr="00507FF7">
        <w:t xml:space="preserve">, H. (2000). Measurement of attitudes towards persons with disabilities, </w:t>
      </w:r>
      <w:r w:rsidRPr="00507FF7">
        <w:rPr>
          <w:i/>
        </w:rPr>
        <w:t>Disability and Rehabilitation</w:t>
      </w:r>
      <w:r w:rsidR="008D3074">
        <w:t>, 22,</w:t>
      </w:r>
      <w:r w:rsidRPr="00507FF7">
        <w:t xml:space="preserve"> 211–224</w:t>
      </w:r>
      <w:r w:rsidR="008D3074">
        <w:t>.</w:t>
      </w:r>
    </w:p>
    <w:p w14:paraId="00F36785" w14:textId="0A808872" w:rsidR="00507FF7" w:rsidRPr="00507FF7" w:rsidRDefault="00507FF7" w:rsidP="00507FF7">
      <w:proofErr w:type="spellStart"/>
      <w:r w:rsidRPr="00507FF7">
        <w:t>Banaji</w:t>
      </w:r>
      <w:proofErr w:type="spellEnd"/>
      <w:r w:rsidRPr="00507FF7">
        <w:t>, M</w:t>
      </w:r>
      <w:r w:rsidR="0087243C">
        <w:t>.</w:t>
      </w:r>
      <w:r w:rsidRPr="00507FF7">
        <w:t xml:space="preserve"> (2017)</w:t>
      </w:r>
      <w:r w:rsidR="001E6A73">
        <w:t>.</w:t>
      </w:r>
      <w:r w:rsidRPr="00507FF7">
        <w:t xml:space="preserve"> The Implicit Revolution: Reconceiving the Relation between Conscious and Unconscious. </w:t>
      </w:r>
      <w:r w:rsidRPr="00507FF7">
        <w:rPr>
          <w:i/>
        </w:rPr>
        <w:t>American Psychologist</w:t>
      </w:r>
      <w:r w:rsidRPr="00507FF7">
        <w:t>, 72 (9), 861-871.</w:t>
      </w:r>
    </w:p>
    <w:p w14:paraId="14D7176F" w14:textId="0794C613" w:rsidR="00507FF7" w:rsidRPr="00507FF7" w:rsidRDefault="001E6A73" w:rsidP="00507FF7">
      <w:r>
        <w:t xml:space="preserve">Banks, J., </w:t>
      </w:r>
      <w:proofErr w:type="spellStart"/>
      <w:r w:rsidR="00507FF7" w:rsidRPr="00507FF7">
        <w:t>Grotti</w:t>
      </w:r>
      <w:proofErr w:type="spellEnd"/>
      <w:r w:rsidR="00507FF7" w:rsidRPr="00507FF7">
        <w:t>, R</w:t>
      </w:r>
      <w:r w:rsidR="0087243C">
        <w:t>., Fahey, E..</w:t>
      </w:r>
      <w:r w:rsidR="0087243C" w:rsidRPr="0087243C">
        <w:t xml:space="preserve"> Watson</w:t>
      </w:r>
      <w:r w:rsidR="0087243C">
        <w:t>, D.</w:t>
      </w:r>
      <w:r w:rsidR="00507FF7" w:rsidRPr="00507FF7">
        <w:t xml:space="preserve"> </w:t>
      </w:r>
      <w:r>
        <w:t xml:space="preserve">(2018). </w:t>
      </w:r>
      <w:r w:rsidR="00507FF7" w:rsidRPr="00507FF7">
        <w:t xml:space="preserve">Disability and Discrimination in Ireland: Evidence from the QNHS Equality Modules 2004, 2010, 2014 </w:t>
      </w:r>
      <w:hyperlink r:id="rId9" w:history="1">
        <w:r w:rsidR="00507FF7" w:rsidRPr="00507FF7">
          <w:rPr>
            <w:color w:val="0000FF"/>
            <w:u w:val="single"/>
          </w:rPr>
          <w:t>https://www.esri.ie/publications/disability-and-discrimination-in-ireland-evidence-from-the-qnhs-equality-modules</w:t>
        </w:r>
      </w:hyperlink>
    </w:p>
    <w:p w14:paraId="1AAAC70F" w14:textId="2D66F382" w:rsidR="00507FF7" w:rsidRPr="00507FF7" w:rsidRDefault="00AB10B3" w:rsidP="00507FF7">
      <w:r>
        <w:t xml:space="preserve">Bar-Tal, D., </w:t>
      </w:r>
      <w:proofErr w:type="spellStart"/>
      <w:r>
        <w:t>Halperin</w:t>
      </w:r>
      <w:proofErr w:type="spellEnd"/>
      <w:r>
        <w:t xml:space="preserve">, D. </w:t>
      </w:r>
      <w:r w:rsidR="00507FF7" w:rsidRPr="00507FF7">
        <w:t xml:space="preserve">(2009) Overcoming psychological barriers to peace making: The influence of mediating beliefs </w:t>
      </w:r>
      <w:r w:rsidR="0087243C">
        <w:t xml:space="preserve">about losses. In M. </w:t>
      </w:r>
      <w:proofErr w:type="spellStart"/>
      <w:r w:rsidR="0087243C">
        <w:t>Mikulincer</w:t>
      </w:r>
      <w:proofErr w:type="spellEnd"/>
      <w:r w:rsidR="0087243C">
        <w:t xml:space="preserve"> and</w:t>
      </w:r>
      <w:r w:rsidR="00507FF7" w:rsidRPr="00507FF7">
        <w:t xml:space="preserve"> P.R. Shaver (Eds.), Prosocial motives, emotions, and behaviour: The</w:t>
      </w:r>
      <w:r w:rsidR="0087243C">
        <w:t xml:space="preserve"> better angels of our nature </w:t>
      </w:r>
      <w:r w:rsidR="00507FF7" w:rsidRPr="00507FF7">
        <w:t>Washington D.C.: American Psychological Association Press</w:t>
      </w:r>
      <w:r w:rsidR="008D3074">
        <w:t xml:space="preserve">, </w:t>
      </w:r>
      <w:r w:rsidR="008D3074" w:rsidRPr="00507FF7">
        <w:t>431-</w:t>
      </w:r>
      <w:r w:rsidR="008D3074">
        <w:t xml:space="preserve"> 448.</w:t>
      </w:r>
    </w:p>
    <w:p w14:paraId="24A33F3D" w14:textId="3FB79714" w:rsidR="00507FF7" w:rsidRPr="00507FF7" w:rsidRDefault="00507FF7" w:rsidP="00507FF7">
      <w:r w:rsidRPr="00507FF7">
        <w:t xml:space="preserve">Bar-Tal, D., Diamond, AH., </w:t>
      </w:r>
      <w:proofErr w:type="spellStart"/>
      <w:r w:rsidRPr="00507FF7">
        <w:t>Nasie</w:t>
      </w:r>
      <w:proofErr w:type="spellEnd"/>
      <w:r w:rsidRPr="00507FF7">
        <w:t>, M</w:t>
      </w:r>
      <w:r w:rsidR="00AB10B3">
        <w:t>.</w:t>
      </w:r>
      <w:r w:rsidRPr="00507FF7">
        <w:t xml:space="preserve"> (2017) Political socialisation of children in intractable conflicts: Conception and Evidence, </w:t>
      </w:r>
      <w:r w:rsidRPr="00507FF7">
        <w:rPr>
          <w:i/>
        </w:rPr>
        <w:t xml:space="preserve">International Journal of Behavioural Development, </w:t>
      </w:r>
      <w:r w:rsidR="008D3074">
        <w:t>41,</w:t>
      </w:r>
      <w:r w:rsidRPr="00507FF7">
        <w:t xml:space="preserve"> 412-425</w:t>
      </w:r>
      <w:r w:rsidR="008D3074">
        <w:t>.</w:t>
      </w:r>
    </w:p>
    <w:p w14:paraId="25BDCC82" w14:textId="583D46EC" w:rsidR="00507FF7" w:rsidRPr="00507FF7" w:rsidRDefault="00507FF7" w:rsidP="00507FF7">
      <w:pPr>
        <w:rPr>
          <w:bCs/>
        </w:rPr>
      </w:pPr>
      <w:r w:rsidRPr="00507FF7">
        <w:t xml:space="preserve">Bar-Tal, D., </w:t>
      </w:r>
      <w:proofErr w:type="spellStart"/>
      <w:r w:rsidRPr="00507FF7">
        <w:t>Hameiri</w:t>
      </w:r>
      <w:proofErr w:type="spellEnd"/>
      <w:r w:rsidRPr="00507FF7">
        <w:t>, B</w:t>
      </w:r>
      <w:r w:rsidR="00AB10B3">
        <w:t>.</w:t>
      </w:r>
      <w:r w:rsidRPr="00507FF7">
        <w:t xml:space="preserve"> (2020) Interventions to change Well Anchored Attitudes in the context of Intergroup Conflict. </w:t>
      </w:r>
      <w:r w:rsidRPr="00507FF7">
        <w:rPr>
          <w:i/>
        </w:rPr>
        <w:t>Social and Personality Psychology Compass</w:t>
      </w:r>
      <w:r w:rsidRPr="00507FF7">
        <w:rPr>
          <w:b/>
          <w:bCs/>
        </w:rPr>
        <w:t xml:space="preserve">, </w:t>
      </w:r>
      <w:r w:rsidR="008D3074">
        <w:rPr>
          <w:bCs/>
        </w:rPr>
        <w:t xml:space="preserve">14 (7), </w:t>
      </w:r>
      <w:r w:rsidRPr="00507FF7">
        <w:rPr>
          <w:bCs/>
        </w:rPr>
        <w:t>1-39.</w:t>
      </w:r>
    </w:p>
    <w:p w14:paraId="7D5B620A" w14:textId="4F9AC623" w:rsidR="00507FF7" w:rsidRPr="00507FF7" w:rsidRDefault="00AB10B3" w:rsidP="00507FF7">
      <w:proofErr w:type="spellStart"/>
      <w:r w:rsidRPr="00AB10B3">
        <w:t>Bollier</w:t>
      </w:r>
      <w:proofErr w:type="spellEnd"/>
      <w:r>
        <w:t>,</w:t>
      </w:r>
      <w:r w:rsidRPr="00AB10B3">
        <w:t xml:space="preserve"> AM</w:t>
      </w:r>
      <w:r>
        <w:t>.</w:t>
      </w:r>
      <w:r w:rsidRPr="00AB10B3">
        <w:t>, Sutherland G</w:t>
      </w:r>
      <w:r>
        <w:t>.</w:t>
      </w:r>
      <w:r w:rsidRPr="00AB10B3">
        <w:t xml:space="preserve">, </w:t>
      </w:r>
      <w:proofErr w:type="spellStart"/>
      <w:r w:rsidRPr="00AB10B3">
        <w:t>Krnjacki</w:t>
      </w:r>
      <w:proofErr w:type="spellEnd"/>
      <w:r>
        <w:t>,</w:t>
      </w:r>
      <w:r w:rsidRPr="00AB10B3">
        <w:t xml:space="preserve"> L</w:t>
      </w:r>
      <w:r>
        <w:t>.</w:t>
      </w:r>
      <w:r w:rsidRPr="00AB10B3">
        <w:t xml:space="preserve">, </w:t>
      </w:r>
      <w:proofErr w:type="spellStart"/>
      <w:r w:rsidRPr="00AB10B3">
        <w:t>Kasidis</w:t>
      </w:r>
      <w:proofErr w:type="spellEnd"/>
      <w:r w:rsidR="00254663">
        <w:t>,</w:t>
      </w:r>
      <w:r w:rsidRPr="00AB10B3">
        <w:t xml:space="preserve"> V</w:t>
      </w:r>
      <w:r w:rsidR="00254663">
        <w:t>.</w:t>
      </w:r>
      <w:r w:rsidRPr="00AB10B3">
        <w:t xml:space="preserve">, </w:t>
      </w:r>
      <w:proofErr w:type="spellStart"/>
      <w:r w:rsidRPr="00AB10B3">
        <w:t>Katsikis</w:t>
      </w:r>
      <w:proofErr w:type="spellEnd"/>
      <w:r w:rsidRPr="00AB10B3">
        <w:t xml:space="preserve"> G</w:t>
      </w:r>
      <w:r w:rsidR="00254663">
        <w:t>.</w:t>
      </w:r>
      <w:r w:rsidRPr="00AB10B3">
        <w:t xml:space="preserve">, </w:t>
      </w:r>
      <w:proofErr w:type="spellStart"/>
      <w:r w:rsidRPr="00AB10B3">
        <w:t>Ozge</w:t>
      </w:r>
      <w:proofErr w:type="spellEnd"/>
      <w:r w:rsidR="008D3074">
        <w:t>,</w:t>
      </w:r>
      <w:r w:rsidRPr="00AB10B3">
        <w:t xml:space="preserve"> J</w:t>
      </w:r>
      <w:r w:rsidR="00254663">
        <w:t>.</w:t>
      </w:r>
      <w:r w:rsidR="008D3074">
        <w:t>,</w:t>
      </w:r>
      <w:r w:rsidRPr="00AB10B3">
        <w:t xml:space="preserve"> Kavanagh</w:t>
      </w:r>
      <w:r w:rsidR="00254663">
        <w:t>,</w:t>
      </w:r>
      <w:r w:rsidR="008D3074">
        <w:t xml:space="preserve"> AM. (2021)</w:t>
      </w:r>
      <w:r w:rsidRPr="00AB10B3">
        <w:t xml:space="preserve"> Attitudes Matter: Findings from a national survey of community attitudes toward people with disability in Australia. Centre of Research Excell</w:t>
      </w:r>
      <w:r w:rsidR="00254663">
        <w:t>ence in Disability and Health, t</w:t>
      </w:r>
      <w:r w:rsidRPr="00AB10B3">
        <w:t xml:space="preserve">he University of Melbourne. </w:t>
      </w:r>
      <w:hyperlink r:id="rId10" w:history="1">
        <w:r w:rsidR="00507FF7" w:rsidRPr="00507FF7">
          <w:rPr>
            <w:color w:val="0000FF"/>
            <w:u w:val="single"/>
          </w:rPr>
          <w:t>https://melbourne.figshare.com/articles/online_resource/Attitudes_Matter_Findings_from_a_national_survey_of_community_attitudes_toward_people_with_disability_in_Australia/15176013?file=31601267</w:t>
        </w:r>
      </w:hyperlink>
    </w:p>
    <w:p w14:paraId="35CD14C7" w14:textId="2487A2B0" w:rsidR="00507FF7" w:rsidRPr="00507FF7" w:rsidRDefault="00507FF7" w:rsidP="00507FF7">
      <w:r w:rsidRPr="00507FF7">
        <w:t>Brownstein, Michael</w:t>
      </w:r>
      <w:r w:rsidR="00254663">
        <w:t>. (2019)</w:t>
      </w:r>
      <w:r w:rsidRPr="00507FF7">
        <w:t xml:space="preserve"> "Implicit Bias", </w:t>
      </w:r>
      <w:r w:rsidRPr="00507FF7">
        <w:rPr>
          <w:i/>
          <w:iCs/>
        </w:rPr>
        <w:t xml:space="preserve">The Stanford </w:t>
      </w:r>
      <w:proofErr w:type="spellStart"/>
      <w:r w:rsidRPr="00507FF7">
        <w:rPr>
          <w:i/>
          <w:iCs/>
        </w:rPr>
        <w:t>Encyclopedia</w:t>
      </w:r>
      <w:proofErr w:type="spellEnd"/>
      <w:r w:rsidRPr="00507FF7">
        <w:rPr>
          <w:i/>
          <w:iCs/>
        </w:rPr>
        <w:t xml:space="preserve"> of Philosophy </w:t>
      </w:r>
      <w:r w:rsidRPr="00507FF7">
        <w:t xml:space="preserve">(Fall 2019 Edition), Edward N. </w:t>
      </w:r>
      <w:proofErr w:type="spellStart"/>
      <w:r w:rsidRPr="00507FF7">
        <w:t>Zalta</w:t>
      </w:r>
      <w:proofErr w:type="spellEnd"/>
      <w:r w:rsidRPr="00507FF7">
        <w:t xml:space="preserve"> (ed.), URL = </w:t>
      </w:r>
      <w:hyperlink r:id="rId11" w:history="1">
        <w:r w:rsidRPr="00507FF7">
          <w:rPr>
            <w:color w:val="0000FF"/>
            <w:u w:val="single"/>
          </w:rPr>
          <w:t>https://plato.stanford.edu/archives/fall2019/entries/implicit-bias/</w:t>
        </w:r>
      </w:hyperlink>
    </w:p>
    <w:p w14:paraId="17A2F12F" w14:textId="44D40E12" w:rsidR="00507FF7" w:rsidRPr="00507FF7" w:rsidRDefault="00507FF7" w:rsidP="00507FF7">
      <w:proofErr w:type="spellStart"/>
      <w:r w:rsidRPr="00507FF7">
        <w:t>Buckwalter</w:t>
      </w:r>
      <w:proofErr w:type="spellEnd"/>
      <w:r w:rsidRPr="00507FF7">
        <w:t>, W (2019). Implicit att</w:t>
      </w:r>
      <w:r w:rsidR="008C2617">
        <w:t>itudes and the ability argument,</w:t>
      </w:r>
      <w:r w:rsidRPr="00507FF7">
        <w:t> </w:t>
      </w:r>
      <w:r w:rsidRPr="00507FF7">
        <w:rPr>
          <w:i/>
          <w:iCs/>
        </w:rPr>
        <w:t>Philos</w:t>
      </w:r>
      <w:r w:rsidR="008C2617">
        <w:rPr>
          <w:i/>
          <w:iCs/>
        </w:rPr>
        <w:t>o</w:t>
      </w:r>
      <w:r w:rsidRPr="00507FF7">
        <w:rPr>
          <w:i/>
          <w:iCs/>
        </w:rPr>
        <w:t>phical Studies</w:t>
      </w:r>
      <w:r w:rsidR="008C2617">
        <w:rPr>
          <w:i/>
          <w:iCs/>
        </w:rPr>
        <w:t>,</w:t>
      </w:r>
      <w:r w:rsidRPr="00507FF7">
        <w:rPr>
          <w:i/>
          <w:iCs/>
        </w:rPr>
        <w:t xml:space="preserve"> 176, </w:t>
      </w:r>
      <w:r w:rsidRPr="00507FF7">
        <w:t xml:space="preserve">2961–2990. </w:t>
      </w:r>
    </w:p>
    <w:p w14:paraId="610B5836" w14:textId="75D7B3EE" w:rsidR="00507FF7" w:rsidRDefault="00254663" w:rsidP="00507FF7">
      <w:r>
        <w:t xml:space="preserve">Castillo, Y., </w:t>
      </w:r>
      <w:r w:rsidR="00507FF7" w:rsidRPr="00507FF7">
        <w:t>Larson, A. (2020). Attitudes towards people with disabilities: a systematic revie</w:t>
      </w:r>
      <w:r w:rsidR="008C2617">
        <w:t xml:space="preserve">w of intervention effectiveness, </w:t>
      </w:r>
      <w:r w:rsidR="00507FF7" w:rsidRPr="008C2617">
        <w:rPr>
          <w:i/>
        </w:rPr>
        <w:t>The International Journal of Counselling and Education</w:t>
      </w:r>
      <w:r w:rsidR="008C2617">
        <w:t xml:space="preserve">, 5(2), 40-57. </w:t>
      </w:r>
    </w:p>
    <w:p w14:paraId="0B43FC0B" w14:textId="7FD650D3" w:rsidR="00507FF7" w:rsidRPr="00507FF7" w:rsidRDefault="00507FF7" w:rsidP="00507FF7">
      <w:r w:rsidRPr="00507FF7">
        <w:t xml:space="preserve">Centre of Research Excellence in Disability and Health (2020) Submission to National Disability Strategy Stage 2 Public Consultation </w:t>
      </w:r>
      <w:r w:rsidR="00670806">
        <w:t xml:space="preserve">cited by </w:t>
      </w:r>
      <w:r w:rsidRPr="00507FF7">
        <w:t>Australia’s Disability Strategy 2021-2031</w:t>
      </w:r>
      <w:r w:rsidR="00670806">
        <w:t>,</w:t>
      </w:r>
      <w:r w:rsidR="00670806" w:rsidRPr="00670806">
        <w:t xml:space="preserve"> </w:t>
      </w:r>
      <w:hyperlink r:id="rId12" w:history="1">
        <w:r w:rsidR="00670806" w:rsidRPr="00507FF7">
          <w:rPr>
            <w:color w:val="0000FF"/>
            <w:u w:val="single"/>
          </w:rPr>
          <w:t>Australia’s Disability Strategy 2021-2031 (disabilitygateway.gov.au)</w:t>
        </w:r>
      </w:hyperlink>
    </w:p>
    <w:p w14:paraId="4A28DF1A" w14:textId="77777777" w:rsidR="00507FF7" w:rsidRPr="00507FF7" w:rsidRDefault="00507FF7" w:rsidP="00507FF7">
      <w:proofErr w:type="spellStart"/>
      <w:r w:rsidRPr="00507FF7">
        <w:t>Charlesworth</w:t>
      </w:r>
      <w:proofErr w:type="spellEnd"/>
      <w:r w:rsidRPr="00507FF7">
        <w:t xml:space="preserve">, TES, </w:t>
      </w:r>
      <w:proofErr w:type="spellStart"/>
      <w:r w:rsidRPr="00507FF7">
        <w:t>Banaji</w:t>
      </w:r>
      <w:proofErr w:type="spellEnd"/>
      <w:r w:rsidRPr="00507FF7">
        <w:t>, MR. (2022). Patterns of Implicit and Explicit Attitudes: IV. Change and Stability from 2007 to 2020. </w:t>
      </w:r>
      <w:r w:rsidRPr="00507FF7">
        <w:rPr>
          <w:i/>
          <w:iCs/>
        </w:rPr>
        <w:t>Psychological Science</w:t>
      </w:r>
      <w:r w:rsidRPr="00507FF7">
        <w:t>, </w:t>
      </w:r>
      <w:r w:rsidRPr="00507FF7">
        <w:rPr>
          <w:i/>
          <w:iCs/>
        </w:rPr>
        <w:t>33</w:t>
      </w:r>
      <w:r w:rsidRPr="00507FF7">
        <w:t>(9): 1347–1371.</w:t>
      </w:r>
    </w:p>
    <w:p w14:paraId="1D03CFA0" w14:textId="7424801D" w:rsidR="00507FF7" w:rsidRPr="00507FF7" w:rsidRDefault="00507FF7" w:rsidP="00507FF7">
      <w:r w:rsidRPr="00507FF7">
        <w:t>Corrigan, PW</w:t>
      </w:r>
      <w:r w:rsidR="00670806">
        <w:t>.</w:t>
      </w:r>
      <w:r w:rsidR="008D3074">
        <w:t xml:space="preserve">, </w:t>
      </w:r>
      <w:proofErr w:type="spellStart"/>
      <w:r w:rsidR="008D3074">
        <w:t>Kosyluk</w:t>
      </w:r>
      <w:proofErr w:type="spellEnd"/>
      <w:r w:rsidR="008D3074">
        <w:t>, KA. (2014)</w:t>
      </w:r>
      <w:r w:rsidRPr="00507FF7">
        <w:t xml:space="preserve"> Mental illness stigma: Types, constructs and vehicles for </w:t>
      </w:r>
      <w:proofErr w:type="spellStart"/>
      <w:r w:rsidRPr="00507FF7">
        <w:t>changeIn</w:t>
      </w:r>
      <w:proofErr w:type="spellEnd"/>
      <w:r w:rsidRPr="00507FF7">
        <w:t xml:space="preserve"> P.W. Corrigan (Ed.). The stigma of disease and disability: Understanding </w:t>
      </w:r>
      <w:r w:rsidR="008D3074">
        <w:t>causes and overcoming</w:t>
      </w:r>
      <w:r w:rsidRPr="00507FF7">
        <w:t>. Washington, DC, US: American Psychological Association</w:t>
      </w:r>
      <w:r w:rsidR="008D3074">
        <w:t>, 35-46.</w:t>
      </w:r>
    </w:p>
    <w:p w14:paraId="3640E52C" w14:textId="1FD66EEE" w:rsidR="00507FF7" w:rsidRPr="00507FF7" w:rsidRDefault="00507FF7" w:rsidP="00507FF7">
      <w:r w:rsidRPr="00507FF7">
        <w:t>Department of Social Services, Commonwealth of Australia (2021)</w:t>
      </w:r>
      <w:r w:rsidR="008D3074">
        <w:t>,</w:t>
      </w:r>
      <w:r w:rsidRPr="00507FF7">
        <w:t xml:space="preserve"> Australia’s Disability Strategy 2021 – 2031: creating an inclusive community together </w:t>
      </w:r>
      <w:hyperlink r:id="rId13" w:history="1">
        <w:r w:rsidRPr="00507FF7">
          <w:rPr>
            <w:color w:val="0000FF"/>
            <w:u w:val="single"/>
          </w:rPr>
          <w:t>Australia’s Disability Strategy 2021-2031 (disabilitygateway.gov.au)</w:t>
        </w:r>
      </w:hyperlink>
    </w:p>
    <w:p w14:paraId="72A49DBA" w14:textId="77777777" w:rsidR="00507FF7" w:rsidRPr="00507FF7" w:rsidRDefault="00507FF7" w:rsidP="00507FF7">
      <w:r w:rsidRPr="00507FF7">
        <w:t xml:space="preserve">Dixon, S., Smith, C., </w:t>
      </w:r>
      <w:proofErr w:type="spellStart"/>
      <w:r w:rsidRPr="00507FF7">
        <w:t>Touchet</w:t>
      </w:r>
      <w:proofErr w:type="spellEnd"/>
      <w:r w:rsidRPr="00507FF7">
        <w:t xml:space="preserve">, A. (2018). The disability perception gap: policy report. </w:t>
      </w:r>
      <w:hyperlink r:id="rId14" w:history="1">
        <w:r w:rsidRPr="00507FF7">
          <w:rPr>
            <w:color w:val="0000FF"/>
            <w:u w:val="single"/>
          </w:rPr>
          <w:t>https://www.scope.org.uk/news-and-stories/disabled-people-still-face-negative-attitudes/</w:t>
        </w:r>
      </w:hyperlink>
    </w:p>
    <w:p w14:paraId="3043D31F" w14:textId="77777777" w:rsidR="00507FF7" w:rsidRPr="00507FF7" w:rsidRDefault="00507FF7" w:rsidP="00507FF7">
      <w:r w:rsidRPr="00507FF7">
        <w:t xml:space="preserve">Dunn, DS (2022) Changing attitudes towards disability. American Psychological Association </w:t>
      </w:r>
      <w:hyperlink r:id="rId15" w:history="1">
        <w:r w:rsidRPr="00507FF7">
          <w:rPr>
            <w:color w:val="0000FF"/>
            <w:u w:val="single"/>
          </w:rPr>
          <w:t>https://www.apa.org/ed/precollege/psychology-teacher-network/introductory-psychology/changing-attitudes-towards-disability</w:t>
        </w:r>
      </w:hyperlink>
    </w:p>
    <w:p w14:paraId="35070B21" w14:textId="56F036A4" w:rsidR="00507FF7" w:rsidRPr="00507FF7" w:rsidRDefault="00507FF7" w:rsidP="00507FF7">
      <w:proofErr w:type="spellStart"/>
      <w:r w:rsidRPr="00507FF7">
        <w:t>Eagly</w:t>
      </w:r>
      <w:proofErr w:type="spellEnd"/>
      <w:r w:rsidRPr="00507FF7">
        <w:t>, AH</w:t>
      </w:r>
      <w:r w:rsidR="008D3074">
        <w:t xml:space="preserve">., </w:t>
      </w:r>
      <w:proofErr w:type="spellStart"/>
      <w:r w:rsidR="008D3074">
        <w:t>Chaiken</w:t>
      </w:r>
      <w:proofErr w:type="spellEnd"/>
      <w:r w:rsidR="008D3074">
        <w:t xml:space="preserve"> S. (1993)</w:t>
      </w:r>
      <w:r w:rsidRPr="00507FF7">
        <w:t xml:space="preserve"> The Psychology of Attitudes. Fort Worth, T</w:t>
      </w:r>
      <w:r w:rsidR="00347CAF">
        <w:t>exas</w:t>
      </w:r>
      <w:r w:rsidRPr="00507FF7">
        <w:t>: Harcourt</w:t>
      </w:r>
      <w:r w:rsidR="00347CAF">
        <w:t>,</w:t>
      </w:r>
      <w:r w:rsidRPr="00507FF7">
        <w:t xml:space="preserve"> Brace </w:t>
      </w:r>
      <w:r w:rsidR="00347CAF">
        <w:t xml:space="preserve">&amp; </w:t>
      </w:r>
      <w:r w:rsidRPr="00507FF7">
        <w:t>Jovanovi</w:t>
      </w:r>
      <w:r w:rsidR="008D3074">
        <w:t>ch</w:t>
      </w:r>
      <w:r w:rsidR="00120691">
        <w:t>.</w:t>
      </w:r>
      <w:r w:rsidR="008D3074">
        <w:t xml:space="preserve"> </w:t>
      </w:r>
    </w:p>
    <w:p w14:paraId="3C9254FD" w14:textId="558B2C66" w:rsidR="00670806" w:rsidRPr="00507FF7" w:rsidRDefault="00507FF7" w:rsidP="00507FF7">
      <w:r w:rsidRPr="00507FF7">
        <w:t xml:space="preserve">European Commission. (2020). Roadmap to Union of Equality: Strategy on the Rights of Persons with Disabilities 2021-2030. </w:t>
      </w:r>
      <w:hyperlink r:id="rId16" w:history="1">
        <w:r w:rsidR="00670806" w:rsidRPr="00D5585B">
          <w:rPr>
            <w:rStyle w:val="Hyperlink"/>
          </w:rPr>
          <w:t>https://ec.europa.eu/social/main.jsp?catId=1484</w:t>
        </w:r>
      </w:hyperlink>
    </w:p>
    <w:p w14:paraId="1BF3C0A7" w14:textId="715345C8" w:rsidR="00507FF7" w:rsidRPr="00507FF7" w:rsidRDefault="00507FF7" w:rsidP="00507FF7">
      <w:r w:rsidRPr="00507FF7">
        <w:t>Family CA. </w:t>
      </w:r>
      <w:r w:rsidR="00670806">
        <w:t xml:space="preserve">(2009) </w:t>
      </w:r>
      <w:r w:rsidRPr="00507FF7">
        <w:t>Attitudes towards disability shocking say UK families with disabled children. 2009. Available at: </w:t>
      </w:r>
      <w:hyperlink r:id="rId17" w:history="1">
        <w:r w:rsidRPr="00507FF7">
          <w:rPr>
            <w:color w:val="0000FF"/>
            <w:u w:val="single"/>
          </w:rPr>
          <w:t>http://www.cafamily.org.uk</w:t>
        </w:r>
      </w:hyperlink>
    </w:p>
    <w:p w14:paraId="7132811C" w14:textId="6095F616" w:rsidR="00507FF7" w:rsidRPr="00507FF7" w:rsidRDefault="00670806" w:rsidP="00507FF7">
      <w:r>
        <w:t>Fazio, RH. (1989)</w:t>
      </w:r>
      <w:r w:rsidR="00507FF7" w:rsidRPr="00507FF7">
        <w:t xml:space="preserve"> On the power and functionality of attitudes: The role of attitude accessibility. In A.</w:t>
      </w:r>
      <w:r>
        <w:t xml:space="preserve"> R. </w:t>
      </w:r>
      <w:proofErr w:type="spellStart"/>
      <w:r>
        <w:t>Pratkanis</w:t>
      </w:r>
      <w:proofErr w:type="spellEnd"/>
      <w:r>
        <w:t xml:space="preserve">, S. J. </w:t>
      </w:r>
      <w:proofErr w:type="spellStart"/>
      <w:r>
        <w:t>Breckler</w:t>
      </w:r>
      <w:proofErr w:type="spellEnd"/>
      <w:r>
        <w:t xml:space="preserve"> and</w:t>
      </w:r>
      <w:r w:rsidR="00507FF7" w:rsidRPr="00507FF7">
        <w:t xml:space="preserve"> A. G. Greenwald (Eds.), Attitude structure and function (pp. 153-179). </w:t>
      </w:r>
    </w:p>
    <w:p w14:paraId="39900316" w14:textId="45DFC613" w:rsidR="00507FF7" w:rsidRPr="00507FF7" w:rsidRDefault="00507FF7" w:rsidP="00507FF7">
      <w:proofErr w:type="spellStart"/>
      <w:r w:rsidRPr="00507FF7">
        <w:t>Findler</w:t>
      </w:r>
      <w:proofErr w:type="spellEnd"/>
      <w:r w:rsidR="00670806">
        <w:t>,</w:t>
      </w:r>
      <w:r w:rsidRPr="00507FF7">
        <w:t xml:space="preserve"> L</w:t>
      </w:r>
      <w:r w:rsidR="00670806">
        <w:t>.</w:t>
      </w:r>
      <w:r w:rsidRPr="00507FF7">
        <w:t>, Vilchinsky</w:t>
      </w:r>
      <w:r w:rsidR="00670806">
        <w:t>,</w:t>
      </w:r>
      <w:r w:rsidRPr="00507FF7">
        <w:t xml:space="preserve"> N</w:t>
      </w:r>
      <w:r w:rsidR="00670806">
        <w:t>.</w:t>
      </w:r>
      <w:r w:rsidRPr="00507FF7">
        <w:t>, Werner</w:t>
      </w:r>
      <w:r w:rsidR="00670806">
        <w:t>,</w:t>
      </w:r>
      <w:r w:rsidRPr="00507FF7">
        <w:t xml:space="preserve"> S. (2007) The </w:t>
      </w:r>
      <w:r w:rsidRPr="00670806">
        <w:t>Multidimensional Attitudes Scale toward Persons with Disabilities (MAS): Construction and Validation.</w:t>
      </w:r>
      <w:r w:rsidRPr="00507FF7">
        <w:rPr>
          <w:i/>
        </w:rPr>
        <w:t xml:space="preserve"> </w:t>
      </w:r>
      <w:r w:rsidRPr="00670806">
        <w:rPr>
          <w:i/>
        </w:rPr>
        <w:t>Rehabil</w:t>
      </w:r>
      <w:r w:rsidR="00670806" w:rsidRPr="00670806">
        <w:rPr>
          <w:i/>
        </w:rPr>
        <w:t xml:space="preserve">itation </w:t>
      </w:r>
      <w:r w:rsidRPr="00670806">
        <w:rPr>
          <w:i/>
        </w:rPr>
        <w:t>Couns</w:t>
      </w:r>
      <w:r w:rsidR="00670806" w:rsidRPr="00670806">
        <w:rPr>
          <w:i/>
        </w:rPr>
        <w:t>e</w:t>
      </w:r>
      <w:r w:rsidR="00670806">
        <w:rPr>
          <w:i/>
        </w:rPr>
        <w:t>l</w:t>
      </w:r>
      <w:r w:rsidR="00670806" w:rsidRPr="00670806">
        <w:rPr>
          <w:i/>
        </w:rPr>
        <w:t>ling</w:t>
      </w:r>
      <w:r w:rsidRPr="00670806">
        <w:rPr>
          <w:i/>
        </w:rPr>
        <w:t xml:space="preserve"> Bull</w:t>
      </w:r>
      <w:r w:rsidR="00670806">
        <w:rPr>
          <w:i/>
        </w:rPr>
        <w:t>eti</w:t>
      </w:r>
      <w:r w:rsidR="00670806" w:rsidRPr="00670806">
        <w:rPr>
          <w:i/>
        </w:rPr>
        <w:t>n</w:t>
      </w:r>
      <w:r w:rsidR="00670806">
        <w:t xml:space="preserve"> 50(3),</w:t>
      </w:r>
      <w:r w:rsidRPr="00507FF7">
        <w:t xml:space="preserve"> 166–76.</w:t>
      </w:r>
    </w:p>
    <w:p w14:paraId="64D33CD4" w14:textId="77777777" w:rsidR="00507FF7" w:rsidRPr="00507FF7" w:rsidRDefault="00507FF7" w:rsidP="00507FF7">
      <w:pPr>
        <w:rPr>
          <w:b/>
          <w:bCs/>
        </w:rPr>
      </w:pPr>
      <w:proofErr w:type="spellStart"/>
      <w:r w:rsidRPr="00507FF7">
        <w:rPr>
          <w:bCs/>
        </w:rPr>
        <w:t>Fira</w:t>
      </w:r>
      <w:proofErr w:type="spellEnd"/>
      <w:r w:rsidRPr="00507FF7">
        <w:rPr>
          <w:bCs/>
        </w:rPr>
        <w:t xml:space="preserve">, T., </w:t>
      </w:r>
      <w:proofErr w:type="spellStart"/>
      <w:r w:rsidRPr="00507FF7">
        <w:rPr>
          <w:bCs/>
        </w:rPr>
        <w:t>Koyuncu</w:t>
      </w:r>
      <w:proofErr w:type="spellEnd"/>
      <w:r w:rsidRPr="00507FF7">
        <w:rPr>
          <w:bCs/>
        </w:rPr>
        <w:t>, I. (2022).</w:t>
      </w:r>
      <w:r w:rsidRPr="00507FF7">
        <w:t xml:space="preserve"> </w:t>
      </w:r>
      <w:r w:rsidRPr="00507FF7">
        <w:rPr>
          <w:bCs/>
        </w:rPr>
        <w:t xml:space="preserve">Measuring Social Distance toward Individuals with Special Needs, </w:t>
      </w:r>
      <w:r w:rsidRPr="00507FF7">
        <w:rPr>
          <w:bCs/>
          <w:i/>
        </w:rPr>
        <w:t>Sage Open</w:t>
      </w:r>
      <w:r w:rsidRPr="00507FF7">
        <w:rPr>
          <w:bCs/>
        </w:rPr>
        <w:t xml:space="preserve">, </w:t>
      </w:r>
      <w:r w:rsidRPr="00507FF7">
        <w:t xml:space="preserve">12 (1) </w:t>
      </w:r>
      <w:hyperlink r:id="rId18" w:history="1">
        <w:r w:rsidRPr="00507FF7">
          <w:rPr>
            <w:color w:val="0000FF"/>
            <w:u w:val="single"/>
          </w:rPr>
          <w:t>https://doi.org/10.1177/21582440221079917</w:t>
        </w:r>
      </w:hyperlink>
      <w:r w:rsidRPr="00507FF7">
        <w:t xml:space="preserve"> </w:t>
      </w:r>
    </w:p>
    <w:p w14:paraId="060A8FE4" w14:textId="0530E103" w:rsidR="00C57C96" w:rsidRDefault="00C57C96" w:rsidP="00507FF7">
      <w:proofErr w:type="spellStart"/>
      <w:r>
        <w:t>Fishbein</w:t>
      </w:r>
      <w:proofErr w:type="spellEnd"/>
      <w:r>
        <w:t xml:space="preserve">, M., </w:t>
      </w:r>
      <w:proofErr w:type="spellStart"/>
      <w:r w:rsidR="00670806">
        <w:t>Ajzen</w:t>
      </w:r>
      <w:proofErr w:type="spellEnd"/>
      <w:r w:rsidR="00670806">
        <w:t>, I. (1975)</w:t>
      </w:r>
      <w:r w:rsidRPr="00C57C96">
        <w:t xml:space="preserve"> Belief, attitude, intention, and behavio</w:t>
      </w:r>
      <w:r>
        <w:t>u</w:t>
      </w:r>
      <w:r w:rsidRPr="00C57C96">
        <w:t xml:space="preserve">r: An introduction to theory and research. Reading, Mass.: </w:t>
      </w:r>
      <w:proofErr w:type="spellStart"/>
      <w:r w:rsidRPr="00C57C96">
        <w:t>AddisonWesley</w:t>
      </w:r>
      <w:proofErr w:type="spellEnd"/>
      <w:r w:rsidRPr="00C57C96">
        <w:t xml:space="preserve"> Pub. Co.</w:t>
      </w:r>
    </w:p>
    <w:p w14:paraId="16D1890E" w14:textId="62F25743" w:rsidR="00507FF7" w:rsidRPr="00507FF7" w:rsidRDefault="00507FF7" w:rsidP="00507FF7">
      <w:r w:rsidRPr="00507FF7">
        <w:t xml:space="preserve">Fisher, KR., </w:t>
      </w:r>
      <w:proofErr w:type="spellStart"/>
      <w:r w:rsidRPr="00507FF7">
        <w:t>Purcal</w:t>
      </w:r>
      <w:proofErr w:type="spellEnd"/>
      <w:r w:rsidRPr="00507FF7">
        <w:t>, C (2017) Policies to change attitudes to people with disabilities, </w:t>
      </w:r>
      <w:r w:rsidRPr="00507FF7">
        <w:rPr>
          <w:i/>
        </w:rPr>
        <w:t>Scandinavian Journal of Disability Research</w:t>
      </w:r>
      <w:r w:rsidRPr="00507FF7">
        <w:t>, 19 (2): 161-174 </w:t>
      </w:r>
    </w:p>
    <w:p w14:paraId="7F83911C" w14:textId="77777777" w:rsidR="00507FF7" w:rsidRPr="00507FF7" w:rsidRDefault="00507FF7" w:rsidP="00507FF7">
      <w:pPr>
        <w:rPr>
          <w:bCs/>
        </w:rPr>
      </w:pPr>
      <w:r w:rsidRPr="00507FF7">
        <w:rPr>
          <w:bCs/>
        </w:rPr>
        <w:t xml:space="preserve">Fisher, K., Robinson, S., </w:t>
      </w:r>
      <w:proofErr w:type="spellStart"/>
      <w:r w:rsidRPr="00507FF7">
        <w:rPr>
          <w:bCs/>
        </w:rPr>
        <w:t>Purcal</w:t>
      </w:r>
      <w:proofErr w:type="spellEnd"/>
      <w:r w:rsidRPr="00507FF7">
        <w:rPr>
          <w:bCs/>
        </w:rPr>
        <w:t xml:space="preserve">, C., et al (2022) Changing community attitudes to improve inclusion of people with disability (Report funded by the Royal Commission, Australia, into Violence, Abuse, Neglect and Exploitation of People with Disability </w:t>
      </w:r>
      <w:hyperlink r:id="rId19" w:history="1">
        <w:r w:rsidRPr="00507FF7">
          <w:rPr>
            <w:bCs/>
            <w:color w:val="0000FF"/>
            <w:u w:val="single"/>
          </w:rPr>
          <w:t>https://disability.royalcommission.gov.au/system/files/2022-05/Research%20Report%20-%20Changing%20community%20attitudes%20to%20improve%20inclusion%20of%20people%20with%20disability.pdf</w:t>
        </w:r>
      </w:hyperlink>
    </w:p>
    <w:p w14:paraId="7562D3C2" w14:textId="77777777" w:rsidR="00507FF7" w:rsidRPr="00507FF7" w:rsidRDefault="00507FF7" w:rsidP="00507FF7">
      <w:proofErr w:type="spellStart"/>
      <w:r w:rsidRPr="00507FF7">
        <w:t>Forscher</w:t>
      </w:r>
      <w:proofErr w:type="spellEnd"/>
      <w:r w:rsidRPr="00507FF7">
        <w:t xml:space="preserve"> PS, Lai CK, </w:t>
      </w:r>
      <w:proofErr w:type="spellStart"/>
      <w:r w:rsidRPr="00507FF7">
        <w:t>Axt</w:t>
      </w:r>
      <w:proofErr w:type="spellEnd"/>
      <w:r w:rsidRPr="00507FF7">
        <w:t xml:space="preserve"> JR, </w:t>
      </w:r>
      <w:proofErr w:type="spellStart"/>
      <w:r w:rsidRPr="00507FF7">
        <w:t>Ebersole</w:t>
      </w:r>
      <w:proofErr w:type="spellEnd"/>
      <w:r w:rsidRPr="00507FF7">
        <w:t xml:space="preserve"> CR, Herman M, Devine PG, </w:t>
      </w:r>
      <w:proofErr w:type="spellStart"/>
      <w:r w:rsidRPr="00507FF7">
        <w:t>Nosek</w:t>
      </w:r>
      <w:proofErr w:type="spellEnd"/>
      <w:r w:rsidRPr="00507FF7">
        <w:t xml:space="preserve"> BA. (2019) A meta-analysis of procedures to change implicit measures. Journal Personality and Social Psychology.  117(3):522-559.</w:t>
      </w:r>
    </w:p>
    <w:p w14:paraId="6B62AB97" w14:textId="77777777" w:rsidR="00507FF7" w:rsidRPr="00507FF7" w:rsidRDefault="00507FF7" w:rsidP="00507FF7">
      <w:r w:rsidRPr="00507FF7">
        <w:t xml:space="preserve">Freer, JRR. (2021). Students’ attitudes toward disability: a systematic literature review (2012–2019), </w:t>
      </w:r>
      <w:r w:rsidRPr="00507FF7">
        <w:rPr>
          <w:i/>
        </w:rPr>
        <w:t xml:space="preserve">International Journal of Inclusive Education, </w:t>
      </w:r>
      <w:r w:rsidRPr="00507FF7">
        <w:t>1-19</w:t>
      </w:r>
    </w:p>
    <w:p w14:paraId="0A6D6DAD" w14:textId="77777777" w:rsidR="009C079B" w:rsidRPr="009C079B" w:rsidRDefault="009C079B" w:rsidP="009C079B">
      <w:pPr>
        <w:rPr>
          <w:iCs/>
        </w:rPr>
      </w:pPr>
      <w:r w:rsidRPr="009C079B">
        <w:rPr>
          <w:iCs/>
        </w:rPr>
        <w:t xml:space="preserve">Greenwald, AG., </w:t>
      </w:r>
      <w:proofErr w:type="spellStart"/>
      <w:r w:rsidRPr="009C079B">
        <w:rPr>
          <w:iCs/>
        </w:rPr>
        <w:t>Banaji</w:t>
      </w:r>
      <w:proofErr w:type="spellEnd"/>
      <w:r w:rsidRPr="009C079B">
        <w:rPr>
          <w:iCs/>
        </w:rPr>
        <w:t xml:space="preserve">, M (2017) The Implicit Revolution: Reconceiving the Relation between Conscious and Unconscious. </w:t>
      </w:r>
      <w:r w:rsidRPr="009C079B">
        <w:rPr>
          <w:i/>
          <w:iCs/>
        </w:rPr>
        <w:t>American Psychologist</w:t>
      </w:r>
      <w:r w:rsidRPr="009C079B">
        <w:rPr>
          <w:iCs/>
        </w:rPr>
        <w:t>, 72 (9), 861-871.</w:t>
      </w:r>
    </w:p>
    <w:p w14:paraId="435DB245" w14:textId="5373FB13" w:rsidR="00507FF7" w:rsidRPr="00507FF7" w:rsidRDefault="00507FF7" w:rsidP="00507FF7">
      <w:pPr>
        <w:rPr>
          <w:bCs/>
        </w:rPr>
      </w:pPr>
      <w:proofErr w:type="spellStart"/>
      <w:r w:rsidRPr="00507FF7">
        <w:rPr>
          <w:iCs/>
        </w:rPr>
        <w:t>Gauntlett</w:t>
      </w:r>
      <w:proofErr w:type="spellEnd"/>
      <w:r w:rsidRPr="00507FF7">
        <w:rPr>
          <w:iCs/>
        </w:rPr>
        <w:t>, Ben (Disability Discrimination Commissioner)</w:t>
      </w:r>
      <w:r w:rsidRPr="00507FF7">
        <w:rPr>
          <w:bCs/>
        </w:rPr>
        <w:t xml:space="preserve"> (2019) The critical task of changing community attitudes towards disability</w:t>
      </w:r>
      <w:r w:rsidRPr="00507FF7">
        <w:t xml:space="preserve"> </w:t>
      </w:r>
      <w:hyperlink r:id="rId20" w:history="1">
        <w:r w:rsidRPr="00507FF7">
          <w:rPr>
            <w:bCs/>
            <w:color w:val="0000FF"/>
            <w:u w:val="single"/>
          </w:rPr>
          <w:t>https://humanrights.gov.au/about/news/speeches/critical-task-changing-community-attitudes-towards-disability</w:t>
        </w:r>
      </w:hyperlink>
    </w:p>
    <w:p w14:paraId="7C8CE8FD" w14:textId="77777777" w:rsidR="00507FF7" w:rsidRPr="00507FF7" w:rsidRDefault="00507FF7" w:rsidP="00507FF7">
      <w:r w:rsidRPr="00507FF7">
        <w:t xml:space="preserve">Haft, SL., Greiner de </w:t>
      </w:r>
      <w:proofErr w:type="spellStart"/>
      <w:r w:rsidRPr="00507FF7">
        <w:t>Magalhães</w:t>
      </w:r>
      <w:proofErr w:type="spellEnd"/>
      <w:r w:rsidRPr="00507FF7">
        <w:t xml:space="preserve">, C., </w:t>
      </w:r>
      <w:proofErr w:type="spellStart"/>
      <w:r w:rsidRPr="00507FF7">
        <w:t>Hoeft</w:t>
      </w:r>
      <w:proofErr w:type="spellEnd"/>
      <w:r w:rsidRPr="00507FF7">
        <w:t>, F. (2022). A Systematic Review of the Consequences of Stigma and Stereotype Threat for Individuals with Specific Learning Disabilities. </w:t>
      </w:r>
      <w:r w:rsidRPr="00507FF7">
        <w:rPr>
          <w:i/>
          <w:iCs/>
        </w:rPr>
        <w:t>Journal of Learning Disabilities</w:t>
      </w:r>
      <w:r w:rsidRPr="00507FF7">
        <w:t>, </w:t>
      </w:r>
      <w:r w:rsidRPr="00507FF7">
        <w:rPr>
          <w:i/>
          <w:iCs/>
        </w:rPr>
        <w:t>0</w:t>
      </w:r>
      <w:r w:rsidRPr="00507FF7">
        <w:t>(0). </w:t>
      </w:r>
      <w:hyperlink r:id="rId21" w:history="1">
        <w:r w:rsidRPr="00507FF7">
          <w:rPr>
            <w:color w:val="0000FF"/>
            <w:u w:val="single"/>
          </w:rPr>
          <w:t>https://doi.org/10.1177/00222194221087383</w:t>
        </w:r>
      </w:hyperlink>
    </w:p>
    <w:p w14:paraId="2188C8B9" w14:textId="3E3A24F0" w:rsidR="00B54B59" w:rsidRDefault="00B54B59" w:rsidP="00507FF7">
      <w:proofErr w:type="spellStart"/>
      <w:r w:rsidRPr="00B54B59">
        <w:t>Hameiri</w:t>
      </w:r>
      <w:proofErr w:type="spellEnd"/>
      <w:r w:rsidRPr="00B54B59">
        <w:t xml:space="preserve">, B., </w:t>
      </w:r>
      <w:proofErr w:type="spellStart"/>
      <w:r w:rsidRPr="00B54B59">
        <w:t>Porat</w:t>
      </w:r>
      <w:proofErr w:type="spellEnd"/>
      <w:r w:rsidRPr="00B54B59">
        <w:t xml:space="preserve">, R., Bar-Tal, Daniel., </w:t>
      </w:r>
      <w:proofErr w:type="spellStart"/>
      <w:r w:rsidRPr="00B54B59">
        <w:t>Bieler</w:t>
      </w:r>
      <w:proofErr w:type="spellEnd"/>
      <w:r w:rsidRPr="00B54B59">
        <w:t xml:space="preserve">, A., </w:t>
      </w:r>
      <w:proofErr w:type="spellStart"/>
      <w:r w:rsidRPr="00B54B59">
        <w:t>Halperin</w:t>
      </w:r>
      <w:proofErr w:type="spellEnd"/>
      <w:r w:rsidRPr="00B54B59">
        <w:t>, E. (2014) Paradoxical thinking as a new avenue of intervention to promote peace</w:t>
      </w:r>
      <w:r>
        <w:t>,</w:t>
      </w:r>
      <w:r w:rsidRPr="00B54B59">
        <w:t xml:space="preserve"> Proceedings of the National Academy of Sciences of the United States of America , </w:t>
      </w:r>
      <w:r>
        <w:t>111 (</w:t>
      </w:r>
      <w:r w:rsidRPr="00B54B59">
        <w:t>30</w:t>
      </w:r>
      <w:r>
        <w:t xml:space="preserve">) (July 29, 2014), </w:t>
      </w:r>
      <w:r w:rsidRPr="00B54B59">
        <w:t>10996-11001</w:t>
      </w:r>
      <w:r>
        <w:t>.</w:t>
      </w:r>
    </w:p>
    <w:p w14:paraId="44D32FA4" w14:textId="40FC139A" w:rsidR="00507FF7" w:rsidRPr="00507FF7" w:rsidRDefault="00507FF7" w:rsidP="00507FF7">
      <w:r w:rsidRPr="00507FF7">
        <w:t xml:space="preserve">Hall, H., &amp; </w:t>
      </w:r>
      <w:proofErr w:type="spellStart"/>
      <w:r w:rsidRPr="00507FF7">
        <w:t>Minnes</w:t>
      </w:r>
      <w:proofErr w:type="spellEnd"/>
      <w:r w:rsidRPr="00507FF7">
        <w:t xml:space="preserve">, P. (1999). Attitudes towards persons with Down’s syndrome: The impact of television. Journal Developmental &amp; Physical Disabilities, 11, 61-76. </w:t>
      </w:r>
    </w:p>
    <w:p w14:paraId="7EE75E37" w14:textId="77777777" w:rsidR="004B2FD6" w:rsidRPr="00507FF7" w:rsidRDefault="004B2FD6" w:rsidP="004B2FD6">
      <w:r w:rsidRPr="00507FF7">
        <w:t xml:space="preserve">Harada C, Parker R, </w:t>
      </w:r>
      <w:proofErr w:type="spellStart"/>
      <w:r w:rsidRPr="00507FF7">
        <w:t>Siperstein</w:t>
      </w:r>
      <w:proofErr w:type="spellEnd"/>
      <w:r w:rsidRPr="00507FF7">
        <w:t xml:space="preserve"> G. (2008). A comprehensive national study of Special Olympics programs in Latin America: findings from Argentina, Brazil, and Peru. Boston, Massachusetts: University of Massachusetts Boston </w:t>
      </w:r>
    </w:p>
    <w:p w14:paraId="74D7789F" w14:textId="77777777" w:rsidR="00507FF7" w:rsidRPr="00507FF7" w:rsidRDefault="00507FF7" w:rsidP="00507FF7">
      <w:r w:rsidRPr="00507FF7">
        <w:t xml:space="preserve">Harder, JA., Keller, VN., </w:t>
      </w:r>
      <w:proofErr w:type="spellStart"/>
      <w:r w:rsidRPr="00507FF7">
        <w:t>Chopik</w:t>
      </w:r>
      <w:proofErr w:type="spellEnd"/>
      <w:r w:rsidRPr="00507FF7">
        <w:t xml:space="preserve">. WJ (2019) </w:t>
      </w:r>
      <w:r w:rsidRPr="00507FF7">
        <w:rPr>
          <w:bCs/>
        </w:rPr>
        <w:t>Demographic, Experiential, and Temporal Variation in Ableism</w:t>
      </w:r>
      <w:r w:rsidRPr="00507FF7">
        <w:t>. </w:t>
      </w:r>
      <w:r w:rsidRPr="00507FF7">
        <w:rPr>
          <w:i/>
          <w:iCs/>
        </w:rPr>
        <w:t xml:space="preserve">Journal of Social Issues, 75 (3): </w:t>
      </w:r>
      <w:r w:rsidRPr="00507FF7">
        <w:rPr>
          <w:iCs/>
        </w:rPr>
        <w:t>683-706.</w:t>
      </w:r>
    </w:p>
    <w:p w14:paraId="093B67FF" w14:textId="77777777" w:rsidR="00507FF7" w:rsidRPr="00507FF7" w:rsidRDefault="00507FF7" w:rsidP="00507FF7">
      <w:r w:rsidRPr="00507FF7">
        <w:t>Hatfield, RD., Spiller, MS (2017) Attitudes and preferences regarding disability types viewed from three perspectives. Allied Academies International Conference: Proceedings of the Academy of Legal, Ethical &amp; Regulatory Issues (ALERI), 21 (1), p7-9</w:t>
      </w:r>
    </w:p>
    <w:p w14:paraId="7FEC8057" w14:textId="77777777" w:rsidR="00507FF7" w:rsidRPr="00507FF7" w:rsidRDefault="00507FF7" w:rsidP="00507FF7">
      <w:pPr>
        <w:rPr>
          <w:bCs/>
        </w:rPr>
      </w:pPr>
      <w:r w:rsidRPr="00507FF7">
        <w:t xml:space="preserve">Hayward L, </w:t>
      </w:r>
      <w:proofErr w:type="spellStart"/>
      <w:r w:rsidRPr="00507FF7">
        <w:t>Fragala</w:t>
      </w:r>
      <w:proofErr w:type="spellEnd"/>
      <w:r w:rsidRPr="00507FF7">
        <w:t xml:space="preserve">-Pinkham M, Schneider J, Coe M, Vargas C, </w:t>
      </w:r>
      <w:proofErr w:type="spellStart"/>
      <w:r w:rsidRPr="00507FF7">
        <w:t>Wassenar</w:t>
      </w:r>
      <w:proofErr w:type="spellEnd"/>
      <w:r w:rsidRPr="00507FF7">
        <w:t xml:space="preserve"> A, Emmons M, </w:t>
      </w:r>
      <w:proofErr w:type="spellStart"/>
      <w:r w:rsidRPr="00507FF7">
        <w:t>Lizzio</w:t>
      </w:r>
      <w:proofErr w:type="spellEnd"/>
      <w:r w:rsidRPr="00507FF7">
        <w:t xml:space="preserve"> C, Hayward J, Torres D. (2021) Examination of the short-term impact of a disability awareness training on attitudes toward people with disabilities: A community-based participatory evaluation approach. </w:t>
      </w:r>
      <w:proofErr w:type="spellStart"/>
      <w:r w:rsidRPr="00507FF7">
        <w:rPr>
          <w:i/>
        </w:rPr>
        <w:t>Physiother</w:t>
      </w:r>
      <w:proofErr w:type="spellEnd"/>
      <w:r w:rsidRPr="00507FF7">
        <w:rPr>
          <w:i/>
        </w:rPr>
        <w:t xml:space="preserve"> Theory </w:t>
      </w:r>
      <w:proofErr w:type="spellStart"/>
      <w:r w:rsidRPr="00507FF7">
        <w:rPr>
          <w:i/>
        </w:rPr>
        <w:t>Pract</w:t>
      </w:r>
      <w:proofErr w:type="spellEnd"/>
      <w:r w:rsidRPr="00507FF7">
        <w:rPr>
          <w:i/>
        </w:rPr>
        <w:t>.</w:t>
      </w:r>
      <w:r w:rsidRPr="00507FF7">
        <w:t xml:space="preserve"> 37(2):257-270.</w:t>
      </w:r>
    </w:p>
    <w:p w14:paraId="2F048876" w14:textId="77777777" w:rsidR="00507FF7" w:rsidRPr="00507FF7" w:rsidRDefault="00507FF7" w:rsidP="00507FF7">
      <w:r w:rsidRPr="00507FF7">
        <w:t xml:space="preserve">Hillsdale, NJ., Lawrence Erlbaum Associates., </w:t>
      </w:r>
      <w:proofErr w:type="spellStart"/>
      <w:r w:rsidRPr="00507FF7">
        <w:t>Fishbein</w:t>
      </w:r>
      <w:proofErr w:type="spellEnd"/>
      <w:r w:rsidRPr="00507FF7">
        <w:t xml:space="preserve">, M., </w:t>
      </w:r>
      <w:proofErr w:type="spellStart"/>
      <w:r w:rsidRPr="00507FF7">
        <w:t>Ajzen</w:t>
      </w:r>
      <w:proofErr w:type="spellEnd"/>
      <w:r w:rsidRPr="00507FF7">
        <w:t xml:space="preserve">, I. (1975). Belief, attitude, intention, and </w:t>
      </w:r>
      <w:proofErr w:type="spellStart"/>
      <w:r w:rsidRPr="00507FF7">
        <w:t>behavior</w:t>
      </w:r>
      <w:proofErr w:type="spellEnd"/>
      <w:r w:rsidRPr="00507FF7">
        <w:t xml:space="preserve">: An introduction to theory and research. Reading, Mass.: </w:t>
      </w:r>
      <w:proofErr w:type="spellStart"/>
      <w:r w:rsidRPr="00507FF7">
        <w:t>AddisonWesley</w:t>
      </w:r>
      <w:proofErr w:type="spellEnd"/>
      <w:r w:rsidRPr="00507FF7">
        <w:t xml:space="preserve"> Pub. Co.</w:t>
      </w:r>
    </w:p>
    <w:p w14:paraId="5BF3DE46" w14:textId="77777777" w:rsidR="00507FF7" w:rsidRPr="00507FF7" w:rsidRDefault="00507FF7" w:rsidP="00507FF7">
      <w:r w:rsidRPr="00507FF7">
        <w:t xml:space="preserve">Hitch, D., Dell, K., Larkin, H (2016) Does Universal Design Education impact on the attitudes of architecture students towards people with disability? </w:t>
      </w:r>
      <w:r w:rsidRPr="00507FF7">
        <w:rPr>
          <w:i/>
        </w:rPr>
        <w:t>Journal of Accessibility and Design for All</w:t>
      </w:r>
      <w:r w:rsidRPr="00507FF7">
        <w:t xml:space="preserve">, 6(1), 26-48. </w:t>
      </w:r>
    </w:p>
    <w:p w14:paraId="35A3013E" w14:textId="77777777" w:rsidR="00507FF7" w:rsidRPr="00507FF7" w:rsidRDefault="00507FF7" w:rsidP="00507FF7">
      <w:proofErr w:type="spellStart"/>
      <w:r w:rsidRPr="00507FF7">
        <w:t>Hovland</w:t>
      </w:r>
      <w:proofErr w:type="spellEnd"/>
      <w:r w:rsidRPr="00507FF7">
        <w:t>, CI., Janis, IL., Kelley, HH. (1953). </w:t>
      </w:r>
      <w:r w:rsidRPr="00507FF7">
        <w:rPr>
          <w:i/>
          <w:iCs/>
        </w:rPr>
        <w:t>Communication and persuasion; psychological studies of opinion change.</w:t>
      </w:r>
      <w:r w:rsidRPr="00507FF7">
        <w:t> Yale University Press.</w:t>
      </w:r>
    </w:p>
    <w:p w14:paraId="49736AE2" w14:textId="2FC7FB15" w:rsidR="00507FF7" w:rsidRDefault="00507FF7" w:rsidP="00507FF7">
      <w:r w:rsidRPr="00507FF7">
        <w:t xml:space="preserve">Hui, C., Hatfield, RD. (1992) Discrimination against the physically disabled: When concern for selection success matters. </w:t>
      </w:r>
      <w:r w:rsidRPr="00507FF7">
        <w:rPr>
          <w:i/>
        </w:rPr>
        <w:t>Midwest Academy of Management Proceedings</w:t>
      </w:r>
      <w:r w:rsidRPr="00507FF7">
        <w:t xml:space="preserve">, 29-34 </w:t>
      </w:r>
    </w:p>
    <w:p w14:paraId="6BD84541" w14:textId="77777777" w:rsidR="00507FF7" w:rsidRPr="00507FF7" w:rsidRDefault="00507FF7" w:rsidP="00507FF7">
      <w:pPr>
        <w:rPr>
          <w:bCs/>
          <w:iCs/>
        </w:rPr>
      </w:pPr>
      <w:r w:rsidRPr="00507FF7">
        <w:rPr>
          <w:bCs/>
          <w:iCs/>
        </w:rPr>
        <w:t xml:space="preserve">Hummel, D., </w:t>
      </w:r>
      <w:proofErr w:type="spellStart"/>
      <w:r w:rsidRPr="00507FF7">
        <w:rPr>
          <w:bCs/>
          <w:iCs/>
        </w:rPr>
        <w:t>Maedche</w:t>
      </w:r>
      <w:proofErr w:type="spellEnd"/>
      <w:r w:rsidRPr="00507FF7">
        <w:rPr>
          <w:bCs/>
          <w:iCs/>
        </w:rPr>
        <w:t xml:space="preserve">, A. (2019). How effective is nudging? A quantitative review on the effect sizes and limits of empirical nudging studies. </w:t>
      </w:r>
      <w:r w:rsidRPr="00507FF7">
        <w:rPr>
          <w:bCs/>
          <w:i/>
          <w:iCs/>
        </w:rPr>
        <w:t xml:space="preserve">Journal of </w:t>
      </w:r>
      <w:proofErr w:type="spellStart"/>
      <w:r w:rsidRPr="00507FF7">
        <w:rPr>
          <w:bCs/>
          <w:i/>
          <w:iCs/>
        </w:rPr>
        <w:t>Behavioral</w:t>
      </w:r>
      <w:proofErr w:type="spellEnd"/>
      <w:r w:rsidRPr="00507FF7">
        <w:rPr>
          <w:bCs/>
          <w:i/>
          <w:iCs/>
        </w:rPr>
        <w:t xml:space="preserve"> and Experimental Economics</w:t>
      </w:r>
      <w:r w:rsidRPr="00507FF7">
        <w:rPr>
          <w:bCs/>
          <w:iCs/>
        </w:rPr>
        <w:t xml:space="preserve">, 80: 47–58 </w:t>
      </w:r>
    </w:p>
    <w:p w14:paraId="62E5B0B1" w14:textId="77777777" w:rsidR="00507FF7" w:rsidRPr="00507FF7" w:rsidRDefault="00507FF7" w:rsidP="00507FF7">
      <w:proofErr w:type="spellStart"/>
      <w:r w:rsidRPr="00507FF7">
        <w:t>Kersh</w:t>
      </w:r>
      <w:proofErr w:type="spellEnd"/>
      <w:r w:rsidRPr="00507FF7">
        <w:t xml:space="preserve">, J., &amp; </w:t>
      </w:r>
      <w:proofErr w:type="spellStart"/>
      <w:r w:rsidRPr="00507FF7">
        <w:t>Siperstein</w:t>
      </w:r>
      <w:proofErr w:type="spellEnd"/>
      <w:r w:rsidRPr="00507FF7">
        <w:t>, G. N. (2008). The positive contributions of Special Olympics to the family. Washington, DC: Special Olympics, Inc.</w:t>
      </w:r>
    </w:p>
    <w:p w14:paraId="20B86DAA" w14:textId="77777777" w:rsidR="00507FF7" w:rsidRPr="00507FF7" w:rsidRDefault="00507FF7" w:rsidP="00507FF7">
      <w:r w:rsidRPr="00507FF7">
        <w:t>Jackson-Best, F., Edwards, N. (2018) Stigma and intersectionality: a systematic review of systematic reviews across HIV/AIDS, mental illness, and physical disability. </w:t>
      </w:r>
      <w:r w:rsidRPr="00507FF7">
        <w:rPr>
          <w:i/>
          <w:iCs/>
        </w:rPr>
        <w:t>BMC Public Health</w:t>
      </w:r>
      <w:r w:rsidRPr="00507FF7">
        <w:t> </w:t>
      </w:r>
      <w:r w:rsidRPr="00507FF7">
        <w:rPr>
          <w:b/>
          <w:bCs/>
        </w:rPr>
        <w:t>18</w:t>
      </w:r>
      <w:r w:rsidRPr="00507FF7">
        <w:t xml:space="preserve">, 919. </w:t>
      </w:r>
      <w:hyperlink r:id="rId22" w:history="1">
        <w:r w:rsidRPr="00507FF7">
          <w:rPr>
            <w:color w:val="0000FF"/>
            <w:u w:val="single"/>
          </w:rPr>
          <w:t>https://doi.org/10.1186/s12889-018-5861-3</w:t>
        </w:r>
      </w:hyperlink>
      <w:r w:rsidRPr="00507FF7">
        <w:t xml:space="preserve"> </w:t>
      </w:r>
    </w:p>
    <w:p w14:paraId="5E53D3CB" w14:textId="77777777" w:rsidR="00507FF7" w:rsidRPr="00507FF7" w:rsidRDefault="00507FF7" w:rsidP="00507FF7">
      <w:proofErr w:type="spellStart"/>
      <w:r w:rsidRPr="00507FF7">
        <w:t>Kleintjes</w:t>
      </w:r>
      <w:proofErr w:type="spellEnd"/>
      <w:r w:rsidRPr="00507FF7">
        <w:t xml:space="preserve"> S, Lund C, Swartz L. (2013) Barriers to the participation of people with psychosocial disability in mental health policy development in South Africa: a qualitative study of perspectives of policy makers, professionals, religious leaders and academics. BMC </w:t>
      </w:r>
      <w:r w:rsidRPr="00507FF7">
        <w:rPr>
          <w:i/>
        </w:rPr>
        <w:t>International Health Human Rights</w:t>
      </w:r>
      <w:r w:rsidRPr="00507FF7">
        <w:t>. 13(1): 1–10.</w:t>
      </w:r>
    </w:p>
    <w:p w14:paraId="50F1060F" w14:textId="77777777" w:rsidR="00507FF7" w:rsidRPr="00507FF7" w:rsidRDefault="00507FF7" w:rsidP="00507FF7">
      <w:proofErr w:type="spellStart"/>
      <w:r w:rsidRPr="00507FF7">
        <w:t>Krahn</w:t>
      </w:r>
      <w:proofErr w:type="spellEnd"/>
      <w:r w:rsidRPr="00507FF7">
        <w:t xml:space="preserve">, GL., Walker, DK., Correa-De-Araujo, R. (2015). Persons with disabilities as an unrecognized health disparity population. </w:t>
      </w:r>
      <w:r w:rsidRPr="00507FF7">
        <w:rPr>
          <w:i/>
        </w:rPr>
        <w:t>American Journal of Public Health</w:t>
      </w:r>
      <w:r w:rsidRPr="00507FF7">
        <w:t>, 105(S2), S198-S206. doi:10.2105/AJPH.2014.30218</w:t>
      </w:r>
    </w:p>
    <w:p w14:paraId="49825C31" w14:textId="77777777" w:rsidR="00507FF7" w:rsidRPr="00507FF7" w:rsidRDefault="00507FF7" w:rsidP="00507FF7">
      <w:proofErr w:type="spellStart"/>
      <w:r w:rsidRPr="00507FF7">
        <w:t>Kuznetsova</w:t>
      </w:r>
      <w:proofErr w:type="spellEnd"/>
      <w:r w:rsidRPr="00507FF7">
        <w:t xml:space="preserve">, Y., </w:t>
      </w:r>
      <w:proofErr w:type="spellStart"/>
      <w:r w:rsidRPr="00507FF7">
        <w:t>Yalcin</w:t>
      </w:r>
      <w:proofErr w:type="spellEnd"/>
      <w:r w:rsidRPr="00507FF7">
        <w:t xml:space="preserve">, B., Priestley, M. (2017). Labour market integration and equality for disabled people: A comparative analysis of Nordic and Baltic countries. </w:t>
      </w:r>
      <w:r w:rsidRPr="00507FF7">
        <w:rPr>
          <w:i/>
        </w:rPr>
        <w:t>Social Policy &amp; Administration</w:t>
      </w:r>
      <w:r w:rsidRPr="00507FF7">
        <w:t xml:space="preserve">, 51(4): 577–597 </w:t>
      </w:r>
    </w:p>
    <w:p w14:paraId="2917AF79" w14:textId="77777777" w:rsidR="00507FF7" w:rsidRPr="00507FF7" w:rsidRDefault="00507FF7" w:rsidP="00507FF7">
      <w:r w:rsidRPr="00507FF7">
        <w:t xml:space="preserve">Law, Y., S. Lam, W. Law, and Z. Y. W. Tam (2017) “Enhancing Peer Acceptance of Children with Learning Difficulties: Classroom Goal Orientation and Effects of a Storytelling Programme with Drama Techniques.” </w:t>
      </w:r>
      <w:r w:rsidRPr="00507FF7">
        <w:rPr>
          <w:i/>
        </w:rPr>
        <w:t>Educational Psychology</w:t>
      </w:r>
      <w:r w:rsidRPr="00507FF7">
        <w:t xml:space="preserve"> 37 (5): 537–549 </w:t>
      </w:r>
    </w:p>
    <w:p w14:paraId="0CB38F79" w14:textId="77777777" w:rsidR="00507FF7" w:rsidRPr="00507FF7" w:rsidRDefault="00507FF7" w:rsidP="00507FF7">
      <w:pPr>
        <w:rPr>
          <w:iCs/>
        </w:rPr>
      </w:pPr>
      <w:proofErr w:type="spellStart"/>
      <w:r w:rsidRPr="00507FF7">
        <w:t>Lépine</w:t>
      </w:r>
      <w:proofErr w:type="spellEnd"/>
      <w:r w:rsidRPr="00507FF7">
        <w:t xml:space="preserve">, A., </w:t>
      </w:r>
      <w:proofErr w:type="spellStart"/>
      <w:r w:rsidRPr="00507FF7">
        <w:t>Treibich</w:t>
      </w:r>
      <w:proofErr w:type="spellEnd"/>
      <w:r w:rsidRPr="00507FF7">
        <w:t xml:space="preserve">, C., </w:t>
      </w:r>
      <w:proofErr w:type="spellStart"/>
      <w:r w:rsidRPr="00507FF7">
        <w:t>d’Exelle</w:t>
      </w:r>
      <w:proofErr w:type="spellEnd"/>
      <w:r w:rsidRPr="00507FF7">
        <w:t>, B. (2020). Nothing but the truth: Consistency and efficiency of the list experiment method for the measurement of sensitive health behaviours. </w:t>
      </w:r>
      <w:r w:rsidRPr="00507FF7">
        <w:rPr>
          <w:i/>
          <w:iCs/>
        </w:rPr>
        <w:t>Social Science &amp; Medicine, 266</w:t>
      </w:r>
      <w:r w:rsidRPr="00507FF7">
        <w:t xml:space="preserve"> </w:t>
      </w:r>
      <w:r w:rsidRPr="00507FF7">
        <w:rPr>
          <w:iCs/>
        </w:rPr>
        <w:t xml:space="preserve">Volume 266, 2020, 113326, ISSN 0277-9536, </w:t>
      </w:r>
      <w:hyperlink r:id="rId23" w:history="1">
        <w:r w:rsidRPr="00507FF7">
          <w:rPr>
            <w:iCs/>
            <w:color w:val="0000FF"/>
            <w:u w:val="single"/>
          </w:rPr>
          <w:t>https://doi.org/10.1016/j.socscimed.2020.113326</w:t>
        </w:r>
      </w:hyperlink>
    </w:p>
    <w:p w14:paraId="5F93D89E" w14:textId="77777777" w:rsidR="00507FF7" w:rsidRPr="00507FF7" w:rsidRDefault="00507FF7" w:rsidP="00507FF7">
      <w:r w:rsidRPr="00507FF7">
        <w:t xml:space="preserve">MacMillan, M., Tarrant, M., Abraham, C., Morris, C (2014). The association between children's contact with people with disabilities and their attitudes towards disability: a systematic review </w:t>
      </w:r>
      <w:r w:rsidRPr="00507FF7">
        <w:rPr>
          <w:i/>
        </w:rPr>
        <w:t xml:space="preserve">Developmental Medicine and Child Neurology, </w:t>
      </w:r>
      <w:r w:rsidRPr="00507FF7">
        <w:t>56(6):529-46.</w:t>
      </w:r>
    </w:p>
    <w:p w14:paraId="45EA0010" w14:textId="77777777" w:rsidR="00507FF7" w:rsidRPr="00507FF7" w:rsidRDefault="00507FF7" w:rsidP="00507FF7">
      <w:r w:rsidRPr="00507FF7">
        <w:t xml:space="preserve">McManus, JL., Saucier, DA., Reid, JE (2021) A meta-analytic review of interventions to improve children’s attitudes toward their peers with intellectual disabilities, </w:t>
      </w:r>
      <w:r w:rsidRPr="00507FF7">
        <w:rPr>
          <w:i/>
        </w:rPr>
        <w:t>Contemporary Educational Psychology</w:t>
      </w:r>
      <w:r w:rsidRPr="00507FF7">
        <w:t>, 65: 1-19</w:t>
      </w:r>
    </w:p>
    <w:p w14:paraId="3D113769" w14:textId="77777777" w:rsidR="00507FF7" w:rsidRPr="00507FF7" w:rsidRDefault="00507FF7" w:rsidP="00507FF7">
      <w:r w:rsidRPr="00507FF7">
        <w:t xml:space="preserve">McManus, J. L., </w:t>
      </w:r>
      <w:proofErr w:type="spellStart"/>
      <w:r w:rsidRPr="00507FF7">
        <w:t>Feyes</w:t>
      </w:r>
      <w:proofErr w:type="spellEnd"/>
      <w:r w:rsidRPr="00507FF7">
        <w:t xml:space="preserve">, K. J., &amp; Saucier, D. A. (2011). Contact and knowledge as predictors of attitudes toward individuals with intellectual disabilities. </w:t>
      </w:r>
      <w:r w:rsidRPr="00507FF7">
        <w:rPr>
          <w:i/>
        </w:rPr>
        <w:t>Journal of Social and Personal Relationships</w:t>
      </w:r>
      <w:r w:rsidRPr="00507FF7">
        <w:t>, 28(5), 579-590.</w:t>
      </w:r>
    </w:p>
    <w:p w14:paraId="58878991" w14:textId="77777777" w:rsidR="00507FF7" w:rsidRPr="00507FF7" w:rsidRDefault="00507FF7" w:rsidP="00507FF7">
      <w:r w:rsidRPr="00507FF7">
        <w:t xml:space="preserve">Moore, D., </w:t>
      </w:r>
      <w:proofErr w:type="spellStart"/>
      <w:r w:rsidRPr="00507FF7">
        <w:t>Nettelbeck</w:t>
      </w:r>
      <w:proofErr w:type="spellEnd"/>
      <w:r w:rsidRPr="00507FF7">
        <w:t>, T (2013) Effects of short-term disability awareness training on attitudes of adolescent schoolboys toward persons with a disability, </w:t>
      </w:r>
      <w:r w:rsidRPr="00507FF7">
        <w:rPr>
          <w:i/>
        </w:rPr>
        <w:t>Journal of Intellectual &amp; Developmental Disability</w:t>
      </w:r>
      <w:r w:rsidRPr="00507FF7">
        <w:t>, 38:3, 223-231.</w:t>
      </w:r>
    </w:p>
    <w:p w14:paraId="62B55205" w14:textId="77777777" w:rsidR="00507FF7" w:rsidRPr="00507FF7" w:rsidRDefault="00507FF7" w:rsidP="00507FF7">
      <w:r w:rsidRPr="00507FF7">
        <w:t xml:space="preserve">Moss, C., </w:t>
      </w:r>
      <w:proofErr w:type="spellStart"/>
      <w:r w:rsidRPr="00507FF7">
        <w:t>Frounks</w:t>
      </w:r>
      <w:proofErr w:type="spellEnd"/>
      <w:r w:rsidRPr="00507FF7">
        <w:t xml:space="preserve">, A (2022) Attitudes and disability: The experiences of disabled people in 2022 </w:t>
      </w:r>
      <w:hyperlink r:id="rId24" w:history="1">
        <w:r w:rsidRPr="00507FF7">
          <w:rPr>
            <w:color w:val="0000FF"/>
            <w:u w:val="single"/>
          </w:rPr>
          <w:t>https://www.scope.org.uk/campaigns/research-policy/attitudes-towards-disabled-people/</w:t>
        </w:r>
      </w:hyperlink>
    </w:p>
    <w:p w14:paraId="61187B8E" w14:textId="77777777" w:rsidR="00507FF7" w:rsidRPr="00507FF7" w:rsidRDefault="00507FF7" w:rsidP="00507FF7">
      <w:proofErr w:type="spellStart"/>
      <w:r w:rsidRPr="00507FF7">
        <w:t>Murch</w:t>
      </w:r>
      <w:proofErr w:type="spellEnd"/>
      <w:r w:rsidRPr="00507FF7">
        <w:t xml:space="preserve">, AJ., Choudhury, T., Wilson, M et al (2018) Explicit and implicit attitudes towards people with intellectual disabilities: The role of contact and participant demographics. </w:t>
      </w:r>
      <w:r w:rsidRPr="00507FF7">
        <w:rPr>
          <w:i/>
        </w:rPr>
        <w:t>Journal Applied Research Intellectual Disabilities</w:t>
      </w:r>
      <w:r w:rsidRPr="00507FF7">
        <w:t>, 31: 778-784.</w:t>
      </w:r>
    </w:p>
    <w:p w14:paraId="0348EC74" w14:textId="6E0BCAED" w:rsidR="00507FF7" w:rsidRPr="00507FF7" w:rsidRDefault="00507FF7" w:rsidP="00507FF7">
      <w:r w:rsidRPr="00507FF7">
        <w:t>Office of the Public Advocate (2020) Submission to National Disability Strategy Stage 2 Public Consultation for Australia’s Disability Strategy 2021-2031</w:t>
      </w:r>
      <w:r w:rsidR="00995E75">
        <w:t>.</w:t>
      </w:r>
    </w:p>
    <w:p w14:paraId="1FA3C6E7" w14:textId="5F1F1757" w:rsidR="00507FF7" w:rsidRPr="00507FF7" w:rsidRDefault="00507FF7" w:rsidP="00507FF7">
      <w:r w:rsidRPr="00507FF7">
        <w:t>Pe</w:t>
      </w:r>
      <w:r w:rsidR="00995E75">
        <w:t xml:space="preserve">tty, RE., Fazio., RH., </w:t>
      </w:r>
      <w:proofErr w:type="spellStart"/>
      <w:r w:rsidR="00995E75">
        <w:t>Briñol</w:t>
      </w:r>
      <w:proofErr w:type="spellEnd"/>
      <w:r w:rsidR="00995E75">
        <w:t>, P,. (2008)</w:t>
      </w:r>
      <w:r w:rsidRPr="00507FF7">
        <w:t xml:space="preserve"> The New Implicit Measures: An Overview in: R. E. Petty, </w:t>
      </w:r>
      <w:r w:rsidR="00995E75">
        <w:t xml:space="preserve">R. H. Fazio, &amp; P. </w:t>
      </w:r>
      <w:proofErr w:type="spellStart"/>
      <w:r w:rsidR="00995E75">
        <w:t>Briñol</w:t>
      </w:r>
      <w:proofErr w:type="spellEnd"/>
      <w:r w:rsidR="00995E75">
        <w:t xml:space="preserve"> (Eds.)</w:t>
      </w:r>
      <w:r w:rsidRPr="00507FF7">
        <w:t xml:space="preserve">. Attitudes: Insights from the new implicit measures. New York: Psychology Press. </w:t>
      </w:r>
    </w:p>
    <w:p w14:paraId="69125E90" w14:textId="77777777" w:rsidR="00507FF7" w:rsidRPr="00507FF7" w:rsidRDefault="00507FF7" w:rsidP="00507FF7">
      <w:proofErr w:type="spellStart"/>
      <w:r w:rsidRPr="00507FF7">
        <w:t>Pelleboer</w:t>
      </w:r>
      <w:r w:rsidRPr="00507FF7">
        <w:rPr>
          <w:rFonts w:ascii="Cambria Math" w:hAnsi="Cambria Math" w:cs="Cambria Math"/>
        </w:rPr>
        <w:t>‐</w:t>
      </w:r>
      <w:r w:rsidRPr="00507FF7">
        <w:t>Gunnink</w:t>
      </w:r>
      <w:proofErr w:type="spellEnd"/>
      <w:r w:rsidRPr="00507FF7">
        <w:t xml:space="preserve">, HA., Van </w:t>
      </w:r>
      <w:proofErr w:type="spellStart"/>
      <w:r w:rsidRPr="00507FF7">
        <w:t>Oorsouw</w:t>
      </w:r>
      <w:proofErr w:type="spellEnd"/>
      <w:r w:rsidRPr="00507FF7">
        <w:t xml:space="preserve">, WMWJ., Van </w:t>
      </w:r>
      <w:proofErr w:type="spellStart"/>
      <w:r w:rsidRPr="00507FF7">
        <w:t>Weeghel</w:t>
      </w:r>
      <w:proofErr w:type="spellEnd"/>
      <w:r w:rsidRPr="00507FF7">
        <w:t xml:space="preserve">, J. </w:t>
      </w:r>
      <w:proofErr w:type="spellStart"/>
      <w:r w:rsidRPr="00507FF7">
        <w:t>Embregts</w:t>
      </w:r>
      <w:proofErr w:type="spellEnd"/>
      <w:r w:rsidRPr="00507FF7">
        <w:t xml:space="preserve">, PJCM (2017) Mainstream health professionals' stigmatising attitudes towards people with intellectual disabilities: a systematic review (1994-2016). </w:t>
      </w:r>
      <w:r w:rsidRPr="00507FF7">
        <w:rPr>
          <w:i/>
        </w:rPr>
        <w:t>Journal of Intellectual Disability Research</w:t>
      </w:r>
      <w:r w:rsidRPr="00507FF7">
        <w:t>, 61 (5), 411-434.</w:t>
      </w:r>
    </w:p>
    <w:p w14:paraId="00C2B892" w14:textId="77777777" w:rsidR="00507FF7" w:rsidRPr="00507FF7" w:rsidRDefault="00507FF7" w:rsidP="00507FF7">
      <w:proofErr w:type="spellStart"/>
      <w:r w:rsidRPr="00507FF7">
        <w:t>Pelleboer-Gunnink</w:t>
      </w:r>
      <w:proofErr w:type="spellEnd"/>
      <w:r w:rsidRPr="00507FF7">
        <w:t xml:space="preserve">, H. A., van </w:t>
      </w:r>
      <w:proofErr w:type="spellStart"/>
      <w:r w:rsidRPr="00507FF7">
        <w:t>Oorsouw</w:t>
      </w:r>
      <w:proofErr w:type="spellEnd"/>
      <w:r w:rsidRPr="00507FF7">
        <w:t xml:space="preserve">, W., van </w:t>
      </w:r>
      <w:proofErr w:type="spellStart"/>
      <w:r w:rsidRPr="00507FF7">
        <w:t>Weeghel</w:t>
      </w:r>
      <w:proofErr w:type="spellEnd"/>
      <w:r w:rsidRPr="00507FF7">
        <w:t xml:space="preserve">, J., </w:t>
      </w:r>
      <w:proofErr w:type="spellStart"/>
      <w:r w:rsidRPr="00507FF7">
        <w:t>Embregts</w:t>
      </w:r>
      <w:proofErr w:type="spellEnd"/>
      <w:r w:rsidRPr="00507FF7">
        <w:t>, P. (2021). Familiarity with people with intellectual disabilities, stigma, and the mediating role of emotions among the Dutch general public. </w:t>
      </w:r>
      <w:r w:rsidRPr="00507FF7">
        <w:rPr>
          <w:i/>
          <w:iCs/>
        </w:rPr>
        <w:t>Stigma and Health, 6</w:t>
      </w:r>
      <w:r w:rsidRPr="00507FF7">
        <w:t xml:space="preserve">(2), 173–183. </w:t>
      </w:r>
    </w:p>
    <w:p w14:paraId="492F6EFD" w14:textId="77777777" w:rsidR="00507FF7" w:rsidRPr="00507FF7" w:rsidRDefault="00507FF7" w:rsidP="00507FF7">
      <w:proofErr w:type="spellStart"/>
      <w:r w:rsidRPr="00507FF7">
        <w:t>Pelleboer-Gunnink</w:t>
      </w:r>
      <w:proofErr w:type="spellEnd"/>
      <w:r w:rsidRPr="00507FF7">
        <w:t xml:space="preserve">, HA., Van </w:t>
      </w:r>
      <w:proofErr w:type="spellStart"/>
      <w:r w:rsidRPr="00507FF7">
        <w:t>Oorsouw</w:t>
      </w:r>
      <w:proofErr w:type="spellEnd"/>
      <w:r w:rsidRPr="00507FF7">
        <w:t xml:space="preserve">, </w:t>
      </w:r>
      <w:proofErr w:type="spellStart"/>
      <w:r w:rsidRPr="00507FF7">
        <w:t>Wietske</w:t>
      </w:r>
      <w:proofErr w:type="spellEnd"/>
      <w:r w:rsidRPr="00507FF7">
        <w:t xml:space="preserve"> MWJ., et al. (2021) Stigma research in the field of intellectual disabilities: a scoping review on the perspective of care providers,  </w:t>
      </w:r>
      <w:r w:rsidRPr="00507FF7">
        <w:rPr>
          <w:i/>
        </w:rPr>
        <w:t>International Journal of Developmental Disabilities</w:t>
      </w:r>
      <w:r w:rsidRPr="00507FF7">
        <w:t xml:space="preserve">, 67 (3): 168-187. </w:t>
      </w:r>
    </w:p>
    <w:p w14:paraId="3BC1B15C" w14:textId="644849C0" w:rsidR="00507FF7" w:rsidRPr="00507FF7" w:rsidRDefault="00507FF7" w:rsidP="00507FF7">
      <w:r w:rsidRPr="00507FF7">
        <w:t xml:space="preserve">Pettigrew, T.F., </w:t>
      </w:r>
      <w:proofErr w:type="spellStart"/>
      <w:r w:rsidRPr="00507FF7">
        <w:t>Tropp</w:t>
      </w:r>
      <w:proofErr w:type="spellEnd"/>
      <w:r w:rsidRPr="00507FF7">
        <w:t xml:space="preserve">, L.R. (2000) Does intergroup contact reduce prejudice? Recent meta-analytic findings In S. </w:t>
      </w:r>
      <w:proofErr w:type="spellStart"/>
      <w:r w:rsidRPr="00507FF7">
        <w:t>Oskamp</w:t>
      </w:r>
      <w:proofErr w:type="spellEnd"/>
      <w:r w:rsidRPr="00507FF7">
        <w:t xml:space="preserve"> (Ed.) Reducing prejudice and discrimination ‘The Claremont Symposium on</w:t>
      </w:r>
      <w:r w:rsidR="00995E75">
        <w:t xml:space="preserve"> Applied Social Psychology’, </w:t>
      </w:r>
      <w:r w:rsidRPr="00507FF7">
        <w:t>93-114</w:t>
      </w:r>
      <w:r w:rsidR="00995E75">
        <w:t>.</w:t>
      </w:r>
      <w:r w:rsidRPr="00507FF7">
        <w:t xml:space="preserve"> </w:t>
      </w:r>
    </w:p>
    <w:p w14:paraId="603B9D15" w14:textId="7BB9E0CD" w:rsidR="00507FF7" w:rsidRPr="00507FF7" w:rsidRDefault="00507FF7" w:rsidP="00507FF7">
      <w:r w:rsidRPr="00507FF7">
        <w:t xml:space="preserve">Pettigrew, TF., </w:t>
      </w:r>
      <w:proofErr w:type="spellStart"/>
      <w:r w:rsidRPr="00507FF7">
        <w:t>Tropp</w:t>
      </w:r>
      <w:proofErr w:type="spellEnd"/>
      <w:r w:rsidRPr="00507FF7">
        <w:t xml:space="preserve">, LR. (2005) </w:t>
      </w:r>
      <w:proofErr w:type="spellStart"/>
      <w:r w:rsidRPr="00507FF7">
        <w:t>Allport’s</w:t>
      </w:r>
      <w:proofErr w:type="spellEnd"/>
      <w:r w:rsidRPr="00507FF7">
        <w:t xml:space="preserve"> intergroup contact hypothesis: Its history and influence. In J. F. Dovidio, P. Glick, &amp; L. P. Rudman (Eds.), Reflecting on the nature of prejudice</w:t>
      </w:r>
      <w:r w:rsidR="00854E0E">
        <w:t xml:space="preserve"> (Oxford, U.K.: Blackwell),</w:t>
      </w:r>
      <w:r w:rsidRPr="00507FF7">
        <w:t xml:space="preserve"> 263-277.</w:t>
      </w:r>
    </w:p>
    <w:p w14:paraId="6A060EE9" w14:textId="34645871" w:rsidR="00507FF7" w:rsidRDefault="00507FF7" w:rsidP="00507FF7">
      <w:r w:rsidRPr="00507FF7">
        <w:t xml:space="preserve">Pettigrew TF, </w:t>
      </w:r>
      <w:proofErr w:type="spellStart"/>
      <w:r w:rsidRPr="00507FF7">
        <w:t>Tropp</w:t>
      </w:r>
      <w:proofErr w:type="spellEnd"/>
      <w:r w:rsidRPr="00507FF7">
        <w:t xml:space="preserve"> LR (2006). A meta-analytic test of intergroup contact theory. </w:t>
      </w:r>
      <w:r w:rsidRPr="00507FF7">
        <w:rPr>
          <w:i/>
        </w:rPr>
        <w:t>J</w:t>
      </w:r>
      <w:r w:rsidR="00854E0E">
        <w:rPr>
          <w:i/>
        </w:rPr>
        <w:t>ournal</w:t>
      </w:r>
      <w:r w:rsidRPr="00507FF7">
        <w:rPr>
          <w:i/>
        </w:rPr>
        <w:t xml:space="preserve"> Pers</w:t>
      </w:r>
      <w:r w:rsidR="00854E0E">
        <w:rPr>
          <w:i/>
        </w:rPr>
        <w:t>onality</w:t>
      </w:r>
      <w:r w:rsidRPr="00507FF7">
        <w:rPr>
          <w:i/>
        </w:rPr>
        <w:t xml:space="preserve"> </w:t>
      </w:r>
      <w:r w:rsidR="00854E0E">
        <w:rPr>
          <w:i/>
        </w:rPr>
        <w:t xml:space="preserve">and </w:t>
      </w:r>
      <w:r w:rsidRPr="00507FF7">
        <w:rPr>
          <w:i/>
        </w:rPr>
        <w:t>Soc</w:t>
      </w:r>
      <w:r w:rsidR="00854E0E">
        <w:rPr>
          <w:i/>
        </w:rPr>
        <w:t>ial</w:t>
      </w:r>
      <w:r w:rsidRPr="00507FF7">
        <w:rPr>
          <w:i/>
        </w:rPr>
        <w:t xml:space="preserve"> Psychol</w:t>
      </w:r>
      <w:r w:rsidR="00854E0E">
        <w:rPr>
          <w:i/>
        </w:rPr>
        <w:t>ogy</w:t>
      </w:r>
      <w:r w:rsidR="00854E0E">
        <w:t xml:space="preserve">. 90(5), </w:t>
      </w:r>
      <w:r w:rsidRPr="00507FF7">
        <w:t>751-83</w:t>
      </w:r>
      <w:r w:rsidR="00854E0E">
        <w:t>.</w:t>
      </w:r>
    </w:p>
    <w:p w14:paraId="0576EA26" w14:textId="658F6F68" w:rsidR="00507FF7" w:rsidRPr="00507FF7" w:rsidRDefault="00507FF7" w:rsidP="00507FF7">
      <w:r w:rsidRPr="00507FF7">
        <w:t xml:space="preserve">Pettigrew TF, </w:t>
      </w:r>
      <w:proofErr w:type="spellStart"/>
      <w:r w:rsidRPr="00507FF7">
        <w:t>Tropp</w:t>
      </w:r>
      <w:proofErr w:type="spellEnd"/>
      <w:r w:rsidRPr="00507FF7">
        <w:t xml:space="preserve"> LR (2008). How does intergroup contact reduce prejudice? Meta-analytic tests of three mediators. </w:t>
      </w:r>
      <w:r w:rsidR="002E3DFA">
        <w:rPr>
          <w:i/>
        </w:rPr>
        <w:t xml:space="preserve">European Journal Social </w:t>
      </w:r>
      <w:r w:rsidRPr="00507FF7">
        <w:rPr>
          <w:i/>
        </w:rPr>
        <w:t>Psychol</w:t>
      </w:r>
      <w:r w:rsidR="002E3DFA">
        <w:rPr>
          <w:i/>
        </w:rPr>
        <w:t>ogy,</w:t>
      </w:r>
      <w:r w:rsidRPr="00507FF7">
        <w:t xml:space="preserve"> 38, 922–934</w:t>
      </w:r>
      <w:r w:rsidR="002E3DFA">
        <w:t>.</w:t>
      </w:r>
    </w:p>
    <w:p w14:paraId="3E015DB1" w14:textId="77777777" w:rsidR="00507FF7" w:rsidRPr="00507FF7" w:rsidRDefault="00507FF7" w:rsidP="00507FF7">
      <w:proofErr w:type="spellStart"/>
      <w:r w:rsidRPr="00507FF7">
        <w:t>Petry</w:t>
      </w:r>
      <w:proofErr w:type="spellEnd"/>
      <w:r w:rsidRPr="00507FF7">
        <w:t xml:space="preserve">, K. (2018). The Relationship Between Class Attitudes Towards Peers with a Disability and Peer Acceptance, Friendship and Peer Interactions of Students with a Disability in Regular Secondary Schools. </w:t>
      </w:r>
      <w:r w:rsidRPr="00507FF7">
        <w:rPr>
          <w:i/>
        </w:rPr>
        <w:t>European Journal of Special Needs Education</w:t>
      </w:r>
      <w:r w:rsidRPr="00507FF7">
        <w:t xml:space="preserve"> 33 (2): 254–268 as cited by Freer, JRR. (2021). Students’ attitudes toward disability: a systematic literature review (2012–2019), </w:t>
      </w:r>
      <w:r w:rsidRPr="00507FF7">
        <w:rPr>
          <w:i/>
        </w:rPr>
        <w:t xml:space="preserve">International Journal of Inclusive Education, </w:t>
      </w:r>
      <w:r w:rsidRPr="00507FF7">
        <w:t>1-19.</w:t>
      </w:r>
    </w:p>
    <w:p w14:paraId="55741761" w14:textId="4A5FCAE0" w:rsidR="00507FF7" w:rsidRPr="00507FF7" w:rsidRDefault="002E3DFA" w:rsidP="00507FF7">
      <w:pPr>
        <w:rPr>
          <w:bCs/>
        </w:rPr>
      </w:pPr>
      <w:r w:rsidRPr="002E3DFA">
        <w:rPr>
          <w:bCs/>
        </w:rPr>
        <w:t xml:space="preserve">Reina, R., </w:t>
      </w:r>
      <w:proofErr w:type="spellStart"/>
      <w:r w:rsidRPr="002E3DFA">
        <w:rPr>
          <w:bCs/>
        </w:rPr>
        <w:t>Haegele</w:t>
      </w:r>
      <w:proofErr w:type="spellEnd"/>
      <w:r w:rsidRPr="002E3DFA">
        <w:rPr>
          <w:bCs/>
        </w:rPr>
        <w:t>, J.A., Pérez-</w:t>
      </w:r>
      <w:proofErr w:type="spellStart"/>
      <w:r w:rsidRPr="002E3DFA">
        <w:rPr>
          <w:bCs/>
        </w:rPr>
        <w:t>Torralba</w:t>
      </w:r>
      <w:proofErr w:type="spellEnd"/>
      <w:r w:rsidRPr="002E3DFA">
        <w:rPr>
          <w:bCs/>
        </w:rPr>
        <w:t xml:space="preserve">, A., </w:t>
      </w:r>
      <w:proofErr w:type="spellStart"/>
      <w:r w:rsidRPr="002E3DFA">
        <w:rPr>
          <w:bCs/>
        </w:rPr>
        <w:t>Carbonell</w:t>
      </w:r>
      <w:proofErr w:type="spellEnd"/>
      <w:r w:rsidRPr="002E3DFA">
        <w:rPr>
          <w:bCs/>
        </w:rPr>
        <w:t xml:space="preserve">-Hernández, L. and Roldan, A., </w:t>
      </w:r>
      <w:r>
        <w:rPr>
          <w:bCs/>
        </w:rPr>
        <w:t>(</w:t>
      </w:r>
      <w:r w:rsidRPr="002E3DFA">
        <w:rPr>
          <w:bCs/>
        </w:rPr>
        <w:t>2021</w:t>
      </w:r>
      <w:r>
        <w:rPr>
          <w:bCs/>
        </w:rPr>
        <w:t>)</w:t>
      </w:r>
      <w:r w:rsidRPr="002E3DFA">
        <w:rPr>
          <w:bCs/>
        </w:rPr>
        <w:t>. The influence of a teacher-designed and-implemented disability awareness programme on the attitudes of students toward inclusion. </w:t>
      </w:r>
      <w:r w:rsidRPr="002E3DFA">
        <w:rPr>
          <w:bCs/>
          <w:i/>
          <w:iCs/>
        </w:rPr>
        <w:t>European Physical Education Review</w:t>
      </w:r>
      <w:r w:rsidRPr="002E3DFA">
        <w:rPr>
          <w:bCs/>
        </w:rPr>
        <w:t>, </w:t>
      </w:r>
      <w:r w:rsidRPr="002E3DFA">
        <w:rPr>
          <w:bCs/>
          <w:i/>
          <w:iCs/>
        </w:rPr>
        <w:t>27</w:t>
      </w:r>
      <w:r>
        <w:rPr>
          <w:bCs/>
        </w:rPr>
        <w:t xml:space="preserve">(4), </w:t>
      </w:r>
      <w:r w:rsidRPr="002E3DFA">
        <w:rPr>
          <w:bCs/>
        </w:rPr>
        <w:t>837-853.</w:t>
      </w:r>
    </w:p>
    <w:p w14:paraId="424E2032" w14:textId="18D4E5D0" w:rsidR="00AA55CF" w:rsidRPr="00507FF7" w:rsidRDefault="00507FF7" w:rsidP="00507FF7">
      <w:proofErr w:type="spellStart"/>
      <w:r w:rsidRPr="00507FF7">
        <w:t>Sawrikar</w:t>
      </w:r>
      <w:proofErr w:type="spellEnd"/>
      <w:r w:rsidRPr="00507FF7">
        <w:t>, P., Katz, I. (2008). Enhancing Family and Relationship Service Accessibility and Delivery to Culturally an</w:t>
      </w:r>
      <w:r w:rsidR="0083169C">
        <w:t xml:space="preserve">d Linguistically Diverse </w:t>
      </w:r>
      <w:r w:rsidRPr="00507FF7">
        <w:t>Families in Australia, Melbourne: Australian Family Relationships Clearinghouse</w:t>
      </w:r>
      <w:r w:rsidR="00AA55CF">
        <w:t xml:space="preserve"> (AFRC)</w:t>
      </w:r>
      <w:r w:rsidRPr="00507FF7">
        <w:t xml:space="preserve">, </w:t>
      </w:r>
      <w:r w:rsidR="00AA55CF">
        <w:t xml:space="preserve">Issue no. </w:t>
      </w:r>
      <w:r w:rsidRPr="00507FF7">
        <w:t>3</w:t>
      </w:r>
      <w:r w:rsidR="00AA55CF">
        <w:t>, 2008</w:t>
      </w:r>
      <w:r w:rsidRPr="00507FF7">
        <w:t xml:space="preserve">  </w:t>
      </w:r>
      <w:hyperlink r:id="rId25" w:history="1">
        <w:r w:rsidR="00AA55CF" w:rsidRPr="00D5585B">
          <w:rPr>
            <w:rStyle w:val="Hyperlink"/>
          </w:rPr>
          <w:t>https://aifs.gov.au/sites/default/files/publication-documents/issues3_0.pdf</w:t>
        </w:r>
      </w:hyperlink>
    </w:p>
    <w:p w14:paraId="7F14660C" w14:textId="2D564AC3" w:rsidR="00507FF7" w:rsidRPr="00507FF7" w:rsidRDefault="0083169C" w:rsidP="00507FF7">
      <w:r>
        <w:t>Schwa</w:t>
      </w:r>
      <w:r w:rsidR="00AA55CF">
        <w:t xml:space="preserve">b, S. (2017) The </w:t>
      </w:r>
      <w:r w:rsidRPr="0083169C">
        <w:t xml:space="preserve">impact of contact on students' attitudes towards peers with disabilities. </w:t>
      </w:r>
      <w:r w:rsidRPr="00507FF7">
        <w:rPr>
          <w:i/>
        </w:rPr>
        <w:t>Research in Developmental Disabilities</w:t>
      </w:r>
      <w:r>
        <w:rPr>
          <w:i/>
        </w:rPr>
        <w:t>,</w:t>
      </w:r>
      <w:r>
        <w:t xml:space="preserve"> 62,</w:t>
      </w:r>
      <w:r w:rsidRPr="00507FF7">
        <w:t xml:space="preserve"> 160–165</w:t>
      </w:r>
      <w:r w:rsidRPr="0083169C">
        <w:t>.</w:t>
      </w:r>
    </w:p>
    <w:p w14:paraId="4C9BE93F" w14:textId="77777777" w:rsidR="00507FF7" w:rsidRPr="00507FF7" w:rsidRDefault="00507FF7" w:rsidP="00507FF7">
      <w:proofErr w:type="spellStart"/>
      <w:r w:rsidRPr="00507FF7">
        <w:t>Scior</w:t>
      </w:r>
      <w:proofErr w:type="spellEnd"/>
      <w:r w:rsidRPr="00507FF7">
        <w:t xml:space="preserve">, K (2011) Public awareness, attitudes and beliefs regarding intellectual disability. A systematic review. </w:t>
      </w:r>
      <w:r w:rsidRPr="00507FF7">
        <w:rPr>
          <w:i/>
        </w:rPr>
        <w:t>Research in Developmental Disabilities</w:t>
      </w:r>
      <w:r w:rsidRPr="00507FF7">
        <w:t xml:space="preserve">, 32(6), 2164-2182. </w:t>
      </w:r>
    </w:p>
    <w:p w14:paraId="144FFEB7" w14:textId="53AEDD8F" w:rsidR="00507FF7" w:rsidRPr="00507FF7" w:rsidRDefault="00507FF7" w:rsidP="00507FF7">
      <w:proofErr w:type="spellStart"/>
      <w:r w:rsidRPr="00507FF7">
        <w:t>Scior</w:t>
      </w:r>
      <w:proofErr w:type="spellEnd"/>
      <w:r w:rsidRPr="00507FF7">
        <w:t xml:space="preserve"> K. (2011) Public awareness, attitudes and beliefs regarding intellectual disability: a systematic review. </w:t>
      </w:r>
      <w:r w:rsidRPr="00507FF7">
        <w:rPr>
          <w:i/>
        </w:rPr>
        <w:t xml:space="preserve">Res </w:t>
      </w:r>
      <w:r w:rsidR="0083169C">
        <w:rPr>
          <w:i/>
        </w:rPr>
        <w:t xml:space="preserve">in </w:t>
      </w:r>
      <w:r w:rsidRPr="00507FF7">
        <w:rPr>
          <w:i/>
        </w:rPr>
        <w:t>Dev</w:t>
      </w:r>
      <w:r w:rsidR="0083169C">
        <w:rPr>
          <w:i/>
        </w:rPr>
        <w:t>elopmental</w:t>
      </w:r>
      <w:r w:rsidRPr="00507FF7">
        <w:rPr>
          <w:i/>
        </w:rPr>
        <w:t xml:space="preserve"> Disabil</w:t>
      </w:r>
      <w:r w:rsidR="0083169C">
        <w:rPr>
          <w:i/>
        </w:rPr>
        <w:t>ities</w:t>
      </w:r>
      <w:r w:rsidR="0083169C">
        <w:t xml:space="preserve">, 32(6), </w:t>
      </w:r>
      <w:r w:rsidRPr="00507FF7">
        <w:t>2164–82</w:t>
      </w:r>
      <w:r w:rsidR="0083169C">
        <w:t>.</w:t>
      </w:r>
      <w:r w:rsidRPr="00507FF7">
        <w:t xml:space="preserve"> </w:t>
      </w:r>
    </w:p>
    <w:p w14:paraId="5BEB6A60" w14:textId="77777777" w:rsidR="00507FF7" w:rsidRPr="00507FF7" w:rsidRDefault="00507FF7" w:rsidP="00507FF7">
      <w:proofErr w:type="spellStart"/>
      <w:r w:rsidRPr="00507FF7">
        <w:t>Scior</w:t>
      </w:r>
      <w:proofErr w:type="spellEnd"/>
      <w:r w:rsidRPr="00507FF7">
        <w:t xml:space="preserve">, K., Werner, S (2015) Changing attitudes to learning disability: a review of the evidence </w:t>
      </w:r>
      <w:hyperlink r:id="rId26" w:history="1">
        <w:r w:rsidRPr="00507FF7">
          <w:rPr>
            <w:color w:val="0000FF"/>
            <w:u w:val="single"/>
          </w:rPr>
          <w:t>https://www.mencap.org.uk/sites/default/files/2016-08/Attitudes_Changing_Report.pdf</w:t>
        </w:r>
      </w:hyperlink>
    </w:p>
    <w:p w14:paraId="715CD20B" w14:textId="5B0EBC05" w:rsidR="00507FF7" w:rsidRPr="00507FF7" w:rsidRDefault="00507FF7" w:rsidP="00507FF7">
      <w:proofErr w:type="spellStart"/>
      <w:r w:rsidRPr="00507FF7">
        <w:t>Seewooruttun</w:t>
      </w:r>
      <w:proofErr w:type="spellEnd"/>
      <w:r w:rsidRPr="00507FF7">
        <w:t xml:space="preserve">, L., </w:t>
      </w:r>
      <w:proofErr w:type="spellStart"/>
      <w:r w:rsidRPr="00507FF7">
        <w:t>Scior</w:t>
      </w:r>
      <w:proofErr w:type="spellEnd"/>
      <w:r w:rsidRPr="00507FF7">
        <w:t xml:space="preserve">, K (2014) </w:t>
      </w:r>
      <w:r w:rsidRPr="00507FF7">
        <w:rPr>
          <w:bCs/>
        </w:rPr>
        <w:t xml:space="preserve">Interventions aimed at increasing knowledge and improving attitudes towards people with intellectual disabilities among lay people, </w:t>
      </w:r>
      <w:r w:rsidRPr="00507FF7">
        <w:rPr>
          <w:i/>
        </w:rPr>
        <w:t>Research In Developmental Disabilities</w:t>
      </w:r>
      <w:r w:rsidR="0083169C">
        <w:t>, 35 (12)</w:t>
      </w:r>
      <w:r w:rsidRPr="00507FF7">
        <w:t>, 3482-3495</w:t>
      </w:r>
      <w:r w:rsidR="0083169C">
        <w:t>.</w:t>
      </w:r>
      <w:r w:rsidRPr="00507FF7">
        <w:t xml:space="preserve"> </w:t>
      </w:r>
    </w:p>
    <w:p w14:paraId="10F2E2CA" w14:textId="3A4D3D52" w:rsidR="00507FF7" w:rsidRPr="00507FF7" w:rsidRDefault="00507FF7" w:rsidP="00507FF7">
      <w:r w:rsidRPr="00507FF7">
        <w:t xml:space="preserve">Sharma, U., </w:t>
      </w:r>
      <w:proofErr w:type="spellStart"/>
      <w:r w:rsidRPr="00507FF7">
        <w:t>Forlin</w:t>
      </w:r>
      <w:proofErr w:type="spellEnd"/>
      <w:r w:rsidRPr="00507FF7">
        <w:t xml:space="preserve">, C., </w:t>
      </w:r>
      <w:proofErr w:type="spellStart"/>
      <w:r w:rsidRPr="00507FF7">
        <w:t>Loreman</w:t>
      </w:r>
      <w:proofErr w:type="spellEnd"/>
      <w:r w:rsidRPr="00507FF7">
        <w:t>, T. (2008) Impact of training on pre</w:t>
      </w:r>
      <w:r w:rsidRPr="00507FF7">
        <w:rPr>
          <w:rFonts w:ascii="Cambria Math" w:hAnsi="Cambria Math" w:cs="Cambria Math"/>
        </w:rPr>
        <w:t>‐</w:t>
      </w:r>
      <w:r w:rsidRPr="00507FF7">
        <w:t>service teachers' attitudes and concerns about inclusive education and sentiments about persons with disabilities</w:t>
      </w:r>
      <w:r w:rsidR="00166936">
        <w:rPr>
          <w:i/>
        </w:rPr>
        <w:t xml:space="preserve">, Disability and </w:t>
      </w:r>
      <w:r w:rsidRPr="00507FF7">
        <w:rPr>
          <w:i/>
        </w:rPr>
        <w:t>Society</w:t>
      </w:r>
      <w:r w:rsidR="00166936">
        <w:t xml:space="preserve">, 23, </w:t>
      </w:r>
      <w:r w:rsidRPr="00507FF7">
        <w:t>7, 773-785</w:t>
      </w:r>
      <w:r w:rsidR="00166936">
        <w:t>.</w:t>
      </w:r>
    </w:p>
    <w:p w14:paraId="1420D225" w14:textId="29B75492" w:rsidR="00166936" w:rsidRPr="00166936" w:rsidRDefault="00507FF7" w:rsidP="00507FF7">
      <w:r w:rsidRPr="00507FF7">
        <w:t xml:space="preserve">Slater P, </w:t>
      </w:r>
      <w:proofErr w:type="spellStart"/>
      <w:r w:rsidRPr="00507FF7">
        <w:t>McConkey</w:t>
      </w:r>
      <w:proofErr w:type="spellEnd"/>
      <w:r w:rsidRPr="00507FF7">
        <w:t xml:space="preserve"> R, Smith A, Dubois L, </w:t>
      </w:r>
      <w:proofErr w:type="spellStart"/>
      <w:r w:rsidRPr="00507FF7">
        <w:t>Shellard</w:t>
      </w:r>
      <w:proofErr w:type="spellEnd"/>
      <w:r w:rsidRPr="00507FF7">
        <w:t xml:space="preserve"> A. (2020) Public attitudes to the rights and community inclusion of people with intellectual disabilities: A transnational study. </w:t>
      </w:r>
      <w:r w:rsidR="00166936">
        <w:rPr>
          <w:i/>
        </w:rPr>
        <w:t xml:space="preserve">Research in </w:t>
      </w:r>
      <w:r w:rsidRPr="00507FF7">
        <w:rPr>
          <w:i/>
        </w:rPr>
        <w:t>Dev</w:t>
      </w:r>
      <w:r w:rsidR="00166936">
        <w:rPr>
          <w:i/>
        </w:rPr>
        <w:t>elopmental Disabilities,</w:t>
      </w:r>
      <w:r w:rsidR="00166936" w:rsidRPr="00166936">
        <w:t>105, 1-1</w:t>
      </w:r>
      <w:r w:rsidR="00166936">
        <w:t>0.</w:t>
      </w:r>
      <w:r w:rsidR="0015604E" w:rsidRPr="00166936">
        <w:t xml:space="preserve"> </w:t>
      </w:r>
    </w:p>
    <w:p w14:paraId="19B9C17E" w14:textId="0134A884" w:rsidR="00507FF7" w:rsidRPr="00507FF7" w:rsidRDefault="00507FF7" w:rsidP="00507FF7">
      <w:proofErr w:type="spellStart"/>
      <w:r w:rsidRPr="00507FF7">
        <w:t>Smythe</w:t>
      </w:r>
      <w:proofErr w:type="spellEnd"/>
      <w:r w:rsidRPr="00507FF7">
        <w:t xml:space="preserve"> T, Adelson JD, Polack S. (2020) Systematic review of interventions for reducing stigma experienced by children with disabilities and their families in low- and middle-income countries: state of the evidence. </w:t>
      </w:r>
      <w:r w:rsidR="0015604E">
        <w:rPr>
          <w:i/>
        </w:rPr>
        <w:t>Tropical Medicine and</w:t>
      </w:r>
      <w:r w:rsidRPr="00507FF7">
        <w:rPr>
          <w:i/>
        </w:rPr>
        <w:t xml:space="preserve"> International Health</w:t>
      </w:r>
      <w:r w:rsidR="0015604E">
        <w:t xml:space="preserve">: 25(5), </w:t>
      </w:r>
      <w:r w:rsidRPr="00507FF7">
        <w:t>508-524.</w:t>
      </w:r>
    </w:p>
    <w:p w14:paraId="65442E22" w14:textId="46D5A220" w:rsidR="0015604E" w:rsidRPr="00507FF7" w:rsidRDefault="00507FF7" w:rsidP="00507FF7">
      <w:r w:rsidRPr="00507FF7">
        <w:t xml:space="preserve">Special Olympics (2018) Attitudes Research </w:t>
      </w:r>
      <w:hyperlink r:id="rId27" w:history="1">
        <w:r w:rsidR="0015604E" w:rsidRPr="00D5585B">
          <w:rPr>
            <w:rStyle w:val="Hyperlink"/>
          </w:rPr>
          <w:t>https://media.specialolympics.org/resources/research/attitudes/SO-Research-Overview-Attitudes-06-2018.pdf</w:t>
        </w:r>
      </w:hyperlink>
    </w:p>
    <w:p w14:paraId="7AB85648" w14:textId="674A59EB" w:rsidR="00507FF7" w:rsidRPr="00507FF7" w:rsidRDefault="00507FF7" w:rsidP="00507FF7">
      <w:proofErr w:type="spellStart"/>
      <w:r w:rsidRPr="00507FF7">
        <w:t>Thaler</w:t>
      </w:r>
      <w:proofErr w:type="spellEnd"/>
      <w:r w:rsidRPr="00507FF7">
        <w:t xml:space="preserve">, RH., </w:t>
      </w:r>
      <w:proofErr w:type="spellStart"/>
      <w:r w:rsidRPr="00507FF7">
        <w:t>Sunstein</w:t>
      </w:r>
      <w:proofErr w:type="spellEnd"/>
      <w:r w:rsidRPr="00507FF7">
        <w:t>, CR. (2008). Nudge: Improving decisions about health, wealth, and happiness. New Haven, CT: Yale University Press</w:t>
      </w:r>
      <w:r w:rsidR="0015604E">
        <w:t>.</w:t>
      </w:r>
    </w:p>
    <w:p w14:paraId="6032B76D" w14:textId="2E002410" w:rsidR="00BD0A1D" w:rsidRDefault="00507FF7" w:rsidP="00507FF7">
      <w:r w:rsidRPr="00507FF7">
        <w:t xml:space="preserve">Thomas, A. (2000) Stability of </w:t>
      </w:r>
      <w:proofErr w:type="spellStart"/>
      <w:r w:rsidRPr="00507FF7">
        <w:t>Tringo's</w:t>
      </w:r>
      <w:proofErr w:type="spellEnd"/>
      <w:r w:rsidRPr="00507FF7">
        <w:t xml:space="preserve"> hierarchy of preference toward disability groups: 30 years later, </w:t>
      </w:r>
      <w:r w:rsidRPr="00507FF7">
        <w:rPr>
          <w:i/>
        </w:rPr>
        <w:t>Psychological Reports</w:t>
      </w:r>
      <w:r w:rsidRPr="00507FF7">
        <w:t>, 86, 1155-1156</w:t>
      </w:r>
      <w:r w:rsidR="0015604E">
        <w:t>.</w:t>
      </w:r>
      <w:r w:rsidRPr="00507FF7">
        <w:t xml:space="preserve"> </w:t>
      </w:r>
    </w:p>
    <w:p w14:paraId="0CD2FFF8" w14:textId="03809E95" w:rsidR="00507FF7" w:rsidRPr="00507FF7" w:rsidRDefault="00507FF7" w:rsidP="00507FF7">
      <w:proofErr w:type="spellStart"/>
      <w:r w:rsidRPr="00507FF7">
        <w:t>Tringo</w:t>
      </w:r>
      <w:proofErr w:type="spellEnd"/>
      <w:r w:rsidRPr="00507FF7">
        <w:t>, J. (1970). The hierarchy of preference toward disability groups</w:t>
      </w:r>
      <w:r w:rsidRPr="00507FF7">
        <w:rPr>
          <w:i/>
        </w:rPr>
        <w:t>. Journal of Special Education</w:t>
      </w:r>
      <w:r w:rsidR="00BD0A1D">
        <w:t>, 4, 295-305</w:t>
      </w:r>
      <w:r w:rsidR="0015604E">
        <w:t>.</w:t>
      </w:r>
    </w:p>
    <w:p w14:paraId="7E8A9539" w14:textId="0E4DC9BC" w:rsidR="00507FF7" w:rsidRDefault="00507FF7" w:rsidP="00507FF7">
      <w:pPr>
        <w:rPr>
          <w:color w:val="0000FF"/>
          <w:u w:val="single"/>
        </w:rPr>
      </w:pPr>
      <w:r w:rsidRPr="00507FF7">
        <w:t xml:space="preserve">Thompson, D., Fisher, KR., </w:t>
      </w:r>
      <w:proofErr w:type="spellStart"/>
      <w:r w:rsidRPr="00507FF7">
        <w:t>Purcal</w:t>
      </w:r>
      <w:proofErr w:type="spellEnd"/>
      <w:r w:rsidRPr="00507FF7">
        <w:t>, C</w:t>
      </w:r>
      <w:r w:rsidR="00E207EA">
        <w:t xml:space="preserve">., </w:t>
      </w:r>
      <w:r w:rsidR="00E207EA" w:rsidRPr="00E207EA">
        <w:t>Deeming</w:t>
      </w:r>
      <w:r w:rsidR="00E207EA">
        <w:t xml:space="preserve">, C., </w:t>
      </w:r>
      <w:proofErr w:type="spellStart"/>
      <w:r w:rsidR="00E207EA" w:rsidRPr="00E207EA">
        <w:t>Sawrikar</w:t>
      </w:r>
      <w:proofErr w:type="spellEnd"/>
      <w:r w:rsidR="00E207EA">
        <w:t>, P.</w:t>
      </w:r>
      <w:r w:rsidRPr="00507FF7">
        <w:t>(2011) Community attitudes to people with disability: scoping projec</w:t>
      </w:r>
      <w:r w:rsidR="0015604E">
        <w:t>t. SPRC Occasional Paper No. 39</w:t>
      </w:r>
      <w:r w:rsidRPr="00507FF7">
        <w:t xml:space="preserve"> </w:t>
      </w:r>
      <w:hyperlink r:id="rId28" w:history="1">
        <w:r w:rsidRPr="00507FF7">
          <w:rPr>
            <w:color w:val="0000FF"/>
            <w:u w:val="single"/>
          </w:rPr>
          <w:t>https://www.dss.gov.au/sites/default/files/documents/05_2012/39_community_attitudes_to_disability_accessible.pdf</w:t>
        </w:r>
      </w:hyperlink>
    </w:p>
    <w:p w14:paraId="1B3EFFAD" w14:textId="30871634" w:rsidR="00CE147C" w:rsidRDefault="00F600FC" w:rsidP="00507FF7">
      <w:r>
        <w:t>United Nations (</w:t>
      </w:r>
      <w:r w:rsidR="00CE147C" w:rsidRPr="00CE147C">
        <w:t>UN</w:t>
      </w:r>
      <w:r>
        <w:t>)</w:t>
      </w:r>
      <w:r w:rsidR="00593BAD">
        <w:t>, 2022,</w:t>
      </w:r>
      <w:r w:rsidR="00CE147C" w:rsidRPr="00CE147C">
        <w:t xml:space="preserve"> Department of Economic and Social Affairs Disability </w:t>
      </w:r>
      <w:hyperlink r:id="rId29" w:history="1">
        <w:r w:rsidR="008539AD" w:rsidRPr="00D5585B">
          <w:rPr>
            <w:rStyle w:val="Hyperlink"/>
          </w:rPr>
          <w:t>https://www.un.org/development/desa/disabilities/convention-on-the-rights-of-persons-with-disabilities.html</w:t>
        </w:r>
      </w:hyperlink>
    </w:p>
    <w:p w14:paraId="636F8D7B" w14:textId="3B3E3F59" w:rsidR="008539AD" w:rsidRDefault="008539AD" w:rsidP="008539AD">
      <w:r>
        <w:t>U</w:t>
      </w:r>
      <w:r w:rsidR="00F600FC">
        <w:t>nited Nations (U</w:t>
      </w:r>
      <w:r>
        <w:t>N</w:t>
      </w:r>
      <w:r w:rsidR="00F600FC">
        <w:t>)</w:t>
      </w:r>
      <w:r w:rsidR="00593BAD">
        <w:t>, 2021,</w:t>
      </w:r>
      <w:r w:rsidRPr="008539AD">
        <w:t xml:space="preserve"> Disability Inclusion Strategy Guidelines: Indicator 5: Consulting Persons with Disabilities </w:t>
      </w:r>
      <w:hyperlink r:id="rId30" w:history="1">
        <w:r w:rsidRPr="00D5585B">
          <w:rPr>
            <w:rStyle w:val="Hyperlink"/>
          </w:rPr>
          <w:t>https://www.un.org/sites/un2.un.org/files/un_disability-inclusive_consultation_guidelines.pdf</w:t>
        </w:r>
      </w:hyperlink>
    </w:p>
    <w:p w14:paraId="1603A5E7" w14:textId="01440105" w:rsidR="00593BAD" w:rsidRDefault="00593BAD" w:rsidP="008539AD">
      <w:r>
        <w:t xml:space="preserve">United Nations (UN), 2020, </w:t>
      </w:r>
      <w:r w:rsidRPr="00593BAD">
        <w:t>Awareness-raising under article 8 of the Convention on the Rights of Persons with Disabilities Report of the Office of the United Nations High Commissioner for Human Rights</w:t>
      </w:r>
      <w:r w:rsidR="00C479D8">
        <w:t xml:space="preserve"> </w:t>
      </w:r>
      <w:hyperlink r:id="rId31" w:history="1">
        <w:r w:rsidRPr="00D5585B">
          <w:rPr>
            <w:rStyle w:val="Hyperlink"/>
          </w:rPr>
          <w:t>https://documents-dds-ny.un.org/doc/UNDOC/GEN/G19/346/48/PDF/G1934648.pdf?OpenElement</w:t>
        </w:r>
      </w:hyperlink>
    </w:p>
    <w:p w14:paraId="37684081" w14:textId="7117059B" w:rsidR="00DF3B48" w:rsidRPr="00507FF7" w:rsidRDefault="00DF3B48" w:rsidP="00507FF7">
      <w:proofErr w:type="spellStart"/>
      <w:r w:rsidRPr="00507FF7">
        <w:t>Verdonschot</w:t>
      </w:r>
      <w:proofErr w:type="spellEnd"/>
      <w:r>
        <w:t>,</w:t>
      </w:r>
      <w:r w:rsidRPr="00507FF7">
        <w:t xml:space="preserve"> MML</w:t>
      </w:r>
      <w:r>
        <w:t>.</w:t>
      </w:r>
      <w:r w:rsidRPr="00507FF7">
        <w:t>, de Witte</w:t>
      </w:r>
      <w:r>
        <w:t>,</w:t>
      </w:r>
      <w:r w:rsidRPr="00507FF7">
        <w:t xml:space="preserve"> LP</w:t>
      </w:r>
      <w:r>
        <w:t>.,</w:t>
      </w:r>
      <w:r w:rsidRPr="00507FF7">
        <w:t xml:space="preserve"> </w:t>
      </w:r>
      <w:proofErr w:type="spellStart"/>
      <w:r>
        <w:t>Reichchrath</w:t>
      </w:r>
      <w:proofErr w:type="spellEnd"/>
      <w:r>
        <w:t xml:space="preserve">, E., </w:t>
      </w:r>
      <w:proofErr w:type="spellStart"/>
      <w:r>
        <w:t>Buntinx</w:t>
      </w:r>
      <w:proofErr w:type="spellEnd"/>
      <w:r>
        <w:t xml:space="preserve">, WHE., </w:t>
      </w:r>
      <w:proofErr w:type="spellStart"/>
      <w:r>
        <w:t>Curfs</w:t>
      </w:r>
      <w:proofErr w:type="spellEnd"/>
      <w:r>
        <w:t xml:space="preserve">, LMG </w:t>
      </w:r>
      <w:r w:rsidRPr="00507FF7">
        <w:t xml:space="preserve">et al (2009). Impact of environmental factors on community participation of persons with an intellectual disability: a systematic review. </w:t>
      </w:r>
      <w:r w:rsidRPr="00507FF7">
        <w:rPr>
          <w:i/>
        </w:rPr>
        <w:t>J</w:t>
      </w:r>
      <w:r w:rsidR="00760B00">
        <w:rPr>
          <w:i/>
        </w:rPr>
        <w:t>ournal</w:t>
      </w:r>
      <w:r w:rsidRPr="00507FF7">
        <w:rPr>
          <w:i/>
        </w:rPr>
        <w:t xml:space="preserve"> Intellect</w:t>
      </w:r>
      <w:r w:rsidR="00760B00">
        <w:rPr>
          <w:i/>
        </w:rPr>
        <w:t>ual</w:t>
      </w:r>
      <w:r w:rsidRPr="00507FF7">
        <w:rPr>
          <w:i/>
        </w:rPr>
        <w:t xml:space="preserve"> Disabil</w:t>
      </w:r>
      <w:r w:rsidR="00760B00">
        <w:rPr>
          <w:i/>
        </w:rPr>
        <w:t>ity</w:t>
      </w:r>
      <w:r w:rsidRPr="00507FF7">
        <w:rPr>
          <w:i/>
        </w:rPr>
        <w:t xml:space="preserve"> Res</w:t>
      </w:r>
      <w:r w:rsidR="00760B00">
        <w:rPr>
          <w:i/>
        </w:rPr>
        <w:t>earch</w:t>
      </w:r>
      <w:r w:rsidR="0015604E">
        <w:t xml:space="preserve">, 53(1), </w:t>
      </w:r>
      <w:r>
        <w:t>54–64</w:t>
      </w:r>
      <w:r w:rsidR="0015604E">
        <w:t>.</w:t>
      </w:r>
    </w:p>
    <w:p w14:paraId="6BF141A2" w14:textId="12BB888D" w:rsidR="00120691" w:rsidRDefault="00C57C96" w:rsidP="00507FF7">
      <w:proofErr w:type="spellStart"/>
      <w:r w:rsidRPr="00C57C96">
        <w:t>Verplanken</w:t>
      </w:r>
      <w:proofErr w:type="spellEnd"/>
      <w:r w:rsidRPr="00C57C96">
        <w:t xml:space="preserve">, B., </w:t>
      </w:r>
      <w:proofErr w:type="spellStart"/>
      <w:r w:rsidRPr="00C57C96">
        <w:t>Orbell</w:t>
      </w:r>
      <w:proofErr w:type="spellEnd"/>
      <w:r w:rsidRPr="00C57C96">
        <w:t xml:space="preserve">, S (2022) Attitudes, Habits and Behaviour Change, </w:t>
      </w:r>
      <w:r w:rsidRPr="00C57C96">
        <w:rPr>
          <w:i/>
        </w:rPr>
        <w:t>Annual Review of Psychology</w:t>
      </w:r>
      <w:r w:rsidR="0015604E">
        <w:t>, 73,</w:t>
      </w:r>
      <w:r w:rsidR="00347CAF">
        <w:t xml:space="preserve"> 1-56</w:t>
      </w:r>
      <w:r w:rsidR="0015604E">
        <w:t>.</w:t>
      </w:r>
      <w:r w:rsidR="00347CAF">
        <w:t xml:space="preserve"> </w:t>
      </w:r>
      <w:hyperlink r:id="rId32" w:history="1">
        <w:r w:rsidR="00120691" w:rsidRPr="00D5585B">
          <w:rPr>
            <w:rStyle w:val="Hyperlink"/>
          </w:rPr>
          <w:t>http://repository.essex.ac.uk/30320/1/Attitudes%20and%20Habits_Final.09.05.2021.ARP.pdf</w:t>
        </w:r>
      </w:hyperlink>
    </w:p>
    <w:p w14:paraId="0DCBA70F" w14:textId="425CB681" w:rsidR="00CE147C" w:rsidRPr="00C479D8" w:rsidRDefault="00B36B81" w:rsidP="00507FF7">
      <w:pPr>
        <w:rPr>
          <w:bCs/>
          <w:i/>
        </w:rPr>
      </w:pPr>
      <w:proofErr w:type="spellStart"/>
      <w:r w:rsidRPr="00B36B81">
        <w:t>Verster</w:t>
      </w:r>
      <w:proofErr w:type="spellEnd"/>
      <w:r w:rsidRPr="00B36B81">
        <w:t>. JC.</w:t>
      </w:r>
      <w:r>
        <w:t>,</w:t>
      </w:r>
      <w:r w:rsidRPr="00B36B81">
        <w:t xml:space="preserve"> </w:t>
      </w:r>
      <w:proofErr w:type="spellStart"/>
      <w:r w:rsidRPr="00B36B81">
        <w:t>Sandalova</w:t>
      </w:r>
      <w:proofErr w:type="spellEnd"/>
      <w:r w:rsidRPr="00B36B81">
        <w:t>.</w:t>
      </w:r>
      <w:r>
        <w:t>,</w:t>
      </w:r>
      <w:r w:rsidRPr="00B36B81">
        <w:t xml:space="preserve"> E., </w:t>
      </w:r>
      <w:proofErr w:type="spellStart"/>
      <w:r w:rsidRPr="00B36B81">
        <w:t>Garssen</w:t>
      </w:r>
      <w:proofErr w:type="spellEnd"/>
      <w:r w:rsidRPr="00B36B81">
        <w:t xml:space="preserve">, J. et al. (2021) The Use of Single-Item Ratings Versus Traditional Multiple-Item Questionnaires to Assess Mood and Health. </w:t>
      </w:r>
      <w:r w:rsidR="00120691" w:rsidRPr="00120691">
        <w:rPr>
          <w:bCs/>
          <w:i/>
          <w:iCs/>
        </w:rPr>
        <w:t>European Journal of Investigation in Health, Psychology and Education</w:t>
      </w:r>
      <w:r w:rsidR="00417928">
        <w:t>,11(1):</w:t>
      </w:r>
      <w:r w:rsidR="00453F88" w:rsidRPr="00120691">
        <w:t xml:space="preserve"> </w:t>
      </w:r>
      <w:r w:rsidR="006A23FF" w:rsidRPr="00120691">
        <w:t>183-198.</w:t>
      </w:r>
    </w:p>
    <w:p w14:paraId="258B9894" w14:textId="6C72DE6B" w:rsidR="00507FF7" w:rsidRPr="00507FF7" w:rsidRDefault="00507FF7" w:rsidP="00507FF7">
      <w:r w:rsidRPr="00507FF7">
        <w:t>Wegener, DT. (1998). Attitude change: Multiple roles for persuasion variables. In D. Gilbert</w:t>
      </w:r>
      <w:r w:rsidR="00995E75">
        <w:t xml:space="preserve">, S. Fiske &amp; G. </w:t>
      </w:r>
      <w:proofErr w:type="spellStart"/>
      <w:r w:rsidR="00995E75">
        <w:t>Lindzey</w:t>
      </w:r>
      <w:proofErr w:type="spellEnd"/>
      <w:r w:rsidR="00995E75">
        <w:t xml:space="preserve"> (Eds.)</w:t>
      </w:r>
      <w:r w:rsidR="00453F88">
        <w:t>.</w:t>
      </w:r>
      <w:r w:rsidR="00995E75">
        <w:t xml:space="preserve"> </w:t>
      </w:r>
      <w:r w:rsidR="00453F88">
        <w:t>H</w:t>
      </w:r>
      <w:r w:rsidRPr="00507FF7">
        <w:t xml:space="preserve">andbook of </w:t>
      </w:r>
      <w:r w:rsidR="00453F88">
        <w:t>social psychology (New York: McGraw-Hill), 323-390.</w:t>
      </w:r>
    </w:p>
    <w:p w14:paraId="77693CC1" w14:textId="3C87DF4B" w:rsidR="00507FF7" w:rsidRPr="00507FF7" w:rsidRDefault="00507FF7" w:rsidP="00507FF7">
      <w:r w:rsidRPr="00507FF7">
        <w:t xml:space="preserve">Werner P, </w:t>
      </w:r>
      <w:proofErr w:type="spellStart"/>
      <w:r w:rsidRPr="00507FF7">
        <w:t>AboJabel</w:t>
      </w:r>
      <w:proofErr w:type="spellEnd"/>
      <w:r w:rsidRPr="00507FF7">
        <w:t xml:space="preserve"> H. (2020). Who internalizes courtesy stigma and how? A study among Israeli Arab family caregivers of persons with dementia. </w:t>
      </w:r>
      <w:r w:rsidRPr="00507FF7">
        <w:rPr>
          <w:i/>
        </w:rPr>
        <w:t>Aging and Mental Health</w:t>
      </w:r>
      <w:r w:rsidR="00453F88">
        <w:t>. 24(7),</w:t>
      </w:r>
      <w:r w:rsidR="00417928">
        <w:t xml:space="preserve"> </w:t>
      </w:r>
      <w:r w:rsidRPr="00507FF7">
        <w:t>1153-1160.</w:t>
      </w:r>
    </w:p>
    <w:p w14:paraId="1B4CB3E6" w14:textId="77777777" w:rsidR="00507FF7" w:rsidRPr="00507FF7" w:rsidRDefault="00507FF7" w:rsidP="00507FF7">
      <w:r w:rsidRPr="00507FF7">
        <w:t xml:space="preserve">Werner, S., Corrigan, P., </w:t>
      </w:r>
      <w:proofErr w:type="spellStart"/>
      <w:r w:rsidRPr="00507FF7">
        <w:t>Ditchman</w:t>
      </w:r>
      <w:proofErr w:type="spellEnd"/>
      <w:r w:rsidRPr="00507FF7">
        <w:t xml:space="preserve">, N., et al. (2012). Stigma and intellectual disability: A review of measures and future directions. </w:t>
      </w:r>
      <w:r w:rsidRPr="00507FF7">
        <w:rPr>
          <w:i/>
        </w:rPr>
        <w:t>Research in Developmental Disabilities</w:t>
      </w:r>
      <w:r w:rsidRPr="00507FF7">
        <w:t>, 33: 748–65.</w:t>
      </w:r>
    </w:p>
    <w:p w14:paraId="1859A9ED" w14:textId="77777777" w:rsidR="00507FF7" w:rsidRPr="00507FF7" w:rsidRDefault="00507FF7" w:rsidP="00507FF7">
      <w:r w:rsidRPr="00507FF7">
        <w:t xml:space="preserve">Wang, Z., Xu, X., Han, O et al (2021) Factors associated with public attitudes towards persons with disabilities: a systematic review </w:t>
      </w:r>
      <w:r w:rsidRPr="00507FF7">
        <w:rPr>
          <w:i/>
        </w:rPr>
        <w:t>BMC Public Health</w:t>
      </w:r>
      <w:r w:rsidRPr="00507FF7">
        <w:t xml:space="preserve">, 21 (1), p1-15 </w:t>
      </w:r>
      <w:hyperlink r:id="rId33" w:history="1">
        <w:r w:rsidRPr="00507FF7">
          <w:rPr>
            <w:color w:val="0000FF"/>
            <w:u w:val="single"/>
          </w:rPr>
          <w:t>https://bmcpublichealth.biomedcentral.com/track/pdf/10.1186/s12889-021-11139-3.pdf</w:t>
        </w:r>
      </w:hyperlink>
    </w:p>
    <w:p w14:paraId="123933CA" w14:textId="6E69FF31" w:rsidR="007D3CC6" w:rsidRDefault="00507FF7" w:rsidP="007D3CC6">
      <w:proofErr w:type="spellStart"/>
      <w:r w:rsidRPr="00507FF7">
        <w:t>Wegscheider,A</w:t>
      </w:r>
      <w:proofErr w:type="spellEnd"/>
      <w:r w:rsidRPr="00507FF7">
        <w:t xml:space="preserve">., </w:t>
      </w:r>
      <w:proofErr w:type="spellStart"/>
      <w:r w:rsidRPr="00507FF7">
        <w:t>Guével</w:t>
      </w:r>
      <w:proofErr w:type="spellEnd"/>
      <w:r w:rsidRPr="00507FF7">
        <w:t xml:space="preserve">, MR (2021) Employment and disability: Policy and employers’ perspectives in Europe, </w:t>
      </w:r>
      <w:r w:rsidRPr="00507FF7">
        <w:rPr>
          <w:i/>
        </w:rPr>
        <w:t>European Journal of Disability Research,</w:t>
      </w:r>
      <w:r w:rsidRPr="00507FF7">
        <w:t xml:space="preserve"> 15: 2–</w:t>
      </w:r>
      <w:r w:rsidR="007D3CC6">
        <w:t>7</w:t>
      </w:r>
      <w:r w:rsidR="00417928">
        <w:t>.</w:t>
      </w:r>
    </w:p>
    <w:p w14:paraId="58E889DE" w14:textId="7103C2CE" w:rsidR="00507FF7" w:rsidRPr="00507FF7" w:rsidRDefault="007D3CC6" w:rsidP="00507FF7">
      <w:r w:rsidRPr="007D3CC6">
        <w:t xml:space="preserve">WHO (2021) Disability and Health </w:t>
      </w:r>
      <w:hyperlink r:id="rId34" w:history="1">
        <w:r w:rsidRPr="007D3CC6">
          <w:rPr>
            <w:rStyle w:val="Hyperlink"/>
          </w:rPr>
          <w:t>https://www.who.int/news-room/fact-sheets/detail/disability-and-health</w:t>
        </w:r>
      </w:hyperlink>
    </w:p>
    <w:sectPr w:rsidR="00507FF7" w:rsidRPr="00507FF7" w:rsidSect="002B5438">
      <w:footerReference w:type="default" r:id="rId35"/>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4ED1" w14:textId="77777777" w:rsidR="00C644DA" w:rsidRDefault="00C644DA">
      <w:r>
        <w:separator/>
      </w:r>
    </w:p>
  </w:endnote>
  <w:endnote w:type="continuationSeparator" w:id="0">
    <w:p w14:paraId="4CCB334F" w14:textId="77777777" w:rsidR="00C644DA" w:rsidRDefault="00C6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D816" w14:textId="09EF1464" w:rsidR="00C644DA" w:rsidRDefault="00C644DA">
    <w:pPr>
      <w:pStyle w:val="Footer"/>
    </w:pPr>
    <w:r>
      <w:tab/>
    </w:r>
    <w:r>
      <w:tab/>
    </w:r>
    <w:r>
      <w:fldChar w:fldCharType="begin"/>
    </w:r>
    <w:r>
      <w:instrText xml:space="preserve"> PAGE  \* Arabic  \* MERGEFORMAT </w:instrText>
    </w:r>
    <w:r>
      <w:fldChar w:fldCharType="separate"/>
    </w:r>
    <w:r w:rsidR="004335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50A96" w14:textId="77777777" w:rsidR="00C644DA" w:rsidRDefault="00C644DA">
      <w:r>
        <w:separator/>
      </w:r>
    </w:p>
  </w:footnote>
  <w:footnote w:type="continuationSeparator" w:id="0">
    <w:p w14:paraId="2401C52E" w14:textId="77777777" w:rsidR="00C644DA" w:rsidRDefault="00C644DA">
      <w:r>
        <w:continuationSeparator/>
      </w:r>
    </w:p>
  </w:footnote>
  <w:footnote w:id="1">
    <w:p w14:paraId="7B8D96D9" w14:textId="5659BCBD" w:rsidR="00C644DA" w:rsidRDefault="00C644DA">
      <w:pPr>
        <w:pStyle w:val="FootnoteText"/>
      </w:pPr>
      <w:r>
        <w:rPr>
          <w:rStyle w:val="FootnoteReference"/>
        </w:rPr>
        <w:footnoteRef/>
      </w:r>
      <w:r>
        <w:t xml:space="preserve"> Surveys were conducted in 2001, 2006, 2011 and 2017 and are available at  </w:t>
      </w:r>
      <w:r w:rsidRPr="004D67B9">
        <w:t>https://nda.ie/Publications/Attitudes/Public-Attitudes-to-Disability-in-Ireland-Surveys/</w:t>
      </w:r>
    </w:p>
  </w:footnote>
  <w:footnote w:id="2">
    <w:p w14:paraId="462CEF90" w14:textId="4A72FE3E" w:rsidR="00C644DA" w:rsidRDefault="00C644DA" w:rsidP="00507FF7">
      <w:pPr>
        <w:pStyle w:val="FootnoteText"/>
      </w:pPr>
      <w:r>
        <w:rPr>
          <w:rStyle w:val="FootnoteReference"/>
        </w:rPr>
        <w:footnoteRef/>
      </w:r>
      <w:r>
        <w:t xml:space="preserve"> </w:t>
      </w:r>
      <w:proofErr w:type="spellStart"/>
      <w:r>
        <w:t>Albarracin</w:t>
      </w:r>
      <w:proofErr w:type="spellEnd"/>
      <w:r>
        <w:t xml:space="preserve"> et al., 2018</w:t>
      </w:r>
      <w:r w:rsidRPr="00FA4F56">
        <w:t xml:space="preserve"> </w:t>
      </w:r>
    </w:p>
    <w:p w14:paraId="01E10895" w14:textId="38008EA8" w:rsidR="00C644DA" w:rsidRDefault="00C644DA" w:rsidP="00E01296">
      <w:pPr>
        <w:pStyle w:val="FootnoteText"/>
      </w:pPr>
      <w:r w:rsidRPr="00E01296">
        <w:t>Indirect measures attempt to assess more automatic evaluations that may be dissociated from the results of explicit measures but may still pre</w:t>
      </w:r>
      <w:r>
        <w:t>dict behaviour in some contexts.</w:t>
      </w:r>
    </w:p>
  </w:footnote>
  <w:footnote w:id="3">
    <w:p w14:paraId="3112F873" w14:textId="4D8A6191" w:rsidR="00C644DA" w:rsidRDefault="00C644DA" w:rsidP="00094051">
      <w:pPr>
        <w:pStyle w:val="FootnoteText"/>
      </w:pPr>
      <w:r>
        <w:rPr>
          <w:rStyle w:val="FootnoteReference"/>
        </w:rPr>
        <w:footnoteRef/>
      </w:r>
      <w:r>
        <w:t xml:space="preserve"> Brownstein, 2019</w:t>
      </w:r>
    </w:p>
  </w:footnote>
  <w:footnote w:id="4">
    <w:p w14:paraId="3FD20FB9" w14:textId="67B20CA0" w:rsidR="00C644DA" w:rsidRDefault="00C644DA" w:rsidP="008C253B">
      <w:pPr>
        <w:pStyle w:val="FootnoteText"/>
      </w:pPr>
      <w:r>
        <w:rPr>
          <w:rStyle w:val="FootnoteReference"/>
        </w:rPr>
        <w:footnoteRef/>
      </w:r>
      <w:r>
        <w:t xml:space="preserve"> </w:t>
      </w:r>
      <w:proofErr w:type="spellStart"/>
      <w:r>
        <w:t>Albarracin</w:t>
      </w:r>
      <w:proofErr w:type="spellEnd"/>
      <w:r>
        <w:t xml:space="preserve"> et al.,</w:t>
      </w:r>
      <w:r w:rsidRPr="00A70708">
        <w:t xml:space="preserve"> </w:t>
      </w:r>
      <w:r>
        <w:t>2018</w:t>
      </w:r>
    </w:p>
  </w:footnote>
  <w:footnote w:id="5">
    <w:p w14:paraId="78B202AC" w14:textId="32905135" w:rsidR="00C644DA" w:rsidRPr="00492CDB" w:rsidRDefault="00C644DA" w:rsidP="00492CDB">
      <w:pPr>
        <w:pStyle w:val="FootnoteText"/>
        <w:rPr>
          <w:iCs/>
        </w:rPr>
      </w:pPr>
      <w:r>
        <w:rPr>
          <w:rStyle w:val="FootnoteReference"/>
        </w:rPr>
        <w:footnoteRef/>
      </w:r>
      <w:r>
        <w:t xml:space="preserve"> </w:t>
      </w:r>
      <w:proofErr w:type="spellStart"/>
      <w:r>
        <w:t>Lépine</w:t>
      </w:r>
      <w:proofErr w:type="spellEnd"/>
      <w:r>
        <w:t xml:space="preserve"> et al., 2020</w:t>
      </w:r>
    </w:p>
  </w:footnote>
  <w:footnote w:id="6">
    <w:p w14:paraId="601D71D9" w14:textId="77777777" w:rsidR="00C644DA" w:rsidRDefault="00C644DA" w:rsidP="00491359">
      <w:pPr>
        <w:pStyle w:val="FootnoteText"/>
      </w:pPr>
      <w:r>
        <w:rPr>
          <w:rStyle w:val="FootnoteReference"/>
        </w:rPr>
        <w:footnoteRef/>
      </w:r>
      <w:r>
        <w:t xml:space="preserve"> ibid</w:t>
      </w:r>
    </w:p>
  </w:footnote>
  <w:footnote w:id="7">
    <w:p w14:paraId="64A58B4A" w14:textId="1D495AC3" w:rsidR="00C644DA" w:rsidRDefault="00C644DA">
      <w:pPr>
        <w:pStyle w:val="FootnoteText"/>
      </w:pPr>
      <w:r>
        <w:rPr>
          <w:rStyle w:val="FootnoteReference"/>
        </w:rPr>
        <w:footnoteRef/>
      </w:r>
      <w:r>
        <w:t xml:space="preserve"> Occasionally, t</w:t>
      </w:r>
      <w:r w:rsidRPr="00F34576">
        <w:t>here may be a disjunction between disabled people and non-disabled people interpret</w:t>
      </w:r>
      <w:r w:rsidR="009E55DC">
        <w:t>ations of</w:t>
      </w:r>
      <w:r w:rsidRPr="00F34576">
        <w:t xml:space="preserve"> ‘positive’ and ‘negative’ attitudes. A person without a disability might conceptualise being ‘helpful’ as di</w:t>
      </w:r>
      <w:r>
        <w:t>splaying positive attitudes and behaviour</w:t>
      </w:r>
      <w:r w:rsidRPr="00F34576">
        <w:t xml:space="preserve">, whereas a disabled person might find this kind of ‘help’ </w:t>
      </w:r>
      <w:r>
        <w:t xml:space="preserve">or the way it is offered </w:t>
      </w:r>
      <w:r w:rsidRPr="00F34576">
        <w:t>as unwanted and patronising.</w:t>
      </w:r>
      <w:r w:rsidRPr="00F34576">
        <w:rPr>
          <w:vertAlign w:val="superscript"/>
        </w:rPr>
        <w:footnoteRef/>
      </w:r>
      <w:r w:rsidRPr="00F34576">
        <w:t xml:space="preserve"> </w:t>
      </w:r>
    </w:p>
  </w:footnote>
  <w:footnote w:id="8">
    <w:p w14:paraId="3912FD80" w14:textId="1212725B" w:rsidR="00C644DA" w:rsidRDefault="00C644DA" w:rsidP="001D2642">
      <w:pPr>
        <w:pStyle w:val="FootnoteText"/>
      </w:pPr>
      <w:r>
        <w:rPr>
          <w:rStyle w:val="FootnoteReference"/>
        </w:rPr>
        <w:footnoteRef/>
      </w:r>
      <w:r>
        <w:t xml:space="preserve"> Wang et al., 2021 citing MacMillan et al., 2014; </w:t>
      </w:r>
      <w:proofErr w:type="spellStart"/>
      <w:r w:rsidRPr="004A76CE">
        <w:t>Pelleboer</w:t>
      </w:r>
      <w:r w:rsidRPr="004A76CE">
        <w:rPr>
          <w:rFonts w:ascii="Cambria Math" w:hAnsi="Cambria Math" w:cs="Cambria Math"/>
        </w:rPr>
        <w:t>‐</w:t>
      </w:r>
      <w:r>
        <w:t>Gunnink</w:t>
      </w:r>
      <w:proofErr w:type="spellEnd"/>
      <w:r>
        <w:t xml:space="preserve"> et al., 2017; Pettigrew et al., 2000; </w:t>
      </w:r>
      <w:r w:rsidRPr="00693CE9">
        <w:t>Pettigre</w:t>
      </w:r>
      <w:r>
        <w:t>w et al., 2003; Petty et al., 1998</w:t>
      </w:r>
    </w:p>
  </w:footnote>
  <w:footnote w:id="9">
    <w:p w14:paraId="2893E102" w14:textId="7D5C3430" w:rsidR="00C644DA" w:rsidRDefault="00C644DA" w:rsidP="003D40CF">
      <w:pPr>
        <w:pStyle w:val="FootnoteText"/>
      </w:pPr>
      <w:r>
        <w:rPr>
          <w:rStyle w:val="FootnoteReference"/>
        </w:rPr>
        <w:footnoteRef/>
      </w:r>
      <w:r>
        <w:t xml:space="preserve"> </w:t>
      </w:r>
      <w:proofErr w:type="spellStart"/>
      <w:r>
        <w:t>Murch</w:t>
      </w:r>
      <w:proofErr w:type="spellEnd"/>
      <w:r>
        <w:t xml:space="preserve"> et al., 2018</w:t>
      </w:r>
    </w:p>
  </w:footnote>
  <w:footnote w:id="10">
    <w:p w14:paraId="4C2BC478" w14:textId="56DB0864" w:rsidR="00C644DA" w:rsidRPr="002C4AAD" w:rsidRDefault="00C644DA">
      <w:pPr>
        <w:pStyle w:val="FootnoteText"/>
      </w:pPr>
      <w:r>
        <w:rPr>
          <w:rStyle w:val="FootnoteReference"/>
        </w:rPr>
        <w:footnoteRef/>
      </w:r>
      <w:r>
        <w:t xml:space="preserve"> </w:t>
      </w:r>
      <w:r w:rsidRPr="002C4AAD">
        <w:t>The Project Implicit is </w:t>
      </w:r>
      <w:r w:rsidRPr="002C4AAD">
        <w:rPr>
          <w:bCs/>
        </w:rPr>
        <w:t>a non-profit organization</w:t>
      </w:r>
      <w:r>
        <w:t xml:space="preserve"> </w:t>
      </w:r>
      <w:r w:rsidRPr="002C4AAD">
        <w:rPr>
          <w:bCs/>
        </w:rPr>
        <w:t>committed to advancing scientific knowledge</w:t>
      </w:r>
      <w:r w:rsidRPr="002C4AAD">
        <w:t> </w:t>
      </w:r>
      <w:r w:rsidRPr="002C4AAD">
        <w:rPr>
          <w:bCs/>
        </w:rPr>
        <w:t>about stereotypes, prejudice, and other</w:t>
      </w:r>
      <w:r w:rsidRPr="002C4AAD">
        <w:t> </w:t>
      </w:r>
      <w:r w:rsidRPr="002C4AAD">
        <w:rPr>
          <w:bCs/>
        </w:rPr>
        <w:t>group-based biases</w:t>
      </w:r>
      <w:r w:rsidRPr="002C4AAD">
        <w:t>.</w:t>
      </w:r>
      <w:r w:rsidRPr="002C4AAD">
        <w:rPr>
          <w:rFonts w:ascii="Arial" w:hAnsi="Arial" w:cs="Arial"/>
          <w:color w:val="202124"/>
          <w:sz w:val="26"/>
          <w:szCs w:val="24"/>
          <w:shd w:val="clear" w:color="auto" w:fill="FFFFFF"/>
        </w:rPr>
        <w:t xml:space="preserve"> </w:t>
      </w:r>
      <w:r>
        <w:t>Three scientists who have researched attitudes founded p</w:t>
      </w:r>
      <w:r w:rsidRPr="002C4AAD">
        <w:t xml:space="preserve">roject Implicit </w:t>
      </w:r>
      <w:r>
        <w:t xml:space="preserve">in 1998: </w:t>
      </w:r>
      <w:r w:rsidRPr="002C4AAD">
        <w:t xml:space="preserve"> </w:t>
      </w:r>
      <w:proofErr w:type="spellStart"/>
      <w:r w:rsidRPr="002C4AAD">
        <w:rPr>
          <w:bCs/>
        </w:rPr>
        <w:t>Dr.</w:t>
      </w:r>
      <w:proofErr w:type="spellEnd"/>
      <w:r w:rsidRPr="002C4AAD">
        <w:t> </w:t>
      </w:r>
      <w:r>
        <w:rPr>
          <w:bCs/>
        </w:rPr>
        <w:t>Tony Greenwald (</w:t>
      </w:r>
      <w:proofErr w:type="spellStart"/>
      <w:r>
        <w:rPr>
          <w:bCs/>
        </w:rPr>
        <w:t>Uni</w:t>
      </w:r>
      <w:proofErr w:type="spellEnd"/>
      <w:r w:rsidRPr="002C4AAD">
        <w:rPr>
          <w:bCs/>
        </w:rPr>
        <w:t xml:space="preserve"> of Washington), </w:t>
      </w:r>
      <w:proofErr w:type="spellStart"/>
      <w:r w:rsidRPr="002C4AAD">
        <w:rPr>
          <w:bCs/>
        </w:rPr>
        <w:t>Dr.</w:t>
      </w:r>
      <w:proofErr w:type="spellEnd"/>
      <w:r w:rsidRPr="002C4AAD">
        <w:t> </w:t>
      </w:r>
      <w:proofErr w:type="spellStart"/>
      <w:r w:rsidRPr="002C4AAD">
        <w:rPr>
          <w:bCs/>
        </w:rPr>
        <w:t>Mahzarin</w:t>
      </w:r>
      <w:proofErr w:type="spellEnd"/>
      <w:r w:rsidRPr="002C4AAD">
        <w:rPr>
          <w:bCs/>
        </w:rPr>
        <w:t xml:space="preserve"> </w:t>
      </w:r>
      <w:proofErr w:type="spellStart"/>
      <w:r w:rsidRPr="002C4AAD">
        <w:rPr>
          <w:bCs/>
        </w:rPr>
        <w:t>Banaji</w:t>
      </w:r>
      <w:proofErr w:type="spellEnd"/>
      <w:r w:rsidRPr="002C4AAD">
        <w:rPr>
          <w:bCs/>
        </w:rPr>
        <w:t xml:space="preserve"> (Harvard University), and </w:t>
      </w:r>
      <w:proofErr w:type="spellStart"/>
      <w:r w:rsidRPr="002C4AAD">
        <w:rPr>
          <w:bCs/>
        </w:rPr>
        <w:t>Dr.</w:t>
      </w:r>
      <w:proofErr w:type="spellEnd"/>
      <w:r w:rsidRPr="002C4AAD">
        <w:t> </w:t>
      </w:r>
      <w:r>
        <w:rPr>
          <w:bCs/>
        </w:rPr>
        <w:t xml:space="preserve">Brian </w:t>
      </w:r>
      <w:proofErr w:type="spellStart"/>
      <w:r>
        <w:rPr>
          <w:bCs/>
        </w:rPr>
        <w:t>Nosek</w:t>
      </w:r>
      <w:proofErr w:type="spellEnd"/>
      <w:r>
        <w:rPr>
          <w:bCs/>
        </w:rPr>
        <w:t xml:space="preserve"> (</w:t>
      </w:r>
      <w:proofErr w:type="spellStart"/>
      <w:r>
        <w:rPr>
          <w:bCs/>
        </w:rPr>
        <w:t>Uni</w:t>
      </w:r>
      <w:proofErr w:type="spellEnd"/>
      <w:r w:rsidRPr="002C4AAD">
        <w:rPr>
          <w:bCs/>
        </w:rPr>
        <w:t xml:space="preserve"> of Virginia)</w:t>
      </w:r>
    </w:p>
  </w:footnote>
  <w:footnote w:id="11">
    <w:p w14:paraId="461D1905" w14:textId="26E73ED5" w:rsidR="00C644DA" w:rsidRDefault="00C644DA">
      <w:pPr>
        <w:pStyle w:val="FootnoteText"/>
      </w:pPr>
      <w:r>
        <w:rPr>
          <w:rStyle w:val="FootnoteReference"/>
        </w:rPr>
        <w:footnoteRef/>
      </w:r>
      <w:r>
        <w:t xml:space="preserve"> </w:t>
      </w:r>
      <w:proofErr w:type="spellStart"/>
      <w:r>
        <w:t>Charlesworth</w:t>
      </w:r>
      <w:proofErr w:type="spellEnd"/>
      <w:r>
        <w:t xml:space="preserve"> et al., 2022</w:t>
      </w:r>
    </w:p>
  </w:footnote>
  <w:footnote w:id="12">
    <w:p w14:paraId="7B20D7A3" w14:textId="478E581D" w:rsidR="00C644DA" w:rsidRDefault="00C644DA" w:rsidP="00CC4C29">
      <w:pPr>
        <w:pStyle w:val="FootnoteText"/>
      </w:pPr>
      <w:r>
        <w:rPr>
          <w:rStyle w:val="FootnoteReference"/>
        </w:rPr>
        <w:footnoteRef/>
      </w:r>
      <w:r>
        <w:t xml:space="preserve"> Database search for </w:t>
      </w:r>
      <w:r w:rsidRPr="00AA6C34">
        <w:t>Disability (</w:t>
      </w:r>
      <w:proofErr w:type="spellStart"/>
      <w:r w:rsidRPr="00AA6C34">
        <w:t>Ti</w:t>
      </w:r>
      <w:proofErr w:type="spellEnd"/>
      <w:r w:rsidRPr="00AA6C34">
        <w:t>) AND attitudes</w:t>
      </w:r>
      <w:r>
        <w:t xml:space="preserve"> (</w:t>
      </w:r>
      <w:proofErr w:type="spellStart"/>
      <w:r>
        <w:t>Ti</w:t>
      </w:r>
      <w:proofErr w:type="spellEnd"/>
      <w:r>
        <w:t xml:space="preserve">) AND </w:t>
      </w:r>
      <w:proofErr w:type="spellStart"/>
      <w:r>
        <w:t>systemtatic</w:t>
      </w:r>
      <w:proofErr w:type="spellEnd"/>
      <w:r>
        <w:t xml:space="preserve"> (</w:t>
      </w:r>
      <w:proofErr w:type="spellStart"/>
      <w:r>
        <w:t>Ti</w:t>
      </w:r>
      <w:proofErr w:type="spellEnd"/>
      <w:r>
        <w:t>)]</w:t>
      </w:r>
      <w:r w:rsidRPr="00AA6C34">
        <w:t xml:space="preserve"> </w:t>
      </w:r>
      <w:r>
        <w:t xml:space="preserve">were as follows: </w:t>
      </w:r>
      <w:r w:rsidRPr="00DF3417">
        <w:t xml:space="preserve">Academic Search Complete (12), Pub Med (8), APA </w:t>
      </w:r>
      <w:proofErr w:type="spellStart"/>
      <w:r w:rsidRPr="00DF3417">
        <w:t>PsycINFO</w:t>
      </w:r>
      <w:proofErr w:type="spellEnd"/>
      <w:r w:rsidRPr="00DF3417">
        <w:t xml:space="preserve"> (6), Cochrane (0)</w:t>
      </w:r>
      <w:r>
        <w:t xml:space="preserve"> </w:t>
      </w:r>
      <w:r w:rsidRPr="00DF3417">
        <w:t>SCOPUS (19)</w:t>
      </w:r>
      <w:r>
        <w:t xml:space="preserve"> – a total of 20 systematic reviews after excluding duplicates. </w:t>
      </w:r>
    </w:p>
  </w:footnote>
  <w:footnote w:id="13">
    <w:p w14:paraId="35FD8F76" w14:textId="2D1FD79C" w:rsidR="00C644DA" w:rsidRDefault="00C644DA" w:rsidP="0035740D">
      <w:pPr>
        <w:pStyle w:val="FootnoteText"/>
      </w:pPr>
      <w:r>
        <w:rPr>
          <w:rStyle w:val="FootnoteReference"/>
        </w:rPr>
        <w:footnoteRef/>
      </w:r>
      <w:r>
        <w:t xml:space="preserve"> </w:t>
      </w:r>
      <w:proofErr w:type="spellStart"/>
      <w:r>
        <w:t>Allport</w:t>
      </w:r>
      <w:proofErr w:type="spellEnd"/>
      <w:r>
        <w:t>, 1935</w:t>
      </w:r>
    </w:p>
  </w:footnote>
  <w:footnote w:id="14">
    <w:p w14:paraId="5B757676" w14:textId="68A75021" w:rsidR="00C644DA" w:rsidRDefault="00C644DA" w:rsidP="009A4D2E">
      <w:pPr>
        <w:pStyle w:val="FootnoteText"/>
      </w:pPr>
      <w:r>
        <w:rPr>
          <w:rStyle w:val="FootnoteReference"/>
        </w:rPr>
        <w:footnoteRef/>
      </w:r>
      <w:r>
        <w:t xml:space="preserve"> </w:t>
      </w:r>
      <w:proofErr w:type="spellStart"/>
      <w:r>
        <w:t>Albarracin</w:t>
      </w:r>
      <w:proofErr w:type="spellEnd"/>
      <w:r>
        <w:t xml:space="preserve"> et al., 2018</w:t>
      </w:r>
    </w:p>
  </w:footnote>
  <w:footnote w:id="15">
    <w:p w14:paraId="444E697B" w14:textId="18580513" w:rsidR="00C644DA" w:rsidRPr="00C57C96" w:rsidRDefault="00C644DA">
      <w:pPr>
        <w:pStyle w:val="FootnoteText"/>
        <w:rPr>
          <w:sz w:val="26"/>
          <w:szCs w:val="24"/>
        </w:rPr>
      </w:pPr>
      <w:r>
        <w:rPr>
          <w:rStyle w:val="FootnoteReference"/>
        </w:rPr>
        <w:footnoteRef/>
      </w:r>
      <w:r>
        <w:t xml:space="preserve"> </w:t>
      </w:r>
      <w:proofErr w:type="spellStart"/>
      <w:r w:rsidRPr="00683795">
        <w:t>Eagly</w:t>
      </w:r>
      <w:proofErr w:type="spellEnd"/>
      <w:r>
        <w:t xml:space="preserve"> et al.,</w:t>
      </w:r>
      <w:r w:rsidRPr="00683795">
        <w:t xml:space="preserve"> 1993</w:t>
      </w:r>
      <w:r>
        <w:t xml:space="preserve"> cited by </w:t>
      </w:r>
      <w:proofErr w:type="spellStart"/>
      <w:r>
        <w:t>Verplanken</w:t>
      </w:r>
      <w:proofErr w:type="spellEnd"/>
      <w:r>
        <w:t xml:space="preserve"> et al., 2022</w:t>
      </w:r>
    </w:p>
  </w:footnote>
  <w:footnote w:id="16">
    <w:p w14:paraId="0F315AA5" w14:textId="25D28C69" w:rsidR="00C644DA" w:rsidRDefault="00C644DA" w:rsidP="0069754D">
      <w:pPr>
        <w:pStyle w:val="FootnoteText"/>
      </w:pPr>
      <w:r>
        <w:rPr>
          <w:rStyle w:val="FootnoteReference"/>
        </w:rPr>
        <w:footnoteRef/>
      </w:r>
      <w:r>
        <w:t xml:space="preserve"> Fazio, 1989 citing </w:t>
      </w:r>
      <w:proofErr w:type="spellStart"/>
      <w:r>
        <w:t>Fishbein</w:t>
      </w:r>
      <w:proofErr w:type="spellEnd"/>
      <w:r>
        <w:t xml:space="preserve"> et al., 1975</w:t>
      </w:r>
    </w:p>
  </w:footnote>
  <w:footnote w:id="17">
    <w:p w14:paraId="736F1FF0" w14:textId="546805DC" w:rsidR="00C644DA" w:rsidRDefault="00C644DA" w:rsidP="001A0D24">
      <w:pPr>
        <w:pStyle w:val="FootnoteText"/>
      </w:pPr>
      <w:r>
        <w:rPr>
          <w:rStyle w:val="FootnoteReference"/>
        </w:rPr>
        <w:footnoteRef/>
      </w:r>
      <w:r>
        <w:t xml:space="preserve"> </w:t>
      </w:r>
      <w:proofErr w:type="spellStart"/>
      <w:r w:rsidRPr="00A41F13">
        <w:t>Scior</w:t>
      </w:r>
      <w:proofErr w:type="spellEnd"/>
      <w:r>
        <w:t xml:space="preserve"> et al., 2015</w:t>
      </w:r>
    </w:p>
  </w:footnote>
  <w:footnote w:id="18">
    <w:p w14:paraId="09293CA4" w14:textId="6F39F2BF" w:rsidR="00C644DA" w:rsidRDefault="00C644DA" w:rsidP="00FE5385">
      <w:pPr>
        <w:pStyle w:val="FootnoteText"/>
      </w:pPr>
      <w:r>
        <w:rPr>
          <w:rStyle w:val="FootnoteReference"/>
        </w:rPr>
        <w:footnoteRef/>
      </w:r>
      <w:r>
        <w:t xml:space="preserve"> </w:t>
      </w:r>
      <w:proofErr w:type="spellStart"/>
      <w:r>
        <w:t>Albarracin</w:t>
      </w:r>
      <w:proofErr w:type="spellEnd"/>
      <w:r>
        <w:t xml:space="preserve"> et al., 2018</w:t>
      </w:r>
    </w:p>
  </w:footnote>
  <w:footnote w:id="19">
    <w:p w14:paraId="0E081C33" w14:textId="1F175507" w:rsidR="00C644DA" w:rsidRDefault="00C644DA" w:rsidP="00CA073F">
      <w:pPr>
        <w:pStyle w:val="FootnoteText"/>
      </w:pPr>
      <w:r>
        <w:rPr>
          <w:rStyle w:val="FootnoteReference"/>
        </w:rPr>
        <w:footnoteRef/>
      </w:r>
      <w:r>
        <w:t xml:space="preserve"> </w:t>
      </w:r>
      <w:proofErr w:type="spellStart"/>
      <w:r>
        <w:t>Buckwalter</w:t>
      </w:r>
      <w:proofErr w:type="spellEnd"/>
      <w:r>
        <w:t>, 2019</w:t>
      </w:r>
    </w:p>
  </w:footnote>
  <w:footnote w:id="20">
    <w:p w14:paraId="682E81FA" w14:textId="77777777" w:rsidR="00C644DA" w:rsidRDefault="00C644DA" w:rsidP="00CA073F">
      <w:pPr>
        <w:pStyle w:val="FootnoteText"/>
      </w:pPr>
      <w:r>
        <w:rPr>
          <w:rStyle w:val="FootnoteReference"/>
        </w:rPr>
        <w:footnoteRef/>
      </w:r>
      <w:r>
        <w:t xml:space="preserve"> ibid</w:t>
      </w:r>
    </w:p>
  </w:footnote>
  <w:footnote w:id="21">
    <w:p w14:paraId="5B3D4F87" w14:textId="017AC709" w:rsidR="00C644DA" w:rsidRDefault="00C644DA" w:rsidP="00F275DC">
      <w:pPr>
        <w:pStyle w:val="FootnoteText"/>
      </w:pPr>
      <w:r>
        <w:rPr>
          <w:rStyle w:val="FootnoteReference"/>
        </w:rPr>
        <w:footnoteRef/>
      </w:r>
      <w:r>
        <w:t xml:space="preserve"> Greenwald et al., 2017</w:t>
      </w:r>
    </w:p>
  </w:footnote>
  <w:footnote w:id="22">
    <w:p w14:paraId="5A20C39C" w14:textId="70C10A7F" w:rsidR="00C644DA" w:rsidRDefault="00C644DA" w:rsidP="00F275DC">
      <w:pPr>
        <w:pStyle w:val="FootnoteText"/>
      </w:pPr>
      <w:r>
        <w:rPr>
          <w:rStyle w:val="FootnoteReference"/>
        </w:rPr>
        <w:footnoteRef/>
      </w:r>
      <w:r>
        <w:t xml:space="preserve"> Petty et al., 2008</w:t>
      </w:r>
    </w:p>
  </w:footnote>
  <w:footnote w:id="23">
    <w:p w14:paraId="35FD2225" w14:textId="30B8CBFA" w:rsidR="00C644DA" w:rsidRDefault="00C644DA" w:rsidP="00F275DC">
      <w:pPr>
        <w:pStyle w:val="FootnoteText"/>
      </w:pPr>
      <w:r>
        <w:rPr>
          <w:rStyle w:val="FootnoteReference"/>
        </w:rPr>
        <w:footnoteRef/>
      </w:r>
      <w:r>
        <w:t xml:space="preserve"> Harder et al., 2019</w:t>
      </w:r>
    </w:p>
  </w:footnote>
  <w:footnote w:id="24">
    <w:p w14:paraId="4B13C38D" w14:textId="1086FF74" w:rsidR="00C644DA" w:rsidRDefault="00C644DA" w:rsidP="00153256">
      <w:pPr>
        <w:pStyle w:val="FootnoteText"/>
      </w:pPr>
      <w:r>
        <w:rPr>
          <w:rStyle w:val="FootnoteReference"/>
        </w:rPr>
        <w:footnoteRef/>
      </w:r>
      <w:r>
        <w:t xml:space="preserve"> </w:t>
      </w:r>
      <w:r w:rsidRPr="00752B1A">
        <w:t xml:space="preserve">The first definition of “implicit attitudes” in 1995 defined them as inaccurately identified traces of </w:t>
      </w:r>
      <w:r w:rsidR="009E55DC" w:rsidRPr="00752B1A">
        <w:t>experience</w:t>
      </w:r>
      <w:r w:rsidRPr="00752B1A">
        <w:t xml:space="preserve"> that mediate favourable or unfavourable feelings, thoughts, or actions toward social obj</w:t>
      </w:r>
      <w:r>
        <w:t xml:space="preserve">ects. Greenwald et al., </w:t>
      </w:r>
      <w:r w:rsidRPr="00752B1A">
        <w:t>1</w:t>
      </w:r>
      <w:r>
        <w:t>995</w:t>
      </w:r>
    </w:p>
  </w:footnote>
  <w:footnote w:id="25">
    <w:p w14:paraId="5041D775" w14:textId="539B3E8C" w:rsidR="00C644DA" w:rsidRDefault="00C644DA" w:rsidP="00153256">
      <w:pPr>
        <w:pStyle w:val="FootnoteText"/>
      </w:pPr>
      <w:r>
        <w:rPr>
          <w:rStyle w:val="FootnoteReference"/>
        </w:rPr>
        <w:footnoteRef/>
      </w:r>
      <w:r>
        <w:t xml:space="preserve"> </w:t>
      </w:r>
      <w:proofErr w:type="spellStart"/>
      <w:r>
        <w:t>Buckwalter</w:t>
      </w:r>
      <w:proofErr w:type="spellEnd"/>
      <w:r>
        <w:t>, 2019</w:t>
      </w:r>
    </w:p>
  </w:footnote>
  <w:footnote w:id="26">
    <w:p w14:paraId="08F3782D" w14:textId="486DFD3C" w:rsidR="00C644DA" w:rsidRDefault="00C644DA" w:rsidP="00153256">
      <w:pPr>
        <w:pStyle w:val="FootnoteText"/>
      </w:pPr>
      <w:r>
        <w:rPr>
          <w:rStyle w:val="FootnoteReference"/>
        </w:rPr>
        <w:footnoteRef/>
      </w:r>
      <w:r>
        <w:t xml:space="preserve"> ibid</w:t>
      </w:r>
    </w:p>
  </w:footnote>
  <w:footnote w:id="27">
    <w:p w14:paraId="7F56138F" w14:textId="5B45D5F0" w:rsidR="00C644DA" w:rsidRDefault="00C644DA" w:rsidP="00153256">
      <w:pPr>
        <w:pStyle w:val="FootnoteText"/>
      </w:pPr>
      <w:r>
        <w:rPr>
          <w:rStyle w:val="FootnoteReference"/>
        </w:rPr>
        <w:footnoteRef/>
      </w:r>
      <w:r>
        <w:t xml:space="preserve"> Greenwald et al., 2017</w:t>
      </w:r>
    </w:p>
  </w:footnote>
  <w:footnote w:id="28">
    <w:p w14:paraId="24396484" w14:textId="4D898299" w:rsidR="00C644DA" w:rsidRPr="00AD4C43" w:rsidRDefault="00C644DA">
      <w:pPr>
        <w:pStyle w:val="FootnoteText"/>
        <w:rPr>
          <w:bCs/>
          <w:szCs w:val="22"/>
        </w:rPr>
      </w:pPr>
      <w:r>
        <w:rPr>
          <w:rStyle w:val="FootnoteReference"/>
        </w:rPr>
        <w:footnoteRef/>
      </w:r>
      <w:r>
        <w:t xml:space="preserve"> </w:t>
      </w:r>
      <w:r>
        <w:rPr>
          <w:szCs w:val="22"/>
        </w:rPr>
        <w:t>Bar-Tal et al., 2020</w:t>
      </w:r>
    </w:p>
  </w:footnote>
  <w:footnote w:id="29">
    <w:p w14:paraId="48D1D054" w14:textId="719FE84F" w:rsidR="00C644DA" w:rsidRDefault="00C644DA" w:rsidP="00F275DC">
      <w:pPr>
        <w:pStyle w:val="FootnoteText"/>
      </w:pPr>
      <w:r>
        <w:rPr>
          <w:rStyle w:val="FootnoteReference"/>
        </w:rPr>
        <w:footnoteRef/>
      </w:r>
      <w:r>
        <w:t xml:space="preserve"> </w:t>
      </w:r>
      <w:proofErr w:type="spellStart"/>
      <w:r w:rsidRPr="003D6D6C">
        <w:t>Forscher</w:t>
      </w:r>
      <w:proofErr w:type="spellEnd"/>
      <w:r w:rsidRPr="003D6D6C">
        <w:t xml:space="preserve"> </w:t>
      </w:r>
      <w:r>
        <w:t>et al., 2019</w:t>
      </w:r>
    </w:p>
  </w:footnote>
  <w:footnote w:id="30">
    <w:p w14:paraId="2FCE8419" w14:textId="6C28AE93" w:rsidR="00C644DA" w:rsidRDefault="00C644DA">
      <w:pPr>
        <w:pStyle w:val="FootnoteText"/>
      </w:pPr>
      <w:r>
        <w:rPr>
          <w:rStyle w:val="FootnoteReference"/>
        </w:rPr>
        <w:footnoteRef/>
      </w:r>
      <w:r>
        <w:t xml:space="preserve"> S</w:t>
      </w:r>
      <w:r w:rsidRPr="00B42DFC">
        <w:t xml:space="preserve">hort, reliable and valid </w:t>
      </w:r>
      <w:r>
        <w:t>single-item rating scales</w:t>
      </w:r>
      <w:r w:rsidRPr="00B42DFC">
        <w:t xml:space="preserve"> are useful and often more acceptable than lengthier measures when collecting real-wor</w:t>
      </w:r>
      <w:r>
        <w:t>ld evidence. One can use a single item scale</w:t>
      </w:r>
      <w:r w:rsidRPr="005B7270">
        <w:t xml:space="preserve"> </w:t>
      </w:r>
      <w:r w:rsidRPr="00220731">
        <w:rPr>
          <w:bCs/>
        </w:rPr>
        <w:t>to represent global constructs, like job satisfaction</w:t>
      </w:r>
      <w:r w:rsidRPr="00220731">
        <w:t xml:space="preserve">. </w:t>
      </w:r>
      <w:r>
        <w:t>Single-item ratings</w:t>
      </w:r>
      <w:r w:rsidRPr="00B42DFC">
        <w:t xml:space="preserve"> can adequately represent the outcomes of traditional multi-item assessments. </w:t>
      </w:r>
      <w:r>
        <w:t xml:space="preserve">In one study, the </w:t>
      </w:r>
      <w:r w:rsidRPr="00B42DFC">
        <w:t xml:space="preserve">majority of single-item assessments agreed with their lengthier multiple-item subscales and adequately represented the outcomes of traditional </w:t>
      </w:r>
      <w:r>
        <w:t xml:space="preserve">multi-item assessments. </w:t>
      </w:r>
      <w:proofErr w:type="spellStart"/>
      <w:r>
        <w:t>Verster</w:t>
      </w:r>
      <w:proofErr w:type="spellEnd"/>
      <w:r>
        <w:t xml:space="preserve"> et al., 2021. One sometimes uses one-item scales</w:t>
      </w:r>
      <w:r w:rsidRPr="00220731">
        <w:t xml:space="preserve"> to gauge constructs that, originally, </w:t>
      </w:r>
      <w:r w:rsidR="001E11F3">
        <w:t xml:space="preserve">one </w:t>
      </w:r>
      <w:r w:rsidRPr="00220731">
        <w:t xml:space="preserve">assumed </w:t>
      </w:r>
      <w:r w:rsidR="001E11F3">
        <w:t xml:space="preserve"> had </w:t>
      </w:r>
      <w:r w:rsidRPr="00220731">
        <w:t>several dimensions.</w:t>
      </w:r>
    </w:p>
  </w:footnote>
  <w:footnote w:id="31">
    <w:p w14:paraId="358AF2B4" w14:textId="60C71488" w:rsidR="00C644DA" w:rsidRDefault="00C644DA">
      <w:pPr>
        <w:pStyle w:val="FootnoteText"/>
      </w:pPr>
      <w:r>
        <w:rPr>
          <w:rStyle w:val="FootnoteReference"/>
        </w:rPr>
        <w:footnoteRef/>
      </w:r>
      <w:r>
        <w:t xml:space="preserve"> </w:t>
      </w:r>
      <w:r w:rsidRPr="00D3158D">
        <w:t xml:space="preserve">The Implicit Association Test (IAT) is </w:t>
      </w:r>
      <w:r>
        <w:t xml:space="preserve">probably </w:t>
      </w:r>
      <w:r w:rsidRPr="00D3158D">
        <w:t>the most popular implicit measure. It measures </w:t>
      </w:r>
      <w:r w:rsidRPr="00D3158D">
        <w:rPr>
          <w:bCs/>
        </w:rPr>
        <w:t xml:space="preserve">the strength of associations between concepts </w:t>
      </w:r>
      <w:r>
        <w:rPr>
          <w:bCs/>
        </w:rPr>
        <w:t xml:space="preserve">and evaluations or between stereotypes and evaluations </w:t>
      </w:r>
      <w:r w:rsidRPr="00D3158D">
        <w:rPr>
          <w:bCs/>
        </w:rPr>
        <w:t xml:space="preserve">e.g., </w:t>
      </w:r>
      <w:r>
        <w:rPr>
          <w:bCs/>
        </w:rPr>
        <w:t xml:space="preserve">the strength of association between </w:t>
      </w:r>
      <w:r w:rsidRPr="00D3158D">
        <w:rPr>
          <w:bCs/>
        </w:rPr>
        <w:t>black people, gay people</w:t>
      </w:r>
      <w:r>
        <w:rPr>
          <w:bCs/>
        </w:rPr>
        <w:t>, disabled people</w:t>
      </w:r>
      <w:r w:rsidRPr="00D3158D">
        <w:rPr>
          <w:bCs/>
        </w:rPr>
        <w:t xml:space="preserve"> and evaluations e.g., good, bad or stereotypes e.g., athletic, clumsy</w:t>
      </w:r>
      <w:r w:rsidRPr="00D3158D">
        <w:t>.</w:t>
      </w:r>
    </w:p>
  </w:footnote>
  <w:footnote w:id="32">
    <w:p w14:paraId="3431FF15" w14:textId="5A5200B7" w:rsidR="00C644DA" w:rsidRDefault="00C644DA" w:rsidP="00E10696">
      <w:pPr>
        <w:pStyle w:val="FootnoteText"/>
      </w:pPr>
      <w:r>
        <w:rPr>
          <w:rStyle w:val="FootnoteReference"/>
        </w:rPr>
        <w:footnoteRef/>
      </w:r>
      <w:r>
        <w:t xml:space="preserve"> </w:t>
      </w:r>
      <w:r w:rsidRPr="00D3158D">
        <w:t xml:space="preserve"> </w:t>
      </w:r>
      <w:proofErr w:type="spellStart"/>
      <w:r w:rsidRPr="00D3158D">
        <w:t>Forscher</w:t>
      </w:r>
      <w:proofErr w:type="spellEnd"/>
      <w:r w:rsidRPr="00D3158D">
        <w:t xml:space="preserve"> </w:t>
      </w:r>
      <w:r>
        <w:t>et al., 2019</w:t>
      </w:r>
    </w:p>
  </w:footnote>
  <w:footnote w:id="33">
    <w:p w14:paraId="7D1396ED" w14:textId="661B8F6E" w:rsidR="00C644DA" w:rsidRDefault="00C644DA" w:rsidP="004E1A08">
      <w:pPr>
        <w:pStyle w:val="FootnoteText"/>
      </w:pPr>
      <w:r>
        <w:rPr>
          <w:rStyle w:val="FootnoteReference"/>
        </w:rPr>
        <w:footnoteRef/>
      </w:r>
      <w:r>
        <w:t xml:space="preserve"> ibid</w:t>
      </w:r>
    </w:p>
  </w:footnote>
  <w:footnote w:id="34">
    <w:p w14:paraId="0987665F" w14:textId="77777777" w:rsidR="00C644DA" w:rsidRDefault="00C644DA" w:rsidP="007E3409">
      <w:pPr>
        <w:pStyle w:val="FootnoteText"/>
      </w:pPr>
      <w:r>
        <w:rPr>
          <w:rStyle w:val="FootnoteReference"/>
        </w:rPr>
        <w:footnoteRef/>
      </w:r>
      <w:r>
        <w:t xml:space="preserve"> Thompson et al., 2011</w:t>
      </w:r>
    </w:p>
  </w:footnote>
  <w:footnote w:id="35">
    <w:p w14:paraId="1B065121" w14:textId="76111ABB" w:rsidR="00C644DA" w:rsidRDefault="00C644DA">
      <w:pPr>
        <w:pStyle w:val="FootnoteText"/>
        <w:rPr>
          <w:rFonts w:ascii="Times New Roman" w:hAnsi="Times New Roman"/>
          <w:color w:val="000000"/>
          <w:kern w:val="36"/>
          <w:szCs w:val="22"/>
          <w:lang w:eastAsia="en-IE"/>
        </w:rPr>
      </w:pPr>
      <w:r>
        <w:rPr>
          <w:rStyle w:val="FootnoteReference"/>
        </w:rPr>
        <w:footnoteRef/>
      </w:r>
      <w:r>
        <w:t xml:space="preserve"> </w:t>
      </w:r>
      <w:r w:rsidRPr="004502E7">
        <w:rPr>
          <w:szCs w:val="22"/>
        </w:rPr>
        <w:t>The Social Distance Scale (SDS) </w:t>
      </w:r>
      <w:r w:rsidRPr="004502E7">
        <w:rPr>
          <w:bCs/>
          <w:szCs w:val="22"/>
        </w:rPr>
        <w:t xml:space="preserve">measures the “social distance” a person wants to keep towards a person with a particular condition, that is, it assesses people's willingness to participate in social contacts of varying degrees of closeness with members of diverse groups. The </w:t>
      </w:r>
      <w:proofErr w:type="spellStart"/>
      <w:r w:rsidRPr="004502E7">
        <w:rPr>
          <w:bCs/>
          <w:szCs w:val="22"/>
        </w:rPr>
        <w:t>Bogardus</w:t>
      </w:r>
      <w:proofErr w:type="spellEnd"/>
      <w:r w:rsidRPr="004502E7">
        <w:rPr>
          <w:bCs/>
          <w:szCs w:val="22"/>
        </w:rPr>
        <w:t xml:space="preserve"> Social Distance Scale,</w:t>
      </w:r>
      <w:r w:rsidRPr="00FE5E14">
        <w:rPr>
          <w:bCs/>
          <w:szCs w:val="22"/>
        </w:rPr>
        <w:t xml:space="preserve"> or some adaptation of it, is the commonest scale used </w:t>
      </w:r>
      <w:r w:rsidRPr="006273AB">
        <w:rPr>
          <w:bCs/>
          <w:szCs w:val="22"/>
        </w:rPr>
        <w:t>to measure social distance</w:t>
      </w:r>
      <w:r w:rsidRPr="00331252">
        <w:rPr>
          <w:bCs/>
          <w:szCs w:val="22"/>
        </w:rPr>
        <w:t xml:space="preserve">. Scale items consist of 5, 6 or 7 degrees of closeness. Six degrees from close to far </w:t>
      </w:r>
      <w:r w:rsidRPr="00F15A9B">
        <w:rPr>
          <w:bCs/>
          <w:szCs w:val="22"/>
        </w:rPr>
        <w:t xml:space="preserve">as follows: (1) Getting married to, (2) being </w:t>
      </w:r>
      <w:r w:rsidRPr="00D3158D">
        <w:rPr>
          <w:bCs/>
          <w:szCs w:val="22"/>
        </w:rPr>
        <w:t>close to by marriage, (3) being next-door neighbo</w:t>
      </w:r>
      <w:r w:rsidRPr="0096569C">
        <w:rPr>
          <w:bCs/>
          <w:szCs w:val="22"/>
        </w:rPr>
        <w:t>ur</w:t>
      </w:r>
      <w:r>
        <w:rPr>
          <w:bCs/>
          <w:szCs w:val="22"/>
        </w:rPr>
        <w:t>,</w:t>
      </w:r>
      <w:r w:rsidRPr="0096569C">
        <w:rPr>
          <w:bCs/>
          <w:szCs w:val="22"/>
        </w:rPr>
        <w:t xml:space="preserve"> (4) being a close friend, (5) being a co-worker and (6) avoiding contact. </w:t>
      </w:r>
      <w:proofErr w:type="spellStart"/>
      <w:r w:rsidRPr="00314726">
        <w:rPr>
          <w:bCs/>
          <w:szCs w:val="22"/>
        </w:rPr>
        <w:t>Bogardus</w:t>
      </w:r>
      <w:proofErr w:type="spellEnd"/>
      <w:r w:rsidRPr="00314726">
        <w:rPr>
          <w:bCs/>
          <w:szCs w:val="22"/>
        </w:rPr>
        <w:t xml:space="preserve"> type scales </w:t>
      </w:r>
      <w:r w:rsidR="001E11F3">
        <w:rPr>
          <w:bCs/>
          <w:szCs w:val="22"/>
        </w:rPr>
        <w:t xml:space="preserve">are </w:t>
      </w:r>
      <w:r w:rsidRPr="0017102E">
        <w:rPr>
          <w:bCs/>
          <w:szCs w:val="22"/>
        </w:rPr>
        <w:t>valid and reliable instruments in research on individuals with special needs</w:t>
      </w:r>
      <w:r w:rsidRPr="00525ED6">
        <w:rPr>
          <w:bCs/>
          <w:szCs w:val="22"/>
        </w:rPr>
        <w:t xml:space="preserve"> </w:t>
      </w:r>
      <w:r w:rsidRPr="009E73FD">
        <w:rPr>
          <w:bCs/>
          <w:szCs w:val="22"/>
        </w:rPr>
        <w:t xml:space="preserve">with </w:t>
      </w:r>
      <w:r w:rsidRPr="00C32B61">
        <w:rPr>
          <w:bCs/>
          <w:szCs w:val="22"/>
        </w:rPr>
        <w:t>a high test-retest reliability. (</w:t>
      </w:r>
      <w:proofErr w:type="spellStart"/>
      <w:r w:rsidRPr="0017102E">
        <w:rPr>
          <w:bCs/>
          <w:szCs w:val="22"/>
        </w:rPr>
        <w:t>Fir</w:t>
      </w:r>
      <w:r>
        <w:rPr>
          <w:bCs/>
          <w:szCs w:val="22"/>
        </w:rPr>
        <w:t>a</w:t>
      </w:r>
      <w:proofErr w:type="spellEnd"/>
      <w:r>
        <w:rPr>
          <w:bCs/>
          <w:szCs w:val="22"/>
        </w:rPr>
        <w:t xml:space="preserve"> et al., </w:t>
      </w:r>
      <w:r w:rsidRPr="0017102E">
        <w:rPr>
          <w:bCs/>
          <w:szCs w:val="22"/>
        </w:rPr>
        <w:t>(2022)</w:t>
      </w:r>
      <w:r>
        <w:rPr>
          <w:bCs/>
          <w:szCs w:val="22"/>
        </w:rPr>
        <w:t>.</w:t>
      </w:r>
      <w:r w:rsidRPr="004502E7">
        <w:rPr>
          <w:rFonts w:ascii="Times New Roman" w:hAnsi="Times New Roman"/>
          <w:color w:val="000000"/>
          <w:kern w:val="36"/>
          <w:szCs w:val="22"/>
          <w:lang w:eastAsia="en-IE"/>
        </w:rPr>
        <w:t xml:space="preserve"> </w:t>
      </w:r>
    </w:p>
    <w:p w14:paraId="3624D706" w14:textId="70C3720C" w:rsidR="00C644DA" w:rsidRPr="0096569C" w:rsidRDefault="00C644DA">
      <w:pPr>
        <w:pStyle w:val="FootnoteText"/>
        <w:rPr>
          <w:b/>
          <w:bCs/>
          <w:szCs w:val="22"/>
        </w:rPr>
      </w:pPr>
      <w:r w:rsidRPr="004502E7">
        <w:rPr>
          <w:bCs/>
          <w:szCs w:val="22"/>
        </w:rPr>
        <w:t xml:space="preserve">Measuring Social Distance Toward Individuals With Special Needs, </w:t>
      </w:r>
      <w:r w:rsidRPr="004502E7">
        <w:rPr>
          <w:bCs/>
          <w:i/>
          <w:szCs w:val="22"/>
        </w:rPr>
        <w:t>Sage Open</w:t>
      </w:r>
      <w:r w:rsidRPr="004502E7">
        <w:rPr>
          <w:bCs/>
          <w:szCs w:val="22"/>
        </w:rPr>
        <w:t xml:space="preserve">, </w:t>
      </w:r>
      <w:r w:rsidRPr="004502E7">
        <w:rPr>
          <w:color w:val="000000"/>
          <w:szCs w:val="22"/>
        </w:rPr>
        <w:t>12 (1)</w:t>
      </w:r>
    </w:p>
  </w:footnote>
  <w:footnote w:id="36">
    <w:p w14:paraId="7391FB2E" w14:textId="290D06EE" w:rsidR="00C644DA" w:rsidRPr="004B2FD6" w:rsidRDefault="004335FE" w:rsidP="003A12C1">
      <w:pPr>
        <w:pStyle w:val="FootnoteText"/>
        <w:rPr>
          <w:b/>
          <w:bCs/>
          <w:szCs w:val="22"/>
        </w:rPr>
      </w:pPr>
      <w:hyperlink r:id="rId1" w:history="1">
        <w:r w:rsidR="00C644DA" w:rsidRPr="004502E7">
          <w:rPr>
            <w:rStyle w:val="Hyperlink"/>
            <w:szCs w:val="22"/>
          </w:rPr>
          <w:t>https://doi.org/10.1177/21582440221079917</w:t>
        </w:r>
      </w:hyperlink>
      <w:r w:rsidR="00C644DA">
        <w:rPr>
          <w:color w:val="000000"/>
          <w:szCs w:val="22"/>
        </w:rPr>
        <w:t>)</w:t>
      </w:r>
    </w:p>
  </w:footnote>
  <w:footnote w:id="37">
    <w:p w14:paraId="425E01EE" w14:textId="643C5F87" w:rsidR="00C644DA" w:rsidRDefault="00C644DA" w:rsidP="00E52E6A">
      <w:pPr>
        <w:pStyle w:val="FootnoteText"/>
      </w:pPr>
      <w:r>
        <w:rPr>
          <w:rStyle w:val="FootnoteReference"/>
        </w:rPr>
        <w:footnoteRef/>
      </w:r>
      <w:r>
        <w:t xml:space="preserve"> Hatfield et al., 2017 </w:t>
      </w:r>
    </w:p>
  </w:footnote>
  <w:footnote w:id="38">
    <w:p w14:paraId="2B7CE8CB" w14:textId="55A721C0" w:rsidR="00C644DA" w:rsidRDefault="00C644DA" w:rsidP="00EC228A">
      <w:pPr>
        <w:pStyle w:val="FootnoteText"/>
      </w:pPr>
      <w:r>
        <w:rPr>
          <w:rStyle w:val="FootnoteReference"/>
        </w:rPr>
        <w:footnoteRef/>
      </w:r>
      <w:r>
        <w:t xml:space="preserve"> WHO, 2021</w:t>
      </w:r>
    </w:p>
  </w:footnote>
  <w:footnote w:id="39">
    <w:p w14:paraId="71FB8BB6" w14:textId="6FB619FF" w:rsidR="00C644DA" w:rsidRDefault="00C644DA" w:rsidP="00CD5B30">
      <w:pPr>
        <w:pStyle w:val="FootnoteText"/>
      </w:pPr>
      <w:r>
        <w:rPr>
          <w:rStyle w:val="FootnoteReference"/>
        </w:rPr>
        <w:footnoteRef/>
      </w:r>
      <w:r>
        <w:t xml:space="preserve"> </w:t>
      </w:r>
      <w:r w:rsidRPr="00EB49FF">
        <w:t xml:space="preserve">These four NDA surveys are </w:t>
      </w:r>
      <w:r>
        <w:t xml:space="preserve">available at the following link </w:t>
      </w:r>
      <w:hyperlink r:id="rId2" w:history="1">
        <w:r w:rsidRPr="00EB49FF">
          <w:rPr>
            <w:rStyle w:val="Hyperlink"/>
          </w:rPr>
          <w:t>https://nda.ie/publications/attitudes/public-attitudes-to-disability-in-ireland-surveys/</w:t>
        </w:r>
      </w:hyperlink>
    </w:p>
  </w:footnote>
  <w:footnote w:id="40">
    <w:p w14:paraId="5A2BA865" w14:textId="7396CB3F" w:rsidR="00C644DA" w:rsidRDefault="00C644DA" w:rsidP="000D3C72">
      <w:pPr>
        <w:pStyle w:val="FootnoteText"/>
      </w:pPr>
      <w:r>
        <w:rPr>
          <w:rStyle w:val="FootnoteReference"/>
        </w:rPr>
        <w:footnoteRef/>
      </w:r>
      <w:r>
        <w:t xml:space="preserve"> Freer, 2021</w:t>
      </w:r>
    </w:p>
  </w:footnote>
  <w:footnote w:id="41">
    <w:p w14:paraId="57E81E74" w14:textId="136EF0C4" w:rsidR="00C644DA" w:rsidRDefault="00C644DA" w:rsidP="00513442">
      <w:pPr>
        <w:pStyle w:val="FootnoteText"/>
      </w:pPr>
      <w:r>
        <w:rPr>
          <w:rStyle w:val="FootnoteReference"/>
        </w:rPr>
        <w:footnoteRef/>
      </w:r>
      <w:r>
        <w:t xml:space="preserve"> Thompson et al, 2011</w:t>
      </w:r>
    </w:p>
  </w:footnote>
  <w:footnote w:id="42">
    <w:p w14:paraId="07F16437" w14:textId="6F42895A" w:rsidR="00C644DA" w:rsidRDefault="00C644DA">
      <w:pPr>
        <w:pStyle w:val="FootnoteText"/>
      </w:pPr>
      <w:r>
        <w:rPr>
          <w:rStyle w:val="FootnoteReference"/>
        </w:rPr>
        <w:footnoteRef/>
      </w:r>
      <w:r>
        <w:t xml:space="preserve"> </w:t>
      </w:r>
      <w:r w:rsidRPr="007E3409">
        <w:t>Hui et al</w:t>
      </w:r>
      <w:r>
        <w:t>.</w:t>
      </w:r>
      <w:r w:rsidRPr="007E3409">
        <w:t>, 1992</w:t>
      </w:r>
    </w:p>
  </w:footnote>
  <w:footnote w:id="43">
    <w:p w14:paraId="6E50C4FD" w14:textId="03413659" w:rsidR="00C644DA" w:rsidRDefault="00C644DA">
      <w:pPr>
        <w:pStyle w:val="FootnoteText"/>
      </w:pPr>
      <w:r>
        <w:rPr>
          <w:rStyle w:val="FootnoteReference"/>
        </w:rPr>
        <w:footnoteRef/>
      </w:r>
      <w:r>
        <w:t xml:space="preserve"> Hui et al., 1992</w:t>
      </w:r>
    </w:p>
  </w:footnote>
  <w:footnote w:id="44">
    <w:p w14:paraId="627BF87D" w14:textId="741858A0" w:rsidR="00C644DA" w:rsidRDefault="00C644DA" w:rsidP="000E6077">
      <w:pPr>
        <w:pStyle w:val="FootnoteText"/>
      </w:pPr>
      <w:r>
        <w:rPr>
          <w:rStyle w:val="FootnoteReference"/>
        </w:rPr>
        <w:footnoteRef/>
      </w:r>
      <w:r>
        <w:t xml:space="preserve"> Banks et al., 2018</w:t>
      </w:r>
    </w:p>
  </w:footnote>
  <w:footnote w:id="45">
    <w:p w14:paraId="48F8AF46" w14:textId="77777777" w:rsidR="00C644DA" w:rsidRDefault="00C644DA" w:rsidP="00E52E6A">
      <w:pPr>
        <w:pStyle w:val="FootnoteText"/>
      </w:pPr>
      <w:r>
        <w:rPr>
          <w:rStyle w:val="FootnoteReference"/>
        </w:rPr>
        <w:footnoteRef/>
      </w:r>
      <w:r>
        <w:t xml:space="preserve"> </w:t>
      </w:r>
      <w:r w:rsidRPr="00A54647">
        <w:t xml:space="preserve">The survey data </w:t>
      </w:r>
      <w:r>
        <w:t xml:space="preserve">came </w:t>
      </w:r>
      <w:r w:rsidRPr="00A54647">
        <w:t xml:space="preserve">from a set of questions </w:t>
      </w:r>
      <w:r>
        <w:t xml:space="preserve">that </w:t>
      </w:r>
      <w:r w:rsidRPr="00A54647">
        <w:t xml:space="preserve">Scope funded </w:t>
      </w:r>
      <w:r>
        <w:t>to be included in</w:t>
      </w:r>
      <w:r w:rsidRPr="00A54647">
        <w:t xml:space="preserve"> the 2017 British Social Attitudes survey (BSA survey)</w:t>
      </w:r>
      <w:r>
        <w:t>.</w:t>
      </w:r>
    </w:p>
  </w:footnote>
  <w:footnote w:id="46">
    <w:p w14:paraId="0768DE6F" w14:textId="222D0626" w:rsidR="00C644DA" w:rsidRDefault="00C644DA" w:rsidP="00E52E6A">
      <w:pPr>
        <w:pStyle w:val="FootnoteText"/>
      </w:pPr>
      <w:r>
        <w:rPr>
          <w:rStyle w:val="FootnoteReference"/>
        </w:rPr>
        <w:footnoteRef/>
      </w:r>
      <w:r>
        <w:t xml:space="preserve"> </w:t>
      </w:r>
      <w:r w:rsidRPr="00AD4766">
        <w:t>Dix</w:t>
      </w:r>
      <w:r>
        <w:t>on et al</w:t>
      </w:r>
      <w:r w:rsidRPr="00AD4766">
        <w:t>., 2018</w:t>
      </w:r>
    </w:p>
  </w:footnote>
  <w:footnote w:id="47">
    <w:p w14:paraId="5D29FF2C" w14:textId="6F8072BA" w:rsidR="00C644DA" w:rsidRDefault="00C644DA" w:rsidP="00E52E6A">
      <w:pPr>
        <w:pStyle w:val="FootnoteText"/>
      </w:pPr>
      <w:r>
        <w:rPr>
          <w:rStyle w:val="FootnoteReference"/>
        </w:rPr>
        <w:footnoteRef/>
      </w:r>
      <w:r>
        <w:t xml:space="preserve"> P.6-7, </w:t>
      </w:r>
      <w:r w:rsidRPr="00251AEB">
        <w:t>Dixon et al., 2018</w:t>
      </w:r>
    </w:p>
  </w:footnote>
  <w:footnote w:id="48">
    <w:p w14:paraId="2F2F1354" w14:textId="75FB29E0" w:rsidR="00C644DA" w:rsidRDefault="00C644DA" w:rsidP="00E52E6A">
      <w:pPr>
        <w:pStyle w:val="FootnoteText"/>
      </w:pPr>
      <w:r>
        <w:rPr>
          <w:rStyle w:val="FootnoteReference"/>
        </w:rPr>
        <w:footnoteRef/>
      </w:r>
      <w:r>
        <w:t xml:space="preserve"> Moss et al., 2022</w:t>
      </w:r>
    </w:p>
  </w:footnote>
  <w:footnote w:id="49">
    <w:p w14:paraId="3C0536E9" w14:textId="76BC987C" w:rsidR="00C644DA" w:rsidRPr="00F46C67" w:rsidRDefault="00C644DA" w:rsidP="003A12C1">
      <w:pPr>
        <w:pStyle w:val="FootnoteText"/>
        <w:rPr>
          <w:bCs/>
        </w:rPr>
      </w:pPr>
      <w:r>
        <w:rPr>
          <w:rStyle w:val="FootnoteReference"/>
        </w:rPr>
        <w:footnoteRef/>
      </w:r>
      <w:r>
        <w:t xml:space="preserve"> </w:t>
      </w:r>
      <w:proofErr w:type="spellStart"/>
      <w:r w:rsidRPr="00E31637">
        <w:rPr>
          <w:iCs/>
        </w:rPr>
        <w:t>Gauntlett</w:t>
      </w:r>
      <w:proofErr w:type="spellEnd"/>
      <w:r>
        <w:rPr>
          <w:iCs/>
        </w:rPr>
        <w:t>,</w:t>
      </w:r>
      <w:r w:rsidRPr="00E31637">
        <w:rPr>
          <w:iCs/>
        </w:rPr>
        <w:t> </w:t>
      </w:r>
      <w:r>
        <w:rPr>
          <w:iCs/>
        </w:rPr>
        <w:t>2019</w:t>
      </w:r>
    </w:p>
  </w:footnote>
  <w:footnote w:id="50">
    <w:p w14:paraId="2F1867BB" w14:textId="59DA5BF0" w:rsidR="00C644DA" w:rsidRDefault="00C644DA" w:rsidP="00E52E6A">
      <w:pPr>
        <w:pStyle w:val="FootnoteText"/>
      </w:pPr>
      <w:r>
        <w:rPr>
          <w:rStyle w:val="FootnoteReference"/>
        </w:rPr>
        <w:footnoteRef/>
      </w:r>
      <w:r>
        <w:t xml:space="preserve"> </w:t>
      </w:r>
      <w:proofErr w:type="spellStart"/>
      <w:r>
        <w:t>Bollier</w:t>
      </w:r>
      <w:proofErr w:type="spellEnd"/>
      <w:r>
        <w:t xml:space="preserve"> et al., </w:t>
      </w:r>
      <w:r w:rsidRPr="003476BB">
        <w:t>2021</w:t>
      </w:r>
    </w:p>
  </w:footnote>
  <w:footnote w:id="51">
    <w:p w14:paraId="565037AA" w14:textId="2CA0355A" w:rsidR="00C644DA" w:rsidRDefault="00C644DA" w:rsidP="00904EFC">
      <w:pPr>
        <w:pStyle w:val="FootnoteText"/>
      </w:pPr>
      <w:r>
        <w:rPr>
          <w:rStyle w:val="FootnoteReference"/>
        </w:rPr>
        <w:footnoteRef/>
      </w:r>
      <w:r>
        <w:t xml:space="preserve"> </w:t>
      </w:r>
      <w:proofErr w:type="spellStart"/>
      <w:r w:rsidRPr="00D86705">
        <w:t>Pelleboer</w:t>
      </w:r>
      <w:r w:rsidRPr="00D86705">
        <w:rPr>
          <w:rFonts w:ascii="Cambria Math" w:hAnsi="Cambria Math" w:cs="Cambria Math"/>
        </w:rPr>
        <w:t>‐</w:t>
      </w:r>
      <w:r>
        <w:t>Gunnink</w:t>
      </w:r>
      <w:proofErr w:type="spellEnd"/>
      <w:r>
        <w:t xml:space="preserve"> et al., </w:t>
      </w:r>
      <w:r w:rsidRPr="00D86705">
        <w:t>20</w:t>
      </w:r>
      <w:r>
        <w:t>17</w:t>
      </w:r>
    </w:p>
  </w:footnote>
  <w:footnote w:id="52">
    <w:p w14:paraId="5E746094" w14:textId="651AEC91" w:rsidR="00C644DA" w:rsidRDefault="00C644DA" w:rsidP="00904EFC">
      <w:pPr>
        <w:pStyle w:val="FootnoteText"/>
      </w:pPr>
      <w:r>
        <w:rPr>
          <w:rStyle w:val="FootnoteReference"/>
        </w:rPr>
        <w:footnoteRef/>
      </w:r>
      <w:r>
        <w:t xml:space="preserve"> </w:t>
      </w:r>
      <w:proofErr w:type="spellStart"/>
      <w:r w:rsidRPr="00D86705">
        <w:t>Pelleboer</w:t>
      </w:r>
      <w:r w:rsidRPr="00D86705">
        <w:rPr>
          <w:rFonts w:ascii="Cambria Math" w:hAnsi="Cambria Math" w:cs="Cambria Math"/>
        </w:rPr>
        <w:t>‐</w:t>
      </w:r>
      <w:r>
        <w:t>Gunnink</w:t>
      </w:r>
      <w:proofErr w:type="spellEnd"/>
      <w:r>
        <w:t xml:space="preserve"> et al., </w:t>
      </w:r>
      <w:r w:rsidRPr="00D86705">
        <w:t>20</w:t>
      </w:r>
      <w:r>
        <w:t>17</w:t>
      </w:r>
    </w:p>
  </w:footnote>
  <w:footnote w:id="53">
    <w:p w14:paraId="31A9F638" w14:textId="5CE207DD" w:rsidR="00C644DA" w:rsidRDefault="00C644DA" w:rsidP="00904EFC">
      <w:pPr>
        <w:pStyle w:val="FootnoteText"/>
      </w:pPr>
      <w:r>
        <w:rPr>
          <w:rStyle w:val="FootnoteReference"/>
        </w:rPr>
        <w:footnoteRef/>
      </w:r>
      <w:r>
        <w:t xml:space="preserve"> </w:t>
      </w:r>
      <w:proofErr w:type="spellStart"/>
      <w:r w:rsidRPr="00D86705">
        <w:t>Pelleboer</w:t>
      </w:r>
      <w:r w:rsidRPr="00D86705">
        <w:rPr>
          <w:rFonts w:ascii="Cambria Math" w:hAnsi="Cambria Math" w:cs="Cambria Math"/>
        </w:rPr>
        <w:t>‐</w:t>
      </w:r>
      <w:r>
        <w:t>Gunnink</w:t>
      </w:r>
      <w:proofErr w:type="spellEnd"/>
      <w:r>
        <w:t xml:space="preserve"> et al., </w:t>
      </w:r>
      <w:r w:rsidRPr="00D86705">
        <w:t>20</w:t>
      </w:r>
      <w:r>
        <w:t>17</w:t>
      </w:r>
    </w:p>
  </w:footnote>
  <w:footnote w:id="54">
    <w:p w14:paraId="60577DC3" w14:textId="08E6817B" w:rsidR="00C644DA" w:rsidRDefault="00C644DA" w:rsidP="00904EFC">
      <w:pPr>
        <w:pStyle w:val="FootnoteText"/>
      </w:pPr>
      <w:r>
        <w:rPr>
          <w:rStyle w:val="FootnoteReference"/>
        </w:rPr>
        <w:footnoteRef/>
      </w:r>
      <w:r>
        <w:t xml:space="preserve"> </w:t>
      </w:r>
      <w:proofErr w:type="spellStart"/>
      <w:r>
        <w:t>Pelleboer-Gunnink</w:t>
      </w:r>
      <w:proofErr w:type="spellEnd"/>
      <w:r>
        <w:t xml:space="preserve"> et al., 2021</w:t>
      </w:r>
    </w:p>
  </w:footnote>
  <w:footnote w:id="55">
    <w:p w14:paraId="17807D41" w14:textId="7F0198B7" w:rsidR="00C644DA" w:rsidRDefault="00C644DA">
      <w:pPr>
        <w:pStyle w:val="FootnoteText"/>
      </w:pPr>
      <w:r>
        <w:rPr>
          <w:rStyle w:val="FootnoteReference"/>
        </w:rPr>
        <w:footnoteRef/>
      </w:r>
      <w:r>
        <w:t xml:space="preserve"> </w:t>
      </w:r>
      <w:bookmarkStart w:id="7" w:name="_Toc109895487"/>
      <w:r>
        <w:t>Freer, 2021</w:t>
      </w:r>
      <w:bookmarkEnd w:id="7"/>
    </w:p>
  </w:footnote>
  <w:footnote w:id="56">
    <w:p w14:paraId="3B847DC3" w14:textId="2FD71A67" w:rsidR="00C644DA" w:rsidRPr="00525ED6" w:rsidRDefault="00C644DA" w:rsidP="00525ED6">
      <w:pPr>
        <w:pStyle w:val="FootnoteText"/>
        <w:rPr>
          <w:b/>
          <w:bCs/>
        </w:rPr>
      </w:pPr>
      <w:r>
        <w:rPr>
          <w:rStyle w:val="FootnoteReference"/>
        </w:rPr>
        <w:footnoteRef/>
      </w:r>
      <w:r>
        <w:t xml:space="preserve"> </w:t>
      </w:r>
      <w:proofErr w:type="spellStart"/>
      <w:r>
        <w:rPr>
          <w:bCs/>
        </w:rPr>
        <w:t>Fira</w:t>
      </w:r>
      <w:proofErr w:type="spellEnd"/>
      <w:r>
        <w:rPr>
          <w:bCs/>
        </w:rPr>
        <w:t xml:space="preserve"> et al., </w:t>
      </w:r>
      <w:r w:rsidRPr="00525ED6">
        <w:rPr>
          <w:bCs/>
        </w:rPr>
        <w:t>2022</w:t>
      </w:r>
      <w:r>
        <w:t xml:space="preserve"> </w:t>
      </w:r>
    </w:p>
  </w:footnote>
  <w:footnote w:id="57">
    <w:p w14:paraId="5FD543A2" w14:textId="059735F4" w:rsidR="00C644DA" w:rsidRDefault="00C644DA" w:rsidP="00525ED6">
      <w:pPr>
        <w:pStyle w:val="FootnoteText"/>
      </w:pPr>
      <w:r>
        <w:rPr>
          <w:rStyle w:val="FootnoteReference"/>
        </w:rPr>
        <w:footnoteRef/>
      </w:r>
      <w:r>
        <w:t xml:space="preserve"> </w:t>
      </w:r>
      <w:proofErr w:type="spellStart"/>
      <w:r>
        <w:t>Scior</w:t>
      </w:r>
      <w:proofErr w:type="spellEnd"/>
      <w:r>
        <w:t>, 2011</w:t>
      </w:r>
    </w:p>
  </w:footnote>
  <w:footnote w:id="58">
    <w:p w14:paraId="3751F12B" w14:textId="7EC395C0" w:rsidR="00C644DA" w:rsidRDefault="00C644DA">
      <w:pPr>
        <w:pStyle w:val="FootnoteText"/>
      </w:pPr>
      <w:r>
        <w:rPr>
          <w:rStyle w:val="FootnoteReference"/>
        </w:rPr>
        <w:footnoteRef/>
      </w:r>
      <w:r>
        <w:t xml:space="preserve"> Haft et al., 2</w:t>
      </w:r>
      <w:r w:rsidRPr="00DE31FF">
        <w:t>022</w:t>
      </w:r>
      <w:r>
        <w:t xml:space="preserve"> </w:t>
      </w:r>
    </w:p>
  </w:footnote>
  <w:footnote w:id="59">
    <w:p w14:paraId="5D9DCE32" w14:textId="171D124A" w:rsidR="00C644DA" w:rsidRDefault="00C644DA">
      <w:pPr>
        <w:pStyle w:val="FootnoteText"/>
      </w:pPr>
      <w:r>
        <w:rPr>
          <w:rStyle w:val="FootnoteReference"/>
        </w:rPr>
        <w:footnoteRef/>
      </w:r>
      <w:r>
        <w:t xml:space="preserve"> For example: Jackson-Best et al., 2018</w:t>
      </w:r>
    </w:p>
  </w:footnote>
  <w:footnote w:id="60">
    <w:p w14:paraId="09FC2A43" w14:textId="0615519A" w:rsidR="00C644DA" w:rsidRDefault="00C644DA">
      <w:pPr>
        <w:pStyle w:val="FootnoteText"/>
      </w:pPr>
      <w:r>
        <w:rPr>
          <w:rStyle w:val="FootnoteReference"/>
        </w:rPr>
        <w:footnoteRef/>
      </w:r>
      <w:r>
        <w:t xml:space="preserve"> </w:t>
      </w:r>
      <w:proofErr w:type="spellStart"/>
      <w:r>
        <w:t>Smythe</w:t>
      </w:r>
      <w:proofErr w:type="spellEnd"/>
      <w:r>
        <w:t xml:space="preserve"> et al., 2020</w:t>
      </w:r>
    </w:p>
  </w:footnote>
  <w:footnote w:id="61">
    <w:p w14:paraId="01984948" w14:textId="4CB44276" w:rsidR="00C644DA" w:rsidRPr="00F134EB" w:rsidRDefault="00C644DA">
      <w:pPr>
        <w:pStyle w:val="FootnoteText"/>
        <w:rPr>
          <w:rFonts w:ascii="Segoe UI" w:hAnsi="Segoe UI" w:cs="Segoe UI"/>
          <w:color w:val="212121"/>
          <w:sz w:val="26"/>
          <w:szCs w:val="24"/>
          <w:shd w:val="clear" w:color="auto" w:fill="FFFFFF"/>
        </w:rPr>
      </w:pPr>
      <w:r>
        <w:rPr>
          <w:rStyle w:val="FootnoteReference"/>
        </w:rPr>
        <w:footnoteRef/>
      </w:r>
      <w:r>
        <w:t xml:space="preserve"> </w:t>
      </w:r>
      <w:r w:rsidR="0038470B">
        <w:t>Courtesy stigma is s</w:t>
      </w:r>
      <w:r w:rsidRPr="009E73FD">
        <w:rPr>
          <w:bCs/>
        </w:rPr>
        <w:t xml:space="preserve">tigma among family members </w:t>
      </w:r>
      <w:r>
        <w:rPr>
          <w:bCs/>
        </w:rPr>
        <w:t xml:space="preserve">who are caregivers. It is their perception of public stereotypes. </w:t>
      </w:r>
      <w:r w:rsidR="0038470B">
        <w:rPr>
          <w:bCs/>
        </w:rPr>
        <w:t xml:space="preserve">Affiliate stigma is when </w:t>
      </w:r>
      <w:r>
        <w:rPr>
          <w:bCs/>
        </w:rPr>
        <w:t>they internalise the</w:t>
      </w:r>
      <w:r w:rsidR="0038470B">
        <w:rPr>
          <w:bCs/>
        </w:rPr>
        <w:t>ir perception of public stereotypes</w:t>
      </w:r>
      <w:r w:rsidRPr="009E73FD">
        <w:t xml:space="preserve">. </w:t>
      </w:r>
      <w:r>
        <w:t>A study among Israeli-Arab caregivers of persons with dementia found that 50%</w:t>
      </w:r>
      <w:r w:rsidRPr="00F5396C">
        <w:rPr>
          <w:rFonts w:ascii="Segoe UI" w:hAnsi="Segoe UI" w:cs="Segoe UI"/>
          <w:color w:val="212121"/>
          <w:sz w:val="26"/>
          <w:szCs w:val="24"/>
          <w:shd w:val="clear" w:color="auto" w:fill="FFFFFF"/>
        </w:rPr>
        <w:t xml:space="preserve"> </w:t>
      </w:r>
      <w:r>
        <w:t>experienced</w:t>
      </w:r>
      <w:r w:rsidRPr="00F5396C">
        <w:t xml:space="preserve"> affiliate stigma because of </w:t>
      </w:r>
      <w:r>
        <w:t xml:space="preserve">caring for </w:t>
      </w:r>
      <w:r w:rsidRPr="00F5396C">
        <w:t xml:space="preserve">a relative with dementia. </w:t>
      </w:r>
      <w:r>
        <w:t>Lower educational level</w:t>
      </w:r>
      <w:r w:rsidRPr="00F5396C">
        <w:t xml:space="preserve"> increased courtesy stigma and lower levels of social support </w:t>
      </w:r>
      <w:r>
        <w:t xml:space="preserve">predicted </w:t>
      </w:r>
      <w:r w:rsidRPr="00F5396C">
        <w:t>affiliate stigma. Social support partially mediated the association between courtesy and affiliate stigma.</w:t>
      </w:r>
      <w:r>
        <w:t xml:space="preserve"> Werner et al.,</w:t>
      </w:r>
      <w:r w:rsidRPr="00870994">
        <w:t xml:space="preserve"> </w:t>
      </w:r>
      <w:r>
        <w:t xml:space="preserve">2020 </w:t>
      </w:r>
    </w:p>
  </w:footnote>
  <w:footnote w:id="62">
    <w:p w14:paraId="29EDF481" w14:textId="1FE9D03D" w:rsidR="00C644DA" w:rsidRDefault="00C644DA" w:rsidP="00770D88">
      <w:pPr>
        <w:pStyle w:val="FootnoteText"/>
      </w:pPr>
      <w:r>
        <w:rPr>
          <w:rStyle w:val="FootnoteReference"/>
        </w:rPr>
        <w:footnoteRef/>
      </w:r>
      <w:r>
        <w:t xml:space="preserve"> Ali A et al., 2012 Note:</w:t>
      </w:r>
      <w:r>
        <w:rPr>
          <w:sz w:val="26"/>
          <w:szCs w:val="26"/>
        </w:rPr>
        <w:t xml:space="preserve"> </w:t>
      </w:r>
      <w:r w:rsidRPr="0006529E">
        <w:t>Most of the studies were qualitative or small descriptive studies</w:t>
      </w:r>
      <w:r>
        <w:t>.</w:t>
      </w:r>
    </w:p>
  </w:footnote>
  <w:footnote w:id="63">
    <w:p w14:paraId="5DF63F7B" w14:textId="12140F15" w:rsidR="00C644DA" w:rsidRDefault="00C644DA" w:rsidP="005940DF">
      <w:pPr>
        <w:pStyle w:val="FootnoteText"/>
      </w:pPr>
      <w:r>
        <w:rPr>
          <w:rStyle w:val="FootnoteReference"/>
        </w:rPr>
        <w:footnoteRef/>
      </w:r>
      <w:r>
        <w:t xml:space="preserve"> Werner et al., 2012;</w:t>
      </w:r>
      <w:r w:rsidRPr="00687032">
        <w:t xml:space="preserve"> Dixon et al., 2018; </w:t>
      </w:r>
      <w:proofErr w:type="spellStart"/>
      <w:r w:rsidRPr="00687032">
        <w:t>Antonak</w:t>
      </w:r>
      <w:proofErr w:type="spellEnd"/>
      <w:r w:rsidRPr="00687032">
        <w:t xml:space="preserve"> et al., 2000; </w:t>
      </w:r>
      <w:proofErr w:type="spellStart"/>
      <w:r w:rsidRPr="00687032">
        <w:t>Findler</w:t>
      </w:r>
      <w:proofErr w:type="spellEnd"/>
      <w:r w:rsidRPr="00687032">
        <w:t xml:space="preserve"> et al., 2007 </w:t>
      </w:r>
    </w:p>
  </w:footnote>
  <w:footnote w:id="64">
    <w:p w14:paraId="2F50369C" w14:textId="55074C93" w:rsidR="00C644DA" w:rsidRDefault="00C644DA" w:rsidP="005940DF">
      <w:pPr>
        <w:pStyle w:val="FootnoteText"/>
      </w:pPr>
      <w:r>
        <w:rPr>
          <w:rStyle w:val="FootnoteReference"/>
        </w:rPr>
        <w:footnoteRef/>
      </w:r>
      <w:r>
        <w:t xml:space="preserve"> Family CA, 2009</w:t>
      </w:r>
    </w:p>
  </w:footnote>
  <w:footnote w:id="65">
    <w:p w14:paraId="334BCE9F" w14:textId="34CB117B" w:rsidR="00C644DA" w:rsidRDefault="00C644DA" w:rsidP="007614A4">
      <w:pPr>
        <w:pStyle w:val="FootnoteText"/>
      </w:pPr>
      <w:r>
        <w:rPr>
          <w:rStyle w:val="FootnoteReference"/>
        </w:rPr>
        <w:footnoteRef/>
      </w:r>
      <w:r>
        <w:t xml:space="preserve"> </w:t>
      </w:r>
      <w:proofErr w:type="spellStart"/>
      <w:r>
        <w:t>Kleintjes</w:t>
      </w:r>
      <w:proofErr w:type="spellEnd"/>
      <w:r>
        <w:t xml:space="preserve"> et al., 2013</w:t>
      </w:r>
    </w:p>
  </w:footnote>
  <w:footnote w:id="66">
    <w:p w14:paraId="7E427C54" w14:textId="1EA1D080" w:rsidR="00C644DA" w:rsidRDefault="00C644DA" w:rsidP="007614A4">
      <w:pPr>
        <w:pStyle w:val="FootnoteText"/>
      </w:pPr>
      <w:r>
        <w:rPr>
          <w:rStyle w:val="FootnoteReference"/>
        </w:rPr>
        <w:footnoteRef/>
      </w:r>
      <w:r>
        <w:t xml:space="preserve"> </w:t>
      </w:r>
      <w:proofErr w:type="spellStart"/>
      <w:r>
        <w:t>Scior</w:t>
      </w:r>
      <w:proofErr w:type="spellEnd"/>
      <w:r>
        <w:t xml:space="preserve">, 2011; </w:t>
      </w:r>
      <w:proofErr w:type="spellStart"/>
      <w:r w:rsidRPr="00E45E93">
        <w:t>Verdonschot</w:t>
      </w:r>
      <w:proofErr w:type="spellEnd"/>
      <w:r w:rsidRPr="00E45E93">
        <w:t xml:space="preserve"> </w:t>
      </w:r>
      <w:r>
        <w:t>et al;</w:t>
      </w:r>
    </w:p>
  </w:footnote>
  <w:footnote w:id="67">
    <w:p w14:paraId="57A8A929" w14:textId="5E47D137" w:rsidR="00C644DA" w:rsidRDefault="00C644DA" w:rsidP="007614A4">
      <w:pPr>
        <w:pStyle w:val="FootnoteText"/>
      </w:pPr>
      <w:r>
        <w:rPr>
          <w:rStyle w:val="FootnoteReference"/>
        </w:rPr>
        <w:footnoteRef/>
      </w:r>
      <w:r>
        <w:t xml:space="preserve"> </w:t>
      </w:r>
      <w:proofErr w:type="spellStart"/>
      <w:r>
        <w:t>Krahn</w:t>
      </w:r>
      <w:proofErr w:type="spellEnd"/>
      <w:r>
        <w:t xml:space="preserve"> et al., </w:t>
      </w:r>
      <w:r w:rsidRPr="009E5753">
        <w:t>2015</w:t>
      </w:r>
    </w:p>
  </w:footnote>
  <w:footnote w:id="68">
    <w:p w14:paraId="2CDFA27E" w14:textId="07567751" w:rsidR="00C644DA" w:rsidRDefault="00C644DA" w:rsidP="00CB4B2B">
      <w:pPr>
        <w:pStyle w:val="FootnoteText"/>
      </w:pPr>
      <w:r>
        <w:rPr>
          <w:rStyle w:val="FootnoteReference"/>
        </w:rPr>
        <w:footnoteRef/>
      </w:r>
      <w:r>
        <w:t xml:space="preserve"> Corrigan et al</w:t>
      </w:r>
      <w:r w:rsidRPr="009E5753">
        <w:t>.</w:t>
      </w:r>
      <w:r>
        <w:t>, 2014 as cited by Castillo et al., 2020</w:t>
      </w:r>
    </w:p>
  </w:footnote>
  <w:footnote w:id="69">
    <w:p w14:paraId="345099D0" w14:textId="3F799857" w:rsidR="00C644DA" w:rsidRPr="00693AB6" w:rsidRDefault="00C644DA" w:rsidP="00AB4681">
      <w:pPr>
        <w:pStyle w:val="FootnoteText"/>
        <w:rPr>
          <w:bCs/>
        </w:rPr>
      </w:pPr>
      <w:r>
        <w:rPr>
          <w:rStyle w:val="FootnoteReference"/>
        </w:rPr>
        <w:footnoteRef/>
      </w:r>
      <w:r>
        <w:t xml:space="preserve"> </w:t>
      </w:r>
      <w:proofErr w:type="spellStart"/>
      <w:r>
        <w:t>Albarracin</w:t>
      </w:r>
      <w:proofErr w:type="spellEnd"/>
      <w:r>
        <w:t>, 2018</w:t>
      </w:r>
    </w:p>
  </w:footnote>
  <w:footnote w:id="70">
    <w:p w14:paraId="34596456" w14:textId="3EF5E4AA" w:rsidR="00C644DA" w:rsidRDefault="00C644DA" w:rsidP="00895F91">
      <w:pPr>
        <w:pStyle w:val="FootnoteText"/>
      </w:pPr>
      <w:r>
        <w:rPr>
          <w:rStyle w:val="FootnoteReference"/>
        </w:rPr>
        <w:footnoteRef/>
      </w:r>
      <w:r>
        <w:t xml:space="preserve"> </w:t>
      </w:r>
      <w:r w:rsidRPr="005364D5">
        <w:t>Fisher</w:t>
      </w:r>
      <w:r>
        <w:t xml:space="preserve"> et al., 2022</w:t>
      </w:r>
      <w:r w:rsidRPr="005364D5">
        <w:t xml:space="preserve"> </w:t>
      </w:r>
    </w:p>
  </w:footnote>
  <w:footnote w:id="71">
    <w:p w14:paraId="398F6BCF" w14:textId="20C2F5C4" w:rsidR="00C644DA" w:rsidRPr="00D95708" w:rsidRDefault="00C644DA" w:rsidP="007A71AE">
      <w:pPr>
        <w:pStyle w:val="FootnoteText"/>
      </w:pPr>
      <w:r>
        <w:rPr>
          <w:rStyle w:val="FootnoteReference"/>
        </w:rPr>
        <w:footnoteRef/>
      </w:r>
      <w:r>
        <w:t xml:space="preserve"> Bar-Tal et al., 2017</w:t>
      </w:r>
    </w:p>
  </w:footnote>
  <w:footnote w:id="72">
    <w:p w14:paraId="0A773C68" w14:textId="4DE72212" w:rsidR="00C644DA" w:rsidRPr="00610CBA" w:rsidRDefault="00C644DA" w:rsidP="00CD5D51">
      <w:pPr>
        <w:spacing w:after="120"/>
        <w:rPr>
          <w:bCs/>
          <w:sz w:val="22"/>
          <w:szCs w:val="22"/>
        </w:rPr>
      </w:pPr>
      <w:r>
        <w:rPr>
          <w:rStyle w:val="FootnoteReference"/>
        </w:rPr>
        <w:footnoteRef/>
      </w:r>
      <w:r>
        <w:t xml:space="preserve"> </w:t>
      </w:r>
      <w:proofErr w:type="spellStart"/>
      <w:r>
        <w:rPr>
          <w:sz w:val="22"/>
          <w:szCs w:val="22"/>
        </w:rPr>
        <w:t>Albaracin</w:t>
      </w:r>
      <w:proofErr w:type="spellEnd"/>
      <w:r>
        <w:rPr>
          <w:sz w:val="22"/>
          <w:szCs w:val="22"/>
        </w:rPr>
        <w:t xml:space="preserve"> et al, 2005</w:t>
      </w:r>
      <w:r w:rsidRPr="00693AB6">
        <w:rPr>
          <w:sz w:val="22"/>
          <w:szCs w:val="22"/>
        </w:rPr>
        <w:t xml:space="preserve"> </w:t>
      </w:r>
      <w:r>
        <w:rPr>
          <w:bCs/>
          <w:sz w:val="22"/>
          <w:szCs w:val="22"/>
        </w:rPr>
        <w:t xml:space="preserve">Note: A 2018 second edition of this handbook is available </w:t>
      </w:r>
    </w:p>
  </w:footnote>
  <w:footnote w:id="73">
    <w:p w14:paraId="66AF8E7A" w14:textId="77777777" w:rsidR="00C644DA" w:rsidRDefault="00C644DA" w:rsidP="002B5817">
      <w:pPr>
        <w:pStyle w:val="FootnoteText"/>
      </w:pPr>
      <w:r>
        <w:rPr>
          <w:rStyle w:val="FootnoteReference"/>
        </w:rPr>
        <w:footnoteRef/>
      </w:r>
      <w:r>
        <w:t xml:space="preserve"> Bar-Tal et al., 2009</w:t>
      </w:r>
    </w:p>
  </w:footnote>
  <w:footnote w:id="74">
    <w:p w14:paraId="77F9CD49" w14:textId="77777777" w:rsidR="00C644DA" w:rsidRPr="00E35D7D" w:rsidRDefault="00C644DA" w:rsidP="002B5817">
      <w:pPr>
        <w:pStyle w:val="FootnoteText"/>
        <w:rPr>
          <w:bCs/>
        </w:rPr>
      </w:pPr>
      <w:r>
        <w:rPr>
          <w:rStyle w:val="FootnoteReference"/>
        </w:rPr>
        <w:footnoteRef/>
      </w:r>
      <w:r>
        <w:t xml:space="preserve"> Bar-Tal et al, </w:t>
      </w:r>
      <w:r w:rsidRPr="00E35D7D">
        <w:t>2020</w:t>
      </w:r>
    </w:p>
  </w:footnote>
  <w:footnote w:id="75">
    <w:p w14:paraId="68867791" w14:textId="62E0F199" w:rsidR="00C644DA" w:rsidRPr="00693AB6" w:rsidRDefault="00C644DA" w:rsidP="001F32B5">
      <w:pPr>
        <w:pStyle w:val="FootnoteText"/>
        <w:rPr>
          <w:bCs/>
        </w:rPr>
      </w:pPr>
      <w:r>
        <w:rPr>
          <w:rStyle w:val="FootnoteReference"/>
        </w:rPr>
        <w:footnoteRef/>
      </w:r>
      <w:r>
        <w:t xml:space="preserve"> </w:t>
      </w:r>
      <w:proofErr w:type="spellStart"/>
      <w:r>
        <w:t>Albarracin</w:t>
      </w:r>
      <w:proofErr w:type="spellEnd"/>
      <w:r>
        <w:t xml:space="preserve"> et al, </w:t>
      </w:r>
      <w:r w:rsidRPr="00175248">
        <w:t>2018</w:t>
      </w:r>
    </w:p>
  </w:footnote>
  <w:footnote w:id="76">
    <w:p w14:paraId="1B55260B" w14:textId="2A407CF9" w:rsidR="00C644DA" w:rsidRDefault="00C644DA" w:rsidP="0041120B">
      <w:pPr>
        <w:pStyle w:val="FootnoteText"/>
      </w:pPr>
      <w:r>
        <w:rPr>
          <w:rStyle w:val="FootnoteReference"/>
        </w:rPr>
        <w:footnoteRef/>
      </w:r>
      <w:r>
        <w:t xml:space="preserve"> Dunn, </w:t>
      </w:r>
      <w:r w:rsidRPr="00A0695B">
        <w:t>2022</w:t>
      </w:r>
      <w:r>
        <w:t xml:space="preserve"> </w:t>
      </w:r>
    </w:p>
  </w:footnote>
  <w:footnote w:id="77">
    <w:p w14:paraId="2CA139AE" w14:textId="784FDD08" w:rsidR="00C644DA" w:rsidRPr="00B942B9" w:rsidRDefault="00C644DA" w:rsidP="0041120B">
      <w:pPr>
        <w:pStyle w:val="FootnoteText"/>
        <w:rPr>
          <w:bCs/>
          <w:iCs/>
        </w:rPr>
      </w:pPr>
      <w:r>
        <w:rPr>
          <w:rStyle w:val="FootnoteReference"/>
        </w:rPr>
        <w:footnoteRef/>
      </w:r>
      <w:r>
        <w:t xml:space="preserve"> Nudge interventions </w:t>
      </w:r>
      <w:r w:rsidRPr="00D55324">
        <w:t>are interventions that propel individuals to make the ‘right’ decisions by changing “aspects of the choice architecture… without forbidding any options or significantly chang</w:t>
      </w:r>
      <w:r>
        <w:t xml:space="preserve">ing their economic incentives” See, for example, </w:t>
      </w:r>
      <w:proofErr w:type="spellStart"/>
      <w:r>
        <w:t>Thaler</w:t>
      </w:r>
      <w:proofErr w:type="spellEnd"/>
      <w:r>
        <w:t xml:space="preserve"> et al., </w:t>
      </w:r>
      <w:r w:rsidRPr="002B33AD">
        <w:t>2008</w:t>
      </w:r>
      <w:r>
        <w:t xml:space="preserve">; </w:t>
      </w:r>
      <w:r>
        <w:rPr>
          <w:bCs/>
          <w:iCs/>
        </w:rPr>
        <w:t xml:space="preserve">Hummel et al., 2019 cited by Bar-Tal et al., </w:t>
      </w:r>
      <w:r w:rsidRPr="002B33AD">
        <w:rPr>
          <w:bCs/>
          <w:iCs/>
        </w:rPr>
        <w:t>2020</w:t>
      </w:r>
    </w:p>
  </w:footnote>
  <w:footnote w:id="78">
    <w:p w14:paraId="402E9F34" w14:textId="0557B5C1" w:rsidR="00C644DA" w:rsidRDefault="00C644DA">
      <w:pPr>
        <w:pStyle w:val="FootnoteText"/>
      </w:pPr>
      <w:r>
        <w:rPr>
          <w:rStyle w:val="FootnoteReference"/>
        </w:rPr>
        <w:footnoteRef/>
      </w:r>
      <w:r>
        <w:t xml:space="preserve"> </w:t>
      </w:r>
      <w:r w:rsidRPr="00910F4A">
        <w:t>Fisher</w:t>
      </w:r>
      <w:r>
        <w:t xml:space="preserve"> et al., </w:t>
      </w:r>
      <w:r w:rsidRPr="00910F4A">
        <w:t>2017 </w:t>
      </w:r>
    </w:p>
  </w:footnote>
  <w:footnote w:id="79">
    <w:p w14:paraId="579E634F" w14:textId="1C0D0E45" w:rsidR="00C644DA" w:rsidRDefault="00C644DA">
      <w:pPr>
        <w:pStyle w:val="FootnoteText"/>
      </w:pPr>
      <w:r>
        <w:rPr>
          <w:rStyle w:val="FootnoteReference"/>
        </w:rPr>
        <w:footnoteRef/>
      </w:r>
      <w:r>
        <w:t xml:space="preserve"> </w:t>
      </w:r>
      <w:proofErr w:type="spellStart"/>
      <w:r>
        <w:t>Sawrikar</w:t>
      </w:r>
      <w:proofErr w:type="spellEnd"/>
      <w:r>
        <w:t xml:space="preserve"> et al., </w:t>
      </w:r>
      <w:r w:rsidRPr="009256F8">
        <w:t>2008</w:t>
      </w:r>
      <w:r>
        <w:t xml:space="preserve"> cited by Fisher et al., 2017</w:t>
      </w:r>
    </w:p>
  </w:footnote>
  <w:footnote w:id="80">
    <w:p w14:paraId="3513A626" w14:textId="014FE9B0" w:rsidR="00C644DA" w:rsidRDefault="00C644DA">
      <w:pPr>
        <w:pStyle w:val="FootnoteText"/>
      </w:pPr>
      <w:r>
        <w:rPr>
          <w:rStyle w:val="FootnoteReference"/>
        </w:rPr>
        <w:footnoteRef/>
      </w:r>
      <w:r>
        <w:t xml:space="preserve"> Fisher et al., </w:t>
      </w:r>
      <w:r w:rsidRPr="0019299B">
        <w:t>2017</w:t>
      </w:r>
      <w:r>
        <w:t> </w:t>
      </w:r>
    </w:p>
  </w:footnote>
  <w:footnote w:id="81">
    <w:p w14:paraId="4DD9DE70" w14:textId="1684048E" w:rsidR="00C644DA" w:rsidRDefault="00C644DA">
      <w:pPr>
        <w:pStyle w:val="FootnoteText"/>
      </w:pPr>
      <w:r>
        <w:rPr>
          <w:rStyle w:val="FootnoteReference"/>
        </w:rPr>
        <w:footnoteRef/>
      </w:r>
      <w:r>
        <w:t xml:space="preserve"> Fisher et al., </w:t>
      </w:r>
      <w:r w:rsidRPr="00044F78">
        <w:t>2017 </w:t>
      </w:r>
    </w:p>
  </w:footnote>
  <w:footnote w:id="82">
    <w:p w14:paraId="59C4DC00" w14:textId="5B61CFCE" w:rsidR="00C644DA" w:rsidRDefault="00C644DA" w:rsidP="005364D5">
      <w:pPr>
        <w:pStyle w:val="FootnoteText"/>
      </w:pPr>
      <w:r>
        <w:rPr>
          <w:rStyle w:val="FootnoteReference"/>
        </w:rPr>
        <w:footnoteRef/>
      </w:r>
      <w:r>
        <w:t xml:space="preserve"> </w:t>
      </w:r>
      <w:r w:rsidRPr="00FA59A0">
        <w:t>Department of Social Se</w:t>
      </w:r>
      <w:r>
        <w:t xml:space="preserve">rvices,  Commonwealth of Australia, </w:t>
      </w:r>
      <w:r w:rsidRPr="00FA59A0">
        <w:t>2021</w:t>
      </w:r>
    </w:p>
  </w:footnote>
  <w:footnote w:id="83">
    <w:p w14:paraId="7038BF51" w14:textId="319D0980" w:rsidR="00C644DA" w:rsidRDefault="00C644DA" w:rsidP="005364D5">
      <w:pPr>
        <w:pStyle w:val="FootnoteText"/>
      </w:pPr>
      <w:r>
        <w:rPr>
          <w:rStyle w:val="FootnoteReference"/>
        </w:rPr>
        <w:footnoteRef/>
      </w:r>
      <w:r>
        <w:t xml:space="preserve"> Office of the Public Advocate, 2020</w:t>
      </w:r>
      <w:r w:rsidRPr="00BB404C">
        <w:t xml:space="preserve"> </w:t>
      </w:r>
      <w:r>
        <w:t>as cited in Australia’s Disability Strategy 2021-2031, 2021</w:t>
      </w:r>
    </w:p>
  </w:footnote>
  <w:footnote w:id="84">
    <w:p w14:paraId="4C108607" w14:textId="3EA7B54A" w:rsidR="00C644DA" w:rsidRDefault="00C644DA" w:rsidP="005364D5">
      <w:pPr>
        <w:pStyle w:val="FootnoteText"/>
      </w:pPr>
      <w:r>
        <w:rPr>
          <w:rStyle w:val="FootnoteReference"/>
        </w:rPr>
        <w:footnoteRef/>
      </w:r>
      <w:r>
        <w:t xml:space="preserve"> </w:t>
      </w:r>
      <w:r w:rsidRPr="00522E69">
        <w:t>Centre of Research Excel</w:t>
      </w:r>
      <w:r>
        <w:t xml:space="preserve">lence in Disability and Health, </w:t>
      </w:r>
      <w:r w:rsidRPr="00522E69">
        <w:t>2020</w:t>
      </w:r>
      <w:r>
        <w:t xml:space="preserve">as </w:t>
      </w:r>
      <w:r w:rsidRPr="00522E69">
        <w:t>cited in Australia’s Disability Strategy</w:t>
      </w:r>
      <w:r>
        <w:t xml:space="preserve"> 2021-2031, 2021</w:t>
      </w:r>
    </w:p>
  </w:footnote>
  <w:footnote w:id="85">
    <w:p w14:paraId="30F2A145" w14:textId="29A163C4" w:rsidR="00C644DA" w:rsidRDefault="00C644DA" w:rsidP="005364D5">
      <w:pPr>
        <w:pStyle w:val="FootnoteText"/>
      </w:pPr>
      <w:r>
        <w:rPr>
          <w:rStyle w:val="FootnoteReference"/>
        </w:rPr>
        <w:footnoteRef/>
      </w:r>
      <w:r>
        <w:t xml:space="preserve"> </w:t>
      </w:r>
      <w:r w:rsidRPr="001E165D">
        <w:t>Fisher</w:t>
      </w:r>
      <w:r>
        <w:t xml:space="preserve"> et al., 2022 </w:t>
      </w:r>
    </w:p>
  </w:footnote>
  <w:footnote w:id="86">
    <w:p w14:paraId="6721AF07" w14:textId="5548CF5B" w:rsidR="00C644DA" w:rsidRDefault="00C644DA" w:rsidP="005364D5">
      <w:pPr>
        <w:pStyle w:val="FootnoteText"/>
      </w:pPr>
      <w:r>
        <w:rPr>
          <w:rStyle w:val="FootnoteReference"/>
        </w:rPr>
        <w:footnoteRef/>
      </w:r>
      <w:r>
        <w:t xml:space="preserve"> Fisher et al., 2022</w:t>
      </w:r>
    </w:p>
  </w:footnote>
  <w:footnote w:id="87">
    <w:p w14:paraId="3A375856" w14:textId="6A17C10A" w:rsidR="00C644DA" w:rsidRDefault="00C644DA">
      <w:pPr>
        <w:pStyle w:val="FootnoteText"/>
      </w:pPr>
      <w:r>
        <w:rPr>
          <w:rStyle w:val="FootnoteReference"/>
        </w:rPr>
        <w:footnoteRef/>
      </w:r>
      <w:r>
        <w:t xml:space="preserve"> Pettigrew et al, 2005</w:t>
      </w:r>
    </w:p>
  </w:footnote>
  <w:footnote w:id="88">
    <w:p w14:paraId="7844B96D" w14:textId="2B20804E" w:rsidR="00C644DA" w:rsidRDefault="00C644DA" w:rsidP="00FA57EA">
      <w:pPr>
        <w:pStyle w:val="FootnoteText"/>
      </w:pPr>
      <w:r>
        <w:rPr>
          <w:rStyle w:val="FootnoteReference"/>
        </w:rPr>
        <w:footnoteRef/>
      </w:r>
      <w:r>
        <w:t xml:space="preserve"> Dunn, 2022 </w:t>
      </w:r>
    </w:p>
  </w:footnote>
  <w:footnote w:id="89">
    <w:p w14:paraId="7F8A70CC" w14:textId="66C04451" w:rsidR="00C644DA" w:rsidRDefault="00C644DA">
      <w:pPr>
        <w:pStyle w:val="FootnoteText"/>
      </w:pPr>
      <w:r>
        <w:rPr>
          <w:rStyle w:val="FootnoteReference"/>
        </w:rPr>
        <w:footnoteRef/>
      </w:r>
      <w:r>
        <w:t xml:space="preserve"> Pettigrew, et al, 2006; Pettigrew et al., 2008</w:t>
      </w:r>
    </w:p>
  </w:footnote>
  <w:footnote w:id="90">
    <w:p w14:paraId="7D163904" w14:textId="229A56F0" w:rsidR="00C644DA" w:rsidRDefault="00C644DA">
      <w:pPr>
        <w:pStyle w:val="FootnoteText"/>
      </w:pPr>
      <w:r>
        <w:rPr>
          <w:rStyle w:val="FootnoteReference"/>
        </w:rPr>
        <w:footnoteRef/>
      </w:r>
      <w:r>
        <w:t xml:space="preserve"> Law et al, </w:t>
      </w:r>
      <w:r w:rsidRPr="00CE3727">
        <w:t>2017</w:t>
      </w:r>
      <w:r>
        <w:t xml:space="preserve"> as cited by </w:t>
      </w:r>
      <w:r w:rsidRPr="00FA57EA">
        <w:t>Freer, 2021</w:t>
      </w:r>
    </w:p>
  </w:footnote>
  <w:footnote w:id="91">
    <w:p w14:paraId="589658D8" w14:textId="1E910EC1" w:rsidR="00C644DA" w:rsidRDefault="00C644DA" w:rsidP="00BE2566">
      <w:pPr>
        <w:pStyle w:val="FootnoteText"/>
      </w:pPr>
      <w:r>
        <w:rPr>
          <w:rStyle w:val="FootnoteReference"/>
        </w:rPr>
        <w:footnoteRef/>
      </w:r>
      <w:r>
        <w:t xml:space="preserve"> Wang et al., 2021</w:t>
      </w:r>
    </w:p>
  </w:footnote>
  <w:footnote w:id="92">
    <w:p w14:paraId="1ADB4331" w14:textId="25240665" w:rsidR="00C644DA" w:rsidRDefault="00C644DA" w:rsidP="00322EE0">
      <w:pPr>
        <w:pStyle w:val="FootnoteText"/>
      </w:pPr>
      <w:r>
        <w:rPr>
          <w:rStyle w:val="FootnoteReference"/>
        </w:rPr>
        <w:footnoteRef/>
      </w:r>
      <w:r>
        <w:t xml:space="preserve"> </w:t>
      </w:r>
      <w:proofErr w:type="spellStart"/>
      <w:r>
        <w:t>Pelleboer-Gunnink</w:t>
      </w:r>
      <w:proofErr w:type="spellEnd"/>
      <w:r>
        <w:t xml:space="preserve"> et al., 2021</w:t>
      </w:r>
      <w:r w:rsidRPr="00941C1D">
        <w:t>. The systematic review was conducted on several databases covering the period from1950 to the present</w:t>
      </w:r>
    </w:p>
  </w:footnote>
  <w:footnote w:id="93">
    <w:p w14:paraId="68AD77C7" w14:textId="77777777" w:rsidR="00C644DA" w:rsidRDefault="00C644DA" w:rsidP="00322EE0">
      <w:pPr>
        <w:pStyle w:val="FootnoteText"/>
      </w:pPr>
      <w:r>
        <w:rPr>
          <w:rStyle w:val="FootnoteReference"/>
        </w:rPr>
        <w:footnoteRef/>
      </w:r>
      <w:r>
        <w:t xml:space="preserve"> F</w:t>
      </w:r>
      <w:r w:rsidRPr="00BD7DA9">
        <w:t>ear, anger, and sympathy</w:t>
      </w:r>
      <w:r>
        <w:t xml:space="preserve"> were studied as </w:t>
      </w:r>
      <w:r w:rsidRPr="00BD7DA9">
        <w:t>mediator of the relationship between familiarity and discrimination as expressed in social distance, and intention to help</w:t>
      </w:r>
      <w:r>
        <w:t>.</w:t>
      </w:r>
      <w:r w:rsidRPr="00BD7DA9">
        <w:t xml:space="preserve"> </w:t>
      </w:r>
      <w:r>
        <w:t>A</w:t>
      </w:r>
      <w:r w:rsidRPr="00BD7DA9">
        <w:t>ttributions, emotions and discrimination</w:t>
      </w:r>
      <w:r>
        <w:t xml:space="preserve"> </w:t>
      </w:r>
      <w:r w:rsidRPr="00BD7DA9">
        <w:t>represent the cognitive, emotional, and</w:t>
      </w:r>
      <w:r>
        <w:t xml:space="preserve"> behavioural aspects of stigma.</w:t>
      </w:r>
    </w:p>
  </w:footnote>
  <w:footnote w:id="94">
    <w:p w14:paraId="61D90A59" w14:textId="4E20C95B" w:rsidR="00C644DA" w:rsidRDefault="00C644DA">
      <w:pPr>
        <w:pStyle w:val="FootnoteText"/>
      </w:pPr>
      <w:r>
        <w:rPr>
          <w:rStyle w:val="FootnoteReference"/>
        </w:rPr>
        <w:footnoteRef/>
      </w:r>
      <w:r>
        <w:t xml:space="preserve"> </w:t>
      </w:r>
      <w:proofErr w:type="spellStart"/>
      <w:r>
        <w:t>Petry</w:t>
      </w:r>
      <w:proofErr w:type="spellEnd"/>
      <w:r>
        <w:t>, 2</w:t>
      </w:r>
      <w:r w:rsidRPr="003F1023">
        <w:t>018</w:t>
      </w:r>
      <w:r>
        <w:t xml:space="preserve"> as cited by Freer, </w:t>
      </w:r>
      <w:r w:rsidRPr="003F1023">
        <w:t>2021</w:t>
      </w:r>
    </w:p>
  </w:footnote>
  <w:footnote w:id="95">
    <w:p w14:paraId="5E6ED83D" w14:textId="2D914E25" w:rsidR="00C644DA" w:rsidRDefault="00C644DA">
      <w:pPr>
        <w:pStyle w:val="FootnoteText"/>
      </w:pPr>
      <w:r>
        <w:rPr>
          <w:rStyle w:val="FootnoteReference"/>
        </w:rPr>
        <w:footnoteRef/>
      </w:r>
      <w:r>
        <w:t xml:space="preserve"> Schwab, </w:t>
      </w:r>
      <w:r w:rsidRPr="003F1023">
        <w:t>2017</w:t>
      </w:r>
      <w:r>
        <w:t xml:space="preserve"> as cited by Freer, </w:t>
      </w:r>
      <w:r w:rsidRPr="004C2D12">
        <w:t>2021</w:t>
      </w:r>
    </w:p>
  </w:footnote>
  <w:footnote w:id="96">
    <w:p w14:paraId="5D6A892E" w14:textId="79FCA0F0" w:rsidR="00C644DA" w:rsidRDefault="00C644DA">
      <w:pPr>
        <w:pStyle w:val="FootnoteText"/>
      </w:pPr>
      <w:r>
        <w:rPr>
          <w:rStyle w:val="FootnoteReference"/>
        </w:rPr>
        <w:footnoteRef/>
      </w:r>
      <w:r>
        <w:t xml:space="preserve"> Freer, </w:t>
      </w:r>
      <w:r w:rsidRPr="004C2D12">
        <w:t>2021</w:t>
      </w:r>
    </w:p>
  </w:footnote>
  <w:footnote w:id="97">
    <w:p w14:paraId="5B1D8E90" w14:textId="7BDBC5F3" w:rsidR="00C644DA" w:rsidRPr="004A76CE" w:rsidRDefault="00C644DA" w:rsidP="00B36895">
      <w:pPr>
        <w:pStyle w:val="FootnoteText"/>
      </w:pPr>
      <w:r>
        <w:rPr>
          <w:rStyle w:val="FootnoteReference"/>
        </w:rPr>
        <w:footnoteRef/>
      </w:r>
      <w:r>
        <w:t xml:space="preserve"> </w:t>
      </w:r>
      <w:bookmarkStart w:id="15" w:name="_Toc95229427"/>
      <w:r>
        <w:t xml:space="preserve">MacMillan et al., </w:t>
      </w:r>
      <w:r w:rsidRPr="00A53B69">
        <w:t>2014</w:t>
      </w:r>
      <w:bookmarkEnd w:id="15"/>
    </w:p>
  </w:footnote>
  <w:footnote w:id="98">
    <w:p w14:paraId="0708BB9D" w14:textId="73DC9ED8" w:rsidR="00C644DA" w:rsidRDefault="00C644DA">
      <w:pPr>
        <w:pStyle w:val="FootnoteText"/>
      </w:pPr>
      <w:r>
        <w:rPr>
          <w:rStyle w:val="FootnoteReference"/>
        </w:rPr>
        <w:footnoteRef/>
      </w:r>
      <w:r>
        <w:t xml:space="preserve"> McManus, et al., 2021</w:t>
      </w:r>
    </w:p>
  </w:footnote>
  <w:footnote w:id="99">
    <w:p w14:paraId="4D5DB025" w14:textId="0E8D4949" w:rsidR="00C644DA" w:rsidRDefault="00C644DA" w:rsidP="00564073">
      <w:pPr>
        <w:pStyle w:val="FootnoteText"/>
      </w:pPr>
      <w:r>
        <w:rPr>
          <w:rStyle w:val="FootnoteReference"/>
        </w:rPr>
        <w:footnoteRef/>
      </w:r>
      <w:r>
        <w:t xml:space="preserve"> McManus et al., 20</w:t>
      </w:r>
      <w:r w:rsidRPr="00601DC8">
        <w:t>11.</w:t>
      </w:r>
    </w:p>
  </w:footnote>
  <w:footnote w:id="100">
    <w:p w14:paraId="1E3B5B5A" w14:textId="0AF54205" w:rsidR="00C644DA" w:rsidRDefault="00C644DA" w:rsidP="00564073">
      <w:pPr>
        <w:pStyle w:val="FootnoteText"/>
      </w:pPr>
      <w:r>
        <w:rPr>
          <w:rStyle w:val="FootnoteReference"/>
        </w:rPr>
        <w:footnoteRef/>
      </w:r>
      <w:r>
        <w:t xml:space="preserve"> Special Olympics, 2018</w:t>
      </w:r>
    </w:p>
  </w:footnote>
  <w:footnote w:id="101">
    <w:p w14:paraId="54053EDE" w14:textId="4A4914B1" w:rsidR="00C644DA" w:rsidRDefault="00C644DA">
      <w:pPr>
        <w:pStyle w:val="FootnoteText"/>
      </w:pPr>
      <w:r>
        <w:rPr>
          <w:rStyle w:val="FootnoteReference"/>
        </w:rPr>
        <w:footnoteRef/>
      </w:r>
      <w:r>
        <w:t xml:space="preserve"> </w:t>
      </w:r>
      <w:bookmarkStart w:id="16" w:name="_Toc109895493"/>
      <w:r>
        <w:t>Slater et al., 2020</w:t>
      </w:r>
      <w:bookmarkEnd w:id="16"/>
    </w:p>
  </w:footnote>
  <w:footnote w:id="102">
    <w:p w14:paraId="10C2706E" w14:textId="3C1B672D" w:rsidR="00C644DA" w:rsidRDefault="00C644DA">
      <w:pPr>
        <w:pStyle w:val="FootnoteText"/>
      </w:pPr>
      <w:r>
        <w:rPr>
          <w:rStyle w:val="FootnoteReference"/>
        </w:rPr>
        <w:footnoteRef/>
      </w:r>
      <w:r>
        <w:t xml:space="preserve"> </w:t>
      </w:r>
      <w:proofErr w:type="spellStart"/>
      <w:r>
        <w:t>Kersh</w:t>
      </w:r>
      <w:proofErr w:type="spellEnd"/>
      <w:r>
        <w:t xml:space="preserve"> et al., </w:t>
      </w:r>
      <w:r w:rsidRPr="0065218B">
        <w:t>2008.</w:t>
      </w:r>
    </w:p>
  </w:footnote>
  <w:footnote w:id="103">
    <w:p w14:paraId="32B8BD61" w14:textId="606FEE74" w:rsidR="00C644DA" w:rsidRDefault="00C644DA">
      <w:pPr>
        <w:pStyle w:val="FootnoteText"/>
      </w:pPr>
      <w:r>
        <w:rPr>
          <w:rStyle w:val="FootnoteReference"/>
        </w:rPr>
        <w:footnoteRef/>
      </w:r>
      <w:r>
        <w:t xml:space="preserve"> </w:t>
      </w:r>
      <w:r w:rsidRPr="00D91872">
        <w:t>Har</w:t>
      </w:r>
      <w:r>
        <w:t xml:space="preserve">ada et al, </w:t>
      </w:r>
      <w:r w:rsidRPr="00D91872">
        <w:t>2008</w:t>
      </w:r>
      <w:r>
        <w:t xml:space="preserve"> cited in </w:t>
      </w:r>
      <w:r w:rsidRPr="00D91872">
        <w:t>Special Olympics</w:t>
      </w:r>
      <w:r>
        <w:t xml:space="preserve">, 2018 </w:t>
      </w:r>
    </w:p>
  </w:footnote>
  <w:footnote w:id="104">
    <w:p w14:paraId="17F316E3" w14:textId="1145116B" w:rsidR="00C644DA" w:rsidRPr="007D7D94" w:rsidRDefault="00C644DA" w:rsidP="00322EE0">
      <w:pPr>
        <w:pStyle w:val="FootnoteText"/>
      </w:pPr>
      <w:r>
        <w:rPr>
          <w:rStyle w:val="FootnoteReference"/>
        </w:rPr>
        <w:footnoteRef/>
      </w:r>
      <w:r>
        <w:t xml:space="preserve"> </w:t>
      </w:r>
      <w:proofErr w:type="spellStart"/>
      <w:r>
        <w:t>Seewooruttun</w:t>
      </w:r>
      <w:proofErr w:type="spellEnd"/>
      <w:r>
        <w:t xml:space="preserve"> et al., </w:t>
      </w:r>
      <w:r w:rsidRPr="00845DB1">
        <w:t>2014</w:t>
      </w:r>
      <w:r w:rsidRPr="00845DB1">
        <w:rPr>
          <w:bCs/>
        </w:rPr>
        <w:t xml:space="preserve"> </w:t>
      </w:r>
    </w:p>
  </w:footnote>
  <w:footnote w:id="105">
    <w:p w14:paraId="63C1BD82" w14:textId="37899CAB" w:rsidR="00C644DA" w:rsidRDefault="00C644DA" w:rsidP="00322EE0">
      <w:pPr>
        <w:pStyle w:val="FootnoteText"/>
      </w:pPr>
      <w:r>
        <w:rPr>
          <w:rStyle w:val="FootnoteReference"/>
        </w:rPr>
        <w:footnoteRef/>
      </w:r>
      <w:r>
        <w:t xml:space="preserve"> Sharma et al., </w:t>
      </w:r>
      <w:r w:rsidRPr="00B5004F">
        <w:t>2008</w:t>
      </w:r>
    </w:p>
  </w:footnote>
  <w:footnote w:id="106">
    <w:p w14:paraId="1A90032A" w14:textId="6BED15DF" w:rsidR="00C644DA" w:rsidRDefault="00C644DA" w:rsidP="00322EE0">
      <w:pPr>
        <w:pStyle w:val="FootnoteText"/>
      </w:pPr>
      <w:r>
        <w:rPr>
          <w:rStyle w:val="FootnoteReference"/>
        </w:rPr>
        <w:footnoteRef/>
      </w:r>
      <w:r>
        <w:t xml:space="preserve"> Hitch et al., 2016</w:t>
      </w:r>
      <w:r w:rsidRPr="00EB0E49">
        <w:t xml:space="preserve"> </w:t>
      </w:r>
    </w:p>
  </w:footnote>
  <w:footnote w:id="107">
    <w:p w14:paraId="21D61B0E" w14:textId="3F0EC1D4" w:rsidR="00C644DA" w:rsidRDefault="00C644DA" w:rsidP="00322EE0">
      <w:pPr>
        <w:pStyle w:val="FootnoteText"/>
      </w:pPr>
      <w:r>
        <w:rPr>
          <w:rStyle w:val="FootnoteReference"/>
        </w:rPr>
        <w:footnoteRef/>
      </w:r>
      <w:r>
        <w:t xml:space="preserve"> Hall et al., </w:t>
      </w:r>
      <w:r w:rsidRPr="00454EE8">
        <w:t xml:space="preserve">1999 </w:t>
      </w:r>
    </w:p>
  </w:footnote>
  <w:footnote w:id="108">
    <w:p w14:paraId="2DD8B5CA" w14:textId="53474083" w:rsidR="00C644DA" w:rsidRPr="00A334D0" w:rsidRDefault="00C644DA" w:rsidP="00322EE0">
      <w:pPr>
        <w:pStyle w:val="FootnoteText"/>
        <w:rPr>
          <w:bCs/>
        </w:rPr>
      </w:pPr>
      <w:r>
        <w:rPr>
          <w:rStyle w:val="FootnoteReference"/>
        </w:rPr>
        <w:footnoteRef/>
      </w:r>
      <w:r>
        <w:t xml:space="preserve"> For example, Reina et al., 2021</w:t>
      </w:r>
    </w:p>
  </w:footnote>
  <w:footnote w:id="109">
    <w:p w14:paraId="6474C6AB" w14:textId="5AFFA536" w:rsidR="00C644DA" w:rsidRDefault="00C644DA" w:rsidP="00322EE0">
      <w:pPr>
        <w:pStyle w:val="FootnoteText"/>
      </w:pPr>
      <w:r>
        <w:rPr>
          <w:rStyle w:val="FootnoteReference"/>
        </w:rPr>
        <w:footnoteRef/>
      </w:r>
      <w:r>
        <w:t xml:space="preserve"> For example, </w:t>
      </w:r>
      <w:r w:rsidRPr="000709C1">
        <w:t xml:space="preserve">Hayward </w:t>
      </w:r>
      <w:r>
        <w:t xml:space="preserve">et al., 2021; </w:t>
      </w:r>
      <w:r w:rsidRPr="000709C1">
        <w:t xml:space="preserve">Moore </w:t>
      </w:r>
      <w:r>
        <w:t xml:space="preserve">et al., </w:t>
      </w:r>
      <w:r w:rsidRPr="000709C1">
        <w:t>2013</w:t>
      </w:r>
    </w:p>
  </w:footnote>
  <w:footnote w:id="110">
    <w:p w14:paraId="4729504A" w14:textId="5DD13BF2" w:rsidR="00C644DA" w:rsidRPr="002061B6" w:rsidRDefault="00C644DA">
      <w:pPr>
        <w:pStyle w:val="FootnoteText"/>
        <w:rPr>
          <w:bCs/>
        </w:rPr>
      </w:pPr>
      <w:r>
        <w:rPr>
          <w:rStyle w:val="FootnoteReference"/>
        </w:rPr>
        <w:footnoteRef/>
      </w:r>
      <w:r>
        <w:t xml:space="preserve"> Bar-Tal et al., 2020</w:t>
      </w:r>
    </w:p>
  </w:footnote>
  <w:footnote w:id="111">
    <w:p w14:paraId="2C4CBC54" w14:textId="77777777" w:rsidR="00C644DA" w:rsidRDefault="00C644DA" w:rsidP="008539AD">
      <w:pPr>
        <w:pStyle w:val="FootnoteText"/>
      </w:pPr>
      <w:r>
        <w:rPr>
          <w:rStyle w:val="FootnoteReference"/>
        </w:rPr>
        <w:footnoteRef/>
      </w:r>
      <w:r>
        <w:t xml:space="preserve"> UN </w:t>
      </w:r>
      <w:r w:rsidRPr="00CE147C">
        <w:t>Department of Economic and Social Affairs</w:t>
      </w:r>
      <w:r>
        <w:t xml:space="preserve"> </w:t>
      </w:r>
      <w:r w:rsidRPr="00CE147C">
        <w:t>Disability</w:t>
      </w:r>
      <w:r>
        <w:t xml:space="preserve"> , 2022 </w:t>
      </w:r>
      <w:r w:rsidRPr="000538AF">
        <w:t>https://www.un.org/development/desa/disabilities/convention-on-the-rights-of-persons-with-disabilities.html</w:t>
      </w:r>
    </w:p>
  </w:footnote>
  <w:footnote w:id="112">
    <w:p w14:paraId="16E1B012" w14:textId="469E7D62" w:rsidR="00C644DA" w:rsidRDefault="00C644DA" w:rsidP="008539AD">
      <w:pPr>
        <w:pStyle w:val="FootnoteText"/>
      </w:pPr>
      <w:r>
        <w:rPr>
          <w:rStyle w:val="FootnoteReference"/>
        </w:rPr>
        <w:footnoteRef/>
      </w:r>
      <w:r>
        <w:t xml:space="preserve"> p.6, United Nations, (UN), 2021</w:t>
      </w:r>
    </w:p>
  </w:footnote>
  <w:footnote w:id="113">
    <w:p w14:paraId="579CEC73" w14:textId="164809BA" w:rsidR="00C644DA" w:rsidRDefault="00C644DA">
      <w:pPr>
        <w:pStyle w:val="FootnoteText"/>
      </w:pPr>
      <w:r>
        <w:rPr>
          <w:rStyle w:val="FootnoteReference"/>
        </w:rPr>
        <w:footnoteRef/>
      </w:r>
      <w:r>
        <w:t xml:space="preserve"> United Nations (UN), 2020</w:t>
      </w:r>
    </w:p>
  </w:footnote>
  <w:footnote w:id="114">
    <w:p w14:paraId="7FDFFF62" w14:textId="6B157DE0" w:rsidR="00C644DA" w:rsidRPr="00DF6714" w:rsidRDefault="00C644DA">
      <w:pPr>
        <w:pStyle w:val="FootnoteText"/>
        <w:rPr>
          <w:bCs/>
        </w:rPr>
      </w:pPr>
      <w:r>
        <w:rPr>
          <w:rStyle w:val="FootnoteReference"/>
        </w:rPr>
        <w:footnoteRef/>
      </w:r>
      <w:r>
        <w:t xml:space="preserve"> </w:t>
      </w:r>
      <w:r w:rsidRPr="001D51E9">
        <w:rPr>
          <w:bCs/>
        </w:rPr>
        <w:t>Bar-Tal et al., 2020</w:t>
      </w:r>
    </w:p>
  </w:footnote>
  <w:footnote w:id="115">
    <w:p w14:paraId="4F555653" w14:textId="2A54F8DC" w:rsidR="00C644DA" w:rsidRPr="00CE24D7" w:rsidRDefault="00C644DA">
      <w:pPr>
        <w:pStyle w:val="FootnoteText"/>
        <w:rPr>
          <w:bCs/>
        </w:rPr>
      </w:pPr>
      <w:r>
        <w:rPr>
          <w:rStyle w:val="FootnoteReference"/>
        </w:rPr>
        <w:footnoteRef/>
      </w:r>
      <w:r>
        <w:t xml:space="preserve"> </w:t>
      </w:r>
      <w:proofErr w:type="spellStart"/>
      <w:r>
        <w:t>Hovland</w:t>
      </w:r>
      <w:proofErr w:type="spellEnd"/>
      <w:r>
        <w:t xml:space="preserve"> et al., </w:t>
      </w:r>
      <w:r w:rsidRPr="00D2582D">
        <w:t>1953</w:t>
      </w:r>
      <w:r>
        <w:t xml:space="preserve"> as cited by </w:t>
      </w:r>
      <w:r w:rsidRPr="00CE24D7">
        <w:rPr>
          <w:bCs/>
        </w:rPr>
        <w:t>Bar-Tal et al., 2020</w:t>
      </w:r>
    </w:p>
  </w:footnote>
  <w:footnote w:id="116">
    <w:p w14:paraId="17DD9495" w14:textId="13DA3C7A" w:rsidR="00C644DA" w:rsidRPr="00D2582D" w:rsidRDefault="00C644DA">
      <w:pPr>
        <w:pStyle w:val="FootnoteText"/>
        <w:rPr>
          <w:bCs/>
        </w:rPr>
      </w:pPr>
      <w:r>
        <w:rPr>
          <w:rStyle w:val="FootnoteReference"/>
        </w:rPr>
        <w:footnoteRef/>
      </w:r>
      <w:r>
        <w:t xml:space="preserve"> Bar-Tal et al., </w:t>
      </w:r>
      <w:r w:rsidRPr="00D2582D">
        <w:t>2020</w:t>
      </w:r>
    </w:p>
  </w:footnote>
  <w:footnote w:id="117">
    <w:p w14:paraId="2A99D738" w14:textId="724BFC32" w:rsidR="00C644DA" w:rsidRDefault="00C644DA">
      <w:pPr>
        <w:pStyle w:val="FootnoteText"/>
      </w:pPr>
      <w:r>
        <w:rPr>
          <w:rStyle w:val="FootnoteReference"/>
        </w:rPr>
        <w:footnoteRef/>
      </w:r>
      <w:r>
        <w:t xml:space="preserve"> </w:t>
      </w:r>
      <w:r w:rsidRPr="0086260E">
        <w:t xml:space="preserve">Please note </w:t>
      </w:r>
      <w:r>
        <w:t xml:space="preserve">that </w:t>
      </w:r>
      <w:r w:rsidRPr="0086260E">
        <w:t>all the references included in Bar-Tal et al</w:t>
      </w:r>
      <w:r>
        <w:t>.,</w:t>
      </w:r>
      <w:r w:rsidRPr="0086260E">
        <w:t xml:space="preserve"> 2020 </w:t>
      </w:r>
      <w:r>
        <w:t xml:space="preserve">on various interventions </w:t>
      </w:r>
      <w:r w:rsidRPr="0086260E">
        <w:t xml:space="preserve">are not </w:t>
      </w:r>
      <w:r>
        <w:t xml:space="preserve">included </w:t>
      </w:r>
      <w:r w:rsidRPr="0086260E">
        <w:t>here</w:t>
      </w:r>
      <w:r>
        <w:t xml:space="preserve"> but can be </w:t>
      </w:r>
      <w:r w:rsidRPr="0086260E">
        <w:t>access</w:t>
      </w:r>
      <w:r>
        <w:t>ed in their article.</w:t>
      </w:r>
    </w:p>
  </w:footnote>
  <w:footnote w:id="118">
    <w:p w14:paraId="6B550786" w14:textId="7C06827B" w:rsidR="00C644DA" w:rsidRPr="001A6A3B" w:rsidRDefault="00C644DA">
      <w:pPr>
        <w:pStyle w:val="FootnoteText"/>
        <w:rPr>
          <w:bCs/>
        </w:rPr>
      </w:pPr>
      <w:r>
        <w:rPr>
          <w:rStyle w:val="FootnoteReference"/>
        </w:rPr>
        <w:footnoteRef/>
      </w:r>
      <w:r>
        <w:t xml:space="preserve"> </w:t>
      </w:r>
      <w:r w:rsidRPr="001A6A3B">
        <w:rPr>
          <w:bCs/>
        </w:rPr>
        <w:t>Bar-Tal et al., 2020</w:t>
      </w:r>
    </w:p>
  </w:footnote>
  <w:footnote w:id="119">
    <w:p w14:paraId="4C721BD8" w14:textId="326202D4" w:rsidR="00C644DA" w:rsidRDefault="00C644DA">
      <w:pPr>
        <w:pStyle w:val="FootnoteText"/>
      </w:pPr>
      <w:r>
        <w:rPr>
          <w:rStyle w:val="FootnoteReference"/>
        </w:rPr>
        <w:footnoteRef/>
      </w:r>
      <w:r>
        <w:t xml:space="preserve"> </w:t>
      </w:r>
      <w:proofErr w:type="spellStart"/>
      <w:r w:rsidRPr="00B54B59">
        <w:t>Hameiri</w:t>
      </w:r>
      <w:proofErr w:type="spellEnd"/>
      <w:r>
        <w:t xml:space="preserve"> et al, 2014</w:t>
      </w:r>
    </w:p>
  </w:footnote>
  <w:footnote w:id="120">
    <w:p w14:paraId="43FAEEB9" w14:textId="585AF594" w:rsidR="00C644DA" w:rsidRDefault="00C644DA">
      <w:pPr>
        <w:pStyle w:val="FootnoteText"/>
      </w:pPr>
      <w:r>
        <w:rPr>
          <w:rStyle w:val="FootnoteReference"/>
        </w:rPr>
        <w:footnoteRef/>
      </w:r>
      <w:r>
        <w:t xml:space="preserve"> </w:t>
      </w:r>
      <w:proofErr w:type="spellStart"/>
      <w:r w:rsidRPr="00B54B59">
        <w:t>Hameiri</w:t>
      </w:r>
      <w:proofErr w:type="spellEnd"/>
      <w:r>
        <w:t xml:space="preserve"> et al, 2014</w:t>
      </w:r>
    </w:p>
  </w:footnote>
  <w:footnote w:id="121">
    <w:p w14:paraId="76EF8026" w14:textId="682B4909" w:rsidR="00C644DA" w:rsidRPr="001A6A3B" w:rsidRDefault="00C644DA">
      <w:pPr>
        <w:pStyle w:val="FootnoteText"/>
        <w:rPr>
          <w:bCs/>
        </w:rPr>
      </w:pPr>
      <w:r>
        <w:rPr>
          <w:rStyle w:val="FootnoteReference"/>
        </w:rPr>
        <w:footnoteRef/>
      </w:r>
      <w:r>
        <w:t xml:space="preserve"> </w:t>
      </w:r>
      <w:r w:rsidRPr="001D51E9">
        <w:rPr>
          <w:bCs/>
        </w:rPr>
        <w:t>Bar-Tal et al., 2020</w:t>
      </w:r>
    </w:p>
  </w:footnote>
  <w:footnote w:id="122">
    <w:p w14:paraId="78584C95" w14:textId="05E808E2" w:rsidR="00C644DA" w:rsidRPr="001A6A3B" w:rsidRDefault="00C644DA">
      <w:pPr>
        <w:pStyle w:val="FootnoteText"/>
        <w:rPr>
          <w:bCs/>
        </w:rPr>
      </w:pPr>
      <w:r>
        <w:rPr>
          <w:rStyle w:val="FootnoteReference"/>
        </w:rPr>
        <w:footnoteRef/>
      </w:r>
      <w:r>
        <w:t xml:space="preserve"> </w:t>
      </w:r>
      <w:r w:rsidRPr="001A6A3B">
        <w:rPr>
          <w:bCs/>
        </w:rPr>
        <w:t>Bar-Tal et al., 2020</w:t>
      </w:r>
    </w:p>
  </w:footnote>
  <w:footnote w:id="123">
    <w:p w14:paraId="02E46AB9" w14:textId="194DBD0B" w:rsidR="00C644DA" w:rsidRPr="001A6A3B" w:rsidRDefault="00C644DA">
      <w:pPr>
        <w:pStyle w:val="FootnoteText"/>
        <w:rPr>
          <w:bCs/>
        </w:rPr>
      </w:pPr>
      <w:r>
        <w:rPr>
          <w:rStyle w:val="FootnoteReference"/>
        </w:rPr>
        <w:footnoteRef/>
      </w:r>
      <w:r>
        <w:t xml:space="preserve"> </w:t>
      </w:r>
      <w:r w:rsidRPr="001D51E9">
        <w:rPr>
          <w:bCs/>
        </w:rPr>
        <w:t>Bar-Tal et al., 2020</w:t>
      </w:r>
    </w:p>
  </w:footnote>
  <w:footnote w:id="124">
    <w:p w14:paraId="03F6525D" w14:textId="64F88CF3" w:rsidR="00C644DA" w:rsidRDefault="00C644DA">
      <w:pPr>
        <w:pStyle w:val="FootnoteText"/>
      </w:pPr>
      <w:r>
        <w:rPr>
          <w:rStyle w:val="FootnoteReference"/>
        </w:rPr>
        <w:footnoteRef/>
      </w:r>
      <w:r>
        <w:t xml:space="preserve"> </w:t>
      </w:r>
      <w:r w:rsidRPr="00C644DA">
        <w:t>Office of the Public Advocate, 2020 cited in Australia’s Disability Strategy 2021-2031, 2021</w:t>
      </w:r>
    </w:p>
  </w:footnote>
  <w:footnote w:id="125">
    <w:p w14:paraId="53FF5F45" w14:textId="6EDE4BC7" w:rsidR="003B7295" w:rsidRDefault="003B7295">
      <w:pPr>
        <w:pStyle w:val="FootnoteText"/>
      </w:pPr>
      <w:r>
        <w:rPr>
          <w:rStyle w:val="FootnoteReference"/>
        </w:rPr>
        <w:footnoteRef/>
      </w:r>
      <w:r>
        <w:t xml:space="preserve"> </w:t>
      </w:r>
      <w:r w:rsidRPr="003B7295">
        <w:t>Centre of Research Excellence in Disability and Health, 2020, cited in Australia’s Disability Strategy 2021-2031, 2021</w:t>
      </w:r>
    </w:p>
  </w:footnote>
  <w:footnote w:id="126">
    <w:p w14:paraId="3BD1C9E4" w14:textId="7DE08C10" w:rsidR="00C644DA" w:rsidRDefault="00C644DA" w:rsidP="00DF638E">
      <w:pPr>
        <w:pStyle w:val="FootnoteText"/>
      </w:pPr>
      <w:r>
        <w:rPr>
          <w:rStyle w:val="FootnoteReference"/>
        </w:rPr>
        <w:footnoteRef/>
      </w:r>
      <w:r>
        <w:t xml:space="preserve"> </w:t>
      </w:r>
      <w:proofErr w:type="spellStart"/>
      <w:r>
        <w:t>Wegscheider</w:t>
      </w:r>
      <w:proofErr w:type="spellEnd"/>
      <w:r>
        <w:t xml:space="preserve"> et al., 2021</w:t>
      </w:r>
    </w:p>
  </w:footnote>
  <w:footnote w:id="127">
    <w:p w14:paraId="7A3B0CA9" w14:textId="2CEE70D3" w:rsidR="00C644DA" w:rsidRDefault="00C644DA" w:rsidP="00DF638E">
      <w:pPr>
        <w:pStyle w:val="FootnoteText"/>
      </w:pPr>
      <w:r>
        <w:rPr>
          <w:rStyle w:val="FootnoteReference"/>
        </w:rPr>
        <w:footnoteRef/>
      </w:r>
      <w:r>
        <w:t xml:space="preserve"> </w:t>
      </w:r>
      <w:proofErr w:type="spellStart"/>
      <w:r>
        <w:t>Kuznetsova</w:t>
      </w:r>
      <w:proofErr w:type="spellEnd"/>
      <w:r>
        <w:t xml:space="preserve"> et al., </w:t>
      </w:r>
      <w:r w:rsidRPr="004B6619">
        <w:t>2017</w:t>
      </w:r>
      <w:r>
        <w:t>cited cited by</w:t>
      </w:r>
      <w:r w:rsidRPr="009E762E">
        <w:t xml:space="preserve"> </w:t>
      </w:r>
      <w:proofErr w:type="spellStart"/>
      <w:r w:rsidRPr="009E762E">
        <w:t>Wegscheider</w:t>
      </w:r>
      <w:proofErr w:type="spellEnd"/>
      <w:r w:rsidRPr="009E762E">
        <w:t xml:space="preserve"> et al., 2021</w:t>
      </w:r>
    </w:p>
  </w:footnote>
  <w:footnote w:id="128">
    <w:p w14:paraId="4661B19F" w14:textId="427761AB" w:rsidR="00C644DA" w:rsidRDefault="00C644DA" w:rsidP="00DF638E">
      <w:pPr>
        <w:pStyle w:val="FootnoteText"/>
      </w:pPr>
      <w:r>
        <w:rPr>
          <w:rStyle w:val="FootnoteReference"/>
        </w:rPr>
        <w:footnoteRef/>
      </w:r>
      <w:r>
        <w:t xml:space="preserve"> </w:t>
      </w:r>
      <w:proofErr w:type="spellStart"/>
      <w:r>
        <w:t>Wegscheider</w:t>
      </w:r>
      <w:proofErr w:type="spellEnd"/>
      <w:r>
        <w:t xml:space="preserve"> et al., 2021</w:t>
      </w:r>
    </w:p>
  </w:footnote>
  <w:footnote w:id="129">
    <w:p w14:paraId="2CE7EEEA" w14:textId="768FF2DE" w:rsidR="00C644DA" w:rsidRDefault="00C644DA" w:rsidP="00DF638E">
      <w:pPr>
        <w:pStyle w:val="FootnoteText"/>
      </w:pPr>
      <w:r>
        <w:rPr>
          <w:rStyle w:val="FootnoteReference"/>
        </w:rPr>
        <w:footnoteRef/>
      </w:r>
      <w:r>
        <w:t xml:space="preserve"> European Commission, </w:t>
      </w:r>
      <w:r w:rsidRPr="00974361">
        <w:t>2020</w:t>
      </w:r>
    </w:p>
  </w:footnote>
  <w:footnote w:id="130">
    <w:p w14:paraId="58C54BCA" w14:textId="77777777" w:rsidR="00C644DA" w:rsidRDefault="00C644DA" w:rsidP="00DF638E">
      <w:pPr>
        <w:pStyle w:val="FootnoteText"/>
      </w:pPr>
      <w:r>
        <w:rPr>
          <w:rStyle w:val="FootnoteReference"/>
        </w:rPr>
        <w:footnoteRef/>
      </w:r>
      <w:r>
        <w:t xml:space="preserve"> </w:t>
      </w:r>
      <w:r w:rsidRPr="006D024E">
        <w:t>https://disabilityin.org/what-we-do/disability-equality-index/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C69E6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11E0465"/>
    <w:multiLevelType w:val="hybridMultilevel"/>
    <w:tmpl w:val="8A6E10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4560A2D"/>
    <w:multiLevelType w:val="multilevel"/>
    <w:tmpl w:val="3ABA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24434D"/>
    <w:multiLevelType w:val="hybridMultilevel"/>
    <w:tmpl w:val="B272407A"/>
    <w:lvl w:ilvl="0" w:tplc="D79ADE3E">
      <w:start w:val="1"/>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6A35E65"/>
    <w:multiLevelType w:val="multilevel"/>
    <w:tmpl w:val="0B26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650719"/>
    <w:multiLevelType w:val="multilevel"/>
    <w:tmpl w:val="14C8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F371A3"/>
    <w:multiLevelType w:val="multilevel"/>
    <w:tmpl w:val="7E3C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550E89"/>
    <w:multiLevelType w:val="multilevel"/>
    <w:tmpl w:val="844E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0573A"/>
    <w:multiLevelType w:val="multilevel"/>
    <w:tmpl w:val="3BFCB84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BB07CE6"/>
    <w:multiLevelType w:val="multilevel"/>
    <w:tmpl w:val="AF12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3909F4"/>
    <w:multiLevelType w:val="multilevel"/>
    <w:tmpl w:val="2E1C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E5312"/>
    <w:multiLevelType w:val="hybridMultilevel"/>
    <w:tmpl w:val="C85E38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D76186"/>
    <w:multiLevelType w:val="hybridMultilevel"/>
    <w:tmpl w:val="536CD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DC3BE2"/>
    <w:multiLevelType w:val="multilevel"/>
    <w:tmpl w:val="3FAE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82B12"/>
    <w:multiLevelType w:val="multilevel"/>
    <w:tmpl w:val="1B8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0F0203"/>
    <w:multiLevelType w:val="hybridMultilevel"/>
    <w:tmpl w:val="C85E38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FC43E69"/>
    <w:multiLevelType w:val="multilevel"/>
    <w:tmpl w:val="F69C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4081B"/>
    <w:multiLevelType w:val="hybridMultilevel"/>
    <w:tmpl w:val="C85E38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896AD1"/>
    <w:multiLevelType w:val="multilevel"/>
    <w:tmpl w:val="4282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866514"/>
    <w:multiLevelType w:val="hybridMultilevel"/>
    <w:tmpl w:val="82B6E7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9A61C51"/>
    <w:multiLevelType w:val="hybridMultilevel"/>
    <w:tmpl w:val="4296C1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3"/>
  </w:num>
  <w:num w:numId="18">
    <w:abstractNumId w:val="11"/>
  </w:num>
  <w:num w:numId="19">
    <w:abstractNumId w:val="20"/>
  </w:num>
  <w:num w:numId="20">
    <w:abstractNumId w:val="27"/>
  </w:num>
  <w:num w:numId="21">
    <w:abstractNumId w:val="10"/>
  </w:num>
  <w:num w:numId="22">
    <w:abstractNumId w:val="24"/>
  </w:num>
  <w:num w:numId="23">
    <w:abstractNumId w:val="26"/>
  </w:num>
  <w:num w:numId="24">
    <w:abstractNumId w:val="18"/>
  </w:num>
  <w:num w:numId="25">
    <w:abstractNumId w:val="16"/>
  </w:num>
  <w:num w:numId="26">
    <w:abstractNumId w:val="12"/>
  </w:num>
  <w:num w:numId="27">
    <w:abstractNumId w:val="22"/>
  </w:num>
  <w:num w:numId="28">
    <w:abstractNumId w:val="14"/>
  </w:num>
  <w:num w:numId="29">
    <w:abstractNumId w:val="21"/>
  </w:num>
  <w:num w:numId="30">
    <w:abstractNumId w:val="15"/>
  </w:num>
  <w:num w:numId="31">
    <w:abstractNumId w:val="23"/>
  </w:num>
  <w:num w:numId="32">
    <w:abstractNumId w:val="19"/>
  </w:num>
  <w:num w:numId="33">
    <w:abstractNumId w:val="25"/>
  </w:num>
  <w:num w:numId="34">
    <w:abstractNumId w:val="29"/>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6"/>
    <w:rsid w:val="00001D29"/>
    <w:rsid w:val="00005CAF"/>
    <w:rsid w:val="00005D79"/>
    <w:rsid w:val="00007CE1"/>
    <w:rsid w:val="00007CE2"/>
    <w:rsid w:val="00010611"/>
    <w:rsid w:val="0001084E"/>
    <w:rsid w:val="00011223"/>
    <w:rsid w:val="00011827"/>
    <w:rsid w:val="000137EA"/>
    <w:rsid w:val="000138D6"/>
    <w:rsid w:val="0001700B"/>
    <w:rsid w:val="00021CB6"/>
    <w:rsid w:val="00023B4A"/>
    <w:rsid w:val="00024F7C"/>
    <w:rsid w:val="00025D0F"/>
    <w:rsid w:val="000274B7"/>
    <w:rsid w:val="00027BC8"/>
    <w:rsid w:val="00031CF2"/>
    <w:rsid w:val="00036072"/>
    <w:rsid w:val="00037416"/>
    <w:rsid w:val="00037B50"/>
    <w:rsid w:val="00042509"/>
    <w:rsid w:val="00044F78"/>
    <w:rsid w:val="00045169"/>
    <w:rsid w:val="00046B55"/>
    <w:rsid w:val="000470F9"/>
    <w:rsid w:val="00047F11"/>
    <w:rsid w:val="0005146B"/>
    <w:rsid w:val="000517E8"/>
    <w:rsid w:val="00052E62"/>
    <w:rsid w:val="00053313"/>
    <w:rsid w:val="000533D2"/>
    <w:rsid w:val="000538AF"/>
    <w:rsid w:val="00062A29"/>
    <w:rsid w:val="0006529E"/>
    <w:rsid w:val="00066C8C"/>
    <w:rsid w:val="00066C94"/>
    <w:rsid w:val="000704B0"/>
    <w:rsid w:val="000709C1"/>
    <w:rsid w:val="0007237A"/>
    <w:rsid w:val="00073316"/>
    <w:rsid w:val="00073391"/>
    <w:rsid w:val="000747E9"/>
    <w:rsid w:val="00076002"/>
    <w:rsid w:val="000762B6"/>
    <w:rsid w:val="00076F11"/>
    <w:rsid w:val="00083CF5"/>
    <w:rsid w:val="000878DA"/>
    <w:rsid w:val="00087DBD"/>
    <w:rsid w:val="00091F51"/>
    <w:rsid w:val="0009211E"/>
    <w:rsid w:val="000922F0"/>
    <w:rsid w:val="000925AB"/>
    <w:rsid w:val="0009343B"/>
    <w:rsid w:val="00093CF6"/>
    <w:rsid w:val="00094051"/>
    <w:rsid w:val="000956F4"/>
    <w:rsid w:val="00095795"/>
    <w:rsid w:val="000A141B"/>
    <w:rsid w:val="000A4F0F"/>
    <w:rsid w:val="000A705C"/>
    <w:rsid w:val="000A76DD"/>
    <w:rsid w:val="000B1CE9"/>
    <w:rsid w:val="000B4261"/>
    <w:rsid w:val="000B4B74"/>
    <w:rsid w:val="000B5F10"/>
    <w:rsid w:val="000C13E5"/>
    <w:rsid w:val="000C193C"/>
    <w:rsid w:val="000C39DD"/>
    <w:rsid w:val="000C3BE6"/>
    <w:rsid w:val="000C497B"/>
    <w:rsid w:val="000C5D2E"/>
    <w:rsid w:val="000D00B2"/>
    <w:rsid w:val="000D0A09"/>
    <w:rsid w:val="000D3032"/>
    <w:rsid w:val="000D3C72"/>
    <w:rsid w:val="000D5BFF"/>
    <w:rsid w:val="000D68A7"/>
    <w:rsid w:val="000D6CA8"/>
    <w:rsid w:val="000D79A8"/>
    <w:rsid w:val="000E13E8"/>
    <w:rsid w:val="000E176A"/>
    <w:rsid w:val="000E3662"/>
    <w:rsid w:val="000E3FC2"/>
    <w:rsid w:val="000E45AD"/>
    <w:rsid w:val="000E4778"/>
    <w:rsid w:val="000E54C4"/>
    <w:rsid w:val="000E5AF4"/>
    <w:rsid w:val="000E6077"/>
    <w:rsid w:val="000E70B3"/>
    <w:rsid w:val="000F0F5E"/>
    <w:rsid w:val="000F1B26"/>
    <w:rsid w:val="000F5302"/>
    <w:rsid w:val="001055CD"/>
    <w:rsid w:val="001114C3"/>
    <w:rsid w:val="00112F4B"/>
    <w:rsid w:val="001140B6"/>
    <w:rsid w:val="001153D4"/>
    <w:rsid w:val="00120691"/>
    <w:rsid w:val="00130AEF"/>
    <w:rsid w:val="00130C08"/>
    <w:rsid w:val="0013120C"/>
    <w:rsid w:val="001312CF"/>
    <w:rsid w:val="00131D7E"/>
    <w:rsid w:val="001327BA"/>
    <w:rsid w:val="001338DC"/>
    <w:rsid w:val="00137B7B"/>
    <w:rsid w:val="00140C93"/>
    <w:rsid w:val="00141B4F"/>
    <w:rsid w:val="001449B5"/>
    <w:rsid w:val="00144F7C"/>
    <w:rsid w:val="00145505"/>
    <w:rsid w:val="00145C1E"/>
    <w:rsid w:val="00146D95"/>
    <w:rsid w:val="00147358"/>
    <w:rsid w:val="00153256"/>
    <w:rsid w:val="00154212"/>
    <w:rsid w:val="00155902"/>
    <w:rsid w:val="0015604E"/>
    <w:rsid w:val="00160F56"/>
    <w:rsid w:val="00165001"/>
    <w:rsid w:val="0016533B"/>
    <w:rsid w:val="00166936"/>
    <w:rsid w:val="00167138"/>
    <w:rsid w:val="00170043"/>
    <w:rsid w:val="0017102E"/>
    <w:rsid w:val="00171948"/>
    <w:rsid w:val="0017466B"/>
    <w:rsid w:val="00175163"/>
    <w:rsid w:val="00175248"/>
    <w:rsid w:val="00175827"/>
    <w:rsid w:val="001758E0"/>
    <w:rsid w:val="00176302"/>
    <w:rsid w:val="00177868"/>
    <w:rsid w:val="00180BDF"/>
    <w:rsid w:val="00181140"/>
    <w:rsid w:val="00181FE6"/>
    <w:rsid w:val="001830BC"/>
    <w:rsid w:val="00184672"/>
    <w:rsid w:val="0018502D"/>
    <w:rsid w:val="00186CD7"/>
    <w:rsid w:val="0019299B"/>
    <w:rsid w:val="00194CDC"/>
    <w:rsid w:val="001A0A4A"/>
    <w:rsid w:val="001A0D24"/>
    <w:rsid w:val="001A1828"/>
    <w:rsid w:val="001A229A"/>
    <w:rsid w:val="001A363F"/>
    <w:rsid w:val="001A4E03"/>
    <w:rsid w:val="001A5B59"/>
    <w:rsid w:val="001A6A3B"/>
    <w:rsid w:val="001A7C9F"/>
    <w:rsid w:val="001A7FDE"/>
    <w:rsid w:val="001B0C61"/>
    <w:rsid w:val="001B17CE"/>
    <w:rsid w:val="001B1F4F"/>
    <w:rsid w:val="001B2C71"/>
    <w:rsid w:val="001B319A"/>
    <w:rsid w:val="001B5538"/>
    <w:rsid w:val="001C0C0A"/>
    <w:rsid w:val="001C1C6F"/>
    <w:rsid w:val="001C3C29"/>
    <w:rsid w:val="001C65C1"/>
    <w:rsid w:val="001C7B18"/>
    <w:rsid w:val="001D18E5"/>
    <w:rsid w:val="001D2642"/>
    <w:rsid w:val="001D2DDD"/>
    <w:rsid w:val="001D2EDF"/>
    <w:rsid w:val="001D3819"/>
    <w:rsid w:val="001D3D27"/>
    <w:rsid w:val="001D4199"/>
    <w:rsid w:val="001D4B0D"/>
    <w:rsid w:val="001D51E9"/>
    <w:rsid w:val="001D6BD3"/>
    <w:rsid w:val="001D6C22"/>
    <w:rsid w:val="001E0820"/>
    <w:rsid w:val="001E11F3"/>
    <w:rsid w:val="001E165D"/>
    <w:rsid w:val="001E217D"/>
    <w:rsid w:val="001E2431"/>
    <w:rsid w:val="001E5679"/>
    <w:rsid w:val="001E5DF6"/>
    <w:rsid w:val="001E6A73"/>
    <w:rsid w:val="001E7165"/>
    <w:rsid w:val="001F144C"/>
    <w:rsid w:val="001F19B0"/>
    <w:rsid w:val="001F32B5"/>
    <w:rsid w:val="001F437C"/>
    <w:rsid w:val="001F6959"/>
    <w:rsid w:val="001F7B06"/>
    <w:rsid w:val="002013DB"/>
    <w:rsid w:val="0020186F"/>
    <w:rsid w:val="00202B4D"/>
    <w:rsid w:val="00205C7D"/>
    <w:rsid w:val="002061B6"/>
    <w:rsid w:val="00210527"/>
    <w:rsid w:val="00214E81"/>
    <w:rsid w:val="00215308"/>
    <w:rsid w:val="00220731"/>
    <w:rsid w:val="00220A75"/>
    <w:rsid w:val="002228BC"/>
    <w:rsid w:val="002231FF"/>
    <w:rsid w:val="002233D4"/>
    <w:rsid w:val="002237E6"/>
    <w:rsid w:val="00223D90"/>
    <w:rsid w:val="00227D8D"/>
    <w:rsid w:val="00230F14"/>
    <w:rsid w:val="002317FB"/>
    <w:rsid w:val="00232527"/>
    <w:rsid w:val="002332D0"/>
    <w:rsid w:val="0023424B"/>
    <w:rsid w:val="00235A01"/>
    <w:rsid w:val="00237419"/>
    <w:rsid w:val="00241E9E"/>
    <w:rsid w:val="0024468C"/>
    <w:rsid w:val="002453B2"/>
    <w:rsid w:val="00251AEB"/>
    <w:rsid w:val="00252709"/>
    <w:rsid w:val="00254663"/>
    <w:rsid w:val="002550B5"/>
    <w:rsid w:val="002566C5"/>
    <w:rsid w:val="00261B63"/>
    <w:rsid w:val="002622A8"/>
    <w:rsid w:val="00263F6B"/>
    <w:rsid w:val="002661D5"/>
    <w:rsid w:val="00267FB7"/>
    <w:rsid w:val="00270B50"/>
    <w:rsid w:val="002716FF"/>
    <w:rsid w:val="00275338"/>
    <w:rsid w:val="00276127"/>
    <w:rsid w:val="00277B9C"/>
    <w:rsid w:val="002813AA"/>
    <w:rsid w:val="0028241B"/>
    <w:rsid w:val="00282D28"/>
    <w:rsid w:val="00284A98"/>
    <w:rsid w:val="00287B8E"/>
    <w:rsid w:val="0029135E"/>
    <w:rsid w:val="00294BAD"/>
    <w:rsid w:val="00294F20"/>
    <w:rsid w:val="0029658E"/>
    <w:rsid w:val="00296E9A"/>
    <w:rsid w:val="002A03C7"/>
    <w:rsid w:val="002A199D"/>
    <w:rsid w:val="002A21E4"/>
    <w:rsid w:val="002A273F"/>
    <w:rsid w:val="002A2F46"/>
    <w:rsid w:val="002A3536"/>
    <w:rsid w:val="002A3C31"/>
    <w:rsid w:val="002A42F1"/>
    <w:rsid w:val="002A5302"/>
    <w:rsid w:val="002A5F2D"/>
    <w:rsid w:val="002A67F3"/>
    <w:rsid w:val="002B03E9"/>
    <w:rsid w:val="002B09D9"/>
    <w:rsid w:val="002B1514"/>
    <w:rsid w:val="002B22B2"/>
    <w:rsid w:val="002B33AD"/>
    <w:rsid w:val="002B4642"/>
    <w:rsid w:val="002B52BB"/>
    <w:rsid w:val="002B5438"/>
    <w:rsid w:val="002B5817"/>
    <w:rsid w:val="002B5968"/>
    <w:rsid w:val="002C0001"/>
    <w:rsid w:val="002C4AAD"/>
    <w:rsid w:val="002C71DC"/>
    <w:rsid w:val="002C776C"/>
    <w:rsid w:val="002D23F3"/>
    <w:rsid w:val="002D374F"/>
    <w:rsid w:val="002E002A"/>
    <w:rsid w:val="002E1B21"/>
    <w:rsid w:val="002E2448"/>
    <w:rsid w:val="002E3DFA"/>
    <w:rsid w:val="002E4DC1"/>
    <w:rsid w:val="002F1895"/>
    <w:rsid w:val="002F202D"/>
    <w:rsid w:val="002F4B01"/>
    <w:rsid w:val="002F7276"/>
    <w:rsid w:val="002F7597"/>
    <w:rsid w:val="00300418"/>
    <w:rsid w:val="00300F2B"/>
    <w:rsid w:val="00304931"/>
    <w:rsid w:val="0031279C"/>
    <w:rsid w:val="00314726"/>
    <w:rsid w:val="003159C3"/>
    <w:rsid w:val="00317BA8"/>
    <w:rsid w:val="003203E6"/>
    <w:rsid w:val="00320E94"/>
    <w:rsid w:val="00321176"/>
    <w:rsid w:val="00322443"/>
    <w:rsid w:val="00322EE0"/>
    <w:rsid w:val="00326277"/>
    <w:rsid w:val="0032658D"/>
    <w:rsid w:val="00331252"/>
    <w:rsid w:val="0033184B"/>
    <w:rsid w:val="003330EC"/>
    <w:rsid w:val="00333955"/>
    <w:rsid w:val="00333BBE"/>
    <w:rsid w:val="003363B4"/>
    <w:rsid w:val="00340251"/>
    <w:rsid w:val="00340AD8"/>
    <w:rsid w:val="00340E14"/>
    <w:rsid w:val="003420BE"/>
    <w:rsid w:val="00342560"/>
    <w:rsid w:val="003425A2"/>
    <w:rsid w:val="003455FB"/>
    <w:rsid w:val="003476BB"/>
    <w:rsid w:val="00347CAF"/>
    <w:rsid w:val="0035025F"/>
    <w:rsid w:val="003509A8"/>
    <w:rsid w:val="003521C6"/>
    <w:rsid w:val="00353094"/>
    <w:rsid w:val="00354105"/>
    <w:rsid w:val="0035597C"/>
    <w:rsid w:val="0035671B"/>
    <w:rsid w:val="0035701B"/>
    <w:rsid w:val="0035740D"/>
    <w:rsid w:val="003607A0"/>
    <w:rsid w:val="0036131D"/>
    <w:rsid w:val="00361710"/>
    <w:rsid w:val="00361D31"/>
    <w:rsid w:val="00366782"/>
    <w:rsid w:val="003674BD"/>
    <w:rsid w:val="00370006"/>
    <w:rsid w:val="00374691"/>
    <w:rsid w:val="00380C09"/>
    <w:rsid w:val="00380E76"/>
    <w:rsid w:val="003830F5"/>
    <w:rsid w:val="00383F1A"/>
    <w:rsid w:val="0038470B"/>
    <w:rsid w:val="00385647"/>
    <w:rsid w:val="003862DC"/>
    <w:rsid w:val="0039078B"/>
    <w:rsid w:val="00397016"/>
    <w:rsid w:val="00397C8D"/>
    <w:rsid w:val="003A05BD"/>
    <w:rsid w:val="003A12C1"/>
    <w:rsid w:val="003A25B9"/>
    <w:rsid w:val="003A4060"/>
    <w:rsid w:val="003A416C"/>
    <w:rsid w:val="003A44C8"/>
    <w:rsid w:val="003A60D3"/>
    <w:rsid w:val="003A635E"/>
    <w:rsid w:val="003A7C22"/>
    <w:rsid w:val="003B078C"/>
    <w:rsid w:val="003B10EC"/>
    <w:rsid w:val="003B142C"/>
    <w:rsid w:val="003B1D45"/>
    <w:rsid w:val="003B24BD"/>
    <w:rsid w:val="003B3A95"/>
    <w:rsid w:val="003B4D11"/>
    <w:rsid w:val="003B7295"/>
    <w:rsid w:val="003C0DE1"/>
    <w:rsid w:val="003C2EF1"/>
    <w:rsid w:val="003C4C05"/>
    <w:rsid w:val="003C5382"/>
    <w:rsid w:val="003C71AA"/>
    <w:rsid w:val="003D0A68"/>
    <w:rsid w:val="003D1FFD"/>
    <w:rsid w:val="003D30D6"/>
    <w:rsid w:val="003D30F2"/>
    <w:rsid w:val="003D3670"/>
    <w:rsid w:val="003D40CF"/>
    <w:rsid w:val="003D5B19"/>
    <w:rsid w:val="003D6482"/>
    <w:rsid w:val="003D6D6C"/>
    <w:rsid w:val="003E08F9"/>
    <w:rsid w:val="003E127F"/>
    <w:rsid w:val="003E531A"/>
    <w:rsid w:val="003E7B2F"/>
    <w:rsid w:val="003E7C79"/>
    <w:rsid w:val="003F1023"/>
    <w:rsid w:val="003F1F9C"/>
    <w:rsid w:val="00400866"/>
    <w:rsid w:val="0040107F"/>
    <w:rsid w:val="004017DD"/>
    <w:rsid w:val="00401A05"/>
    <w:rsid w:val="00401FE3"/>
    <w:rsid w:val="0040257B"/>
    <w:rsid w:val="004036E6"/>
    <w:rsid w:val="00404502"/>
    <w:rsid w:val="0040461C"/>
    <w:rsid w:val="00405572"/>
    <w:rsid w:val="0040586D"/>
    <w:rsid w:val="00405C6C"/>
    <w:rsid w:val="0040602D"/>
    <w:rsid w:val="00406B21"/>
    <w:rsid w:val="00407DE7"/>
    <w:rsid w:val="004103AA"/>
    <w:rsid w:val="0041120B"/>
    <w:rsid w:val="00411721"/>
    <w:rsid w:val="00414F85"/>
    <w:rsid w:val="00417928"/>
    <w:rsid w:val="00417B30"/>
    <w:rsid w:val="00417F7B"/>
    <w:rsid w:val="00420B8F"/>
    <w:rsid w:val="00422E37"/>
    <w:rsid w:val="00424AE1"/>
    <w:rsid w:val="00427931"/>
    <w:rsid w:val="00427D4F"/>
    <w:rsid w:val="00432765"/>
    <w:rsid w:val="0043305A"/>
    <w:rsid w:val="004335FE"/>
    <w:rsid w:val="004337FC"/>
    <w:rsid w:val="00433B5D"/>
    <w:rsid w:val="0043401D"/>
    <w:rsid w:val="00436DFF"/>
    <w:rsid w:val="00436E14"/>
    <w:rsid w:val="00436E8C"/>
    <w:rsid w:val="00436FB4"/>
    <w:rsid w:val="0043744B"/>
    <w:rsid w:val="00437DC6"/>
    <w:rsid w:val="004417AD"/>
    <w:rsid w:val="00442896"/>
    <w:rsid w:val="004432CC"/>
    <w:rsid w:val="004459A7"/>
    <w:rsid w:val="00446594"/>
    <w:rsid w:val="004502E7"/>
    <w:rsid w:val="004507AA"/>
    <w:rsid w:val="00451E90"/>
    <w:rsid w:val="00452D10"/>
    <w:rsid w:val="00453F88"/>
    <w:rsid w:val="004546B1"/>
    <w:rsid w:val="00454EE8"/>
    <w:rsid w:val="00456B20"/>
    <w:rsid w:val="004574B0"/>
    <w:rsid w:val="004608B5"/>
    <w:rsid w:val="004612FB"/>
    <w:rsid w:val="0046313D"/>
    <w:rsid w:val="00463E77"/>
    <w:rsid w:val="004644FF"/>
    <w:rsid w:val="00465744"/>
    <w:rsid w:val="00465B86"/>
    <w:rsid w:val="00466297"/>
    <w:rsid w:val="0046713B"/>
    <w:rsid w:val="004716EC"/>
    <w:rsid w:val="00472590"/>
    <w:rsid w:val="004727B8"/>
    <w:rsid w:val="004749B7"/>
    <w:rsid w:val="004768BC"/>
    <w:rsid w:val="00476A60"/>
    <w:rsid w:val="004776A2"/>
    <w:rsid w:val="0048157B"/>
    <w:rsid w:val="00483A1F"/>
    <w:rsid w:val="004840A1"/>
    <w:rsid w:val="00484689"/>
    <w:rsid w:val="00485081"/>
    <w:rsid w:val="00485897"/>
    <w:rsid w:val="00486416"/>
    <w:rsid w:val="00487119"/>
    <w:rsid w:val="00487307"/>
    <w:rsid w:val="00487A8A"/>
    <w:rsid w:val="0049007D"/>
    <w:rsid w:val="00491359"/>
    <w:rsid w:val="00491918"/>
    <w:rsid w:val="00492340"/>
    <w:rsid w:val="00492CDB"/>
    <w:rsid w:val="004934C9"/>
    <w:rsid w:val="004938D5"/>
    <w:rsid w:val="00494350"/>
    <w:rsid w:val="00495180"/>
    <w:rsid w:val="00495493"/>
    <w:rsid w:val="0049642A"/>
    <w:rsid w:val="00497513"/>
    <w:rsid w:val="004A181B"/>
    <w:rsid w:val="004A1EC0"/>
    <w:rsid w:val="004A2D6A"/>
    <w:rsid w:val="004A3578"/>
    <w:rsid w:val="004A46CB"/>
    <w:rsid w:val="004A491D"/>
    <w:rsid w:val="004A686D"/>
    <w:rsid w:val="004A76CE"/>
    <w:rsid w:val="004A7A12"/>
    <w:rsid w:val="004A7CCC"/>
    <w:rsid w:val="004B0F12"/>
    <w:rsid w:val="004B1459"/>
    <w:rsid w:val="004B2FD6"/>
    <w:rsid w:val="004B3949"/>
    <w:rsid w:val="004B3FAC"/>
    <w:rsid w:val="004B42E2"/>
    <w:rsid w:val="004B53B9"/>
    <w:rsid w:val="004B62E1"/>
    <w:rsid w:val="004B6619"/>
    <w:rsid w:val="004B7713"/>
    <w:rsid w:val="004C1280"/>
    <w:rsid w:val="004C2D12"/>
    <w:rsid w:val="004C2F67"/>
    <w:rsid w:val="004C43B1"/>
    <w:rsid w:val="004C47E6"/>
    <w:rsid w:val="004C49F2"/>
    <w:rsid w:val="004C5836"/>
    <w:rsid w:val="004C7A5D"/>
    <w:rsid w:val="004C7B98"/>
    <w:rsid w:val="004D14DA"/>
    <w:rsid w:val="004D21FE"/>
    <w:rsid w:val="004D41E9"/>
    <w:rsid w:val="004D575A"/>
    <w:rsid w:val="004D67B9"/>
    <w:rsid w:val="004E1A08"/>
    <w:rsid w:val="004E1EA4"/>
    <w:rsid w:val="004E2B3D"/>
    <w:rsid w:val="004E300A"/>
    <w:rsid w:val="004E4BF9"/>
    <w:rsid w:val="004E4E10"/>
    <w:rsid w:val="004E50BD"/>
    <w:rsid w:val="004E5A77"/>
    <w:rsid w:val="004E6B9F"/>
    <w:rsid w:val="004E7FCA"/>
    <w:rsid w:val="004F1581"/>
    <w:rsid w:val="004F2EA7"/>
    <w:rsid w:val="004F4274"/>
    <w:rsid w:val="004F6B7C"/>
    <w:rsid w:val="004F77A7"/>
    <w:rsid w:val="005011FD"/>
    <w:rsid w:val="00502387"/>
    <w:rsid w:val="00503520"/>
    <w:rsid w:val="005040AA"/>
    <w:rsid w:val="0050480C"/>
    <w:rsid w:val="00504F70"/>
    <w:rsid w:val="00505410"/>
    <w:rsid w:val="005062B2"/>
    <w:rsid w:val="00507A08"/>
    <w:rsid w:val="00507FF7"/>
    <w:rsid w:val="00511C4E"/>
    <w:rsid w:val="00513442"/>
    <w:rsid w:val="00514197"/>
    <w:rsid w:val="005167D6"/>
    <w:rsid w:val="005223E0"/>
    <w:rsid w:val="00522920"/>
    <w:rsid w:val="00522E69"/>
    <w:rsid w:val="00523F77"/>
    <w:rsid w:val="00524063"/>
    <w:rsid w:val="00525ED6"/>
    <w:rsid w:val="005260A0"/>
    <w:rsid w:val="00526BFB"/>
    <w:rsid w:val="00527754"/>
    <w:rsid w:val="005277AA"/>
    <w:rsid w:val="005308FE"/>
    <w:rsid w:val="00530BE7"/>
    <w:rsid w:val="00533791"/>
    <w:rsid w:val="00533F99"/>
    <w:rsid w:val="005364D5"/>
    <w:rsid w:val="00536708"/>
    <w:rsid w:val="00536F3C"/>
    <w:rsid w:val="005410FC"/>
    <w:rsid w:val="0054244A"/>
    <w:rsid w:val="0054278F"/>
    <w:rsid w:val="00547FB1"/>
    <w:rsid w:val="0055066B"/>
    <w:rsid w:val="0055196B"/>
    <w:rsid w:val="00551B6D"/>
    <w:rsid w:val="00553430"/>
    <w:rsid w:val="00554121"/>
    <w:rsid w:val="005546DA"/>
    <w:rsid w:val="0055659B"/>
    <w:rsid w:val="00557E70"/>
    <w:rsid w:val="00561AC6"/>
    <w:rsid w:val="00564073"/>
    <w:rsid w:val="00564AC9"/>
    <w:rsid w:val="00564E5B"/>
    <w:rsid w:val="00567E28"/>
    <w:rsid w:val="00570A60"/>
    <w:rsid w:val="005718F8"/>
    <w:rsid w:val="00572C3B"/>
    <w:rsid w:val="00574829"/>
    <w:rsid w:val="00574DD9"/>
    <w:rsid w:val="005763E5"/>
    <w:rsid w:val="00576DBD"/>
    <w:rsid w:val="00577AA3"/>
    <w:rsid w:val="00583DA8"/>
    <w:rsid w:val="00584A4F"/>
    <w:rsid w:val="00586A13"/>
    <w:rsid w:val="00587776"/>
    <w:rsid w:val="00590EE0"/>
    <w:rsid w:val="00592CFC"/>
    <w:rsid w:val="00593BAD"/>
    <w:rsid w:val="005940DF"/>
    <w:rsid w:val="00594687"/>
    <w:rsid w:val="00597726"/>
    <w:rsid w:val="00597860"/>
    <w:rsid w:val="005A06CC"/>
    <w:rsid w:val="005A2153"/>
    <w:rsid w:val="005A25CA"/>
    <w:rsid w:val="005A42EA"/>
    <w:rsid w:val="005A5742"/>
    <w:rsid w:val="005B1058"/>
    <w:rsid w:val="005B13E4"/>
    <w:rsid w:val="005B24C5"/>
    <w:rsid w:val="005B2844"/>
    <w:rsid w:val="005B3BB7"/>
    <w:rsid w:val="005B6077"/>
    <w:rsid w:val="005B7270"/>
    <w:rsid w:val="005C24D9"/>
    <w:rsid w:val="005C27D8"/>
    <w:rsid w:val="005C412D"/>
    <w:rsid w:val="005C4612"/>
    <w:rsid w:val="005C4D4F"/>
    <w:rsid w:val="005C5323"/>
    <w:rsid w:val="005C7205"/>
    <w:rsid w:val="005C7289"/>
    <w:rsid w:val="005C7E16"/>
    <w:rsid w:val="005D0672"/>
    <w:rsid w:val="005D1A08"/>
    <w:rsid w:val="005D3DE6"/>
    <w:rsid w:val="005D3E95"/>
    <w:rsid w:val="005D58FF"/>
    <w:rsid w:val="005D6013"/>
    <w:rsid w:val="005D6CE2"/>
    <w:rsid w:val="005D6D84"/>
    <w:rsid w:val="005D70D6"/>
    <w:rsid w:val="005E0891"/>
    <w:rsid w:val="005E15EC"/>
    <w:rsid w:val="005E2DCF"/>
    <w:rsid w:val="005E3380"/>
    <w:rsid w:val="005E4306"/>
    <w:rsid w:val="005E608B"/>
    <w:rsid w:val="005F06A2"/>
    <w:rsid w:val="005F144C"/>
    <w:rsid w:val="005F1A50"/>
    <w:rsid w:val="005F1FFC"/>
    <w:rsid w:val="005F2D6B"/>
    <w:rsid w:val="006000C4"/>
    <w:rsid w:val="00600E33"/>
    <w:rsid w:val="00601DC8"/>
    <w:rsid w:val="00602CC9"/>
    <w:rsid w:val="00602EE9"/>
    <w:rsid w:val="00603CB2"/>
    <w:rsid w:val="0060461C"/>
    <w:rsid w:val="006078D2"/>
    <w:rsid w:val="00607A31"/>
    <w:rsid w:val="00610CBA"/>
    <w:rsid w:val="00614293"/>
    <w:rsid w:val="00615DD7"/>
    <w:rsid w:val="0061692F"/>
    <w:rsid w:val="00616A0A"/>
    <w:rsid w:val="0061773B"/>
    <w:rsid w:val="00620F6B"/>
    <w:rsid w:val="00621785"/>
    <w:rsid w:val="00622349"/>
    <w:rsid w:val="00623FA0"/>
    <w:rsid w:val="006246FF"/>
    <w:rsid w:val="006273AB"/>
    <w:rsid w:val="00627719"/>
    <w:rsid w:val="00631B95"/>
    <w:rsid w:val="006334D3"/>
    <w:rsid w:val="00633A6A"/>
    <w:rsid w:val="006349ED"/>
    <w:rsid w:val="00641B68"/>
    <w:rsid w:val="006452EC"/>
    <w:rsid w:val="0064572C"/>
    <w:rsid w:val="00645D9F"/>
    <w:rsid w:val="00646FE5"/>
    <w:rsid w:val="0065038A"/>
    <w:rsid w:val="0065218B"/>
    <w:rsid w:val="006522A9"/>
    <w:rsid w:val="0065249B"/>
    <w:rsid w:val="00656834"/>
    <w:rsid w:val="00656BD3"/>
    <w:rsid w:val="00656C03"/>
    <w:rsid w:val="00657E84"/>
    <w:rsid w:val="006638CA"/>
    <w:rsid w:val="006640E2"/>
    <w:rsid w:val="0066596D"/>
    <w:rsid w:val="00665A3D"/>
    <w:rsid w:val="00665EA3"/>
    <w:rsid w:val="00666438"/>
    <w:rsid w:val="006707EE"/>
    <w:rsid w:val="00670806"/>
    <w:rsid w:val="00674F25"/>
    <w:rsid w:val="0067525E"/>
    <w:rsid w:val="0067535A"/>
    <w:rsid w:val="00676FCE"/>
    <w:rsid w:val="006774E3"/>
    <w:rsid w:val="006808B8"/>
    <w:rsid w:val="006822DC"/>
    <w:rsid w:val="006836E2"/>
    <w:rsid w:val="00683795"/>
    <w:rsid w:val="00683FD5"/>
    <w:rsid w:val="00685819"/>
    <w:rsid w:val="00686723"/>
    <w:rsid w:val="00686823"/>
    <w:rsid w:val="00687032"/>
    <w:rsid w:val="0069274D"/>
    <w:rsid w:val="00693AB6"/>
    <w:rsid w:val="00693CE9"/>
    <w:rsid w:val="006957BA"/>
    <w:rsid w:val="00696BBA"/>
    <w:rsid w:val="0069754D"/>
    <w:rsid w:val="006A1414"/>
    <w:rsid w:val="006A180D"/>
    <w:rsid w:val="006A2318"/>
    <w:rsid w:val="006A23FF"/>
    <w:rsid w:val="006A28EF"/>
    <w:rsid w:val="006A2A57"/>
    <w:rsid w:val="006A3A61"/>
    <w:rsid w:val="006A4576"/>
    <w:rsid w:val="006A493F"/>
    <w:rsid w:val="006A6057"/>
    <w:rsid w:val="006A6C52"/>
    <w:rsid w:val="006B1275"/>
    <w:rsid w:val="006B2184"/>
    <w:rsid w:val="006B25CD"/>
    <w:rsid w:val="006B4352"/>
    <w:rsid w:val="006B6189"/>
    <w:rsid w:val="006B639C"/>
    <w:rsid w:val="006B6677"/>
    <w:rsid w:val="006B6B12"/>
    <w:rsid w:val="006C04A6"/>
    <w:rsid w:val="006C219A"/>
    <w:rsid w:val="006C230E"/>
    <w:rsid w:val="006C2AAB"/>
    <w:rsid w:val="006C3FAD"/>
    <w:rsid w:val="006C4310"/>
    <w:rsid w:val="006C5F53"/>
    <w:rsid w:val="006D024E"/>
    <w:rsid w:val="006D129A"/>
    <w:rsid w:val="006D2C99"/>
    <w:rsid w:val="006D32BF"/>
    <w:rsid w:val="006D386E"/>
    <w:rsid w:val="006D61EC"/>
    <w:rsid w:val="006D679E"/>
    <w:rsid w:val="006D69B7"/>
    <w:rsid w:val="006E3B36"/>
    <w:rsid w:val="006E3EB4"/>
    <w:rsid w:val="006E4BE9"/>
    <w:rsid w:val="006E6851"/>
    <w:rsid w:val="006E76B2"/>
    <w:rsid w:val="006E7D86"/>
    <w:rsid w:val="006F1C1D"/>
    <w:rsid w:val="006F351B"/>
    <w:rsid w:val="006F6C7F"/>
    <w:rsid w:val="006F72DB"/>
    <w:rsid w:val="006F7463"/>
    <w:rsid w:val="00701FC7"/>
    <w:rsid w:val="00702763"/>
    <w:rsid w:val="00703AB9"/>
    <w:rsid w:val="00705BE1"/>
    <w:rsid w:val="007074D6"/>
    <w:rsid w:val="00711994"/>
    <w:rsid w:val="00711D08"/>
    <w:rsid w:val="007122E1"/>
    <w:rsid w:val="0071288F"/>
    <w:rsid w:val="00713697"/>
    <w:rsid w:val="00715F36"/>
    <w:rsid w:val="00716300"/>
    <w:rsid w:val="007168EE"/>
    <w:rsid w:val="00720650"/>
    <w:rsid w:val="0072195B"/>
    <w:rsid w:val="00723185"/>
    <w:rsid w:val="00723591"/>
    <w:rsid w:val="00723BDE"/>
    <w:rsid w:val="0072475D"/>
    <w:rsid w:val="0072628E"/>
    <w:rsid w:val="007307D3"/>
    <w:rsid w:val="0073175A"/>
    <w:rsid w:val="007323F0"/>
    <w:rsid w:val="00732754"/>
    <w:rsid w:val="00732C4A"/>
    <w:rsid w:val="007341CC"/>
    <w:rsid w:val="007347D3"/>
    <w:rsid w:val="0073613A"/>
    <w:rsid w:val="00737B6E"/>
    <w:rsid w:val="00737C43"/>
    <w:rsid w:val="00742150"/>
    <w:rsid w:val="007429E4"/>
    <w:rsid w:val="00742AE0"/>
    <w:rsid w:val="00743E58"/>
    <w:rsid w:val="00744A1A"/>
    <w:rsid w:val="00744AB2"/>
    <w:rsid w:val="00746243"/>
    <w:rsid w:val="0075155F"/>
    <w:rsid w:val="00751C13"/>
    <w:rsid w:val="0075261D"/>
    <w:rsid w:val="00752B1A"/>
    <w:rsid w:val="00752B50"/>
    <w:rsid w:val="007538D7"/>
    <w:rsid w:val="00756923"/>
    <w:rsid w:val="00756DDE"/>
    <w:rsid w:val="00760B00"/>
    <w:rsid w:val="007614A4"/>
    <w:rsid w:val="00761CA1"/>
    <w:rsid w:val="00762030"/>
    <w:rsid w:val="0076400A"/>
    <w:rsid w:val="00764657"/>
    <w:rsid w:val="00766382"/>
    <w:rsid w:val="00770D88"/>
    <w:rsid w:val="00775672"/>
    <w:rsid w:val="00775980"/>
    <w:rsid w:val="007759DD"/>
    <w:rsid w:val="007827F5"/>
    <w:rsid w:val="00783EDC"/>
    <w:rsid w:val="00783F97"/>
    <w:rsid w:val="00784708"/>
    <w:rsid w:val="00784E4D"/>
    <w:rsid w:val="00786296"/>
    <w:rsid w:val="00786F9D"/>
    <w:rsid w:val="00790EBA"/>
    <w:rsid w:val="007959A7"/>
    <w:rsid w:val="00795EB1"/>
    <w:rsid w:val="00795FE3"/>
    <w:rsid w:val="0079788C"/>
    <w:rsid w:val="007979E0"/>
    <w:rsid w:val="007A135F"/>
    <w:rsid w:val="007A365D"/>
    <w:rsid w:val="007A40DC"/>
    <w:rsid w:val="007A5153"/>
    <w:rsid w:val="007A694B"/>
    <w:rsid w:val="007A6E6E"/>
    <w:rsid w:val="007A71AE"/>
    <w:rsid w:val="007B0F15"/>
    <w:rsid w:val="007B3B7F"/>
    <w:rsid w:val="007B3D4B"/>
    <w:rsid w:val="007B4F1E"/>
    <w:rsid w:val="007B5F4B"/>
    <w:rsid w:val="007B7B10"/>
    <w:rsid w:val="007B7D53"/>
    <w:rsid w:val="007C1D90"/>
    <w:rsid w:val="007C1E6A"/>
    <w:rsid w:val="007C4674"/>
    <w:rsid w:val="007C5D7F"/>
    <w:rsid w:val="007D02C3"/>
    <w:rsid w:val="007D1B9D"/>
    <w:rsid w:val="007D23EE"/>
    <w:rsid w:val="007D2D00"/>
    <w:rsid w:val="007D361B"/>
    <w:rsid w:val="007D3CC6"/>
    <w:rsid w:val="007D3CF4"/>
    <w:rsid w:val="007D4587"/>
    <w:rsid w:val="007D4E26"/>
    <w:rsid w:val="007D518F"/>
    <w:rsid w:val="007D55B1"/>
    <w:rsid w:val="007D5C46"/>
    <w:rsid w:val="007D715A"/>
    <w:rsid w:val="007D7D94"/>
    <w:rsid w:val="007E3409"/>
    <w:rsid w:val="007E54B5"/>
    <w:rsid w:val="007E5E64"/>
    <w:rsid w:val="007E6A03"/>
    <w:rsid w:val="007F1233"/>
    <w:rsid w:val="007F16B0"/>
    <w:rsid w:val="007F277A"/>
    <w:rsid w:val="007F7AE9"/>
    <w:rsid w:val="007F7BFB"/>
    <w:rsid w:val="0080111A"/>
    <w:rsid w:val="008030E7"/>
    <w:rsid w:val="008037D5"/>
    <w:rsid w:val="008054AD"/>
    <w:rsid w:val="008056B0"/>
    <w:rsid w:val="00805A77"/>
    <w:rsid w:val="008062FD"/>
    <w:rsid w:val="00807EEF"/>
    <w:rsid w:val="00810DE7"/>
    <w:rsid w:val="00810F60"/>
    <w:rsid w:val="0081106E"/>
    <w:rsid w:val="008114B6"/>
    <w:rsid w:val="008160D6"/>
    <w:rsid w:val="00823D46"/>
    <w:rsid w:val="00823EE2"/>
    <w:rsid w:val="00823F30"/>
    <w:rsid w:val="00825676"/>
    <w:rsid w:val="00825AA0"/>
    <w:rsid w:val="0082727A"/>
    <w:rsid w:val="0083169C"/>
    <w:rsid w:val="00831B51"/>
    <w:rsid w:val="00831FA1"/>
    <w:rsid w:val="00834540"/>
    <w:rsid w:val="008346B3"/>
    <w:rsid w:val="00834E2E"/>
    <w:rsid w:val="00840F1F"/>
    <w:rsid w:val="008412ED"/>
    <w:rsid w:val="00841523"/>
    <w:rsid w:val="00843D8B"/>
    <w:rsid w:val="0084434D"/>
    <w:rsid w:val="00845DB1"/>
    <w:rsid w:val="0084745C"/>
    <w:rsid w:val="0085084E"/>
    <w:rsid w:val="008508EB"/>
    <w:rsid w:val="00851D27"/>
    <w:rsid w:val="008539AD"/>
    <w:rsid w:val="00853AC8"/>
    <w:rsid w:val="00853D29"/>
    <w:rsid w:val="00853ED4"/>
    <w:rsid w:val="00854C65"/>
    <w:rsid w:val="00854E0E"/>
    <w:rsid w:val="008560C5"/>
    <w:rsid w:val="00856AE0"/>
    <w:rsid w:val="0086260E"/>
    <w:rsid w:val="0086292C"/>
    <w:rsid w:val="00862A93"/>
    <w:rsid w:val="00863B0B"/>
    <w:rsid w:val="00864024"/>
    <w:rsid w:val="00865713"/>
    <w:rsid w:val="008659C9"/>
    <w:rsid w:val="00870994"/>
    <w:rsid w:val="0087197B"/>
    <w:rsid w:val="0087225F"/>
    <w:rsid w:val="0087243C"/>
    <w:rsid w:val="00872B07"/>
    <w:rsid w:val="00872D4B"/>
    <w:rsid w:val="00880516"/>
    <w:rsid w:val="0088544A"/>
    <w:rsid w:val="0088636D"/>
    <w:rsid w:val="00886BF5"/>
    <w:rsid w:val="008873FD"/>
    <w:rsid w:val="00887732"/>
    <w:rsid w:val="00887F41"/>
    <w:rsid w:val="00895F91"/>
    <w:rsid w:val="008A190A"/>
    <w:rsid w:val="008A4CD3"/>
    <w:rsid w:val="008A6066"/>
    <w:rsid w:val="008B0763"/>
    <w:rsid w:val="008B197C"/>
    <w:rsid w:val="008B34CF"/>
    <w:rsid w:val="008B3770"/>
    <w:rsid w:val="008B73A2"/>
    <w:rsid w:val="008B7814"/>
    <w:rsid w:val="008C253B"/>
    <w:rsid w:val="008C2617"/>
    <w:rsid w:val="008C2ADF"/>
    <w:rsid w:val="008C3CED"/>
    <w:rsid w:val="008C4161"/>
    <w:rsid w:val="008C675C"/>
    <w:rsid w:val="008C6A4B"/>
    <w:rsid w:val="008D015B"/>
    <w:rsid w:val="008D1D7D"/>
    <w:rsid w:val="008D271F"/>
    <w:rsid w:val="008D3074"/>
    <w:rsid w:val="008D4249"/>
    <w:rsid w:val="008D604E"/>
    <w:rsid w:val="008D6313"/>
    <w:rsid w:val="008E12F2"/>
    <w:rsid w:val="008E1FAA"/>
    <w:rsid w:val="008E2B62"/>
    <w:rsid w:val="008E3020"/>
    <w:rsid w:val="008E30ED"/>
    <w:rsid w:val="008E411F"/>
    <w:rsid w:val="008E4200"/>
    <w:rsid w:val="008E60B4"/>
    <w:rsid w:val="008F02AE"/>
    <w:rsid w:val="008F0518"/>
    <w:rsid w:val="008F14D9"/>
    <w:rsid w:val="008F213C"/>
    <w:rsid w:val="008F29EC"/>
    <w:rsid w:val="008F760D"/>
    <w:rsid w:val="008F7A39"/>
    <w:rsid w:val="00901658"/>
    <w:rsid w:val="00902468"/>
    <w:rsid w:val="00902EA5"/>
    <w:rsid w:val="00903E3E"/>
    <w:rsid w:val="00904601"/>
    <w:rsid w:val="00904EFC"/>
    <w:rsid w:val="00906DD4"/>
    <w:rsid w:val="00910892"/>
    <w:rsid w:val="00910F4A"/>
    <w:rsid w:val="00912A44"/>
    <w:rsid w:val="00912FA7"/>
    <w:rsid w:val="00913B0A"/>
    <w:rsid w:val="0091432E"/>
    <w:rsid w:val="00914CD8"/>
    <w:rsid w:val="00915EB6"/>
    <w:rsid w:val="00922584"/>
    <w:rsid w:val="00922919"/>
    <w:rsid w:val="00923B0C"/>
    <w:rsid w:val="00923E38"/>
    <w:rsid w:val="009256F8"/>
    <w:rsid w:val="009265DC"/>
    <w:rsid w:val="009306B8"/>
    <w:rsid w:val="00931955"/>
    <w:rsid w:val="009321B1"/>
    <w:rsid w:val="00932945"/>
    <w:rsid w:val="00935308"/>
    <w:rsid w:val="009369AC"/>
    <w:rsid w:val="009403C8"/>
    <w:rsid w:val="00941C1D"/>
    <w:rsid w:val="009420F5"/>
    <w:rsid w:val="00942BBD"/>
    <w:rsid w:val="00943376"/>
    <w:rsid w:val="0094486A"/>
    <w:rsid w:val="0094603B"/>
    <w:rsid w:val="009462E1"/>
    <w:rsid w:val="009465AB"/>
    <w:rsid w:val="00946AD5"/>
    <w:rsid w:val="0094769A"/>
    <w:rsid w:val="00947858"/>
    <w:rsid w:val="00950622"/>
    <w:rsid w:val="0095328D"/>
    <w:rsid w:val="009538D9"/>
    <w:rsid w:val="00953D55"/>
    <w:rsid w:val="00953F39"/>
    <w:rsid w:val="009552A7"/>
    <w:rsid w:val="00956AB9"/>
    <w:rsid w:val="00957AF8"/>
    <w:rsid w:val="00961E76"/>
    <w:rsid w:val="00963E83"/>
    <w:rsid w:val="00963FBA"/>
    <w:rsid w:val="00965443"/>
    <w:rsid w:val="0096569C"/>
    <w:rsid w:val="00965904"/>
    <w:rsid w:val="009720B2"/>
    <w:rsid w:val="00973945"/>
    <w:rsid w:val="00974361"/>
    <w:rsid w:val="00977E3C"/>
    <w:rsid w:val="009816C4"/>
    <w:rsid w:val="0098241A"/>
    <w:rsid w:val="0098703F"/>
    <w:rsid w:val="00987CA8"/>
    <w:rsid w:val="009903B9"/>
    <w:rsid w:val="0099149B"/>
    <w:rsid w:val="00991991"/>
    <w:rsid w:val="00991F38"/>
    <w:rsid w:val="00995D53"/>
    <w:rsid w:val="00995E75"/>
    <w:rsid w:val="0099789E"/>
    <w:rsid w:val="009A011A"/>
    <w:rsid w:val="009A063E"/>
    <w:rsid w:val="009A1965"/>
    <w:rsid w:val="009A1C1D"/>
    <w:rsid w:val="009A2575"/>
    <w:rsid w:val="009A2E43"/>
    <w:rsid w:val="009A4D2E"/>
    <w:rsid w:val="009A6481"/>
    <w:rsid w:val="009A6ACC"/>
    <w:rsid w:val="009A7383"/>
    <w:rsid w:val="009B0281"/>
    <w:rsid w:val="009B043C"/>
    <w:rsid w:val="009B07C3"/>
    <w:rsid w:val="009B3D8A"/>
    <w:rsid w:val="009B478D"/>
    <w:rsid w:val="009B503B"/>
    <w:rsid w:val="009B582D"/>
    <w:rsid w:val="009C079B"/>
    <w:rsid w:val="009C1547"/>
    <w:rsid w:val="009C2700"/>
    <w:rsid w:val="009C2B68"/>
    <w:rsid w:val="009C3BD7"/>
    <w:rsid w:val="009C489B"/>
    <w:rsid w:val="009C4D62"/>
    <w:rsid w:val="009D24DC"/>
    <w:rsid w:val="009D3C32"/>
    <w:rsid w:val="009D5934"/>
    <w:rsid w:val="009E047F"/>
    <w:rsid w:val="009E05E1"/>
    <w:rsid w:val="009E1D03"/>
    <w:rsid w:val="009E3E7C"/>
    <w:rsid w:val="009E415E"/>
    <w:rsid w:val="009E55DC"/>
    <w:rsid w:val="009E5753"/>
    <w:rsid w:val="009E5A29"/>
    <w:rsid w:val="009E73FD"/>
    <w:rsid w:val="009E762E"/>
    <w:rsid w:val="009F0FB8"/>
    <w:rsid w:val="009F1869"/>
    <w:rsid w:val="009F60B1"/>
    <w:rsid w:val="009F65C9"/>
    <w:rsid w:val="009F7573"/>
    <w:rsid w:val="00A0073C"/>
    <w:rsid w:val="00A02200"/>
    <w:rsid w:val="00A0437E"/>
    <w:rsid w:val="00A05239"/>
    <w:rsid w:val="00A05270"/>
    <w:rsid w:val="00A0695B"/>
    <w:rsid w:val="00A11517"/>
    <w:rsid w:val="00A15968"/>
    <w:rsid w:val="00A15B6E"/>
    <w:rsid w:val="00A1798F"/>
    <w:rsid w:val="00A204F5"/>
    <w:rsid w:val="00A20769"/>
    <w:rsid w:val="00A21F56"/>
    <w:rsid w:val="00A23C11"/>
    <w:rsid w:val="00A268FD"/>
    <w:rsid w:val="00A27080"/>
    <w:rsid w:val="00A3140A"/>
    <w:rsid w:val="00A334D0"/>
    <w:rsid w:val="00A336A9"/>
    <w:rsid w:val="00A338EB"/>
    <w:rsid w:val="00A33F7A"/>
    <w:rsid w:val="00A36543"/>
    <w:rsid w:val="00A3675A"/>
    <w:rsid w:val="00A416B4"/>
    <w:rsid w:val="00A41A94"/>
    <w:rsid w:val="00A41F13"/>
    <w:rsid w:val="00A42442"/>
    <w:rsid w:val="00A4580B"/>
    <w:rsid w:val="00A45C2A"/>
    <w:rsid w:val="00A4684A"/>
    <w:rsid w:val="00A4712C"/>
    <w:rsid w:val="00A50A07"/>
    <w:rsid w:val="00A51302"/>
    <w:rsid w:val="00A5217A"/>
    <w:rsid w:val="00A52BE8"/>
    <w:rsid w:val="00A52C1F"/>
    <w:rsid w:val="00A52C4E"/>
    <w:rsid w:val="00A53B69"/>
    <w:rsid w:val="00A5428A"/>
    <w:rsid w:val="00A54647"/>
    <w:rsid w:val="00A55FB7"/>
    <w:rsid w:val="00A565F4"/>
    <w:rsid w:val="00A57FB4"/>
    <w:rsid w:val="00A611DB"/>
    <w:rsid w:val="00A62F66"/>
    <w:rsid w:val="00A6537D"/>
    <w:rsid w:val="00A659CE"/>
    <w:rsid w:val="00A65A2D"/>
    <w:rsid w:val="00A65C82"/>
    <w:rsid w:val="00A671FD"/>
    <w:rsid w:val="00A67684"/>
    <w:rsid w:val="00A7044E"/>
    <w:rsid w:val="00A70638"/>
    <w:rsid w:val="00A70708"/>
    <w:rsid w:val="00A723F7"/>
    <w:rsid w:val="00A72EE6"/>
    <w:rsid w:val="00A7662B"/>
    <w:rsid w:val="00A76F18"/>
    <w:rsid w:val="00A77FF9"/>
    <w:rsid w:val="00A80107"/>
    <w:rsid w:val="00A80B0B"/>
    <w:rsid w:val="00A80C42"/>
    <w:rsid w:val="00A80D3A"/>
    <w:rsid w:val="00A810B5"/>
    <w:rsid w:val="00A83D16"/>
    <w:rsid w:val="00A86F0D"/>
    <w:rsid w:val="00A86FB8"/>
    <w:rsid w:val="00A91049"/>
    <w:rsid w:val="00A93A48"/>
    <w:rsid w:val="00A93B49"/>
    <w:rsid w:val="00A9650B"/>
    <w:rsid w:val="00A966D8"/>
    <w:rsid w:val="00A96B06"/>
    <w:rsid w:val="00AA1BCD"/>
    <w:rsid w:val="00AA202E"/>
    <w:rsid w:val="00AA2BDC"/>
    <w:rsid w:val="00AA3889"/>
    <w:rsid w:val="00AA47CB"/>
    <w:rsid w:val="00AA4912"/>
    <w:rsid w:val="00AA4ACE"/>
    <w:rsid w:val="00AA55CF"/>
    <w:rsid w:val="00AA6C34"/>
    <w:rsid w:val="00AB10B3"/>
    <w:rsid w:val="00AB19A7"/>
    <w:rsid w:val="00AB4681"/>
    <w:rsid w:val="00AB667D"/>
    <w:rsid w:val="00AB6D30"/>
    <w:rsid w:val="00AB6E19"/>
    <w:rsid w:val="00AB6E1D"/>
    <w:rsid w:val="00AC0270"/>
    <w:rsid w:val="00AC1BAD"/>
    <w:rsid w:val="00AC1F86"/>
    <w:rsid w:val="00AC22B8"/>
    <w:rsid w:val="00AC290A"/>
    <w:rsid w:val="00AC50C8"/>
    <w:rsid w:val="00AC6C8C"/>
    <w:rsid w:val="00AD21F0"/>
    <w:rsid w:val="00AD3B19"/>
    <w:rsid w:val="00AD40BE"/>
    <w:rsid w:val="00AD41BC"/>
    <w:rsid w:val="00AD41FD"/>
    <w:rsid w:val="00AD4766"/>
    <w:rsid w:val="00AD4C43"/>
    <w:rsid w:val="00AD5CC9"/>
    <w:rsid w:val="00AD613D"/>
    <w:rsid w:val="00AE28B4"/>
    <w:rsid w:val="00AE3F0F"/>
    <w:rsid w:val="00AE5A75"/>
    <w:rsid w:val="00AF10FD"/>
    <w:rsid w:val="00AF29DD"/>
    <w:rsid w:val="00AF3A37"/>
    <w:rsid w:val="00AF4829"/>
    <w:rsid w:val="00AF568C"/>
    <w:rsid w:val="00AF597D"/>
    <w:rsid w:val="00AF5D40"/>
    <w:rsid w:val="00AF6510"/>
    <w:rsid w:val="00AF74ED"/>
    <w:rsid w:val="00AF7FDD"/>
    <w:rsid w:val="00B00F11"/>
    <w:rsid w:val="00B0318C"/>
    <w:rsid w:val="00B05C63"/>
    <w:rsid w:val="00B114D0"/>
    <w:rsid w:val="00B131F4"/>
    <w:rsid w:val="00B1402F"/>
    <w:rsid w:val="00B14618"/>
    <w:rsid w:val="00B1695D"/>
    <w:rsid w:val="00B17970"/>
    <w:rsid w:val="00B20F84"/>
    <w:rsid w:val="00B2142B"/>
    <w:rsid w:val="00B233A7"/>
    <w:rsid w:val="00B2432C"/>
    <w:rsid w:val="00B25095"/>
    <w:rsid w:val="00B33F75"/>
    <w:rsid w:val="00B3422B"/>
    <w:rsid w:val="00B35F9C"/>
    <w:rsid w:val="00B36430"/>
    <w:rsid w:val="00B36895"/>
    <w:rsid w:val="00B369F8"/>
    <w:rsid w:val="00B36B81"/>
    <w:rsid w:val="00B36E3A"/>
    <w:rsid w:val="00B36E52"/>
    <w:rsid w:val="00B37079"/>
    <w:rsid w:val="00B37E8B"/>
    <w:rsid w:val="00B40C94"/>
    <w:rsid w:val="00B42DFC"/>
    <w:rsid w:val="00B4683C"/>
    <w:rsid w:val="00B476A9"/>
    <w:rsid w:val="00B5004F"/>
    <w:rsid w:val="00B5013E"/>
    <w:rsid w:val="00B52200"/>
    <w:rsid w:val="00B53F4D"/>
    <w:rsid w:val="00B54A2F"/>
    <w:rsid w:val="00B54B59"/>
    <w:rsid w:val="00B554B9"/>
    <w:rsid w:val="00B56010"/>
    <w:rsid w:val="00B562A1"/>
    <w:rsid w:val="00B56BFA"/>
    <w:rsid w:val="00B56FDE"/>
    <w:rsid w:val="00B5799B"/>
    <w:rsid w:val="00B61765"/>
    <w:rsid w:val="00B6192A"/>
    <w:rsid w:val="00B626AD"/>
    <w:rsid w:val="00B6411A"/>
    <w:rsid w:val="00B66C2B"/>
    <w:rsid w:val="00B6740F"/>
    <w:rsid w:val="00B70A7C"/>
    <w:rsid w:val="00B76547"/>
    <w:rsid w:val="00B802EE"/>
    <w:rsid w:val="00B80621"/>
    <w:rsid w:val="00B8096E"/>
    <w:rsid w:val="00B80A46"/>
    <w:rsid w:val="00B82426"/>
    <w:rsid w:val="00B82573"/>
    <w:rsid w:val="00B829EE"/>
    <w:rsid w:val="00B83E8B"/>
    <w:rsid w:val="00B84C7D"/>
    <w:rsid w:val="00B85BF9"/>
    <w:rsid w:val="00B85F7A"/>
    <w:rsid w:val="00B866B3"/>
    <w:rsid w:val="00B86B72"/>
    <w:rsid w:val="00B90159"/>
    <w:rsid w:val="00B917A3"/>
    <w:rsid w:val="00B942B9"/>
    <w:rsid w:val="00B9456D"/>
    <w:rsid w:val="00BA2579"/>
    <w:rsid w:val="00BA3F68"/>
    <w:rsid w:val="00BA41BC"/>
    <w:rsid w:val="00BA6667"/>
    <w:rsid w:val="00BA6F93"/>
    <w:rsid w:val="00BB0FB2"/>
    <w:rsid w:val="00BB2F61"/>
    <w:rsid w:val="00BB3A89"/>
    <w:rsid w:val="00BB404C"/>
    <w:rsid w:val="00BC10D7"/>
    <w:rsid w:val="00BC42F3"/>
    <w:rsid w:val="00BC74C2"/>
    <w:rsid w:val="00BD06F2"/>
    <w:rsid w:val="00BD0A1D"/>
    <w:rsid w:val="00BD14EA"/>
    <w:rsid w:val="00BD16E1"/>
    <w:rsid w:val="00BD50A2"/>
    <w:rsid w:val="00BD7DA9"/>
    <w:rsid w:val="00BE0E14"/>
    <w:rsid w:val="00BE12DF"/>
    <w:rsid w:val="00BE2566"/>
    <w:rsid w:val="00BE3DCC"/>
    <w:rsid w:val="00BE4558"/>
    <w:rsid w:val="00BE4E76"/>
    <w:rsid w:val="00BE648E"/>
    <w:rsid w:val="00BE6972"/>
    <w:rsid w:val="00BE6B7E"/>
    <w:rsid w:val="00BF0B75"/>
    <w:rsid w:val="00BF15E9"/>
    <w:rsid w:val="00BF3F79"/>
    <w:rsid w:val="00BF465A"/>
    <w:rsid w:val="00C02CDB"/>
    <w:rsid w:val="00C05F59"/>
    <w:rsid w:val="00C1005E"/>
    <w:rsid w:val="00C1197F"/>
    <w:rsid w:val="00C12704"/>
    <w:rsid w:val="00C15445"/>
    <w:rsid w:val="00C154AE"/>
    <w:rsid w:val="00C163BE"/>
    <w:rsid w:val="00C21AF1"/>
    <w:rsid w:val="00C22356"/>
    <w:rsid w:val="00C2347B"/>
    <w:rsid w:val="00C2537B"/>
    <w:rsid w:val="00C25707"/>
    <w:rsid w:val="00C25EF1"/>
    <w:rsid w:val="00C2742C"/>
    <w:rsid w:val="00C3016A"/>
    <w:rsid w:val="00C312B7"/>
    <w:rsid w:val="00C32AE4"/>
    <w:rsid w:val="00C32B61"/>
    <w:rsid w:val="00C345B7"/>
    <w:rsid w:val="00C34B4D"/>
    <w:rsid w:val="00C352FB"/>
    <w:rsid w:val="00C4131D"/>
    <w:rsid w:val="00C42ABE"/>
    <w:rsid w:val="00C42AE4"/>
    <w:rsid w:val="00C44F03"/>
    <w:rsid w:val="00C4512A"/>
    <w:rsid w:val="00C45DE5"/>
    <w:rsid w:val="00C479D8"/>
    <w:rsid w:val="00C50E3A"/>
    <w:rsid w:val="00C515C2"/>
    <w:rsid w:val="00C5168C"/>
    <w:rsid w:val="00C555CD"/>
    <w:rsid w:val="00C568B5"/>
    <w:rsid w:val="00C57A47"/>
    <w:rsid w:val="00C57C96"/>
    <w:rsid w:val="00C61AF0"/>
    <w:rsid w:val="00C6313A"/>
    <w:rsid w:val="00C644DA"/>
    <w:rsid w:val="00C70400"/>
    <w:rsid w:val="00C75389"/>
    <w:rsid w:val="00C76A99"/>
    <w:rsid w:val="00C76CE3"/>
    <w:rsid w:val="00C77603"/>
    <w:rsid w:val="00C80DD9"/>
    <w:rsid w:val="00C82B1F"/>
    <w:rsid w:val="00C832A3"/>
    <w:rsid w:val="00C838D8"/>
    <w:rsid w:val="00C860F2"/>
    <w:rsid w:val="00C867C9"/>
    <w:rsid w:val="00C90175"/>
    <w:rsid w:val="00C91C37"/>
    <w:rsid w:val="00CA05E8"/>
    <w:rsid w:val="00CA073F"/>
    <w:rsid w:val="00CA1258"/>
    <w:rsid w:val="00CA2525"/>
    <w:rsid w:val="00CA2BA2"/>
    <w:rsid w:val="00CA2D00"/>
    <w:rsid w:val="00CA37DE"/>
    <w:rsid w:val="00CA4BDB"/>
    <w:rsid w:val="00CA5A47"/>
    <w:rsid w:val="00CA6497"/>
    <w:rsid w:val="00CA6E04"/>
    <w:rsid w:val="00CB245E"/>
    <w:rsid w:val="00CB2B06"/>
    <w:rsid w:val="00CB465D"/>
    <w:rsid w:val="00CB4849"/>
    <w:rsid w:val="00CB4B2B"/>
    <w:rsid w:val="00CB4B90"/>
    <w:rsid w:val="00CB5233"/>
    <w:rsid w:val="00CB54A2"/>
    <w:rsid w:val="00CB6E19"/>
    <w:rsid w:val="00CC00D9"/>
    <w:rsid w:val="00CC05D4"/>
    <w:rsid w:val="00CC4566"/>
    <w:rsid w:val="00CC4C29"/>
    <w:rsid w:val="00CC584C"/>
    <w:rsid w:val="00CC5C9B"/>
    <w:rsid w:val="00CC5F8B"/>
    <w:rsid w:val="00CD3986"/>
    <w:rsid w:val="00CD41B4"/>
    <w:rsid w:val="00CD499E"/>
    <w:rsid w:val="00CD52BF"/>
    <w:rsid w:val="00CD5B30"/>
    <w:rsid w:val="00CD5D51"/>
    <w:rsid w:val="00CD6D04"/>
    <w:rsid w:val="00CD7A25"/>
    <w:rsid w:val="00CE147C"/>
    <w:rsid w:val="00CE1C44"/>
    <w:rsid w:val="00CE24D7"/>
    <w:rsid w:val="00CE2C9B"/>
    <w:rsid w:val="00CE3727"/>
    <w:rsid w:val="00CE3BDA"/>
    <w:rsid w:val="00CE577F"/>
    <w:rsid w:val="00CE6B17"/>
    <w:rsid w:val="00CE755A"/>
    <w:rsid w:val="00CF2386"/>
    <w:rsid w:val="00CF36C0"/>
    <w:rsid w:val="00CF69B8"/>
    <w:rsid w:val="00CF6F61"/>
    <w:rsid w:val="00D01247"/>
    <w:rsid w:val="00D031EA"/>
    <w:rsid w:val="00D048B9"/>
    <w:rsid w:val="00D04D9A"/>
    <w:rsid w:val="00D04E42"/>
    <w:rsid w:val="00D059F6"/>
    <w:rsid w:val="00D05FB0"/>
    <w:rsid w:val="00D073FE"/>
    <w:rsid w:val="00D07A5A"/>
    <w:rsid w:val="00D144B7"/>
    <w:rsid w:val="00D1571F"/>
    <w:rsid w:val="00D159AE"/>
    <w:rsid w:val="00D15A01"/>
    <w:rsid w:val="00D16EC9"/>
    <w:rsid w:val="00D1762B"/>
    <w:rsid w:val="00D20663"/>
    <w:rsid w:val="00D22086"/>
    <w:rsid w:val="00D252CF"/>
    <w:rsid w:val="00D2582D"/>
    <w:rsid w:val="00D27B48"/>
    <w:rsid w:val="00D3158D"/>
    <w:rsid w:val="00D31C9B"/>
    <w:rsid w:val="00D31D72"/>
    <w:rsid w:val="00D320FA"/>
    <w:rsid w:val="00D322BA"/>
    <w:rsid w:val="00D33D64"/>
    <w:rsid w:val="00D36B2B"/>
    <w:rsid w:val="00D37016"/>
    <w:rsid w:val="00D375DB"/>
    <w:rsid w:val="00D4142F"/>
    <w:rsid w:val="00D42503"/>
    <w:rsid w:val="00D44762"/>
    <w:rsid w:val="00D455EA"/>
    <w:rsid w:val="00D4585C"/>
    <w:rsid w:val="00D5294C"/>
    <w:rsid w:val="00D538C1"/>
    <w:rsid w:val="00D5404C"/>
    <w:rsid w:val="00D55324"/>
    <w:rsid w:val="00D554FE"/>
    <w:rsid w:val="00D55883"/>
    <w:rsid w:val="00D57F73"/>
    <w:rsid w:val="00D6074F"/>
    <w:rsid w:val="00D617D3"/>
    <w:rsid w:val="00D64DD8"/>
    <w:rsid w:val="00D67996"/>
    <w:rsid w:val="00D67F81"/>
    <w:rsid w:val="00D67FC3"/>
    <w:rsid w:val="00D70522"/>
    <w:rsid w:val="00D71EDA"/>
    <w:rsid w:val="00D7323E"/>
    <w:rsid w:val="00D73AB3"/>
    <w:rsid w:val="00D74790"/>
    <w:rsid w:val="00D77D7E"/>
    <w:rsid w:val="00D81067"/>
    <w:rsid w:val="00D828DC"/>
    <w:rsid w:val="00D83893"/>
    <w:rsid w:val="00D83A11"/>
    <w:rsid w:val="00D83D03"/>
    <w:rsid w:val="00D84744"/>
    <w:rsid w:val="00D84CCD"/>
    <w:rsid w:val="00D850EE"/>
    <w:rsid w:val="00D85515"/>
    <w:rsid w:val="00D86705"/>
    <w:rsid w:val="00D87D74"/>
    <w:rsid w:val="00D91872"/>
    <w:rsid w:val="00D91B6F"/>
    <w:rsid w:val="00D92C4C"/>
    <w:rsid w:val="00D94888"/>
    <w:rsid w:val="00D95708"/>
    <w:rsid w:val="00D95AE6"/>
    <w:rsid w:val="00D97072"/>
    <w:rsid w:val="00DA2DF8"/>
    <w:rsid w:val="00DA3200"/>
    <w:rsid w:val="00DA596D"/>
    <w:rsid w:val="00DB2329"/>
    <w:rsid w:val="00DB352B"/>
    <w:rsid w:val="00DB4B76"/>
    <w:rsid w:val="00DB60F3"/>
    <w:rsid w:val="00DB7C60"/>
    <w:rsid w:val="00DC1BEA"/>
    <w:rsid w:val="00DC1C47"/>
    <w:rsid w:val="00DC20A7"/>
    <w:rsid w:val="00DC2B1F"/>
    <w:rsid w:val="00DC2FB2"/>
    <w:rsid w:val="00DC6614"/>
    <w:rsid w:val="00DC67F3"/>
    <w:rsid w:val="00DC7523"/>
    <w:rsid w:val="00DD0B3D"/>
    <w:rsid w:val="00DD2283"/>
    <w:rsid w:val="00DD2B2D"/>
    <w:rsid w:val="00DD43C5"/>
    <w:rsid w:val="00DD60E7"/>
    <w:rsid w:val="00DD6F19"/>
    <w:rsid w:val="00DD75CE"/>
    <w:rsid w:val="00DD7658"/>
    <w:rsid w:val="00DD7C01"/>
    <w:rsid w:val="00DE0E2D"/>
    <w:rsid w:val="00DE1699"/>
    <w:rsid w:val="00DE28A4"/>
    <w:rsid w:val="00DE31A7"/>
    <w:rsid w:val="00DE31FF"/>
    <w:rsid w:val="00DE4E5D"/>
    <w:rsid w:val="00DE50DE"/>
    <w:rsid w:val="00DE52EB"/>
    <w:rsid w:val="00DE5AE4"/>
    <w:rsid w:val="00DE698C"/>
    <w:rsid w:val="00DF00F3"/>
    <w:rsid w:val="00DF1D12"/>
    <w:rsid w:val="00DF297E"/>
    <w:rsid w:val="00DF2A17"/>
    <w:rsid w:val="00DF2EE1"/>
    <w:rsid w:val="00DF3268"/>
    <w:rsid w:val="00DF3417"/>
    <w:rsid w:val="00DF3B48"/>
    <w:rsid w:val="00DF638E"/>
    <w:rsid w:val="00DF6714"/>
    <w:rsid w:val="00E01296"/>
    <w:rsid w:val="00E0307C"/>
    <w:rsid w:val="00E03E68"/>
    <w:rsid w:val="00E04A48"/>
    <w:rsid w:val="00E069E8"/>
    <w:rsid w:val="00E06ED7"/>
    <w:rsid w:val="00E10696"/>
    <w:rsid w:val="00E1326D"/>
    <w:rsid w:val="00E14C1F"/>
    <w:rsid w:val="00E15416"/>
    <w:rsid w:val="00E1673E"/>
    <w:rsid w:val="00E207EA"/>
    <w:rsid w:val="00E22177"/>
    <w:rsid w:val="00E23388"/>
    <w:rsid w:val="00E255C2"/>
    <w:rsid w:val="00E27B07"/>
    <w:rsid w:val="00E30349"/>
    <w:rsid w:val="00E31637"/>
    <w:rsid w:val="00E338D6"/>
    <w:rsid w:val="00E3458D"/>
    <w:rsid w:val="00E35305"/>
    <w:rsid w:val="00E35D7D"/>
    <w:rsid w:val="00E410AF"/>
    <w:rsid w:val="00E4174F"/>
    <w:rsid w:val="00E41C56"/>
    <w:rsid w:val="00E447D8"/>
    <w:rsid w:val="00E4558E"/>
    <w:rsid w:val="00E45E93"/>
    <w:rsid w:val="00E47A5B"/>
    <w:rsid w:val="00E5070D"/>
    <w:rsid w:val="00E524AC"/>
    <w:rsid w:val="00E52E6A"/>
    <w:rsid w:val="00E53950"/>
    <w:rsid w:val="00E55050"/>
    <w:rsid w:val="00E5592F"/>
    <w:rsid w:val="00E5766E"/>
    <w:rsid w:val="00E5774F"/>
    <w:rsid w:val="00E66D3A"/>
    <w:rsid w:val="00E70066"/>
    <w:rsid w:val="00E70825"/>
    <w:rsid w:val="00E7371A"/>
    <w:rsid w:val="00E7596F"/>
    <w:rsid w:val="00E81230"/>
    <w:rsid w:val="00E82387"/>
    <w:rsid w:val="00E8240C"/>
    <w:rsid w:val="00E8297C"/>
    <w:rsid w:val="00E82D63"/>
    <w:rsid w:val="00E83F97"/>
    <w:rsid w:val="00E84300"/>
    <w:rsid w:val="00E84CAD"/>
    <w:rsid w:val="00E85659"/>
    <w:rsid w:val="00E86329"/>
    <w:rsid w:val="00E903D2"/>
    <w:rsid w:val="00E921D7"/>
    <w:rsid w:val="00E93562"/>
    <w:rsid w:val="00E9383B"/>
    <w:rsid w:val="00E9451C"/>
    <w:rsid w:val="00E97C1A"/>
    <w:rsid w:val="00E97D0D"/>
    <w:rsid w:val="00E97D9E"/>
    <w:rsid w:val="00EA1A87"/>
    <w:rsid w:val="00EA1EDA"/>
    <w:rsid w:val="00EA324A"/>
    <w:rsid w:val="00EA3BC2"/>
    <w:rsid w:val="00EA798D"/>
    <w:rsid w:val="00EB0E49"/>
    <w:rsid w:val="00EB49FF"/>
    <w:rsid w:val="00EB7FDE"/>
    <w:rsid w:val="00EC228A"/>
    <w:rsid w:val="00EC2E31"/>
    <w:rsid w:val="00EC39D5"/>
    <w:rsid w:val="00EC70E2"/>
    <w:rsid w:val="00EC7D29"/>
    <w:rsid w:val="00ED0FD2"/>
    <w:rsid w:val="00ED1005"/>
    <w:rsid w:val="00ED1EEE"/>
    <w:rsid w:val="00ED2AB9"/>
    <w:rsid w:val="00ED38AA"/>
    <w:rsid w:val="00ED5258"/>
    <w:rsid w:val="00ED5ED5"/>
    <w:rsid w:val="00EE16DE"/>
    <w:rsid w:val="00EE1919"/>
    <w:rsid w:val="00EE3C53"/>
    <w:rsid w:val="00EE5DD6"/>
    <w:rsid w:val="00EE6378"/>
    <w:rsid w:val="00EE76A3"/>
    <w:rsid w:val="00EF0F02"/>
    <w:rsid w:val="00EF1CCC"/>
    <w:rsid w:val="00EF2647"/>
    <w:rsid w:val="00EF2E04"/>
    <w:rsid w:val="00EF370B"/>
    <w:rsid w:val="00EF372B"/>
    <w:rsid w:val="00EF3E0C"/>
    <w:rsid w:val="00EF770D"/>
    <w:rsid w:val="00F00040"/>
    <w:rsid w:val="00F00179"/>
    <w:rsid w:val="00F010A0"/>
    <w:rsid w:val="00F014BA"/>
    <w:rsid w:val="00F04B4B"/>
    <w:rsid w:val="00F062D9"/>
    <w:rsid w:val="00F10541"/>
    <w:rsid w:val="00F109B8"/>
    <w:rsid w:val="00F114D6"/>
    <w:rsid w:val="00F13054"/>
    <w:rsid w:val="00F134EB"/>
    <w:rsid w:val="00F13ADA"/>
    <w:rsid w:val="00F143EB"/>
    <w:rsid w:val="00F15A9B"/>
    <w:rsid w:val="00F243C0"/>
    <w:rsid w:val="00F24F4A"/>
    <w:rsid w:val="00F263A6"/>
    <w:rsid w:val="00F275DC"/>
    <w:rsid w:val="00F27919"/>
    <w:rsid w:val="00F3022A"/>
    <w:rsid w:val="00F32970"/>
    <w:rsid w:val="00F32C6C"/>
    <w:rsid w:val="00F33C70"/>
    <w:rsid w:val="00F34531"/>
    <w:rsid w:val="00F34576"/>
    <w:rsid w:val="00F34C51"/>
    <w:rsid w:val="00F351D6"/>
    <w:rsid w:val="00F363D6"/>
    <w:rsid w:val="00F4143B"/>
    <w:rsid w:val="00F45F67"/>
    <w:rsid w:val="00F46C67"/>
    <w:rsid w:val="00F478BD"/>
    <w:rsid w:val="00F47A24"/>
    <w:rsid w:val="00F505A9"/>
    <w:rsid w:val="00F530E3"/>
    <w:rsid w:val="00F5396C"/>
    <w:rsid w:val="00F53D03"/>
    <w:rsid w:val="00F54D9B"/>
    <w:rsid w:val="00F554D3"/>
    <w:rsid w:val="00F600FC"/>
    <w:rsid w:val="00F6132E"/>
    <w:rsid w:val="00F63CCA"/>
    <w:rsid w:val="00F64BF9"/>
    <w:rsid w:val="00F6564B"/>
    <w:rsid w:val="00F657A9"/>
    <w:rsid w:val="00F65F9A"/>
    <w:rsid w:val="00F66AEC"/>
    <w:rsid w:val="00F670C7"/>
    <w:rsid w:val="00F6720A"/>
    <w:rsid w:val="00F707C0"/>
    <w:rsid w:val="00F71797"/>
    <w:rsid w:val="00F7205A"/>
    <w:rsid w:val="00F7436E"/>
    <w:rsid w:val="00F743B2"/>
    <w:rsid w:val="00F75394"/>
    <w:rsid w:val="00F754A5"/>
    <w:rsid w:val="00F75E58"/>
    <w:rsid w:val="00F76FE9"/>
    <w:rsid w:val="00F775CC"/>
    <w:rsid w:val="00F80BBC"/>
    <w:rsid w:val="00F81E91"/>
    <w:rsid w:val="00F83598"/>
    <w:rsid w:val="00F83859"/>
    <w:rsid w:val="00F87CC4"/>
    <w:rsid w:val="00F900A8"/>
    <w:rsid w:val="00F910DF"/>
    <w:rsid w:val="00F919AF"/>
    <w:rsid w:val="00F91D17"/>
    <w:rsid w:val="00F93B1E"/>
    <w:rsid w:val="00F94FF3"/>
    <w:rsid w:val="00FA0DF1"/>
    <w:rsid w:val="00FA3238"/>
    <w:rsid w:val="00FA4F56"/>
    <w:rsid w:val="00FA57EA"/>
    <w:rsid w:val="00FA5872"/>
    <w:rsid w:val="00FA59A0"/>
    <w:rsid w:val="00FA5A08"/>
    <w:rsid w:val="00FA6969"/>
    <w:rsid w:val="00FA69D0"/>
    <w:rsid w:val="00FB14E4"/>
    <w:rsid w:val="00FB3C70"/>
    <w:rsid w:val="00FB3DD7"/>
    <w:rsid w:val="00FB57FB"/>
    <w:rsid w:val="00FB616B"/>
    <w:rsid w:val="00FB7ED5"/>
    <w:rsid w:val="00FC0804"/>
    <w:rsid w:val="00FC125F"/>
    <w:rsid w:val="00FC184C"/>
    <w:rsid w:val="00FC1C29"/>
    <w:rsid w:val="00FD0334"/>
    <w:rsid w:val="00FD252E"/>
    <w:rsid w:val="00FD4C58"/>
    <w:rsid w:val="00FD5020"/>
    <w:rsid w:val="00FD547E"/>
    <w:rsid w:val="00FD5E36"/>
    <w:rsid w:val="00FD691D"/>
    <w:rsid w:val="00FE051C"/>
    <w:rsid w:val="00FE16E0"/>
    <w:rsid w:val="00FE5385"/>
    <w:rsid w:val="00FE5E14"/>
    <w:rsid w:val="00FE6182"/>
    <w:rsid w:val="00FE7C95"/>
    <w:rsid w:val="00FF0615"/>
    <w:rsid w:val="00FF19FC"/>
    <w:rsid w:val="00FF1A69"/>
    <w:rsid w:val="00FF324F"/>
    <w:rsid w:val="00FF32B7"/>
    <w:rsid w:val="00FF4142"/>
    <w:rsid w:val="00FF5B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F0101"/>
  <w15:chartTrackingRefBased/>
  <w15:docId w15:val="{A63FA19C-90FB-4CEE-88F0-4CB1B5A1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B6"/>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uiPriority w:val="10"/>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TOCHeading">
    <w:name w:val="TOC Heading"/>
    <w:basedOn w:val="Heading1"/>
    <w:next w:val="Normal"/>
    <w:uiPriority w:val="39"/>
    <w:unhideWhenUsed/>
    <w:qFormat/>
    <w:rsid w:val="00502387"/>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6E3EB4"/>
    <w:pPr>
      <w:spacing w:after="100"/>
      <w:ind w:left="520"/>
    </w:pPr>
  </w:style>
  <w:style w:type="paragraph" w:styleId="NormalWeb">
    <w:name w:val="Normal (Web)"/>
    <w:basedOn w:val="Normal"/>
    <w:rsid w:val="003A25B9"/>
    <w:rPr>
      <w:rFonts w:ascii="Times New Roman" w:hAnsi="Times New Roman"/>
      <w:sz w:val="24"/>
    </w:rPr>
  </w:style>
  <w:style w:type="character" w:customStyle="1" w:styleId="Heading2Char">
    <w:name w:val="Heading 2 Char"/>
    <w:link w:val="Heading2"/>
    <w:rsid w:val="00F91D17"/>
    <w:rPr>
      <w:rFonts w:ascii="Gill Sans MT" w:eastAsia="Times New Roman" w:hAnsi="Gill Sans MT" w:cs="Arial Bold"/>
      <w:b/>
      <w:bCs/>
      <w:iCs/>
      <w:sz w:val="28"/>
      <w:szCs w:val="28"/>
      <w:lang w:eastAsia="en-US"/>
    </w:rPr>
  </w:style>
  <w:style w:type="paragraph" w:styleId="ListParagraph">
    <w:name w:val="List Paragraph"/>
    <w:basedOn w:val="Normal"/>
    <w:uiPriority w:val="34"/>
    <w:qFormat/>
    <w:rsid w:val="00CE6B17"/>
    <w:pPr>
      <w:ind w:left="720"/>
      <w:contextualSpacing/>
    </w:pPr>
  </w:style>
  <w:style w:type="table" w:styleId="TableGrid">
    <w:name w:val="Table Grid"/>
    <w:basedOn w:val="TableNormal"/>
    <w:rsid w:val="0043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DF3417"/>
    <w:rPr>
      <w:rFonts w:ascii="Gill Sans MT" w:eastAsia="Times New Roman" w:hAnsi="Gill Sans MT"/>
      <w:sz w:val="22"/>
      <w:lang w:eastAsia="en-US"/>
    </w:rPr>
  </w:style>
  <w:style w:type="paragraph" w:styleId="BalloonText">
    <w:name w:val="Balloon Text"/>
    <w:basedOn w:val="Normal"/>
    <w:link w:val="BalloonTextChar"/>
    <w:rsid w:val="00AA6C34"/>
    <w:pPr>
      <w:spacing w:after="0"/>
    </w:pPr>
    <w:rPr>
      <w:rFonts w:ascii="Segoe UI" w:hAnsi="Segoe UI" w:cs="Segoe UI"/>
      <w:sz w:val="18"/>
      <w:szCs w:val="18"/>
    </w:rPr>
  </w:style>
  <w:style w:type="character" w:customStyle="1" w:styleId="BalloonTextChar">
    <w:name w:val="Balloon Text Char"/>
    <w:basedOn w:val="DefaultParagraphFont"/>
    <w:link w:val="BalloonText"/>
    <w:rsid w:val="00AA6C34"/>
    <w:rPr>
      <w:rFonts w:ascii="Segoe UI" w:eastAsia="Times New Roman" w:hAnsi="Segoe UI" w:cs="Segoe UI"/>
      <w:sz w:val="18"/>
      <w:szCs w:val="18"/>
      <w:lang w:eastAsia="en-US"/>
    </w:rPr>
  </w:style>
  <w:style w:type="character" w:styleId="CommentReference">
    <w:name w:val="annotation reference"/>
    <w:basedOn w:val="DefaultParagraphFont"/>
    <w:rsid w:val="005C412D"/>
    <w:rPr>
      <w:sz w:val="16"/>
      <w:szCs w:val="16"/>
    </w:rPr>
  </w:style>
  <w:style w:type="paragraph" w:styleId="CommentSubject">
    <w:name w:val="annotation subject"/>
    <w:basedOn w:val="CommentText"/>
    <w:next w:val="CommentText"/>
    <w:link w:val="CommentSubjectChar"/>
    <w:rsid w:val="005C412D"/>
    <w:rPr>
      <w:rFonts w:ascii="Gill Sans MT" w:hAnsi="Gill Sans MT"/>
      <w:b/>
      <w:bCs/>
      <w:szCs w:val="20"/>
      <w:lang w:val="en-IE"/>
    </w:rPr>
  </w:style>
  <w:style w:type="character" w:customStyle="1" w:styleId="CommentSubjectChar">
    <w:name w:val="Comment Subject Char"/>
    <w:basedOn w:val="CommentTextChar"/>
    <w:link w:val="CommentSubject"/>
    <w:rsid w:val="005C412D"/>
    <w:rPr>
      <w:rFonts w:ascii="Gill Sans MT" w:eastAsia="Times New Roman" w:hAnsi="Gill Sans MT"/>
      <w:b/>
      <w:bCs/>
      <w:szCs w:val="24"/>
      <w:lang w:eastAsia="en-US"/>
    </w:rPr>
  </w:style>
  <w:style w:type="paragraph" w:styleId="NoSpacing">
    <w:name w:val="No Spacing"/>
    <w:link w:val="NoSpacingChar"/>
    <w:uiPriority w:val="1"/>
    <w:qFormat/>
    <w:rsid w:val="002B543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B5438"/>
    <w:rPr>
      <w:rFonts w:asciiTheme="minorHAnsi" w:eastAsiaTheme="minorEastAsia" w:hAnsiTheme="minorHAnsi" w:cstheme="minorBidi"/>
      <w:sz w:val="22"/>
      <w:szCs w:val="22"/>
      <w:lang w:val="en-US" w:eastAsia="en-US"/>
    </w:rPr>
  </w:style>
  <w:style w:type="paragraph" w:styleId="PlainText">
    <w:name w:val="Plain Text"/>
    <w:basedOn w:val="Normal"/>
    <w:link w:val="PlainTextChar"/>
    <w:rsid w:val="00D322BA"/>
    <w:pPr>
      <w:spacing w:after="0"/>
    </w:pPr>
    <w:rPr>
      <w:rFonts w:ascii="Consolas" w:hAnsi="Consolas"/>
      <w:sz w:val="21"/>
      <w:szCs w:val="21"/>
    </w:rPr>
  </w:style>
  <w:style w:type="character" w:customStyle="1" w:styleId="PlainTextChar">
    <w:name w:val="Plain Text Char"/>
    <w:basedOn w:val="DefaultParagraphFont"/>
    <w:link w:val="PlainText"/>
    <w:rsid w:val="00D322BA"/>
    <w:rPr>
      <w:rFonts w:ascii="Consolas" w:eastAsia="Times New Roman" w:hAnsi="Consolas"/>
      <w:sz w:val="21"/>
      <w:szCs w:val="21"/>
      <w:lang w:eastAsia="en-US"/>
    </w:rPr>
  </w:style>
  <w:style w:type="character" w:customStyle="1" w:styleId="TitleChar">
    <w:name w:val="Title Char"/>
    <w:basedOn w:val="DefaultParagraphFont"/>
    <w:link w:val="Title"/>
    <w:uiPriority w:val="10"/>
    <w:rsid w:val="004459A7"/>
    <w:rPr>
      <w:rFonts w:ascii="Gill Sans MT" w:eastAsia="Times New Roman" w:hAnsi="Gill Sans MT" w:cs="Arial"/>
      <w:b/>
      <w:bCs/>
      <w:kern w:val="28"/>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85">
      <w:bodyDiv w:val="1"/>
      <w:marLeft w:val="0"/>
      <w:marRight w:val="0"/>
      <w:marTop w:val="0"/>
      <w:marBottom w:val="0"/>
      <w:divBdr>
        <w:top w:val="none" w:sz="0" w:space="0" w:color="auto"/>
        <w:left w:val="none" w:sz="0" w:space="0" w:color="auto"/>
        <w:bottom w:val="none" w:sz="0" w:space="0" w:color="auto"/>
        <w:right w:val="none" w:sz="0" w:space="0" w:color="auto"/>
      </w:divBdr>
      <w:divsChild>
        <w:div w:id="1635453495">
          <w:marLeft w:val="0"/>
          <w:marRight w:val="0"/>
          <w:marTop w:val="0"/>
          <w:marBottom w:val="0"/>
          <w:divBdr>
            <w:top w:val="none" w:sz="0" w:space="0" w:color="auto"/>
            <w:left w:val="none" w:sz="0" w:space="0" w:color="auto"/>
            <w:bottom w:val="none" w:sz="0" w:space="0" w:color="auto"/>
            <w:right w:val="none" w:sz="0" w:space="0" w:color="auto"/>
          </w:divBdr>
          <w:divsChild>
            <w:div w:id="46808301">
              <w:marLeft w:val="0"/>
              <w:marRight w:val="0"/>
              <w:marTop w:val="0"/>
              <w:marBottom w:val="0"/>
              <w:divBdr>
                <w:top w:val="none" w:sz="0" w:space="0" w:color="auto"/>
                <w:left w:val="none" w:sz="0" w:space="0" w:color="auto"/>
                <w:bottom w:val="none" w:sz="0" w:space="0" w:color="auto"/>
                <w:right w:val="none" w:sz="0" w:space="0" w:color="auto"/>
              </w:divBdr>
            </w:div>
          </w:divsChild>
        </w:div>
        <w:div w:id="1434085096">
          <w:marLeft w:val="0"/>
          <w:marRight w:val="0"/>
          <w:marTop w:val="0"/>
          <w:marBottom w:val="150"/>
          <w:divBdr>
            <w:top w:val="none" w:sz="0" w:space="0" w:color="auto"/>
            <w:left w:val="none" w:sz="0" w:space="0" w:color="auto"/>
            <w:bottom w:val="none" w:sz="0" w:space="0" w:color="auto"/>
            <w:right w:val="none" w:sz="0" w:space="0" w:color="auto"/>
          </w:divBdr>
          <w:divsChild>
            <w:div w:id="1894585628">
              <w:marLeft w:val="0"/>
              <w:marRight w:val="0"/>
              <w:marTop w:val="0"/>
              <w:marBottom w:val="0"/>
              <w:divBdr>
                <w:top w:val="none" w:sz="0" w:space="0" w:color="auto"/>
                <w:left w:val="none" w:sz="0" w:space="0" w:color="auto"/>
                <w:bottom w:val="none" w:sz="0" w:space="0" w:color="auto"/>
                <w:right w:val="none" w:sz="0" w:space="0" w:color="auto"/>
              </w:divBdr>
              <w:divsChild>
                <w:div w:id="315960009">
                  <w:marLeft w:val="0"/>
                  <w:marRight w:val="0"/>
                  <w:marTop w:val="0"/>
                  <w:marBottom w:val="0"/>
                  <w:divBdr>
                    <w:top w:val="none" w:sz="0" w:space="0" w:color="auto"/>
                    <w:left w:val="none" w:sz="0" w:space="0" w:color="auto"/>
                    <w:bottom w:val="none" w:sz="0" w:space="0" w:color="auto"/>
                    <w:right w:val="none" w:sz="0" w:space="0" w:color="auto"/>
                  </w:divBdr>
                  <w:divsChild>
                    <w:div w:id="16651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6510">
      <w:bodyDiv w:val="1"/>
      <w:marLeft w:val="0"/>
      <w:marRight w:val="0"/>
      <w:marTop w:val="0"/>
      <w:marBottom w:val="0"/>
      <w:divBdr>
        <w:top w:val="none" w:sz="0" w:space="0" w:color="auto"/>
        <w:left w:val="none" w:sz="0" w:space="0" w:color="auto"/>
        <w:bottom w:val="none" w:sz="0" w:space="0" w:color="auto"/>
        <w:right w:val="none" w:sz="0" w:space="0" w:color="auto"/>
      </w:divBdr>
    </w:div>
    <w:div w:id="11104312">
      <w:bodyDiv w:val="1"/>
      <w:marLeft w:val="0"/>
      <w:marRight w:val="0"/>
      <w:marTop w:val="0"/>
      <w:marBottom w:val="0"/>
      <w:divBdr>
        <w:top w:val="none" w:sz="0" w:space="0" w:color="auto"/>
        <w:left w:val="none" w:sz="0" w:space="0" w:color="auto"/>
        <w:bottom w:val="none" w:sz="0" w:space="0" w:color="auto"/>
        <w:right w:val="none" w:sz="0" w:space="0" w:color="auto"/>
      </w:divBdr>
    </w:div>
    <w:div w:id="27340256">
      <w:bodyDiv w:val="1"/>
      <w:marLeft w:val="0"/>
      <w:marRight w:val="0"/>
      <w:marTop w:val="0"/>
      <w:marBottom w:val="0"/>
      <w:divBdr>
        <w:top w:val="none" w:sz="0" w:space="0" w:color="auto"/>
        <w:left w:val="none" w:sz="0" w:space="0" w:color="auto"/>
        <w:bottom w:val="none" w:sz="0" w:space="0" w:color="auto"/>
        <w:right w:val="none" w:sz="0" w:space="0" w:color="auto"/>
      </w:divBdr>
    </w:div>
    <w:div w:id="67532670">
      <w:bodyDiv w:val="1"/>
      <w:marLeft w:val="0"/>
      <w:marRight w:val="0"/>
      <w:marTop w:val="0"/>
      <w:marBottom w:val="0"/>
      <w:divBdr>
        <w:top w:val="none" w:sz="0" w:space="0" w:color="auto"/>
        <w:left w:val="none" w:sz="0" w:space="0" w:color="auto"/>
        <w:bottom w:val="none" w:sz="0" w:space="0" w:color="auto"/>
        <w:right w:val="none" w:sz="0" w:space="0" w:color="auto"/>
      </w:divBdr>
    </w:div>
    <w:div w:id="113525200">
      <w:bodyDiv w:val="1"/>
      <w:marLeft w:val="0"/>
      <w:marRight w:val="0"/>
      <w:marTop w:val="0"/>
      <w:marBottom w:val="0"/>
      <w:divBdr>
        <w:top w:val="none" w:sz="0" w:space="0" w:color="auto"/>
        <w:left w:val="none" w:sz="0" w:space="0" w:color="auto"/>
        <w:bottom w:val="none" w:sz="0" w:space="0" w:color="auto"/>
        <w:right w:val="none" w:sz="0" w:space="0" w:color="auto"/>
      </w:divBdr>
    </w:div>
    <w:div w:id="144010760">
      <w:bodyDiv w:val="1"/>
      <w:marLeft w:val="0"/>
      <w:marRight w:val="0"/>
      <w:marTop w:val="0"/>
      <w:marBottom w:val="0"/>
      <w:divBdr>
        <w:top w:val="none" w:sz="0" w:space="0" w:color="auto"/>
        <w:left w:val="none" w:sz="0" w:space="0" w:color="auto"/>
        <w:bottom w:val="none" w:sz="0" w:space="0" w:color="auto"/>
        <w:right w:val="none" w:sz="0" w:space="0" w:color="auto"/>
      </w:divBdr>
    </w:div>
    <w:div w:id="172453146">
      <w:bodyDiv w:val="1"/>
      <w:marLeft w:val="0"/>
      <w:marRight w:val="0"/>
      <w:marTop w:val="0"/>
      <w:marBottom w:val="0"/>
      <w:divBdr>
        <w:top w:val="none" w:sz="0" w:space="0" w:color="auto"/>
        <w:left w:val="none" w:sz="0" w:space="0" w:color="auto"/>
        <w:bottom w:val="none" w:sz="0" w:space="0" w:color="auto"/>
        <w:right w:val="none" w:sz="0" w:space="0" w:color="auto"/>
      </w:divBdr>
      <w:divsChild>
        <w:div w:id="1312296818">
          <w:marLeft w:val="0"/>
          <w:marRight w:val="0"/>
          <w:marTop w:val="0"/>
          <w:marBottom w:val="0"/>
          <w:divBdr>
            <w:top w:val="none" w:sz="0" w:space="0" w:color="auto"/>
            <w:left w:val="none" w:sz="0" w:space="0" w:color="auto"/>
            <w:bottom w:val="none" w:sz="0" w:space="0" w:color="auto"/>
            <w:right w:val="none" w:sz="0" w:space="0" w:color="auto"/>
          </w:divBdr>
        </w:div>
      </w:divsChild>
    </w:div>
    <w:div w:id="194584595">
      <w:bodyDiv w:val="1"/>
      <w:marLeft w:val="0"/>
      <w:marRight w:val="0"/>
      <w:marTop w:val="0"/>
      <w:marBottom w:val="0"/>
      <w:divBdr>
        <w:top w:val="none" w:sz="0" w:space="0" w:color="auto"/>
        <w:left w:val="none" w:sz="0" w:space="0" w:color="auto"/>
        <w:bottom w:val="none" w:sz="0" w:space="0" w:color="auto"/>
        <w:right w:val="none" w:sz="0" w:space="0" w:color="auto"/>
      </w:divBdr>
      <w:divsChild>
        <w:div w:id="1992556844">
          <w:marLeft w:val="0"/>
          <w:marRight w:val="0"/>
          <w:marTop w:val="0"/>
          <w:marBottom w:val="0"/>
          <w:divBdr>
            <w:top w:val="none" w:sz="0" w:space="0" w:color="auto"/>
            <w:left w:val="none" w:sz="0" w:space="0" w:color="auto"/>
            <w:bottom w:val="none" w:sz="0" w:space="0" w:color="auto"/>
            <w:right w:val="none" w:sz="0" w:space="0" w:color="auto"/>
          </w:divBdr>
          <w:divsChild>
            <w:div w:id="121003688">
              <w:marLeft w:val="0"/>
              <w:marRight w:val="0"/>
              <w:marTop w:val="0"/>
              <w:marBottom w:val="0"/>
              <w:divBdr>
                <w:top w:val="none" w:sz="0" w:space="0" w:color="auto"/>
                <w:left w:val="none" w:sz="0" w:space="0" w:color="auto"/>
                <w:bottom w:val="none" w:sz="0" w:space="0" w:color="auto"/>
                <w:right w:val="none" w:sz="0" w:space="0" w:color="auto"/>
              </w:divBdr>
              <w:divsChild>
                <w:div w:id="1879660929">
                  <w:marLeft w:val="0"/>
                  <w:marRight w:val="0"/>
                  <w:marTop w:val="0"/>
                  <w:marBottom w:val="0"/>
                  <w:divBdr>
                    <w:top w:val="none" w:sz="0" w:space="0" w:color="auto"/>
                    <w:left w:val="none" w:sz="0" w:space="0" w:color="auto"/>
                    <w:bottom w:val="none" w:sz="0" w:space="0" w:color="auto"/>
                    <w:right w:val="none" w:sz="0" w:space="0" w:color="auto"/>
                  </w:divBdr>
                </w:div>
                <w:div w:id="12731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9223">
      <w:bodyDiv w:val="1"/>
      <w:marLeft w:val="0"/>
      <w:marRight w:val="0"/>
      <w:marTop w:val="0"/>
      <w:marBottom w:val="0"/>
      <w:divBdr>
        <w:top w:val="none" w:sz="0" w:space="0" w:color="auto"/>
        <w:left w:val="none" w:sz="0" w:space="0" w:color="auto"/>
        <w:bottom w:val="none" w:sz="0" w:space="0" w:color="auto"/>
        <w:right w:val="none" w:sz="0" w:space="0" w:color="auto"/>
      </w:divBdr>
      <w:divsChild>
        <w:div w:id="355230457">
          <w:marLeft w:val="0"/>
          <w:marRight w:val="0"/>
          <w:marTop w:val="0"/>
          <w:marBottom w:val="0"/>
          <w:divBdr>
            <w:top w:val="none" w:sz="0" w:space="0" w:color="auto"/>
            <w:left w:val="none" w:sz="0" w:space="0" w:color="auto"/>
            <w:bottom w:val="none" w:sz="0" w:space="0" w:color="auto"/>
            <w:right w:val="none" w:sz="0" w:space="0" w:color="auto"/>
          </w:divBdr>
        </w:div>
      </w:divsChild>
    </w:div>
    <w:div w:id="217211408">
      <w:bodyDiv w:val="1"/>
      <w:marLeft w:val="0"/>
      <w:marRight w:val="0"/>
      <w:marTop w:val="0"/>
      <w:marBottom w:val="0"/>
      <w:divBdr>
        <w:top w:val="none" w:sz="0" w:space="0" w:color="auto"/>
        <w:left w:val="none" w:sz="0" w:space="0" w:color="auto"/>
        <w:bottom w:val="none" w:sz="0" w:space="0" w:color="auto"/>
        <w:right w:val="none" w:sz="0" w:space="0" w:color="auto"/>
      </w:divBdr>
    </w:div>
    <w:div w:id="222643746">
      <w:bodyDiv w:val="1"/>
      <w:marLeft w:val="0"/>
      <w:marRight w:val="0"/>
      <w:marTop w:val="0"/>
      <w:marBottom w:val="0"/>
      <w:divBdr>
        <w:top w:val="none" w:sz="0" w:space="0" w:color="auto"/>
        <w:left w:val="none" w:sz="0" w:space="0" w:color="auto"/>
        <w:bottom w:val="none" w:sz="0" w:space="0" w:color="auto"/>
        <w:right w:val="none" w:sz="0" w:space="0" w:color="auto"/>
      </w:divBdr>
    </w:div>
    <w:div w:id="226304641">
      <w:bodyDiv w:val="1"/>
      <w:marLeft w:val="0"/>
      <w:marRight w:val="0"/>
      <w:marTop w:val="0"/>
      <w:marBottom w:val="0"/>
      <w:divBdr>
        <w:top w:val="none" w:sz="0" w:space="0" w:color="auto"/>
        <w:left w:val="none" w:sz="0" w:space="0" w:color="auto"/>
        <w:bottom w:val="none" w:sz="0" w:space="0" w:color="auto"/>
        <w:right w:val="none" w:sz="0" w:space="0" w:color="auto"/>
      </w:divBdr>
      <w:divsChild>
        <w:div w:id="2028099551">
          <w:marLeft w:val="0"/>
          <w:marRight w:val="0"/>
          <w:marTop w:val="0"/>
          <w:marBottom w:val="0"/>
          <w:divBdr>
            <w:top w:val="none" w:sz="0" w:space="0" w:color="auto"/>
            <w:left w:val="none" w:sz="0" w:space="0" w:color="auto"/>
            <w:bottom w:val="none" w:sz="0" w:space="0" w:color="auto"/>
            <w:right w:val="none" w:sz="0" w:space="0" w:color="auto"/>
          </w:divBdr>
          <w:divsChild>
            <w:div w:id="587541964">
              <w:marLeft w:val="0"/>
              <w:marRight w:val="0"/>
              <w:marTop w:val="0"/>
              <w:marBottom w:val="0"/>
              <w:divBdr>
                <w:top w:val="none" w:sz="0" w:space="0" w:color="auto"/>
                <w:left w:val="none" w:sz="0" w:space="0" w:color="auto"/>
                <w:bottom w:val="none" w:sz="0" w:space="0" w:color="auto"/>
                <w:right w:val="none" w:sz="0" w:space="0" w:color="auto"/>
              </w:divBdr>
              <w:divsChild>
                <w:div w:id="1236352369">
                  <w:marLeft w:val="0"/>
                  <w:marRight w:val="0"/>
                  <w:marTop w:val="0"/>
                  <w:marBottom w:val="0"/>
                  <w:divBdr>
                    <w:top w:val="none" w:sz="0" w:space="0" w:color="auto"/>
                    <w:left w:val="none" w:sz="0" w:space="0" w:color="auto"/>
                    <w:bottom w:val="none" w:sz="0" w:space="0" w:color="auto"/>
                    <w:right w:val="none" w:sz="0" w:space="0" w:color="auto"/>
                  </w:divBdr>
                  <w:divsChild>
                    <w:div w:id="1759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85461">
          <w:marLeft w:val="0"/>
          <w:marRight w:val="0"/>
          <w:marTop w:val="0"/>
          <w:marBottom w:val="0"/>
          <w:divBdr>
            <w:top w:val="none" w:sz="0" w:space="0" w:color="auto"/>
            <w:left w:val="none" w:sz="0" w:space="0" w:color="auto"/>
            <w:bottom w:val="none" w:sz="0" w:space="0" w:color="auto"/>
            <w:right w:val="none" w:sz="0" w:space="0" w:color="auto"/>
          </w:divBdr>
          <w:divsChild>
            <w:div w:id="692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4771">
      <w:bodyDiv w:val="1"/>
      <w:marLeft w:val="0"/>
      <w:marRight w:val="0"/>
      <w:marTop w:val="0"/>
      <w:marBottom w:val="0"/>
      <w:divBdr>
        <w:top w:val="none" w:sz="0" w:space="0" w:color="auto"/>
        <w:left w:val="none" w:sz="0" w:space="0" w:color="auto"/>
        <w:bottom w:val="none" w:sz="0" w:space="0" w:color="auto"/>
        <w:right w:val="none" w:sz="0" w:space="0" w:color="auto"/>
      </w:divBdr>
    </w:div>
    <w:div w:id="260602046">
      <w:bodyDiv w:val="1"/>
      <w:marLeft w:val="0"/>
      <w:marRight w:val="0"/>
      <w:marTop w:val="0"/>
      <w:marBottom w:val="0"/>
      <w:divBdr>
        <w:top w:val="none" w:sz="0" w:space="0" w:color="auto"/>
        <w:left w:val="none" w:sz="0" w:space="0" w:color="auto"/>
        <w:bottom w:val="none" w:sz="0" w:space="0" w:color="auto"/>
        <w:right w:val="none" w:sz="0" w:space="0" w:color="auto"/>
      </w:divBdr>
      <w:divsChild>
        <w:div w:id="803084197">
          <w:marLeft w:val="0"/>
          <w:marRight w:val="0"/>
          <w:marTop w:val="0"/>
          <w:marBottom w:val="0"/>
          <w:divBdr>
            <w:top w:val="none" w:sz="0" w:space="0" w:color="auto"/>
            <w:left w:val="none" w:sz="0" w:space="0" w:color="auto"/>
            <w:bottom w:val="none" w:sz="0" w:space="0" w:color="auto"/>
            <w:right w:val="none" w:sz="0" w:space="0" w:color="auto"/>
          </w:divBdr>
          <w:divsChild>
            <w:div w:id="148131013">
              <w:marLeft w:val="0"/>
              <w:marRight w:val="0"/>
              <w:marTop w:val="0"/>
              <w:marBottom w:val="0"/>
              <w:divBdr>
                <w:top w:val="none" w:sz="0" w:space="0" w:color="auto"/>
                <w:left w:val="none" w:sz="0" w:space="0" w:color="auto"/>
                <w:bottom w:val="none" w:sz="0" w:space="0" w:color="auto"/>
                <w:right w:val="none" w:sz="0" w:space="0" w:color="auto"/>
              </w:divBdr>
            </w:div>
          </w:divsChild>
        </w:div>
        <w:div w:id="820996768">
          <w:marLeft w:val="0"/>
          <w:marRight w:val="0"/>
          <w:marTop w:val="0"/>
          <w:marBottom w:val="0"/>
          <w:divBdr>
            <w:top w:val="none" w:sz="0" w:space="0" w:color="auto"/>
            <w:left w:val="none" w:sz="0" w:space="0" w:color="auto"/>
            <w:bottom w:val="none" w:sz="0" w:space="0" w:color="auto"/>
            <w:right w:val="none" w:sz="0" w:space="0" w:color="auto"/>
          </w:divBdr>
          <w:divsChild>
            <w:div w:id="547374857">
              <w:marLeft w:val="0"/>
              <w:marRight w:val="0"/>
              <w:marTop w:val="0"/>
              <w:marBottom w:val="0"/>
              <w:divBdr>
                <w:top w:val="none" w:sz="0" w:space="0" w:color="auto"/>
                <w:left w:val="none" w:sz="0" w:space="0" w:color="auto"/>
                <w:bottom w:val="none" w:sz="0" w:space="0" w:color="auto"/>
                <w:right w:val="none" w:sz="0" w:space="0" w:color="auto"/>
              </w:divBdr>
            </w:div>
          </w:divsChild>
        </w:div>
        <w:div w:id="761880282">
          <w:marLeft w:val="0"/>
          <w:marRight w:val="0"/>
          <w:marTop w:val="0"/>
          <w:marBottom w:val="0"/>
          <w:divBdr>
            <w:top w:val="none" w:sz="0" w:space="0" w:color="auto"/>
            <w:left w:val="none" w:sz="0" w:space="0" w:color="auto"/>
            <w:bottom w:val="none" w:sz="0" w:space="0" w:color="auto"/>
            <w:right w:val="none" w:sz="0" w:space="0" w:color="auto"/>
          </w:divBdr>
          <w:divsChild>
            <w:div w:id="575437410">
              <w:marLeft w:val="0"/>
              <w:marRight w:val="0"/>
              <w:marTop w:val="0"/>
              <w:marBottom w:val="0"/>
              <w:divBdr>
                <w:top w:val="none" w:sz="0" w:space="0" w:color="auto"/>
                <w:left w:val="none" w:sz="0" w:space="0" w:color="auto"/>
                <w:bottom w:val="none" w:sz="0" w:space="0" w:color="auto"/>
                <w:right w:val="none" w:sz="0" w:space="0" w:color="auto"/>
              </w:divBdr>
            </w:div>
          </w:divsChild>
        </w:div>
        <w:div w:id="432211166">
          <w:marLeft w:val="0"/>
          <w:marRight w:val="0"/>
          <w:marTop w:val="0"/>
          <w:marBottom w:val="0"/>
          <w:divBdr>
            <w:top w:val="none" w:sz="0" w:space="0" w:color="auto"/>
            <w:left w:val="none" w:sz="0" w:space="0" w:color="auto"/>
            <w:bottom w:val="none" w:sz="0" w:space="0" w:color="auto"/>
            <w:right w:val="none" w:sz="0" w:space="0" w:color="auto"/>
          </w:divBdr>
          <w:divsChild>
            <w:div w:id="1812215525">
              <w:marLeft w:val="0"/>
              <w:marRight w:val="0"/>
              <w:marTop w:val="0"/>
              <w:marBottom w:val="0"/>
              <w:divBdr>
                <w:top w:val="none" w:sz="0" w:space="0" w:color="auto"/>
                <w:left w:val="none" w:sz="0" w:space="0" w:color="auto"/>
                <w:bottom w:val="none" w:sz="0" w:space="0" w:color="auto"/>
                <w:right w:val="none" w:sz="0" w:space="0" w:color="auto"/>
              </w:divBdr>
            </w:div>
          </w:divsChild>
        </w:div>
        <w:div w:id="1565069337">
          <w:marLeft w:val="0"/>
          <w:marRight w:val="0"/>
          <w:marTop w:val="0"/>
          <w:marBottom w:val="0"/>
          <w:divBdr>
            <w:top w:val="none" w:sz="0" w:space="0" w:color="auto"/>
            <w:left w:val="none" w:sz="0" w:space="0" w:color="auto"/>
            <w:bottom w:val="none" w:sz="0" w:space="0" w:color="auto"/>
            <w:right w:val="none" w:sz="0" w:space="0" w:color="auto"/>
          </w:divBdr>
          <w:divsChild>
            <w:div w:id="12271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3651">
      <w:bodyDiv w:val="1"/>
      <w:marLeft w:val="0"/>
      <w:marRight w:val="0"/>
      <w:marTop w:val="0"/>
      <w:marBottom w:val="0"/>
      <w:divBdr>
        <w:top w:val="none" w:sz="0" w:space="0" w:color="auto"/>
        <w:left w:val="none" w:sz="0" w:space="0" w:color="auto"/>
        <w:bottom w:val="none" w:sz="0" w:space="0" w:color="auto"/>
        <w:right w:val="none" w:sz="0" w:space="0" w:color="auto"/>
      </w:divBdr>
    </w:div>
    <w:div w:id="429737331">
      <w:bodyDiv w:val="1"/>
      <w:marLeft w:val="0"/>
      <w:marRight w:val="0"/>
      <w:marTop w:val="0"/>
      <w:marBottom w:val="0"/>
      <w:divBdr>
        <w:top w:val="none" w:sz="0" w:space="0" w:color="auto"/>
        <w:left w:val="none" w:sz="0" w:space="0" w:color="auto"/>
        <w:bottom w:val="none" w:sz="0" w:space="0" w:color="auto"/>
        <w:right w:val="none" w:sz="0" w:space="0" w:color="auto"/>
      </w:divBdr>
      <w:divsChild>
        <w:div w:id="1300695201">
          <w:marLeft w:val="0"/>
          <w:marRight w:val="0"/>
          <w:marTop w:val="240"/>
          <w:marBottom w:val="240"/>
          <w:divBdr>
            <w:top w:val="none" w:sz="0" w:space="0" w:color="auto"/>
            <w:left w:val="none" w:sz="0" w:space="0" w:color="auto"/>
            <w:bottom w:val="none" w:sz="0" w:space="0" w:color="auto"/>
            <w:right w:val="none" w:sz="0" w:space="0" w:color="auto"/>
          </w:divBdr>
        </w:div>
      </w:divsChild>
    </w:div>
    <w:div w:id="483813460">
      <w:bodyDiv w:val="1"/>
      <w:marLeft w:val="0"/>
      <w:marRight w:val="0"/>
      <w:marTop w:val="0"/>
      <w:marBottom w:val="0"/>
      <w:divBdr>
        <w:top w:val="none" w:sz="0" w:space="0" w:color="auto"/>
        <w:left w:val="none" w:sz="0" w:space="0" w:color="auto"/>
        <w:bottom w:val="none" w:sz="0" w:space="0" w:color="auto"/>
        <w:right w:val="none" w:sz="0" w:space="0" w:color="auto"/>
      </w:divBdr>
    </w:div>
    <w:div w:id="489373258">
      <w:bodyDiv w:val="1"/>
      <w:marLeft w:val="0"/>
      <w:marRight w:val="0"/>
      <w:marTop w:val="0"/>
      <w:marBottom w:val="0"/>
      <w:divBdr>
        <w:top w:val="none" w:sz="0" w:space="0" w:color="auto"/>
        <w:left w:val="none" w:sz="0" w:space="0" w:color="auto"/>
        <w:bottom w:val="none" w:sz="0" w:space="0" w:color="auto"/>
        <w:right w:val="none" w:sz="0" w:space="0" w:color="auto"/>
      </w:divBdr>
    </w:div>
    <w:div w:id="491069248">
      <w:bodyDiv w:val="1"/>
      <w:marLeft w:val="0"/>
      <w:marRight w:val="0"/>
      <w:marTop w:val="0"/>
      <w:marBottom w:val="0"/>
      <w:divBdr>
        <w:top w:val="none" w:sz="0" w:space="0" w:color="auto"/>
        <w:left w:val="none" w:sz="0" w:space="0" w:color="auto"/>
        <w:bottom w:val="none" w:sz="0" w:space="0" w:color="auto"/>
        <w:right w:val="none" w:sz="0" w:space="0" w:color="auto"/>
      </w:divBdr>
      <w:divsChild>
        <w:div w:id="92237994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6677698">
      <w:bodyDiv w:val="1"/>
      <w:marLeft w:val="0"/>
      <w:marRight w:val="0"/>
      <w:marTop w:val="0"/>
      <w:marBottom w:val="0"/>
      <w:divBdr>
        <w:top w:val="none" w:sz="0" w:space="0" w:color="auto"/>
        <w:left w:val="none" w:sz="0" w:space="0" w:color="auto"/>
        <w:bottom w:val="none" w:sz="0" w:space="0" w:color="auto"/>
        <w:right w:val="none" w:sz="0" w:space="0" w:color="auto"/>
      </w:divBdr>
      <w:divsChild>
        <w:div w:id="40177149">
          <w:marLeft w:val="0"/>
          <w:marRight w:val="0"/>
          <w:marTop w:val="0"/>
          <w:marBottom w:val="0"/>
          <w:divBdr>
            <w:top w:val="none" w:sz="0" w:space="0" w:color="auto"/>
            <w:left w:val="none" w:sz="0" w:space="0" w:color="auto"/>
            <w:bottom w:val="none" w:sz="0" w:space="0" w:color="auto"/>
            <w:right w:val="none" w:sz="0" w:space="0" w:color="auto"/>
          </w:divBdr>
        </w:div>
      </w:divsChild>
    </w:div>
    <w:div w:id="557010481">
      <w:bodyDiv w:val="1"/>
      <w:marLeft w:val="0"/>
      <w:marRight w:val="0"/>
      <w:marTop w:val="0"/>
      <w:marBottom w:val="0"/>
      <w:divBdr>
        <w:top w:val="none" w:sz="0" w:space="0" w:color="auto"/>
        <w:left w:val="none" w:sz="0" w:space="0" w:color="auto"/>
        <w:bottom w:val="none" w:sz="0" w:space="0" w:color="auto"/>
        <w:right w:val="none" w:sz="0" w:space="0" w:color="auto"/>
      </w:divBdr>
    </w:div>
    <w:div w:id="558587912">
      <w:bodyDiv w:val="1"/>
      <w:marLeft w:val="0"/>
      <w:marRight w:val="0"/>
      <w:marTop w:val="0"/>
      <w:marBottom w:val="0"/>
      <w:divBdr>
        <w:top w:val="none" w:sz="0" w:space="0" w:color="auto"/>
        <w:left w:val="none" w:sz="0" w:space="0" w:color="auto"/>
        <w:bottom w:val="none" w:sz="0" w:space="0" w:color="auto"/>
        <w:right w:val="none" w:sz="0" w:space="0" w:color="auto"/>
      </w:divBdr>
      <w:divsChild>
        <w:div w:id="928541642">
          <w:marLeft w:val="0"/>
          <w:marRight w:val="0"/>
          <w:marTop w:val="0"/>
          <w:marBottom w:val="0"/>
          <w:divBdr>
            <w:top w:val="none" w:sz="0" w:space="0" w:color="auto"/>
            <w:left w:val="none" w:sz="0" w:space="0" w:color="auto"/>
            <w:bottom w:val="none" w:sz="0" w:space="0" w:color="auto"/>
            <w:right w:val="none" w:sz="0" w:space="0" w:color="auto"/>
          </w:divBdr>
          <w:divsChild>
            <w:div w:id="300884282">
              <w:marLeft w:val="0"/>
              <w:marRight w:val="0"/>
              <w:marTop w:val="0"/>
              <w:marBottom w:val="120"/>
              <w:divBdr>
                <w:top w:val="none" w:sz="0" w:space="0" w:color="auto"/>
                <w:left w:val="none" w:sz="0" w:space="0" w:color="auto"/>
                <w:bottom w:val="none" w:sz="0" w:space="0" w:color="auto"/>
                <w:right w:val="none" w:sz="0" w:space="0" w:color="auto"/>
              </w:divBdr>
              <w:divsChild>
                <w:div w:id="42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5149">
      <w:bodyDiv w:val="1"/>
      <w:marLeft w:val="0"/>
      <w:marRight w:val="0"/>
      <w:marTop w:val="0"/>
      <w:marBottom w:val="0"/>
      <w:divBdr>
        <w:top w:val="none" w:sz="0" w:space="0" w:color="auto"/>
        <w:left w:val="none" w:sz="0" w:space="0" w:color="auto"/>
        <w:bottom w:val="none" w:sz="0" w:space="0" w:color="auto"/>
        <w:right w:val="none" w:sz="0" w:space="0" w:color="auto"/>
      </w:divBdr>
      <w:divsChild>
        <w:div w:id="1333677105">
          <w:marLeft w:val="0"/>
          <w:marRight w:val="0"/>
          <w:marTop w:val="166"/>
          <w:marBottom w:val="166"/>
          <w:divBdr>
            <w:top w:val="none" w:sz="0" w:space="0" w:color="auto"/>
            <w:left w:val="none" w:sz="0" w:space="0" w:color="auto"/>
            <w:bottom w:val="none" w:sz="0" w:space="0" w:color="auto"/>
            <w:right w:val="none" w:sz="0" w:space="0" w:color="auto"/>
          </w:divBdr>
          <w:divsChild>
            <w:div w:id="167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2914">
      <w:bodyDiv w:val="1"/>
      <w:marLeft w:val="0"/>
      <w:marRight w:val="0"/>
      <w:marTop w:val="0"/>
      <w:marBottom w:val="0"/>
      <w:divBdr>
        <w:top w:val="none" w:sz="0" w:space="0" w:color="auto"/>
        <w:left w:val="none" w:sz="0" w:space="0" w:color="auto"/>
        <w:bottom w:val="none" w:sz="0" w:space="0" w:color="auto"/>
        <w:right w:val="none" w:sz="0" w:space="0" w:color="auto"/>
      </w:divBdr>
    </w:div>
    <w:div w:id="629365042">
      <w:bodyDiv w:val="1"/>
      <w:marLeft w:val="0"/>
      <w:marRight w:val="0"/>
      <w:marTop w:val="0"/>
      <w:marBottom w:val="0"/>
      <w:divBdr>
        <w:top w:val="none" w:sz="0" w:space="0" w:color="auto"/>
        <w:left w:val="none" w:sz="0" w:space="0" w:color="auto"/>
        <w:bottom w:val="none" w:sz="0" w:space="0" w:color="auto"/>
        <w:right w:val="none" w:sz="0" w:space="0" w:color="auto"/>
      </w:divBdr>
    </w:div>
    <w:div w:id="637804081">
      <w:bodyDiv w:val="1"/>
      <w:marLeft w:val="0"/>
      <w:marRight w:val="0"/>
      <w:marTop w:val="0"/>
      <w:marBottom w:val="0"/>
      <w:divBdr>
        <w:top w:val="none" w:sz="0" w:space="0" w:color="auto"/>
        <w:left w:val="none" w:sz="0" w:space="0" w:color="auto"/>
        <w:bottom w:val="none" w:sz="0" w:space="0" w:color="auto"/>
        <w:right w:val="none" w:sz="0" w:space="0" w:color="auto"/>
      </w:divBdr>
      <w:divsChild>
        <w:div w:id="2064711768">
          <w:marLeft w:val="0"/>
          <w:marRight w:val="0"/>
          <w:marTop w:val="0"/>
          <w:marBottom w:val="0"/>
          <w:divBdr>
            <w:top w:val="none" w:sz="0" w:space="0" w:color="auto"/>
            <w:left w:val="none" w:sz="0" w:space="0" w:color="auto"/>
            <w:bottom w:val="none" w:sz="0" w:space="0" w:color="auto"/>
            <w:right w:val="none" w:sz="0" w:space="0" w:color="auto"/>
          </w:divBdr>
          <w:divsChild>
            <w:div w:id="3974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79663">
      <w:bodyDiv w:val="1"/>
      <w:marLeft w:val="0"/>
      <w:marRight w:val="0"/>
      <w:marTop w:val="0"/>
      <w:marBottom w:val="0"/>
      <w:divBdr>
        <w:top w:val="none" w:sz="0" w:space="0" w:color="auto"/>
        <w:left w:val="none" w:sz="0" w:space="0" w:color="auto"/>
        <w:bottom w:val="none" w:sz="0" w:space="0" w:color="auto"/>
        <w:right w:val="none" w:sz="0" w:space="0" w:color="auto"/>
      </w:divBdr>
    </w:div>
    <w:div w:id="733938468">
      <w:bodyDiv w:val="1"/>
      <w:marLeft w:val="0"/>
      <w:marRight w:val="0"/>
      <w:marTop w:val="0"/>
      <w:marBottom w:val="0"/>
      <w:divBdr>
        <w:top w:val="none" w:sz="0" w:space="0" w:color="auto"/>
        <w:left w:val="none" w:sz="0" w:space="0" w:color="auto"/>
        <w:bottom w:val="none" w:sz="0" w:space="0" w:color="auto"/>
        <w:right w:val="none" w:sz="0" w:space="0" w:color="auto"/>
      </w:divBdr>
      <w:divsChild>
        <w:div w:id="1921058037">
          <w:marLeft w:val="0"/>
          <w:marRight w:val="0"/>
          <w:marTop w:val="0"/>
          <w:marBottom w:val="0"/>
          <w:divBdr>
            <w:top w:val="none" w:sz="0" w:space="0" w:color="auto"/>
            <w:left w:val="none" w:sz="0" w:space="0" w:color="auto"/>
            <w:bottom w:val="none" w:sz="0" w:space="0" w:color="auto"/>
            <w:right w:val="none" w:sz="0" w:space="0" w:color="auto"/>
          </w:divBdr>
          <w:divsChild>
            <w:div w:id="1583641965">
              <w:marLeft w:val="0"/>
              <w:marRight w:val="0"/>
              <w:marTop w:val="0"/>
              <w:marBottom w:val="0"/>
              <w:divBdr>
                <w:top w:val="none" w:sz="0" w:space="0" w:color="auto"/>
                <w:left w:val="none" w:sz="0" w:space="0" w:color="auto"/>
                <w:bottom w:val="none" w:sz="0" w:space="0" w:color="auto"/>
                <w:right w:val="none" w:sz="0" w:space="0" w:color="auto"/>
              </w:divBdr>
            </w:div>
            <w:div w:id="1913734489">
              <w:marLeft w:val="0"/>
              <w:marRight w:val="0"/>
              <w:marTop w:val="0"/>
              <w:marBottom w:val="0"/>
              <w:divBdr>
                <w:top w:val="none" w:sz="0" w:space="0" w:color="auto"/>
                <w:left w:val="none" w:sz="0" w:space="0" w:color="auto"/>
                <w:bottom w:val="none" w:sz="0" w:space="0" w:color="auto"/>
                <w:right w:val="none" w:sz="0" w:space="0" w:color="auto"/>
              </w:divBdr>
              <w:divsChild>
                <w:div w:id="2178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928">
          <w:marLeft w:val="0"/>
          <w:marRight w:val="0"/>
          <w:marTop w:val="0"/>
          <w:marBottom w:val="0"/>
          <w:divBdr>
            <w:top w:val="none" w:sz="0" w:space="0" w:color="auto"/>
            <w:left w:val="none" w:sz="0" w:space="0" w:color="auto"/>
            <w:bottom w:val="none" w:sz="0" w:space="0" w:color="auto"/>
            <w:right w:val="none" w:sz="0" w:space="0" w:color="auto"/>
          </w:divBdr>
          <w:divsChild>
            <w:div w:id="2049839714">
              <w:marLeft w:val="75"/>
              <w:marRight w:val="0"/>
              <w:marTop w:val="0"/>
              <w:marBottom w:val="0"/>
              <w:divBdr>
                <w:top w:val="none" w:sz="0" w:space="0" w:color="auto"/>
                <w:left w:val="none" w:sz="0" w:space="0" w:color="auto"/>
                <w:bottom w:val="none" w:sz="0" w:space="0" w:color="auto"/>
                <w:right w:val="none" w:sz="0" w:space="0" w:color="auto"/>
              </w:divBdr>
              <w:divsChild>
                <w:div w:id="1541479509">
                  <w:marLeft w:val="0"/>
                  <w:marRight w:val="0"/>
                  <w:marTop w:val="0"/>
                  <w:marBottom w:val="0"/>
                  <w:divBdr>
                    <w:top w:val="none" w:sz="0" w:space="0" w:color="auto"/>
                    <w:left w:val="none" w:sz="0" w:space="0" w:color="auto"/>
                    <w:bottom w:val="none" w:sz="0" w:space="0" w:color="auto"/>
                    <w:right w:val="none" w:sz="0" w:space="0" w:color="auto"/>
                  </w:divBdr>
                  <w:divsChild>
                    <w:div w:id="905260378">
                      <w:marLeft w:val="0"/>
                      <w:marRight w:val="0"/>
                      <w:marTop w:val="0"/>
                      <w:marBottom w:val="0"/>
                      <w:divBdr>
                        <w:top w:val="none" w:sz="0" w:space="0" w:color="auto"/>
                        <w:left w:val="none" w:sz="0" w:space="0" w:color="auto"/>
                        <w:bottom w:val="none" w:sz="0" w:space="0" w:color="auto"/>
                        <w:right w:val="none" w:sz="0" w:space="0" w:color="auto"/>
                      </w:divBdr>
                      <w:divsChild>
                        <w:div w:id="594434469">
                          <w:marLeft w:val="0"/>
                          <w:marRight w:val="0"/>
                          <w:marTop w:val="150"/>
                          <w:marBottom w:val="150"/>
                          <w:divBdr>
                            <w:top w:val="none" w:sz="0" w:space="0" w:color="002D64"/>
                            <w:left w:val="none" w:sz="0" w:space="0" w:color="002D64"/>
                            <w:bottom w:val="none" w:sz="0" w:space="0" w:color="002D64"/>
                            <w:right w:val="none" w:sz="0" w:space="0" w:color="002D64"/>
                          </w:divBdr>
                        </w:div>
                      </w:divsChild>
                    </w:div>
                  </w:divsChild>
                </w:div>
              </w:divsChild>
            </w:div>
            <w:div w:id="152721114">
              <w:marLeft w:val="0"/>
              <w:marRight w:val="0"/>
              <w:marTop w:val="0"/>
              <w:marBottom w:val="0"/>
              <w:divBdr>
                <w:top w:val="none" w:sz="0" w:space="0" w:color="auto"/>
                <w:left w:val="none" w:sz="0" w:space="0" w:color="auto"/>
                <w:bottom w:val="none" w:sz="0" w:space="0" w:color="auto"/>
                <w:right w:val="none" w:sz="0" w:space="0" w:color="auto"/>
              </w:divBdr>
              <w:divsChild>
                <w:div w:id="14458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509">
          <w:marLeft w:val="0"/>
          <w:marRight w:val="0"/>
          <w:marTop w:val="0"/>
          <w:marBottom w:val="0"/>
          <w:divBdr>
            <w:top w:val="none" w:sz="0" w:space="0" w:color="auto"/>
            <w:left w:val="none" w:sz="0" w:space="0" w:color="auto"/>
            <w:bottom w:val="none" w:sz="0" w:space="0" w:color="auto"/>
            <w:right w:val="none" w:sz="0" w:space="0" w:color="auto"/>
          </w:divBdr>
        </w:div>
      </w:divsChild>
    </w:div>
    <w:div w:id="746197761">
      <w:bodyDiv w:val="1"/>
      <w:marLeft w:val="0"/>
      <w:marRight w:val="0"/>
      <w:marTop w:val="0"/>
      <w:marBottom w:val="0"/>
      <w:divBdr>
        <w:top w:val="none" w:sz="0" w:space="0" w:color="auto"/>
        <w:left w:val="none" w:sz="0" w:space="0" w:color="auto"/>
        <w:bottom w:val="none" w:sz="0" w:space="0" w:color="auto"/>
        <w:right w:val="none" w:sz="0" w:space="0" w:color="auto"/>
      </w:divBdr>
    </w:div>
    <w:div w:id="755056632">
      <w:bodyDiv w:val="1"/>
      <w:marLeft w:val="0"/>
      <w:marRight w:val="0"/>
      <w:marTop w:val="0"/>
      <w:marBottom w:val="0"/>
      <w:divBdr>
        <w:top w:val="none" w:sz="0" w:space="0" w:color="auto"/>
        <w:left w:val="none" w:sz="0" w:space="0" w:color="auto"/>
        <w:bottom w:val="none" w:sz="0" w:space="0" w:color="auto"/>
        <w:right w:val="none" w:sz="0" w:space="0" w:color="auto"/>
      </w:divBdr>
    </w:div>
    <w:div w:id="758870313">
      <w:bodyDiv w:val="1"/>
      <w:marLeft w:val="0"/>
      <w:marRight w:val="0"/>
      <w:marTop w:val="0"/>
      <w:marBottom w:val="0"/>
      <w:divBdr>
        <w:top w:val="none" w:sz="0" w:space="0" w:color="auto"/>
        <w:left w:val="none" w:sz="0" w:space="0" w:color="auto"/>
        <w:bottom w:val="none" w:sz="0" w:space="0" w:color="auto"/>
        <w:right w:val="none" w:sz="0" w:space="0" w:color="auto"/>
      </w:divBdr>
    </w:div>
    <w:div w:id="767041336">
      <w:bodyDiv w:val="1"/>
      <w:marLeft w:val="0"/>
      <w:marRight w:val="0"/>
      <w:marTop w:val="0"/>
      <w:marBottom w:val="0"/>
      <w:divBdr>
        <w:top w:val="none" w:sz="0" w:space="0" w:color="auto"/>
        <w:left w:val="none" w:sz="0" w:space="0" w:color="auto"/>
        <w:bottom w:val="none" w:sz="0" w:space="0" w:color="auto"/>
        <w:right w:val="none" w:sz="0" w:space="0" w:color="auto"/>
      </w:divBdr>
      <w:divsChild>
        <w:div w:id="704600108">
          <w:marLeft w:val="0"/>
          <w:marRight w:val="0"/>
          <w:marTop w:val="0"/>
          <w:marBottom w:val="0"/>
          <w:divBdr>
            <w:top w:val="none" w:sz="0" w:space="0" w:color="auto"/>
            <w:left w:val="none" w:sz="0" w:space="0" w:color="auto"/>
            <w:bottom w:val="none" w:sz="0" w:space="0" w:color="auto"/>
            <w:right w:val="none" w:sz="0" w:space="0" w:color="auto"/>
          </w:divBdr>
          <w:divsChild>
            <w:div w:id="1120950716">
              <w:marLeft w:val="0"/>
              <w:marRight w:val="0"/>
              <w:marTop w:val="0"/>
              <w:marBottom w:val="0"/>
              <w:divBdr>
                <w:top w:val="none" w:sz="0" w:space="0" w:color="auto"/>
                <w:left w:val="none" w:sz="0" w:space="0" w:color="auto"/>
                <w:bottom w:val="none" w:sz="0" w:space="0" w:color="auto"/>
                <w:right w:val="none" w:sz="0" w:space="0" w:color="auto"/>
              </w:divBdr>
            </w:div>
          </w:divsChild>
        </w:div>
        <w:div w:id="125008642">
          <w:marLeft w:val="0"/>
          <w:marRight w:val="0"/>
          <w:marTop w:val="0"/>
          <w:marBottom w:val="150"/>
          <w:divBdr>
            <w:top w:val="none" w:sz="0" w:space="0" w:color="auto"/>
            <w:left w:val="none" w:sz="0" w:space="0" w:color="auto"/>
            <w:bottom w:val="none" w:sz="0" w:space="0" w:color="auto"/>
            <w:right w:val="none" w:sz="0" w:space="0" w:color="auto"/>
          </w:divBdr>
          <w:divsChild>
            <w:div w:id="249968410">
              <w:marLeft w:val="0"/>
              <w:marRight w:val="0"/>
              <w:marTop w:val="0"/>
              <w:marBottom w:val="0"/>
              <w:divBdr>
                <w:top w:val="none" w:sz="0" w:space="0" w:color="auto"/>
                <w:left w:val="none" w:sz="0" w:space="0" w:color="auto"/>
                <w:bottom w:val="none" w:sz="0" w:space="0" w:color="auto"/>
                <w:right w:val="none" w:sz="0" w:space="0" w:color="auto"/>
              </w:divBdr>
              <w:divsChild>
                <w:div w:id="162208964">
                  <w:marLeft w:val="0"/>
                  <w:marRight w:val="0"/>
                  <w:marTop w:val="0"/>
                  <w:marBottom w:val="0"/>
                  <w:divBdr>
                    <w:top w:val="none" w:sz="0" w:space="0" w:color="auto"/>
                    <w:left w:val="none" w:sz="0" w:space="0" w:color="auto"/>
                    <w:bottom w:val="none" w:sz="0" w:space="0" w:color="auto"/>
                    <w:right w:val="none" w:sz="0" w:space="0" w:color="auto"/>
                  </w:divBdr>
                  <w:divsChild>
                    <w:div w:id="6278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029">
          <w:marLeft w:val="0"/>
          <w:marRight w:val="0"/>
          <w:marTop w:val="30"/>
          <w:marBottom w:val="60"/>
          <w:divBdr>
            <w:top w:val="none" w:sz="0" w:space="0" w:color="auto"/>
            <w:left w:val="none" w:sz="0" w:space="0" w:color="auto"/>
            <w:bottom w:val="none" w:sz="0" w:space="0" w:color="auto"/>
            <w:right w:val="none" w:sz="0" w:space="0" w:color="auto"/>
          </w:divBdr>
          <w:divsChild>
            <w:div w:id="1054349252">
              <w:marLeft w:val="0"/>
              <w:marRight w:val="0"/>
              <w:marTop w:val="0"/>
              <w:marBottom w:val="0"/>
              <w:divBdr>
                <w:top w:val="none" w:sz="0" w:space="0" w:color="auto"/>
                <w:left w:val="none" w:sz="0" w:space="0" w:color="auto"/>
                <w:bottom w:val="none" w:sz="0" w:space="0" w:color="auto"/>
                <w:right w:val="none" w:sz="0" w:space="0" w:color="auto"/>
              </w:divBdr>
              <w:divsChild>
                <w:div w:id="2088922011">
                  <w:marLeft w:val="0"/>
                  <w:marRight w:val="0"/>
                  <w:marTop w:val="0"/>
                  <w:marBottom w:val="0"/>
                  <w:divBdr>
                    <w:top w:val="none" w:sz="0" w:space="0" w:color="auto"/>
                    <w:left w:val="none" w:sz="0" w:space="0" w:color="auto"/>
                    <w:bottom w:val="none" w:sz="0" w:space="0" w:color="auto"/>
                    <w:right w:val="none" w:sz="0" w:space="0" w:color="auto"/>
                  </w:divBdr>
                  <w:divsChild>
                    <w:div w:id="2002997597">
                      <w:marLeft w:val="0"/>
                      <w:marRight w:val="0"/>
                      <w:marTop w:val="0"/>
                      <w:marBottom w:val="0"/>
                      <w:divBdr>
                        <w:top w:val="none" w:sz="0" w:space="0" w:color="auto"/>
                        <w:left w:val="none" w:sz="0" w:space="0" w:color="auto"/>
                        <w:bottom w:val="none" w:sz="0" w:space="0" w:color="auto"/>
                        <w:right w:val="none" w:sz="0" w:space="0" w:color="auto"/>
                      </w:divBdr>
                      <w:divsChild>
                        <w:div w:id="5811834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58472884">
              <w:marLeft w:val="0"/>
              <w:marRight w:val="0"/>
              <w:marTop w:val="0"/>
              <w:marBottom w:val="0"/>
              <w:divBdr>
                <w:top w:val="none" w:sz="0" w:space="0" w:color="auto"/>
                <w:left w:val="none" w:sz="0" w:space="0" w:color="auto"/>
                <w:bottom w:val="none" w:sz="0" w:space="0" w:color="auto"/>
                <w:right w:val="none" w:sz="0" w:space="0" w:color="auto"/>
              </w:divBdr>
              <w:divsChild>
                <w:div w:id="867524966">
                  <w:marLeft w:val="0"/>
                  <w:marRight w:val="0"/>
                  <w:marTop w:val="0"/>
                  <w:marBottom w:val="0"/>
                  <w:divBdr>
                    <w:top w:val="none" w:sz="0" w:space="0" w:color="auto"/>
                    <w:left w:val="none" w:sz="0" w:space="0" w:color="auto"/>
                    <w:bottom w:val="none" w:sz="0" w:space="0" w:color="auto"/>
                    <w:right w:val="none" w:sz="0" w:space="0" w:color="auto"/>
                  </w:divBdr>
                  <w:divsChild>
                    <w:div w:id="1357005596">
                      <w:marLeft w:val="0"/>
                      <w:marRight w:val="0"/>
                      <w:marTop w:val="0"/>
                      <w:marBottom w:val="0"/>
                      <w:divBdr>
                        <w:top w:val="none" w:sz="0" w:space="0" w:color="auto"/>
                        <w:left w:val="none" w:sz="0" w:space="0" w:color="auto"/>
                        <w:bottom w:val="none" w:sz="0" w:space="0" w:color="auto"/>
                        <w:right w:val="none" w:sz="0" w:space="0" w:color="auto"/>
                      </w:divBdr>
                      <w:divsChild>
                        <w:div w:id="293875934">
                          <w:marLeft w:val="0"/>
                          <w:marRight w:val="0"/>
                          <w:marTop w:val="0"/>
                          <w:marBottom w:val="0"/>
                          <w:divBdr>
                            <w:top w:val="none" w:sz="0" w:space="0" w:color="auto"/>
                            <w:left w:val="none" w:sz="0" w:space="0" w:color="auto"/>
                            <w:bottom w:val="none" w:sz="0" w:space="0" w:color="auto"/>
                            <w:right w:val="none" w:sz="0" w:space="0" w:color="auto"/>
                          </w:divBdr>
                          <w:divsChild>
                            <w:div w:id="312687073">
                              <w:marLeft w:val="0"/>
                              <w:marRight w:val="0"/>
                              <w:marTop w:val="0"/>
                              <w:marBottom w:val="0"/>
                              <w:divBdr>
                                <w:top w:val="none" w:sz="0" w:space="0" w:color="auto"/>
                                <w:left w:val="none" w:sz="0" w:space="0" w:color="auto"/>
                                <w:bottom w:val="none" w:sz="0" w:space="0" w:color="auto"/>
                                <w:right w:val="none" w:sz="0" w:space="0" w:color="auto"/>
                              </w:divBdr>
                              <w:divsChild>
                                <w:div w:id="889270035">
                                  <w:marLeft w:val="0"/>
                                  <w:marRight w:val="0"/>
                                  <w:marTop w:val="0"/>
                                  <w:marBottom w:val="0"/>
                                  <w:divBdr>
                                    <w:top w:val="none" w:sz="0" w:space="0" w:color="auto"/>
                                    <w:left w:val="none" w:sz="0" w:space="0" w:color="auto"/>
                                    <w:bottom w:val="none" w:sz="0" w:space="0" w:color="auto"/>
                                    <w:right w:val="none" w:sz="0" w:space="0" w:color="auto"/>
                                  </w:divBdr>
                                  <w:divsChild>
                                    <w:div w:id="1742869834">
                                      <w:marLeft w:val="0"/>
                                      <w:marRight w:val="0"/>
                                      <w:marTop w:val="0"/>
                                      <w:marBottom w:val="0"/>
                                      <w:divBdr>
                                        <w:top w:val="none" w:sz="0" w:space="0" w:color="auto"/>
                                        <w:left w:val="none" w:sz="0" w:space="0" w:color="auto"/>
                                        <w:bottom w:val="none" w:sz="0" w:space="0" w:color="auto"/>
                                        <w:right w:val="none" w:sz="0" w:space="0" w:color="auto"/>
                                      </w:divBdr>
                                      <w:divsChild>
                                        <w:div w:id="176429200">
                                          <w:marLeft w:val="0"/>
                                          <w:marRight w:val="0"/>
                                          <w:marTop w:val="0"/>
                                          <w:marBottom w:val="0"/>
                                          <w:divBdr>
                                            <w:top w:val="none" w:sz="0" w:space="0" w:color="auto"/>
                                            <w:left w:val="none" w:sz="0" w:space="0" w:color="auto"/>
                                            <w:bottom w:val="none" w:sz="0" w:space="0" w:color="auto"/>
                                            <w:right w:val="none" w:sz="0" w:space="0" w:color="auto"/>
                                          </w:divBdr>
                                          <w:divsChild>
                                            <w:div w:id="1319573215">
                                              <w:marLeft w:val="0"/>
                                              <w:marRight w:val="0"/>
                                              <w:marTop w:val="0"/>
                                              <w:marBottom w:val="0"/>
                                              <w:divBdr>
                                                <w:top w:val="none" w:sz="0" w:space="0" w:color="auto"/>
                                                <w:left w:val="none" w:sz="0" w:space="0" w:color="auto"/>
                                                <w:bottom w:val="none" w:sz="0" w:space="0" w:color="auto"/>
                                                <w:right w:val="none" w:sz="0" w:space="0" w:color="auto"/>
                                              </w:divBdr>
                                              <w:divsChild>
                                                <w:div w:id="184289146">
                                                  <w:marLeft w:val="0"/>
                                                  <w:marRight w:val="0"/>
                                                  <w:marTop w:val="0"/>
                                                  <w:marBottom w:val="0"/>
                                                  <w:divBdr>
                                                    <w:top w:val="none" w:sz="0" w:space="0" w:color="auto"/>
                                                    <w:left w:val="none" w:sz="0" w:space="0" w:color="auto"/>
                                                    <w:bottom w:val="none" w:sz="0" w:space="0" w:color="auto"/>
                                                    <w:right w:val="none" w:sz="0" w:space="0" w:color="auto"/>
                                                  </w:divBdr>
                                                  <w:divsChild>
                                                    <w:div w:id="855075094">
                                                      <w:marLeft w:val="0"/>
                                                      <w:marRight w:val="0"/>
                                                      <w:marTop w:val="0"/>
                                                      <w:marBottom w:val="0"/>
                                                      <w:divBdr>
                                                        <w:top w:val="none" w:sz="0" w:space="0" w:color="auto"/>
                                                        <w:left w:val="none" w:sz="0" w:space="0" w:color="auto"/>
                                                        <w:bottom w:val="none" w:sz="0" w:space="0" w:color="auto"/>
                                                        <w:right w:val="none" w:sz="0" w:space="0" w:color="auto"/>
                                                      </w:divBdr>
                                                      <w:divsChild>
                                                        <w:div w:id="1558324435">
                                                          <w:marLeft w:val="0"/>
                                                          <w:marRight w:val="0"/>
                                                          <w:marTop w:val="0"/>
                                                          <w:marBottom w:val="0"/>
                                                          <w:divBdr>
                                                            <w:top w:val="none" w:sz="0" w:space="0" w:color="auto"/>
                                                            <w:left w:val="none" w:sz="0" w:space="0" w:color="auto"/>
                                                            <w:bottom w:val="none" w:sz="0" w:space="0" w:color="auto"/>
                                                            <w:right w:val="none" w:sz="0" w:space="0" w:color="auto"/>
                                                          </w:divBdr>
                                                          <w:divsChild>
                                                            <w:div w:id="2183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785528">
      <w:bodyDiv w:val="1"/>
      <w:marLeft w:val="0"/>
      <w:marRight w:val="0"/>
      <w:marTop w:val="0"/>
      <w:marBottom w:val="0"/>
      <w:divBdr>
        <w:top w:val="none" w:sz="0" w:space="0" w:color="auto"/>
        <w:left w:val="none" w:sz="0" w:space="0" w:color="auto"/>
        <w:bottom w:val="none" w:sz="0" w:space="0" w:color="auto"/>
        <w:right w:val="none" w:sz="0" w:space="0" w:color="auto"/>
      </w:divBdr>
      <w:divsChild>
        <w:div w:id="501971351">
          <w:marLeft w:val="0"/>
          <w:marRight w:val="0"/>
          <w:marTop w:val="0"/>
          <w:marBottom w:val="0"/>
          <w:divBdr>
            <w:top w:val="none" w:sz="0" w:space="0" w:color="auto"/>
            <w:left w:val="none" w:sz="0" w:space="0" w:color="auto"/>
            <w:bottom w:val="none" w:sz="0" w:space="0" w:color="auto"/>
            <w:right w:val="none" w:sz="0" w:space="0" w:color="auto"/>
          </w:divBdr>
        </w:div>
      </w:divsChild>
    </w:div>
    <w:div w:id="854615084">
      <w:bodyDiv w:val="1"/>
      <w:marLeft w:val="0"/>
      <w:marRight w:val="0"/>
      <w:marTop w:val="0"/>
      <w:marBottom w:val="0"/>
      <w:divBdr>
        <w:top w:val="none" w:sz="0" w:space="0" w:color="auto"/>
        <w:left w:val="none" w:sz="0" w:space="0" w:color="auto"/>
        <w:bottom w:val="none" w:sz="0" w:space="0" w:color="auto"/>
        <w:right w:val="none" w:sz="0" w:space="0" w:color="auto"/>
      </w:divBdr>
      <w:divsChild>
        <w:div w:id="1089502148">
          <w:marLeft w:val="0"/>
          <w:marRight w:val="0"/>
          <w:marTop w:val="0"/>
          <w:marBottom w:val="0"/>
          <w:divBdr>
            <w:top w:val="none" w:sz="0" w:space="0" w:color="auto"/>
            <w:left w:val="none" w:sz="0" w:space="0" w:color="auto"/>
            <w:bottom w:val="none" w:sz="0" w:space="0" w:color="auto"/>
            <w:right w:val="none" w:sz="0" w:space="0" w:color="auto"/>
          </w:divBdr>
          <w:divsChild>
            <w:div w:id="758065010">
              <w:marLeft w:val="0"/>
              <w:marRight w:val="0"/>
              <w:marTop w:val="0"/>
              <w:marBottom w:val="0"/>
              <w:divBdr>
                <w:top w:val="none" w:sz="0" w:space="0" w:color="auto"/>
                <w:left w:val="none" w:sz="0" w:space="0" w:color="auto"/>
                <w:bottom w:val="none" w:sz="0" w:space="0" w:color="auto"/>
                <w:right w:val="none" w:sz="0" w:space="0" w:color="auto"/>
              </w:divBdr>
              <w:divsChild>
                <w:div w:id="1549760158">
                  <w:marLeft w:val="0"/>
                  <w:marRight w:val="0"/>
                  <w:marTop w:val="0"/>
                  <w:marBottom w:val="0"/>
                  <w:divBdr>
                    <w:top w:val="none" w:sz="0" w:space="0" w:color="auto"/>
                    <w:left w:val="none" w:sz="0" w:space="0" w:color="auto"/>
                    <w:bottom w:val="none" w:sz="0" w:space="0" w:color="auto"/>
                    <w:right w:val="none" w:sz="0" w:space="0" w:color="auto"/>
                  </w:divBdr>
                  <w:divsChild>
                    <w:div w:id="212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286">
          <w:marLeft w:val="0"/>
          <w:marRight w:val="0"/>
          <w:marTop w:val="0"/>
          <w:marBottom w:val="0"/>
          <w:divBdr>
            <w:top w:val="none" w:sz="0" w:space="0" w:color="auto"/>
            <w:left w:val="none" w:sz="0" w:space="0" w:color="auto"/>
            <w:bottom w:val="none" w:sz="0" w:space="0" w:color="auto"/>
            <w:right w:val="none" w:sz="0" w:space="0" w:color="auto"/>
          </w:divBdr>
          <w:divsChild>
            <w:div w:id="31661060">
              <w:marLeft w:val="0"/>
              <w:marRight w:val="0"/>
              <w:marTop w:val="0"/>
              <w:marBottom w:val="0"/>
              <w:divBdr>
                <w:top w:val="none" w:sz="0" w:space="0" w:color="auto"/>
                <w:left w:val="none" w:sz="0" w:space="0" w:color="auto"/>
                <w:bottom w:val="none" w:sz="0" w:space="0" w:color="auto"/>
                <w:right w:val="none" w:sz="0" w:space="0" w:color="auto"/>
              </w:divBdr>
              <w:divsChild>
                <w:div w:id="882598715">
                  <w:marLeft w:val="0"/>
                  <w:marRight w:val="0"/>
                  <w:marTop w:val="0"/>
                  <w:marBottom w:val="0"/>
                  <w:divBdr>
                    <w:top w:val="none" w:sz="0" w:space="0" w:color="auto"/>
                    <w:left w:val="none" w:sz="0" w:space="0" w:color="auto"/>
                    <w:bottom w:val="none" w:sz="0" w:space="0" w:color="auto"/>
                    <w:right w:val="none" w:sz="0" w:space="0" w:color="auto"/>
                  </w:divBdr>
                  <w:divsChild>
                    <w:div w:id="10805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28366">
      <w:bodyDiv w:val="1"/>
      <w:marLeft w:val="0"/>
      <w:marRight w:val="0"/>
      <w:marTop w:val="0"/>
      <w:marBottom w:val="0"/>
      <w:divBdr>
        <w:top w:val="none" w:sz="0" w:space="0" w:color="auto"/>
        <w:left w:val="none" w:sz="0" w:space="0" w:color="auto"/>
        <w:bottom w:val="none" w:sz="0" w:space="0" w:color="auto"/>
        <w:right w:val="none" w:sz="0" w:space="0" w:color="auto"/>
      </w:divBdr>
    </w:div>
    <w:div w:id="882719073">
      <w:bodyDiv w:val="1"/>
      <w:marLeft w:val="0"/>
      <w:marRight w:val="0"/>
      <w:marTop w:val="0"/>
      <w:marBottom w:val="0"/>
      <w:divBdr>
        <w:top w:val="none" w:sz="0" w:space="0" w:color="auto"/>
        <w:left w:val="none" w:sz="0" w:space="0" w:color="auto"/>
        <w:bottom w:val="none" w:sz="0" w:space="0" w:color="auto"/>
        <w:right w:val="none" w:sz="0" w:space="0" w:color="auto"/>
      </w:divBdr>
    </w:div>
    <w:div w:id="905454451">
      <w:bodyDiv w:val="1"/>
      <w:marLeft w:val="0"/>
      <w:marRight w:val="0"/>
      <w:marTop w:val="0"/>
      <w:marBottom w:val="0"/>
      <w:divBdr>
        <w:top w:val="none" w:sz="0" w:space="0" w:color="auto"/>
        <w:left w:val="none" w:sz="0" w:space="0" w:color="auto"/>
        <w:bottom w:val="none" w:sz="0" w:space="0" w:color="auto"/>
        <w:right w:val="none" w:sz="0" w:space="0" w:color="auto"/>
      </w:divBdr>
      <w:divsChild>
        <w:div w:id="711343077">
          <w:marLeft w:val="0"/>
          <w:marRight w:val="0"/>
          <w:marTop w:val="240"/>
          <w:marBottom w:val="240"/>
          <w:divBdr>
            <w:top w:val="none" w:sz="0" w:space="0" w:color="auto"/>
            <w:left w:val="none" w:sz="0" w:space="0" w:color="auto"/>
            <w:bottom w:val="none" w:sz="0" w:space="0" w:color="auto"/>
            <w:right w:val="none" w:sz="0" w:space="0" w:color="auto"/>
          </w:divBdr>
        </w:div>
        <w:div w:id="1415976423">
          <w:marLeft w:val="0"/>
          <w:marRight w:val="96"/>
          <w:marTop w:val="0"/>
          <w:marBottom w:val="0"/>
          <w:divBdr>
            <w:top w:val="none" w:sz="0" w:space="0" w:color="auto"/>
            <w:left w:val="none" w:sz="0" w:space="0" w:color="auto"/>
            <w:bottom w:val="none" w:sz="0" w:space="0" w:color="auto"/>
            <w:right w:val="none" w:sz="0" w:space="0" w:color="auto"/>
          </w:divBdr>
        </w:div>
        <w:div w:id="1185175459">
          <w:marLeft w:val="0"/>
          <w:marRight w:val="96"/>
          <w:marTop w:val="0"/>
          <w:marBottom w:val="0"/>
          <w:divBdr>
            <w:top w:val="none" w:sz="0" w:space="0" w:color="auto"/>
            <w:left w:val="none" w:sz="0" w:space="0" w:color="auto"/>
            <w:bottom w:val="none" w:sz="0" w:space="0" w:color="auto"/>
            <w:right w:val="none" w:sz="0" w:space="0" w:color="auto"/>
          </w:divBdr>
        </w:div>
        <w:div w:id="548424123">
          <w:marLeft w:val="0"/>
          <w:marRight w:val="96"/>
          <w:marTop w:val="0"/>
          <w:marBottom w:val="0"/>
          <w:divBdr>
            <w:top w:val="none" w:sz="0" w:space="0" w:color="auto"/>
            <w:left w:val="none" w:sz="0" w:space="0" w:color="auto"/>
            <w:bottom w:val="none" w:sz="0" w:space="0" w:color="auto"/>
            <w:right w:val="none" w:sz="0" w:space="0" w:color="auto"/>
          </w:divBdr>
        </w:div>
        <w:div w:id="744574449">
          <w:marLeft w:val="0"/>
          <w:marRight w:val="96"/>
          <w:marTop w:val="0"/>
          <w:marBottom w:val="0"/>
          <w:divBdr>
            <w:top w:val="none" w:sz="0" w:space="0" w:color="auto"/>
            <w:left w:val="none" w:sz="0" w:space="0" w:color="auto"/>
            <w:bottom w:val="none" w:sz="0" w:space="0" w:color="auto"/>
            <w:right w:val="none" w:sz="0" w:space="0" w:color="auto"/>
          </w:divBdr>
        </w:div>
        <w:div w:id="432432910">
          <w:marLeft w:val="0"/>
          <w:marRight w:val="0"/>
          <w:marTop w:val="480"/>
          <w:marBottom w:val="480"/>
          <w:divBdr>
            <w:top w:val="none" w:sz="0" w:space="0" w:color="auto"/>
            <w:left w:val="none" w:sz="0" w:space="0" w:color="auto"/>
            <w:bottom w:val="none" w:sz="0" w:space="0" w:color="auto"/>
            <w:right w:val="none" w:sz="0" w:space="0" w:color="auto"/>
          </w:divBdr>
          <w:divsChild>
            <w:div w:id="10603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5309">
      <w:bodyDiv w:val="1"/>
      <w:marLeft w:val="0"/>
      <w:marRight w:val="0"/>
      <w:marTop w:val="0"/>
      <w:marBottom w:val="0"/>
      <w:divBdr>
        <w:top w:val="none" w:sz="0" w:space="0" w:color="auto"/>
        <w:left w:val="none" w:sz="0" w:space="0" w:color="auto"/>
        <w:bottom w:val="none" w:sz="0" w:space="0" w:color="auto"/>
        <w:right w:val="none" w:sz="0" w:space="0" w:color="auto"/>
      </w:divBdr>
    </w:div>
    <w:div w:id="916600368">
      <w:bodyDiv w:val="1"/>
      <w:marLeft w:val="0"/>
      <w:marRight w:val="0"/>
      <w:marTop w:val="0"/>
      <w:marBottom w:val="0"/>
      <w:divBdr>
        <w:top w:val="none" w:sz="0" w:space="0" w:color="auto"/>
        <w:left w:val="none" w:sz="0" w:space="0" w:color="auto"/>
        <w:bottom w:val="none" w:sz="0" w:space="0" w:color="auto"/>
        <w:right w:val="none" w:sz="0" w:space="0" w:color="auto"/>
      </w:divBdr>
      <w:divsChild>
        <w:div w:id="825827900">
          <w:marLeft w:val="0"/>
          <w:marRight w:val="0"/>
          <w:marTop w:val="0"/>
          <w:marBottom w:val="0"/>
          <w:divBdr>
            <w:top w:val="none" w:sz="0" w:space="0" w:color="auto"/>
            <w:left w:val="none" w:sz="0" w:space="0" w:color="auto"/>
            <w:bottom w:val="none" w:sz="0" w:space="0" w:color="auto"/>
            <w:right w:val="none" w:sz="0" w:space="0" w:color="auto"/>
          </w:divBdr>
          <w:divsChild>
            <w:div w:id="1233196255">
              <w:marLeft w:val="0"/>
              <w:marRight w:val="0"/>
              <w:marTop w:val="0"/>
              <w:marBottom w:val="0"/>
              <w:divBdr>
                <w:top w:val="none" w:sz="0" w:space="0" w:color="auto"/>
                <w:left w:val="none" w:sz="0" w:space="0" w:color="auto"/>
                <w:bottom w:val="none" w:sz="0" w:space="0" w:color="auto"/>
                <w:right w:val="none" w:sz="0" w:space="0" w:color="auto"/>
              </w:divBdr>
              <w:divsChild>
                <w:div w:id="1406487339">
                  <w:marLeft w:val="0"/>
                  <w:marRight w:val="0"/>
                  <w:marTop w:val="0"/>
                  <w:marBottom w:val="0"/>
                  <w:divBdr>
                    <w:top w:val="none" w:sz="0" w:space="0" w:color="auto"/>
                    <w:left w:val="none" w:sz="0" w:space="0" w:color="auto"/>
                    <w:bottom w:val="none" w:sz="0" w:space="0" w:color="auto"/>
                    <w:right w:val="none" w:sz="0" w:space="0" w:color="auto"/>
                  </w:divBdr>
                  <w:divsChild>
                    <w:div w:id="20295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335">
          <w:marLeft w:val="0"/>
          <w:marRight w:val="0"/>
          <w:marTop w:val="0"/>
          <w:marBottom w:val="0"/>
          <w:divBdr>
            <w:top w:val="none" w:sz="0" w:space="0" w:color="auto"/>
            <w:left w:val="none" w:sz="0" w:space="0" w:color="auto"/>
            <w:bottom w:val="none" w:sz="0" w:space="0" w:color="auto"/>
            <w:right w:val="none" w:sz="0" w:space="0" w:color="auto"/>
          </w:divBdr>
          <w:divsChild>
            <w:div w:id="19789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0559">
      <w:bodyDiv w:val="1"/>
      <w:marLeft w:val="0"/>
      <w:marRight w:val="0"/>
      <w:marTop w:val="0"/>
      <w:marBottom w:val="0"/>
      <w:divBdr>
        <w:top w:val="none" w:sz="0" w:space="0" w:color="auto"/>
        <w:left w:val="none" w:sz="0" w:space="0" w:color="auto"/>
        <w:bottom w:val="none" w:sz="0" w:space="0" w:color="auto"/>
        <w:right w:val="none" w:sz="0" w:space="0" w:color="auto"/>
      </w:divBdr>
    </w:div>
    <w:div w:id="1001809181">
      <w:bodyDiv w:val="1"/>
      <w:marLeft w:val="0"/>
      <w:marRight w:val="0"/>
      <w:marTop w:val="0"/>
      <w:marBottom w:val="0"/>
      <w:divBdr>
        <w:top w:val="none" w:sz="0" w:space="0" w:color="auto"/>
        <w:left w:val="none" w:sz="0" w:space="0" w:color="auto"/>
        <w:bottom w:val="none" w:sz="0" w:space="0" w:color="auto"/>
        <w:right w:val="none" w:sz="0" w:space="0" w:color="auto"/>
      </w:divBdr>
    </w:div>
    <w:div w:id="102682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671">
          <w:marLeft w:val="0"/>
          <w:marRight w:val="0"/>
          <w:marTop w:val="0"/>
          <w:marBottom w:val="0"/>
          <w:divBdr>
            <w:top w:val="none" w:sz="0" w:space="0" w:color="auto"/>
            <w:left w:val="none" w:sz="0" w:space="0" w:color="auto"/>
            <w:bottom w:val="none" w:sz="0" w:space="0" w:color="auto"/>
            <w:right w:val="none" w:sz="0" w:space="0" w:color="auto"/>
          </w:divBdr>
        </w:div>
      </w:divsChild>
    </w:div>
    <w:div w:id="1099177939">
      <w:bodyDiv w:val="1"/>
      <w:marLeft w:val="0"/>
      <w:marRight w:val="0"/>
      <w:marTop w:val="0"/>
      <w:marBottom w:val="0"/>
      <w:divBdr>
        <w:top w:val="none" w:sz="0" w:space="0" w:color="auto"/>
        <w:left w:val="none" w:sz="0" w:space="0" w:color="auto"/>
        <w:bottom w:val="none" w:sz="0" w:space="0" w:color="auto"/>
        <w:right w:val="none" w:sz="0" w:space="0" w:color="auto"/>
      </w:divBdr>
    </w:div>
    <w:div w:id="1103307519">
      <w:bodyDiv w:val="1"/>
      <w:marLeft w:val="0"/>
      <w:marRight w:val="0"/>
      <w:marTop w:val="0"/>
      <w:marBottom w:val="0"/>
      <w:divBdr>
        <w:top w:val="none" w:sz="0" w:space="0" w:color="auto"/>
        <w:left w:val="none" w:sz="0" w:space="0" w:color="auto"/>
        <w:bottom w:val="none" w:sz="0" w:space="0" w:color="auto"/>
        <w:right w:val="none" w:sz="0" w:space="0" w:color="auto"/>
      </w:divBdr>
      <w:divsChild>
        <w:div w:id="2093698462">
          <w:marLeft w:val="0"/>
          <w:marRight w:val="0"/>
          <w:marTop w:val="0"/>
          <w:marBottom w:val="0"/>
          <w:divBdr>
            <w:top w:val="none" w:sz="0" w:space="0" w:color="auto"/>
            <w:left w:val="none" w:sz="0" w:space="0" w:color="auto"/>
            <w:bottom w:val="none" w:sz="0" w:space="0" w:color="auto"/>
            <w:right w:val="none" w:sz="0" w:space="0" w:color="auto"/>
          </w:divBdr>
          <w:divsChild>
            <w:div w:id="1807431080">
              <w:marLeft w:val="0"/>
              <w:marRight w:val="0"/>
              <w:marTop w:val="0"/>
              <w:marBottom w:val="0"/>
              <w:divBdr>
                <w:top w:val="none" w:sz="0" w:space="0" w:color="auto"/>
                <w:left w:val="none" w:sz="0" w:space="0" w:color="auto"/>
                <w:bottom w:val="none" w:sz="0" w:space="0" w:color="auto"/>
                <w:right w:val="none" w:sz="0" w:space="0" w:color="auto"/>
              </w:divBdr>
            </w:div>
            <w:div w:id="586382164">
              <w:marLeft w:val="0"/>
              <w:marRight w:val="0"/>
              <w:marTop w:val="0"/>
              <w:marBottom w:val="0"/>
              <w:divBdr>
                <w:top w:val="none" w:sz="0" w:space="0" w:color="auto"/>
                <w:left w:val="none" w:sz="0" w:space="0" w:color="auto"/>
                <w:bottom w:val="none" w:sz="0" w:space="0" w:color="auto"/>
                <w:right w:val="none" w:sz="0" w:space="0" w:color="auto"/>
              </w:divBdr>
              <w:divsChild>
                <w:div w:id="19412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4517">
          <w:marLeft w:val="0"/>
          <w:marRight w:val="0"/>
          <w:marTop w:val="0"/>
          <w:marBottom w:val="0"/>
          <w:divBdr>
            <w:top w:val="none" w:sz="0" w:space="0" w:color="auto"/>
            <w:left w:val="none" w:sz="0" w:space="0" w:color="auto"/>
            <w:bottom w:val="none" w:sz="0" w:space="0" w:color="auto"/>
            <w:right w:val="none" w:sz="0" w:space="0" w:color="auto"/>
          </w:divBdr>
          <w:divsChild>
            <w:div w:id="106315280">
              <w:marLeft w:val="75"/>
              <w:marRight w:val="0"/>
              <w:marTop w:val="0"/>
              <w:marBottom w:val="0"/>
              <w:divBdr>
                <w:top w:val="none" w:sz="0" w:space="0" w:color="auto"/>
                <w:left w:val="none" w:sz="0" w:space="0" w:color="auto"/>
                <w:bottom w:val="none" w:sz="0" w:space="0" w:color="auto"/>
                <w:right w:val="none" w:sz="0" w:space="0" w:color="auto"/>
              </w:divBdr>
              <w:divsChild>
                <w:div w:id="1268729120">
                  <w:marLeft w:val="0"/>
                  <w:marRight w:val="0"/>
                  <w:marTop w:val="0"/>
                  <w:marBottom w:val="0"/>
                  <w:divBdr>
                    <w:top w:val="none" w:sz="0" w:space="0" w:color="auto"/>
                    <w:left w:val="none" w:sz="0" w:space="0" w:color="auto"/>
                    <w:bottom w:val="none" w:sz="0" w:space="0" w:color="auto"/>
                    <w:right w:val="none" w:sz="0" w:space="0" w:color="auto"/>
                  </w:divBdr>
                  <w:divsChild>
                    <w:div w:id="1466584895">
                      <w:marLeft w:val="0"/>
                      <w:marRight w:val="0"/>
                      <w:marTop w:val="0"/>
                      <w:marBottom w:val="0"/>
                      <w:divBdr>
                        <w:top w:val="none" w:sz="0" w:space="0" w:color="auto"/>
                        <w:left w:val="none" w:sz="0" w:space="0" w:color="auto"/>
                        <w:bottom w:val="none" w:sz="0" w:space="0" w:color="auto"/>
                        <w:right w:val="none" w:sz="0" w:space="0" w:color="auto"/>
                      </w:divBdr>
                      <w:divsChild>
                        <w:div w:id="1210414537">
                          <w:marLeft w:val="0"/>
                          <w:marRight w:val="0"/>
                          <w:marTop w:val="150"/>
                          <w:marBottom w:val="150"/>
                          <w:divBdr>
                            <w:top w:val="none" w:sz="0" w:space="0" w:color="002D64"/>
                            <w:left w:val="none" w:sz="0" w:space="0" w:color="002D64"/>
                            <w:bottom w:val="none" w:sz="0" w:space="0" w:color="002D64"/>
                            <w:right w:val="none" w:sz="0" w:space="0" w:color="002D64"/>
                          </w:divBdr>
                        </w:div>
                      </w:divsChild>
                    </w:div>
                  </w:divsChild>
                </w:div>
              </w:divsChild>
            </w:div>
            <w:div w:id="1076515593">
              <w:marLeft w:val="0"/>
              <w:marRight w:val="0"/>
              <w:marTop w:val="0"/>
              <w:marBottom w:val="0"/>
              <w:divBdr>
                <w:top w:val="none" w:sz="0" w:space="0" w:color="auto"/>
                <w:left w:val="none" w:sz="0" w:space="0" w:color="auto"/>
                <w:bottom w:val="none" w:sz="0" w:space="0" w:color="auto"/>
                <w:right w:val="none" w:sz="0" w:space="0" w:color="auto"/>
              </w:divBdr>
              <w:divsChild>
                <w:div w:id="1331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3290">
          <w:marLeft w:val="0"/>
          <w:marRight w:val="0"/>
          <w:marTop w:val="0"/>
          <w:marBottom w:val="0"/>
          <w:divBdr>
            <w:top w:val="none" w:sz="0" w:space="0" w:color="auto"/>
            <w:left w:val="none" w:sz="0" w:space="0" w:color="auto"/>
            <w:bottom w:val="none" w:sz="0" w:space="0" w:color="auto"/>
            <w:right w:val="none" w:sz="0" w:space="0" w:color="auto"/>
          </w:divBdr>
        </w:div>
      </w:divsChild>
    </w:div>
    <w:div w:id="1137455747">
      <w:bodyDiv w:val="1"/>
      <w:marLeft w:val="0"/>
      <w:marRight w:val="0"/>
      <w:marTop w:val="0"/>
      <w:marBottom w:val="0"/>
      <w:divBdr>
        <w:top w:val="none" w:sz="0" w:space="0" w:color="auto"/>
        <w:left w:val="none" w:sz="0" w:space="0" w:color="auto"/>
        <w:bottom w:val="none" w:sz="0" w:space="0" w:color="auto"/>
        <w:right w:val="none" w:sz="0" w:space="0" w:color="auto"/>
      </w:divBdr>
    </w:div>
    <w:div w:id="1162233891">
      <w:bodyDiv w:val="1"/>
      <w:marLeft w:val="0"/>
      <w:marRight w:val="0"/>
      <w:marTop w:val="0"/>
      <w:marBottom w:val="0"/>
      <w:divBdr>
        <w:top w:val="none" w:sz="0" w:space="0" w:color="auto"/>
        <w:left w:val="none" w:sz="0" w:space="0" w:color="auto"/>
        <w:bottom w:val="none" w:sz="0" w:space="0" w:color="auto"/>
        <w:right w:val="none" w:sz="0" w:space="0" w:color="auto"/>
      </w:divBdr>
      <w:divsChild>
        <w:div w:id="1791315721">
          <w:marLeft w:val="0"/>
          <w:marRight w:val="0"/>
          <w:marTop w:val="0"/>
          <w:marBottom w:val="0"/>
          <w:divBdr>
            <w:top w:val="none" w:sz="0" w:space="0" w:color="auto"/>
            <w:left w:val="none" w:sz="0" w:space="0" w:color="auto"/>
            <w:bottom w:val="none" w:sz="0" w:space="0" w:color="auto"/>
            <w:right w:val="none" w:sz="0" w:space="0" w:color="auto"/>
          </w:divBdr>
          <w:divsChild>
            <w:div w:id="351495234">
              <w:marLeft w:val="0"/>
              <w:marRight w:val="0"/>
              <w:marTop w:val="0"/>
              <w:marBottom w:val="0"/>
              <w:divBdr>
                <w:top w:val="none" w:sz="0" w:space="0" w:color="auto"/>
                <w:left w:val="none" w:sz="0" w:space="0" w:color="auto"/>
                <w:bottom w:val="none" w:sz="0" w:space="0" w:color="auto"/>
                <w:right w:val="none" w:sz="0" w:space="0" w:color="auto"/>
              </w:divBdr>
              <w:divsChild>
                <w:div w:id="1855999279">
                  <w:marLeft w:val="0"/>
                  <w:marRight w:val="0"/>
                  <w:marTop w:val="0"/>
                  <w:marBottom w:val="0"/>
                  <w:divBdr>
                    <w:top w:val="none" w:sz="0" w:space="0" w:color="auto"/>
                    <w:left w:val="none" w:sz="0" w:space="0" w:color="auto"/>
                    <w:bottom w:val="none" w:sz="0" w:space="0" w:color="auto"/>
                    <w:right w:val="none" w:sz="0" w:space="0" w:color="auto"/>
                  </w:divBdr>
                  <w:divsChild>
                    <w:div w:id="844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0397">
          <w:marLeft w:val="0"/>
          <w:marRight w:val="0"/>
          <w:marTop w:val="0"/>
          <w:marBottom w:val="0"/>
          <w:divBdr>
            <w:top w:val="none" w:sz="0" w:space="0" w:color="auto"/>
            <w:left w:val="none" w:sz="0" w:space="0" w:color="auto"/>
            <w:bottom w:val="none" w:sz="0" w:space="0" w:color="auto"/>
            <w:right w:val="none" w:sz="0" w:space="0" w:color="auto"/>
          </w:divBdr>
          <w:divsChild>
            <w:div w:id="131991939">
              <w:marLeft w:val="0"/>
              <w:marRight w:val="0"/>
              <w:marTop w:val="0"/>
              <w:marBottom w:val="0"/>
              <w:divBdr>
                <w:top w:val="none" w:sz="0" w:space="0" w:color="auto"/>
                <w:left w:val="none" w:sz="0" w:space="0" w:color="auto"/>
                <w:bottom w:val="none" w:sz="0" w:space="0" w:color="auto"/>
                <w:right w:val="none" w:sz="0" w:space="0" w:color="auto"/>
              </w:divBdr>
              <w:divsChild>
                <w:div w:id="5083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0640">
      <w:bodyDiv w:val="1"/>
      <w:marLeft w:val="0"/>
      <w:marRight w:val="0"/>
      <w:marTop w:val="0"/>
      <w:marBottom w:val="0"/>
      <w:divBdr>
        <w:top w:val="none" w:sz="0" w:space="0" w:color="auto"/>
        <w:left w:val="none" w:sz="0" w:space="0" w:color="auto"/>
        <w:bottom w:val="none" w:sz="0" w:space="0" w:color="auto"/>
        <w:right w:val="none" w:sz="0" w:space="0" w:color="auto"/>
      </w:divBdr>
    </w:div>
    <w:div w:id="1225066427">
      <w:bodyDiv w:val="1"/>
      <w:marLeft w:val="0"/>
      <w:marRight w:val="0"/>
      <w:marTop w:val="0"/>
      <w:marBottom w:val="0"/>
      <w:divBdr>
        <w:top w:val="none" w:sz="0" w:space="0" w:color="auto"/>
        <w:left w:val="none" w:sz="0" w:space="0" w:color="auto"/>
        <w:bottom w:val="none" w:sz="0" w:space="0" w:color="auto"/>
        <w:right w:val="none" w:sz="0" w:space="0" w:color="auto"/>
      </w:divBdr>
    </w:div>
    <w:div w:id="1252858248">
      <w:bodyDiv w:val="1"/>
      <w:marLeft w:val="0"/>
      <w:marRight w:val="0"/>
      <w:marTop w:val="0"/>
      <w:marBottom w:val="0"/>
      <w:divBdr>
        <w:top w:val="none" w:sz="0" w:space="0" w:color="auto"/>
        <w:left w:val="none" w:sz="0" w:space="0" w:color="auto"/>
        <w:bottom w:val="none" w:sz="0" w:space="0" w:color="auto"/>
        <w:right w:val="none" w:sz="0" w:space="0" w:color="auto"/>
      </w:divBdr>
    </w:div>
    <w:div w:id="1349746592">
      <w:bodyDiv w:val="1"/>
      <w:marLeft w:val="0"/>
      <w:marRight w:val="0"/>
      <w:marTop w:val="0"/>
      <w:marBottom w:val="0"/>
      <w:divBdr>
        <w:top w:val="none" w:sz="0" w:space="0" w:color="auto"/>
        <w:left w:val="none" w:sz="0" w:space="0" w:color="auto"/>
        <w:bottom w:val="none" w:sz="0" w:space="0" w:color="auto"/>
        <w:right w:val="none" w:sz="0" w:space="0" w:color="auto"/>
      </w:divBdr>
    </w:div>
    <w:div w:id="1386217643">
      <w:bodyDiv w:val="1"/>
      <w:marLeft w:val="0"/>
      <w:marRight w:val="0"/>
      <w:marTop w:val="0"/>
      <w:marBottom w:val="0"/>
      <w:divBdr>
        <w:top w:val="none" w:sz="0" w:space="0" w:color="auto"/>
        <w:left w:val="none" w:sz="0" w:space="0" w:color="auto"/>
        <w:bottom w:val="none" w:sz="0" w:space="0" w:color="auto"/>
        <w:right w:val="none" w:sz="0" w:space="0" w:color="auto"/>
      </w:divBdr>
    </w:div>
    <w:div w:id="1399933686">
      <w:bodyDiv w:val="1"/>
      <w:marLeft w:val="0"/>
      <w:marRight w:val="0"/>
      <w:marTop w:val="0"/>
      <w:marBottom w:val="0"/>
      <w:divBdr>
        <w:top w:val="none" w:sz="0" w:space="0" w:color="auto"/>
        <w:left w:val="none" w:sz="0" w:space="0" w:color="auto"/>
        <w:bottom w:val="none" w:sz="0" w:space="0" w:color="auto"/>
        <w:right w:val="none" w:sz="0" w:space="0" w:color="auto"/>
      </w:divBdr>
    </w:div>
    <w:div w:id="1404378093">
      <w:bodyDiv w:val="1"/>
      <w:marLeft w:val="0"/>
      <w:marRight w:val="0"/>
      <w:marTop w:val="0"/>
      <w:marBottom w:val="0"/>
      <w:divBdr>
        <w:top w:val="none" w:sz="0" w:space="0" w:color="auto"/>
        <w:left w:val="none" w:sz="0" w:space="0" w:color="auto"/>
        <w:bottom w:val="none" w:sz="0" w:space="0" w:color="auto"/>
        <w:right w:val="none" w:sz="0" w:space="0" w:color="auto"/>
      </w:divBdr>
      <w:divsChild>
        <w:div w:id="169371421">
          <w:marLeft w:val="0"/>
          <w:marRight w:val="0"/>
          <w:marTop w:val="75"/>
          <w:marBottom w:val="0"/>
          <w:divBdr>
            <w:top w:val="none" w:sz="0" w:space="0" w:color="auto"/>
            <w:left w:val="none" w:sz="0" w:space="0" w:color="auto"/>
            <w:bottom w:val="none" w:sz="0" w:space="0" w:color="auto"/>
            <w:right w:val="none" w:sz="0" w:space="0" w:color="auto"/>
          </w:divBdr>
          <w:divsChild>
            <w:div w:id="959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9133">
      <w:bodyDiv w:val="1"/>
      <w:marLeft w:val="0"/>
      <w:marRight w:val="0"/>
      <w:marTop w:val="0"/>
      <w:marBottom w:val="0"/>
      <w:divBdr>
        <w:top w:val="none" w:sz="0" w:space="0" w:color="auto"/>
        <w:left w:val="none" w:sz="0" w:space="0" w:color="auto"/>
        <w:bottom w:val="none" w:sz="0" w:space="0" w:color="auto"/>
        <w:right w:val="none" w:sz="0" w:space="0" w:color="auto"/>
      </w:divBdr>
      <w:divsChild>
        <w:div w:id="1718889135">
          <w:marLeft w:val="0"/>
          <w:marRight w:val="0"/>
          <w:marTop w:val="0"/>
          <w:marBottom w:val="0"/>
          <w:divBdr>
            <w:top w:val="none" w:sz="0" w:space="0" w:color="auto"/>
            <w:left w:val="none" w:sz="0" w:space="0" w:color="auto"/>
            <w:bottom w:val="none" w:sz="0" w:space="0" w:color="auto"/>
            <w:right w:val="none" w:sz="0" w:space="0" w:color="auto"/>
          </w:divBdr>
        </w:div>
        <w:div w:id="174347215">
          <w:marLeft w:val="0"/>
          <w:marRight w:val="0"/>
          <w:marTop w:val="300"/>
          <w:marBottom w:val="300"/>
          <w:divBdr>
            <w:top w:val="none" w:sz="0" w:space="0" w:color="auto"/>
            <w:left w:val="none" w:sz="0" w:space="0" w:color="auto"/>
            <w:bottom w:val="none" w:sz="0" w:space="0" w:color="auto"/>
            <w:right w:val="none" w:sz="0" w:space="0" w:color="auto"/>
          </w:divBdr>
        </w:div>
      </w:divsChild>
    </w:div>
    <w:div w:id="1470827530">
      <w:bodyDiv w:val="1"/>
      <w:marLeft w:val="0"/>
      <w:marRight w:val="0"/>
      <w:marTop w:val="0"/>
      <w:marBottom w:val="0"/>
      <w:divBdr>
        <w:top w:val="none" w:sz="0" w:space="0" w:color="auto"/>
        <w:left w:val="none" w:sz="0" w:space="0" w:color="auto"/>
        <w:bottom w:val="none" w:sz="0" w:space="0" w:color="auto"/>
        <w:right w:val="none" w:sz="0" w:space="0" w:color="auto"/>
      </w:divBdr>
    </w:div>
    <w:div w:id="1515992259">
      <w:bodyDiv w:val="1"/>
      <w:marLeft w:val="0"/>
      <w:marRight w:val="0"/>
      <w:marTop w:val="0"/>
      <w:marBottom w:val="0"/>
      <w:divBdr>
        <w:top w:val="none" w:sz="0" w:space="0" w:color="auto"/>
        <w:left w:val="none" w:sz="0" w:space="0" w:color="auto"/>
        <w:bottom w:val="none" w:sz="0" w:space="0" w:color="auto"/>
        <w:right w:val="none" w:sz="0" w:space="0" w:color="auto"/>
      </w:divBdr>
      <w:divsChild>
        <w:div w:id="802625550">
          <w:marLeft w:val="0"/>
          <w:marRight w:val="0"/>
          <w:marTop w:val="0"/>
          <w:marBottom w:val="0"/>
          <w:divBdr>
            <w:top w:val="none" w:sz="0" w:space="0" w:color="auto"/>
            <w:left w:val="none" w:sz="0" w:space="0" w:color="auto"/>
            <w:bottom w:val="none" w:sz="0" w:space="0" w:color="auto"/>
            <w:right w:val="none" w:sz="0" w:space="0" w:color="auto"/>
          </w:divBdr>
          <w:divsChild>
            <w:div w:id="1337029625">
              <w:marLeft w:val="0"/>
              <w:marRight w:val="0"/>
              <w:marTop w:val="180"/>
              <w:marBottom w:val="180"/>
              <w:divBdr>
                <w:top w:val="none" w:sz="0" w:space="0" w:color="auto"/>
                <w:left w:val="none" w:sz="0" w:space="0" w:color="auto"/>
                <w:bottom w:val="none" w:sz="0" w:space="0" w:color="auto"/>
                <w:right w:val="none" w:sz="0" w:space="0" w:color="auto"/>
              </w:divBdr>
            </w:div>
          </w:divsChild>
        </w:div>
        <w:div w:id="1872184117">
          <w:marLeft w:val="0"/>
          <w:marRight w:val="0"/>
          <w:marTop w:val="0"/>
          <w:marBottom w:val="0"/>
          <w:divBdr>
            <w:top w:val="none" w:sz="0" w:space="0" w:color="auto"/>
            <w:left w:val="none" w:sz="0" w:space="0" w:color="auto"/>
            <w:bottom w:val="none" w:sz="0" w:space="0" w:color="auto"/>
            <w:right w:val="none" w:sz="0" w:space="0" w:color="auto"/>
          </w:divBdr>
          <w:divsChild>
            <w:div w:id="1805273823">
              <w:marLeft w:val="0"/>
              <w:marRight w:val="0"/>
              <w:marTop w:val="0"/>
              <w:marBottom w:val="0"/>
              <w:divBdr>
                <w:top w:val="none" w:sz="0" w:space="0" w:color="auto"/>
                <w:left w:val="none" w:sz="0" w:space="0" w:color="auto"/>
                <w:bottom w:val="none" w:sz="0" w:space="0" w:color="auto"/>
                <w:right w:val="none" w:sz="0" w:space="0" w:color="auto"/>
              </w:divBdr>
              <w:divsChild>
                <w:div w:id="197478538">
                  <w:marLeft w:val="0"/>
                  <w:marRight w:val="0"/>
                  <w:marTop w:val="0"/>
                  <w:marBottom w:val="0"/>
                  <w:divBdr>
                    <w:top w:val="none" w:sz="0" w:space="0" w:color="auto"/>
                    <w:left w:val="none" w:sz="0" w:space="0" w:color="auto"/>
                    <w:bottom w:val="none" w:sz="0" w:space="0" w:color="auto"/>
                    <w:right w:val="none" w:sz="0" w:space="0" w:color="auto"/>
                  </w:divBdr>
                  <w:divsChild>
                    <w:div w:id="835726776">
                      <w:marLeft w:val="0"/>
                      <w:marRight w:val="0"/>
                      <w:marTop w:val="0"/>
                      <w:marBottom w:val="0"/>
                      <w:divBdr>
                        <w:top w:val="none" w:sz="0" w:space="0" w:color="auto"/>
                        <w:left w:val="none" w:sz="0" w:space="0" w:color="auto"/>
                        <w:bottom w:val="none" w:sz="0" w:space="0" w:color="auto"/>
                        <w:right w:val="none" w:sz="0" w:space="0" w:color="auto"/>
                      </w:divBdr>
                      <w:divsChild>
                        <w:div w:id="230653662">
                          <w:marLeft w:val="0"/>
                          <w:marRight w:val="0"/>
                          <w:marTop w:val="0"/>
                          <w:marBottom w:val="0"/>
                          <w:divBdr>
                            <w:top w:val="none" w:sz="0" w:space="0" w:color="auto"/>
                            <w:left w:val="none" w:sz="0" w:space="0" w:color="auto"/>
                            <w:bottom w:val="none" w:sz="0" w:space="0" w:color="auto"/>
                            <w:right w:val="none" w:sz="0" w:space="0" w:color="auto"/>
                          </w:divBdr>
                          <w:divsChild>
                            <w:div w:id="1388145308">
                              <w:marLeft w:val="0"/>
                              <w:marRight w:val="0"/>
                              <w:marTop w:val="0"/>
                              <w:marBottom w:val="300"/>
                              <w:divBdr>
                                <w:top w:val="none" w:sz="0" w:space="0" w:color="auto"/>
                                <w:left w:val="none" w:sz="0" w:space="0" w:color="auto"/>
                                <w:bottom w:val="none" w:sz="0" w:space="0" w:color="auto"/>
                                <w:right w:val="none" w:sz="0" w:space="0" w:color="auto"/>
                              </w:divBdr>
                              <w:divsChild>
                                <w:div w:id="1394811461">
                                  <w:marLeft w:val="0"/>
                                  <w:marRight w:val="0"/>
                                  <w:marTop w:val="0"/>
                                  <w:marBottom w:val="180"/>
                                  <w:divBdr>
                                    <w:top w:val="none" w:sz="0" w:space="0" w:color="auto"/>
                                    <w:left w:val="none" w:sz="0" w:space="0" w:color="auto"/>
                                    <w:bottom w:val="none" w:sz="0" w:space="0" w:color="auto"/>
                                    <w:right w:val="none" w:sz="0" w:space="0" w:color="auto"/>
                                  </w:divBdr>
                                </w:div>
                                <w:div w:id="20820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793507">
      <w:bodyDiv w:val="1"/>
      <w:marLeft w:val="0"/>
      <w:marRight w:val="0"/>
      <w:marTop w:val="0"/>
      <w:marBottom w:val="0"/>
      <w:divBdr>
        <w:top w:val="none" w:sz="0" w:space="0" w:color="auto"/>
        <w:left w:val="none" w:sz="0" w:space="0" w:color="auto"/>
        <w:bottom w:val="none" w:sz="0" w:space="0" w:color="auto"/>
        <w:right w:val="none" w:sz="0" w:space="0" w:color="auto"/>
      </w:divBdr>
    </w:div>
    <w:div w:id="1569000747">
      <w:bodyDiv w:val="1"/>
      <w:marLeft w:val="0"/>
      <w:marRight w:val="0"/>
      <w:marTop w:val="0"/>
      <w:marBottom w:val="0"/>
      <w:divBdr>
        <w:top w:val="none" w:sz="0" w:space="0" w:color="auto"/>
        <w:left w:val="none" w:sz="0" w:space="0" w:color="auto"/>
        <w:bottom w:val="none" w:sz="0" w:space="0" w:color="auto"/>
        <w:right w:val="none" w:sz="0" w:space="0" w:color="auto"/>
      </w:divBdr>
      <w:divsChild>
        <w:div w:id="1009136789">
          <w:marLeft w:val="0"/>
          <w:marRight w:val="0"/>
          <w:marTop w:val="0"/>
          <w:marBottom w:val="0"/>
          <w:divBdr>
            <w:top w:val="none" w:sz="0" w:space="0" w:color="auto"/>
            <w:left w:val="none" w:sz="0" w:space="0" w:color="auto"/>
            <w:bottom w:val="none" w:sz="0" w:space="0" w:color="auto"/>
            <w:right w:val="none" w:sz="0" w:space="0" w:color="auto"/>
          </w:divBdr>
          <w:divsChild>
            <w:div w:id="2450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298">
      <w:bodyDiv w:val="1"/>
      <w:marLeft w:val="0"/>
      <w:marRight w:val="0"/>
      <w:marTop w:val="0"/>
      <w:marBottom w:val="0"/>
      <w:divBdr>
        <w:top w:val="none" w:sz="0" w:space="0" w:color="auto"/>
        <w:left w:val="none" w:sz="0" w:space="0" w:color="auto"/>
        <w:bottom w:val="none" w:sz="0" w:space="0" w:color="auto"/>
        <w:right w:val="none" w:sz="0" w:space="0" w:color="auto"/>
      </w:divBdr>
    </w:div>
    <w:div w:id="1657220991">
      <w:bodyDiv w:val="1"/>
      <w:marLeft w:val="0"/>
      <w:marRight w:val="0"/>
      <w:marTop w:val="0"/>
      <w:marBottom w:val="0"/>
      <w:divBdr>
        <w:top w:val="none" w:sz="0" w:space="0" w:color="auto"/>
        <w:left w:val="none" w:sz="0" w:space="0" w:color="auto"/>
        <w:bottom w:val="none" w:sz="0" w:space="0" w:color="auto"/>
        <w:right w:val="none" w:sz="0" w:space="0" w:color="auto"/>
      </w:divBdr>
    </w:div>
    <w:div w:id="1673724623">
      <w:bodyDiv w:val="1"/>
      <w:marLeft w:val="0"/>
      <w:marRight w:val="0"/>
      <w:marTop w:val="0"/>
      <w:marBottom w:val="0"/>
      <w:divBdr>
        <w:top w:val="none" w:sz="0" w:space="0" w:color="auto"/>
        <w:left w:val="none" w:sz="0" w:space="0" w:color="auto"/>
        <w:bottom w:val="none" w:sz="0" w:space="0" w:color="auto"/>
        <w:right w:val="none" w:sz="0" w:space="0" w:color="auto"/>
      </w:divBdr>
      <w:divsChild>
        <w:div w:id="985209735">
          <w:marLeft w:val="0"/>
          <w:marRight w:val="0"/>
          <w:marTop w:val="0"/>
          <w:marBottom w:val="0"/>
          <w:divBdr>
            <w:top w:val="none" w:sz="0" w:space="0" w:color="auto"/>
            <w:left w:val="none" w:sz="0" w:space="0" w:color="auto"/>
            <w:bottom w:val="none" w:sz="0" w:space="0" w:color="auto"/>
            <w:right w:val="none" w:sz="0" w:space="0" w:color="auto"/>
          </w:divBdr>
          <w:divsChild>
            <w:div w:id="1431504581">
              <w:marLeft w:val="0"/>
              <w:marRight w:val="0"/>
              <w:marTop w:val="0"/>
              <w:marBottom w:val="0"/>
              <w:divBdr>
                <w:top w:val="none" w:sz="0" w:space="0" w:color="auto"/>
                <w:left w:val="none" w:sz="0" w:space="0" w:color="auto"/>
                <w:bottom w:val="none" w:sz="0" w:space="0" w:color="auto"/>
                <w:right w:val="none" w:sz="0" w:space="0" w:color="auto"/>
              </w:divBdr>
            </w:div>
          </w:divsChild>
        </w:div>
        <w:div w:id="57635073">
          <w:marLeft w:val="0"/>
          <w:marRight w:val="0"/>
          <w:marTop w:val="0"/>
          <w:marBottom w:val="0"/>
          <w:divBdr>
            <w:top w:val="none" w:sz="0" w:space="0" w:color="auto"/>
            <w:left w:val="none" w:sz="0" w:space="0" w:color="auto"/>
            <w:bottom w:val="none" w:sz="0" w:space="0" w:color="auto"/>
            <w:right w:val="none" w:sz="0" w:space="0" w:color="auto"/>
          </w:divBdr>
          <w:divsChild>
            <w:div w:id="757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5524">
      <w:bodyDiv w:val="1"/>
      <w:marLeft w:val="0"/>
      <w:marRight w:val="0"/>
      <w:marTop w:val="0"/>
      <w:marBottom w:val="0"/>
      <w:divBdr>
        <w:top w:val="none" w:sz="0" w:space="0" w:color="auto"/>
        <w:left w:val="none" w:sz="0" w:space="0" w:color="auto"/>
        <w:bottom w:val="none" w:sz="0" w:space="0" w:color="auto"/>
        <w:right w:val="none" w:sz="0" w:space="0" w:color="auto"/>
      </w:divBdr>
    </w:div>
    <w:div w:id="1691448398">
      <w:bodyDiv w:val="1"/>
      <w:marLeft w:val="0"/>
      <w:marRight w:val="0"/>
      <w:marTop w:val="0"/>
      <w:marBottom w:val="0"/>
      <w:divBdr>
        <w:top w:val="none" w:sz="0" w:space="0" w:color="auto"/>
        <w:left w:val="none" w:sz="0" w:space="0" w:color="auto"/>
        <w:bottom w:val="none" w:sz="0" w:space="0" w:color="auto"/>
        <w:right w:val="none" w:sz="0" w:space="0" w:color="auto"/>
      </w:divBdr>
    </w:div>
    <w:div w:id="1756366221">
      <w:bodyDiv w:val="1"/>
      <w:marLeft w:val="0"/>
      <w:marRight w:val="0"/>
      <w:marTop w:val="0"/>
      <w:marBottom w:val="0"/>
      <w:divBdr>
        <w:top w:val="none" w:sz="0" w:space="0" w:color="auto"/>
        <w:left w:val="none" w:sz="0" w:space="0" w:color="auto"/>
        <w:bottom w:val="none" w:sz="0" w:space="0" w:color="auto"/>
        <w:right w:val="none" w:sz="0" w:space="0" w:color="auto"/>
      </w:divBdr>
    </w:div>
    <w:div w:id="1766346501">
      <w:bodyDiv w:val="1"/>
      <w:marLeft w:val="0"/>
      <w:marRight w:val="0"/>
      <w:marTop w:val="0"/>
      <w:marBottom w:val="0"/>
      <w:divBdr>
        <w:top w:val="none" w:sz="0" w:space="0" w:color="auto"/>
        <w:left w:val="none" w:sz="0" w:space="0" w:color="auto"/>
        <w:bottom w:val="none" w:sz="0" w:space="0" w:color="auto"/>
        <w:right w:val="none" w:sz="0" w:space="0" w:color="auto"/>
      </w:divBdr>
    </w:div>
    <w:div w:id="1775318740">
      <w:bodyDiv w:val="1"/>
      <w:marLeft w:val="0"/>
      <w:marRight w:val="0"/>
      <w:marTop w:val="0"/>
      <w:marBottom w:val="0"/>
      <w:divBdr>
        <w:top w:val="none" w:sz="0" w:space="0" w:color="auto"/>
        <w:left w:val="none" w:sz="0" w:space="0" w:color="auto"/>
        <w:bottom w:val="none" w:sz="0" w:space="0" w:color="auto"/>
        <w:right w:val="none" w:sz="0" w:space="0" w:color="auto"/>
      </w:divBdr>
    </w:div>
    <w:div w:id="1779639245">
      <w:bodyDiv w:val="1"/>
      <w:marLeft w:val="0"/>
      <w:marRight w:val="0"/>
      <w:marTop w:val="0"/>
      <w:marBottom w:val="0"/>
      <w:divBdr>
        <w:top w:val="none" w:sz="0" w:space="0" w:color="auto"/>
        <w:left w:val="none" w:sz="0" w:space="0" w:color="auto"/>
        <w:bottom w:val="none" w:sz="0" w:space="0" w:color="auto"/>
        <w:right w:val="none" w:sz="0" w:space="0" w:color="auto"/>
      </w:divBdr>
      <w:divsChild>
        <w:div w:id="913047898">
          <w:marLeft w:val="0"/>
          <w:marRight w:val="0"/>
          <w:marTop w:val="0"/>
          <w:marBottom w:val="0"/>
          <w:divBdr>
            <w:top w:val="none" w:sz="0" w:space="0" w:color="auto"/>
            <w:left w:val="none" w:sz="0" w:space="0" w:color="auto"/>
            <w:bottom w:val="none" w:sz="0" w:space="0" w:color="auto"/>
            <w:right w:val="none" w:sz="0" w:space="0" w:color="auto"/>
          </w:divBdr>
          <w:divsChild>
            <w:div w:id="1757939859">
              <w:marLeft w:val="0"/>
              <w:marRight w:val="0"/>
              <w:marTop w:val="0"/>
              <w:marBottom w:val="0"/>
              <w:divBdr>
                <w:top w:val="none" w:sz="0" w:space="0" w:color="auto"/>
                <w:left w:val="none" w:sz="0" w:space="0" w:color="auto"/>
                <w:bottom w:val="none" w:sz="0" w:space="0" w:color="auto"/>
                <w:right w:val="none" w:sz="0" w:space="0" w:color="auto"/>
              </w:divBdr>
            </w:div>
            <w:div w:id="2133162544">
              <w:marLeft w:val="0"/>
              <w:marRight w:val="0"/>
              <w:marTop w:val="0"/>
              <w:marBottom w:val="0"/>
              <w:divBdr>
                <w:top w:val="none" w:sz="0" w:space="0" w:color="auto"/>
                <w:left w:val="none" w:sz="0" w:space="0" w:color="auto"/>
                <w:bottom w:val="none" w:sz="0" w:space="0" w:color="auto"/>
                <w:right w:val="none" w:sz="0" w:space="0" w:color="auto"/>
              </w:divBdr>
              <w:divsChild>
                <w:div w:id="913322945">
                  <w:marLeft w:val="0"/>
                  <w:marRight w:val="0"/>
                  <w:marTop w:val="0"/>
                  <w:marBottom w:val="0"/>
                  <w:divBdr>
                    <w:top w:val="none" w:sz="0" w:space="0" w:color="auto"/>
                    <w:left w:val="single" w:sz="6" w:space="18" w:color="D5D5D5"/>
                    <w:bottom w:val="none" w:sz="0" w:space="0" w:color="auto"/>
                    <w:right w:val="none" w:sz="0" w:space="0" w:color="auto"/>
                  </w:divBdr>
                  <w:divsChild>
                    <w:div w:id="1067727587">
                      <w:marLeft w:val="0"/>
                      <w:marRight w:val="0"/>
                      <w:marTop w:val="0"/>
                      <w:marBottom w:val="0"/>
                      <w:divBdr>
                        <w:top w:val="none" w:sz="0" w:space="0" w:color="auto"/>
                        <w:left w:val="none" w:sz="0" w:space="0" w:color="auto"/>
                        <w:bottom w:val="none" w:sz="0" w:space="0" w:color="auto"/>
                        <w:right w:val="none" w:sz="0" w:space="0" w:color="auto"/>
                      </w:divBdr>
                      <w:divsChild>
                        <w:div w:id="3498378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38402897">
          <w:marLeft w:val="0"/>
          <w:marRight w:val="0"/>
          <w:marTop w:val="0"/>
          <w:marBottom w:val="0"/>
          <w:divBdr>
            <w:top w:val="none" w:sz="0" w:space="0" w:color="auto"/>
            <w:left w:val="none" w:sz="0" w:space="0" w:color="auto"/>
            <w:bottom w:val="none" w:sz="0" w:space="0" w:color="auto"/>
            <w:right w:val="none" w:sz="0" w:space="0" w:color="auto"/>
          </w:divBdr>
        </w:div>
      </w:divsChild>
    </w:div>
    <w:div w:id="1780030925">
      <w:bodyDiv w:val="1"/>
      <w:marLeft w:val="0"/>
      <w:marRight w:val="0"/>
      <w:marTop w:val="0"/>
      <w:marBottom w:val="0"/>
      <w:divBdr>
        <w:top w:val="none" w:sz="0" w:space="0" w:color="auto"/>
        <w:left w:val="none" w:sz="0" w:space="0" w:color="auto"/>
        <w:bottom w:val="none" w:sz="0" w:space="0" w:color="auto"/>
        <w:right w:val="none" w:sz="0" w:space="0" w:color="auto"/>
      </w:divBdr>
    </w:div>
    <w:div w:id="1789622827">
      <w:bodyDiv w:val="1"/>
      <w:marLeft w:val="0"/>
      <w:marRight w:val="0"/>
      <w:marTop w:val="0"/>
      <w:marBottom w:val="0"/>
      <w:divBdr>
        <w:top w:val="none" w:sz="0" w:space="0" w:color="auto"/>
        <w:left w:val="none" w:sz="0" w:space="0" w:color="auto"/>
        <w:bottom w:val="none" w:sz="0" w:space="0" w:color="auto"/>
        <w:right w:val="none" w:sz="0" w:space="0" w:color="auto"/>
      </w:divBdr>
    </w:div>
    <w:div w:id="1817259410">
      <w:bodyDiv w:val="1"/>
      <w:marLeft w:val="0"/>
      <w:marRight w:val="0"/>
      <w:marTop w:val="0"/>
      <w:marBottom w:val="0"/>
      <w:divBdr>
        <w:top w:val="none" w:sz="0" w:space="0" w:color="auto"/>
        <w:left w:val="none" w:sz="0" w:space="0" w:color="auto"/>
        <w:bottom w:val="none" w:sz="0" w:space="0" w:color="auto"/>
        <w:right w:val="none" w:sz="0" w:space="0" w:color="auto"/>
      </w:divBdr>
      <w:divsChild>
        <w:div w:id="1949896658">
          <w:marLeft w:val="0"/>
          <w:marRight w:val="0"/>
          <w:marTop w:val="0"/>
          <w:marBottom w:val="120"/>
          <w:divBdr>
            <w:top w:val="none" w:sz="0" w:space="0" w:color="auto"/>
            <w:left w:val="none" w:sz="0" w:space="0" w:color="auto"/>
            <w:bottom w:val="none" w:sz="0" w:space="0" w:color="auto"/>
            <w:right w:val="none" w:sz="0" w:space="0" w:color="auto"/>
          </w:divBdr>
          <w:divsChild>
            <w:div w:id="1536042566">
              <w:marLeft w:val="0"/>
              <w:marRight w:val="0"/>
              <w:marTop w:val="0"/>
              <w:marBottom w:val="0"/>
              <w:divBdr>
                <w:top w:val="none" w:sz="0" w:space="0" w:color="auto"/>
                <w:left w:val="none" w:sz="0" w:space="0" w:color="auto"/>
                <w:bottom w:val="none" w:sz="0" w:space="0" w:color="auto"/>
                <w:right w:val="none" w:sz="0" w:space="0" w:color="auto"/>
              </w:divBdr>
              <w:divsChild>
                <w:div w:id="1234655761">
                  <w:marLeft w:val="0"/>
                  <w:marRight w:val="0"/>
                  <w:marTop w:val="0"/>
                  <w:marBottom w:val="0"/>
                  <w:divBdr>
                    <w:top w:val="none" w:sz="0" w:space="0" w:color="auto"/>
                    <w:left w:val="none" w:sz="0" w:space="0" w:color="auto"/>
                    <w:bottom w:val="none" w:sz="0" w:space="0" w:color="auto"/>
                    <w:right w:val="none" w:sz="0" w:space="0" w:color="auto"/>
                  </w:divBdr>
                  <w:divsChild>
                    <w:div w:id="6135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1212">
              <w:marLeft w:val="0"/>
              <w:marRight w:val="0"/>
              <w:marTop w:val="0"/>
              <w:marBottom w:val="0"/>
              <w:divBdr>
                <w:top w:val="none" w:sz="0" w:space="0" w:color="auto"/>
                <w:left w:val="none" w:sz="0" w:space="0" w:color="auto"/>
                <w:bottom w:val="single" w:sz="6" w:space="0" w:color="000000"/>
                <w:right w:val="none" w:sz="0" w:space="0" w:color="auto"/>
              </w:divBdr>
              <w:divsChild>
                <w:div w:id="1487553022">
                  <w:marLeft w:val="0"/>
                  <w:marRight w:val="0"/>
                  <w:marTop w:val="0"/>
                  <w:marBottom w:val="0"/>
                  <w:divBdr>
                    <w:top w:val="none" w:sz="0" w:space="0" w:color="auto"/>
                    <w:left w:val="none" w:sz="0" w:space="0" w:color="auto"/>
                    <w:bottom w:val="none" w:sz="0" w:space="0" w:color="auto"/>
                    <w:right w:val="none" w:sz="0" w:space="0" w:color="auto"/>
                  </w:divBdr>
                  <w:divsChild>
                    <w:div w:id="1347974601">
                      <w:marLeft w:val="0"/>
                      <w:marRight w:val="0"/>
                      <w:marTop w:val="0"/>
                      <w:marBottom w:val="0"/>
                      <w:divBdr>
                        <w:top w:val="none" w:sz="0" w:space="0" w:color="auto"/>
                        <w:left w:val="none" w:sz="0" w:space="0" w:color="auto"/>
                        <w:bottom w:val="none" w:sz="0" w:space="0" w:color="auto"/>
                        <w:right w:val="none" w:sz="0" w:space="0" w:color="auto"/>
                      </w:divBdr>
                      <w:divsChild>
                        <w:div w:id="18328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9117">
                  <w:marLeft w:val="0"/>
                  <w:marRight w:val="0"/>
                  <w:marTop w:val="0"/>
                  <w:marBottom w:val="0"/>
                  <w:divBdr>
                    <w:top w:val="none" w:sz="0" w:space="0" w:color="auto"/>
                    <w:left w:val="none" w:sz="0" w:space="0" w:color="auto"/>
                    <w:bottom w:val="none" w:sz="0" w:space="0" w:color="auto"/>
                    <w:right w:val="none" w:sz="0" w:space="0" w:color="auto"/>
                  </w:divBdr>
                  <w:divsChild>
                    <w:div w:id="1326470454">
                      <w:marLeft w:val="0"/>
                      <w:marRight w:val="0"/>
                      <w:marTop w:val="0"/>
                      <w:marBottom w:val="0"/>
                      <w:divBdr>
                        <w:top w:val="none" w:sz="0" w:space="0" w:color="auto"/>
                        <w:left w:val="none" w:sz="0" w:space="0" w:color="auto"/>
                        <w:bottom w:val="none" w:sz="0" w:space="0" w:color="auto"/>
                        <w:right w:val="none" w:sz="0" w:space="0" w:color="auto"/>
                      </w:divBdr>
                      <w:divsChild>
                        <w:div w:id="11039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3995">
      <w:bodyDiv w:val="1"/>
      <w:marLeft w:val="0"/>
      <w:marRight w:val="0"/>
      <w:marTop w:val="0"/>
      <w:marBottom w:val="0"/>
      <w:divBdr>
        <w:top w:val="none" w:sz="0" w:space="0" w:color="auto"/>
        <w:left w:val="none" w:sz="0" w:space="0" w:color="auto"/>
        <w:bottom w:val="none" w:sz="0" w:space="0" w:color="auto"/>
        <w:right w:val="none" w:sz="0" w:space="0" w:color="auto"/>
      </w:divBdr>
    </w:div>
    <w:div w:id="1844856352">
      <w:bodyDiv w:val="1"/>
      <w:marLeft w:val="0"/>
      <w:marRight w:val="0"/>
      <w:marTop w:val="0"/>
      <w:marBottom w:val="0"/>
      <w:divBdr>
        <w:top w:val="none" w:sz="0" w:space="0" w:color="auto"/>
        <w:left w:val="none" w:sz="0" w:space="0" w:color="auto"/>
        <w:bottom w:val="none" w:sz="0" w:space="0" w:color="auto"/>
        <w:right w:val="none" w:sz="0" w:space="0" w:color="auto"/>
      </w:divBdr>
    </w:div>
    <w:div w:id="1852794617">
      <w:bodyDiv w:val="1"/>
      <w:marLeft w:val="0"/>
      <w:marRight w:val="0"/>
      <w:marTop w:val="0"/>
      <w:marBottom w:val="0"/>
      <w:divBdr>
        <w:top w:val="none" w:sz="0" w:space="0" w:color="auto"/>
        <w:left w:val="none" w:sz="0" w:space="0" w:color="auto"/>
        <w:bottom w:val="none" w:sz="0" w:space="0" w:color="auto"/>
        <w:right w:val="none" w:sz="0" w:space="0" w:color="auto"/>
      </w:divBdr>
    </w:div>
    <w:div w:id="1892307802">
      <w:bodyDiv w:val="1"/>
      <w:marLeft w:val="0"/>
      <w:marRight w:val="0"/>
      <w:marTop w:val="0"/>
      <w:marBottom w:val="0"/>
      <w:divBdr>
        <w:top w:val="none" w:sz="0" w:space="0" w:color="auto"/>
        <w:left w:val="none" w:sz="0" w:space="0" w:color="auto"/>
        <w:bottom w:val="none" w:sz="0" w:space="0" w:color="auto"/>
        <w:right w:val="none" w:sz="0" w:space="0" w:color="auto"/>
      </w:divBdr>
    </w:div>
    <w:div w:id="1956478020">
      <w:bodyDiv w:val="1"/>
      <w:marLeft w:val="0"/>
      <w:marRight w:val="0"/>
      <w:marTop w:val="0"/>
      <w:marBottom w:val="0"/>
      <w:divBdr>
        <w:top w:val="none" w:sz="0" w:space="0" w:color="auto"/>
        <w:left w:val="none" w:sz="0" w:space="0" w:color="auto"/>
        <w:bottom w:val="none" w:sz="0" w:space="0" w:color="auto"/>
        <w:right w:val="none" w:sz="0" w:space="0" w:color="auto"/>
      </w:divBdr>
    </w:div>
    <w:div w:id="2017338658">
      <w:bodyDiv w:val="1"/>
      <w:marLeft w:val="0"/>
      <w:marRight w:val="0"/>
      <w:marTop w:val="0"/>
      <w:marBottom w:val="0"/>
      <w:divBdr>
        <w:top w:val="none" w:sz="0" w:space="0" w:color="auto"/>
        <w:left w:val="none" w:sz="0" w:space="0" w:color="auto"/>
        <w:bottom w:val="none" w:sz="0" w:space="0" w:color="auto"/>
        <w:right w:val="none" w:sz="0" w:space="0" w:color="auto"/>
      </w:divBdr>
    </w:div>
    <w:div w:id="2042317475">
      <w:bodyDiv w:val="1"/>
      <w:marLeft w:val="0"/>
      <w:marRight w:val="0"/>
      <w:marTop w:val="0"/>
      <w:marBottom w:val="0"/>
      <w:divBdr>
        <w:top w:val="none" w:sz="0" w:space="0" w:color="auto"/>
        <w:left w:val="none" w:sz="0" w:space="0" w:color="auto"/>
        <w:bottom w:val="none" w:sz="0" w:space="0" w:color="auto"/>
        <w:right w:val="none" w:sz="0" w:space="0" w:color="auto"/>
      </w:divBdr>
    </w:div>
    <w:div w:id="2061860416">
      <w:bodyDiv w:val="1"/>
      <w:marLeft w:val="0"/>
      <w:marRight w:val="0"/>
      <w:marTop w:val="0"/>
      <w:marBottom w:val="0"/>
      <w:divBdr>
        <w:top w:val="none" w:sz="0" w:space="0" w:color="auto"/>
        <w:left w:val="none" w:sz="0" w:space="0" w:color="auto"/>
        <w:bottom w:val="none" w:sz="0" w:space="0" w:color="auto"/>
        <w:right w:val="none" w:sz="0" w:space="0" w:color="auto"/>
      </w:divBdr>
      <w:divsChild>
        <w:div w:id="1986861024">
          <w:marLeft w:val="0"/>
          <w:marRight w:val="0"/>
          <w:marTop w:val="0"/>
          <w:marBottom w:val="0"/>
          <w:divBdr>
            <w:top w:val="none" w:sz="0" w:space="0" w:color="auto"/>
            <w:left w:val="none" w:sz="0" w:space="0" w:color="auto"/>
            <w:bottom w:val="none" w:sz="0" w:space="0" w:color="auto"/>
            <w:right w:val="none" w:sz="0" w:space="0" w:color="auto"/>
          </w:divBdr>
        </w:div>
      </w:divsChild>
    </w:div>
    <w:div w:id="2070107170">
      <w:bodyDiv w:val="1"/>
      <w:marLeft w:val="0"/>
      <w:marRight w:val="0"/>
      <w:marTop w:val="0"/>
      <w:marBottom w:val="0"/>
      <w:divBdr>
        <w:top w:val="none" w:sz="0" w:space="0" w:color="auto"/>
        <w:left w:val="none" w:sz="0" w:space="0" w:color="auto"/>
        <w:bottom w:val="none" w:sz="0" w:space="0" w:color="auto"/>
        <w:right w:val="none" w:sz="0" w:space="0" w:color="auto"/>
      </w:divBdr>
      <w:divsChild>
        <w:div w:id="1114717282">
          <w:marLeft w:val="0"/>
          <w:marRight w:val="0"/>
          <w:marTop w:val="0"/>
          <w:marBottom w:val="0"/>
          <w:divBdr>
            <w:top w:val="none" w:sz="0" w:space="0" w:color="auto"/>
            <w:left w:val="none" w:sz="0" w:space="0" w:color="auto"/>
            <w:bottom w:val="none" w:sz="0" w:space="0" w:color="auto"/>
            <w:right w:val="none" w:sz="0" w:space="0" w:color="auto"/>
          </w:divBdr>
          <w:divsChild>
            <w:div w:id="550381233">
              <w:marLeft w:val="0"/>
              <w:marRight w:val="0"/>
              <w:marTop w:val="0"/>
              <w:marBottom w:val="0"/>
              <w:divBdr>
                <w:top w:val="none" w:sz="0" w:space="0" w:color="auto"/>
                <w:left w:val="none" w:sz="0" w:space="0" w:color="auto"/>
                <w:bottom w:val="none" w:sz="0" w:space="0" w:color="auto"/>
                <w:right w:val="none" w:sz="0" w:space="0" w:color="auto"/>
              </w:divBdr>
            </w:div>
            <w:div w:id="144662536">
              <w:marLeft w:val="0"/>
              <w:marRight w:val="0"/>
              <w:marTop w:val="0"/>
              <w:marBottom w:val="0"/>
              <w:divBdr>
                <w:top w:val="none" w:sz="0" w:space="0" w:color="auto"/>
                <w:left w:val="none" w:sz="0" w:space="0" w:color="auto"/>
                <w:bottom w:val="none" w:sz="0" w:space="0" w:color="auto"/>
                <w:right w:val="none" w:sz="0" w:space="0" w:color="auto"/>
              </w:divBdr>
              <w:divsChild>
                <w:div w:id="1815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9363">
          <w:marLeft w:val="0"/>
          <w:marRight w:val="0"/>
          <w:marTop w:val="0"/>
          <w:marBottom w:val="0"/>
          <w:divBdr>
            <w:top w:val="none" w:sz="0" w:space="0" w:color="auto"/>
            <w:left w:val="none" w:sz="0" w:space="0" w:color="auto"/>
            <w:bottom w:val="none" w:sz="0" w:space="0" w:color="auto"/>
            <w:right w:val="none" w:sz="0" w:space="0" w:color="auto"/>
          </w:divBdr>
          <w:divsChild>
            <w:div w:id="1238587474">
              <w:marLeft w:val="75"/>
              <w:marRight w:val="0"/>
              <w:marTop w:val="0"/>
              <w:marBottom w:val="0"/>
              <w:divBdr>
                <w:top w:val="none" w:sz="0" w:space="0" w:color="auto"/>
                <w:left w:val="none" w:sz="0" w:space="0" w:color="auto"/>
                <w:bottom w:val="none" w:sz="0" w:space="0" w:color="auto"/>
                <w:right w:val="none" w:sz="0" w:space="0" w:color="auto"/>
              </w:divBdr>
              <w:divsChild>
                <w:div w:id="1390492551">
                  <w:marLeft w:val="0"/>
                  <w:marRight w:val="0"/>
                  <w:marTop w:val="0"/>
                  <w:marBottom w:val="0"/>
                  <w:divBdr>
                    <w:top w:val="none" w:sz="0" w:space="0" w:color="auto"/>
                    <w:left w:val="none" w:sz="0" w:space="0" w:color="auto"/>
                    <w:bottom w:val="none" w:sz="0" w:space="0" w:color="auto"/>
                    <w:right w:val="none" w:sz="0" w:space="0" w:color="auto"/>
                  </w:divBdr>
                  <w:divsChild>
                    <w:div w:id="1259948876">
                      <w:marLeft w:val="0"/>
                      <w:marRight w:val="0"/>
                      <w:marTop w:val="0"/>
                      <w:marBottom w:val="0"/>
                      <w:divBdr>
                        <w:top w:val="none" w:sz="0" w:space="0" w:color="auto"/>
                        <w:left w:val="none" w:sz="0" w:space="0" w:color="auto"/>
                        <w:bottom w:val="none" w:sz="0" w:space="0" w:color="auto"/>
                        <w:right w:val="none" w:sz="0" w:space="0" w:color="auto"/>
                      </w:divBdr>
                      <w:divsChild>
                        <w:div w:id="515969758">
                          <w:marLeft w:val="0"/>
                          <w:marRight w:val="0"/>
                          <w:marTop w:val="150"/>
                          <w:marBottom w:val="150"/>
                          <w:divBdr>
                            <w:top w:val="none" w:sz="0" w:space="0" w:color="002D64"/>
                            <w:left w:val="none" w:sz="0" w:space="0" w:color="002D64"/>
                            <w:bottom w:val="none" w:sz="0" w:space="0" w:color="002D64"/>
                            <w:right w:val="none" w:sz="0" w:space="0" w:color="002D64"/>
                          </w:divBdr>
                        </w:div>
                      </w:divsChild>
                    </w:div>
                  </w:divsChild>
                </w:div>
              </w:divsChild>
            </w:div>
          </w:divsChild>
        </w:div>
        <w:div w:id="1571889878">
          <w:marLeft w:val="0"/>
          <w:marRight w:val="0"/>
          <w:marTop w:val="0"/>
          <w:marBottom w:val="0"/>
          <w:divBdr>
            <w:top w:val="none" w:sz="0" w:space="0" w:color="auto"/>
            <w:left w:val="none" w:sz="0" w:space="0" w:color="auto"/>
            <w:bottom w:val="none" w:sz="0" w:space="0" w:color="auto"/>
            <w:right w:val="none" w:sz="0" w:space="0" w:color="auto"/>
          </w:divBdr>
        </w:div>
      </w:divsChild>
    </w:div>
    <w:div w:id="2076464067">
      <w:bodyDiv w:val="1"/>
      <w:marLeft w:val="0"/>
      <w:marRight w:val="0"/>
      <w:marTop w:val="0"/>
      <w:marBottom w:val="0"/>
      <w:divBdr>
        <w:top w:val="none" w:sz="0" w:space="0" w:color="auto"/>
        <w:left w:val="none" w:sz="0" w:space="0" w:color="auto"/>
        <w:bottom w:val="none" w:sz="0" w:space="0" w:color="auto"/>
        <w:right w:val="none" w:sz="0" w:space="0" w:color="auto"/>
      </w:divBdr>
    </w:div>
    <w:div w:id="2100058622">
      <w:bodyDiv w:val="1"/>
      <w:marLeft w:val="0"/>
      <w:marRight w:val="0"/>
      <w:marTop w:val="0"/>
      <w:marBottom w:val="0"/>
      <w:divBdr>
        <w:top w:val="none" w:sz="0" w:space="0" w:color="auto"/>
        <w:left w:val="none" w:sz="0" w:space="0" w:color="auto"/>
        <w:bottom w:val="none" w:sz="0" w:space="0" w:color="auto"/>
        <w:right w:val="none" w:sz="0" w:space="0" w:color="auto"/>
      </w:divBdr>
      <w:divsChild>
        <w:div w:id="215318301">
          <w:marLeft w:val="0"/>
          <w:marRight w:val="0"/>
          <w:marTop w:val="0"/>
          <w:marBottom w:val="0"/>
          <w:divBdr>
            <w:top w:val="none" w:sz="0" w:space="0" w:color="auto"/>
            <w:left w:val="none" w:sz="0" w:space="0" w:color="auto"/>
            <w:bottom w:val="none" w:sz="0" w:space="0" w:color="auto"/>
            <w:right w:val="none" w:sz="0" w:space="0" w:color="auto"/>
          </w:divBdr>
          <w:divsChild>
            <w:div w:id="312217838">
              <w:marLeft w:val="0"/>
              <w:marRight w:val="0"/>
              <w:marTop w:val="0"/>
              <w:marBottom w:val="0"/>
              <w:divBdr>
                <w:top w:val="none" w:sz="0" w:space="0" w:color="auto"/>
                <w:left w:val="none" w:sz="0" w:space="0" w:color="auto"/>
                <w:bottom w:val="none" w:sz="0" w:space="0" w:color="auto"/>
                <w:right w:val="none" w:sz="0" w:space="0" w:color="auto"/>
              </w:divBdr>
            </w:div>
          </w:divsChild>
        </w:div>
        <w:div w:id="529490697">
          <w:marLeft w:val="0"/>
          <w:marRight w:val="0"/>
          <w:marTop w:val="0"/>
          <w:marBottom w:val="0"/>
          <w:divBdr>
            <w:top w:val="none" w:sz="0" w:space="0" w:color="auto"/>
            <w:left w:val="none" w:sz="0" w:space="0" w:color="auto"/>
            <w:bottom w:val="none" w:sz="0" w:space="0" w:color="auto"/>
            <w:right w:val="none" w:sz="0" w:space="0" w:color="auto"/>
          </w:divBdr>
        </w:div>
      </w:divsChild>
    </w:div>
    <w:div w:id="21315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sabilitygateway.gov.au/sites/default/files/documents/2021-11/1786-australias-disability.pdf" TargetMode="External"/><Relationship Id="rId18" Type="http://schemas.openxmlformats.org/officeDocument/2006/relationships/hyperlink" Target="https://doi.org/10.1177/21582440221079917" TargetMode="External"/><Relationship Id="rId26" Type="http://schemas.openxmlformats.org/officeDocument/2006/relationships/hyperlink" Target="https://www.mencap.org.uk/sites/default/files/2016-08/Attitudes_Changing_Report.pdf" TargetMode="External"/><Relationship Id="rId3" Type="http://schemas.openxmlformats.org/officeDocument/2006/relationships/styles" Target="styles.xml"/><Relationship Id="rId21" Type="http://schemas.openxmlformats.org/officeDocument/2006/relationships/hyperlink" Target="https://doi.org/10.1177/00222194221087383" TargetMode="External"/><Relationship Id="rId34" Type="http://schemas.openxmlformats.org/officeDocument/2006/relationships/hyperlink" Target="https://www.who.int/news-room/fact-sheets/detail/disability-and-health" TargetMode="External"/><Relationship Id="rId7" Type="http://schemas.openxmlformats.org/officeDocument/2006/relationships/endnotes" Target="endnotes.xml"/><Relationship Id="rId12" Type="http://schemas.openxmlformats.org/officeDocument/2006/relationships/hyperlink" Target="https://www.disabilitygateway.gov.au/sites/default/files/documents/2021-11/1786-australias-disability.pdf" TargetMode="External"/><Relationship Id="rId17" Type="http://schemas.openxmlformats.org/officeDocument/2006/relationships/hyperlink" Target="http://www.cafamily.org.uk/" TargetMode="External"/><Relationship Id="rId25" Type="http://schemas.openxmlformats.org/officeDocument/2006/relationships/hyperlink" Target="https://aifs.gov.au/sites/default/files/publication-documents/issues3_0.pdf" TargetMode="External"/><Relationship Id="rId33" Type="http://schemas.openxmlformats.org/officeDocument/2006/relationships/hyperlink" Target="https://bmcpublichealth.biomedcentral.com/track/pdf/10.1186/s12889-021-11139-3.pdf" TargetMode="External"/><Relationship Id="rId2" Type="http://schemas.openxmlformats.org/officeDocument/2006/relationships/numbering" Target="numbering.xml"/><Relationship Id="rId16" Type="http://schemas.openxmlformats.org/officeDocument/2006/relationships/hyperlink" Target="https://ec.europa.eu/social/main.jsp?catId=1484" TargetMode="External"/><Relationship Id="rId20" Type="http://schemas.openxmlformats.org/officeDocument/2006/relationships/hyperlink" Target="https://humanrights.gov.au/about/news/speeches/critical-task-changing-community-attitudes-towards-disability" TargetMode="External"/><Relationship Id="rId29" Type="http://schemas.openxmlformats.org/officeDocument/2006/relationships/hyperlink" Target="https://www.un.org/development/desa/disabilities/convention-on-the-rights-of-persons-with-disabilit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archives/fall2019/entries/implicit-bias/" TargetMode="External"/><Relationship Id="rId24" Type="http://schemas.openxmlformats.org/officeDocument/2006/relationships/hyperlink" Target="https://www.scope.org.uk/campaigns/research-policy/attitudes-towards-disabled-people/" TargetMode="External"/><Relationship Id="rId32" Type="http://schemas.openxmlformats.org/officeDocument/2006/relationships/hyperlink" Target="http://repository.essex.ac.uk/30320/1/Attitudes%20and%20Habits_Final.09.05.2021.ARP.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pa.org/ed/precollege/psychology-teacher-network/introductory-psychology/changing-attitudes-towards-disability" TargetMode="External"/><Relationship Id="rId23" Type="http://schemas.openxmlformats.org/officeDocument/2006/relationships/hyperlink" Target="https://doi.org/10.1016/j.socscimed.2020.113326" TargetMode="External"/><Relationship Id="rId28" Type="http://schemas.openxmlformats.org/officeDocument/2006/relationships/hyperlink" Target="https://www.dss.gov.au/sites/default/files/documents/05_2012/39_community_attitudes_to_disability_accessible.pdf" TargetMode="External"/><Relationship Id="rId36" Type="http://schemas.openxmlformats.org/officeDocument/2006/relationships/fontTable" Target="fontTable.xml"/><Relationship Id="rId10" Type="http://schemas.openxmlformats.org/officeDocument/2006/relationships/hyperlink" Target="https://melbourne.figshare.com/articles/online_resource/Attitudes_Matter_Findings_from_a_national_survey_of_community_attitudes_toward_people_with_disability_in_Australia/15176013?file=31601267" TargetMode="External"/><Relationship Id="rId19" Type="http://schemas.openxmlformats.org/officeDocument/2006/relationships/hyperlink" Target="https://disability.royalcommission.gov.au/system/files/2022-05/Research%20Report%20-%20Changing%20community%20attitudes%20to%20improve%20inclusion%20of%20people%20with%20disability.pdf" TargetMode="External"/><Relationship Id="rId31" Type="http://schemas.openxmlformats.org/officeDocument/2006/relationships/hyperlink" Target="https://documents-dds-ny.un.org/doc/UNDOC/GEN/G19/346/48/PDF/G1934648.pdf?OpenElement" TargetMode="External"/><Relationship Id="rId4" Type="http://schemas.openxmlformats.org/officeDocument/2006/relationships/settings" Target="settings.xml"/><Relationship Id="rId9" Type="http://schemas.openxmlformats.org/officeDocument/2006/relationships/hyperlink" Target="https://www.esri.ie/publications/disability-and-discrimination-in-ireland-evidence-from-the-qnhs-equality-modules" TargetMode="External"/><Relationship Id="rId14" Type="http://schemas.openxmlformats.org/officeDocument/2006/relationships/hyperlink" Target="https://www.scope.org.uk/news-and-stories/disabled-people-still-face-negative-attitudes/" TargetMode="External"/><Relationship Id="rId22" Type="http://schemas.openxmlformats.org/officeDocument/2006/relationships/hyperlink" Target="https://doi.org/10.1186/s12889-018-5861-3" TargetMode="External"/><Relationship Id="rId27" Type="http://schemas.openxmlformats.org/officeDocument/2006/relationships/hyperlink" Target="https://media.specialolympics.org/resources/research/attitudes/SO-Research-Overview-Attitudes-06-2018.pdf" TargetMode="External"/><Relationship Id="rId30" Type="http://schemas.openxmlformats.org/officeDocument/2006/relationships/hyperlink" Target="https://www.un.org/sites/un2.un.org/files/un_disability-inclusive_consultation_guidelines.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nda.ie/publications/attitudes/public-attitudes-to-disability-in-ireland-surveys/" TargetMode="External"/><Relationship Id="rId1" Type="http://schemas.openxmlformats.org/officeDocument/2006/relationships/hyperlink" Target="https://doi.org/10.1177/215824402210799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7BB54-96B2-430D-A66D-493BF860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41</Pages>
  <Words>11701</Words>
  <Characters>77961</Characters>
  <Application>Microsoft Office Word</Application>
  <DocSecurity>0</DocSecurity>
  <Lines>649</Lines>
  <Paragraphs>178</Paragraphs>
  <ScaleCrop>false</ScaleCrop>
  <HeadingPairs>
    <vt:vector size="2" baseType="variant">
      <vt:variant>
        <vt:lpstr>Title</vt:lpstr>
      </vt:variant>
      <vt:variant>
        <vt:i4>1</vt:i4>
      </vt:variant>
    </vt:vector>
  </HeadingPairs>
  <TitlesOfParts>
    <vt:vector size="1" baseType="lpstr">
      <vt:lpstr>Literature Review on attitudes to disabled people, attitudes measurement and attitude change</vt:lpstr>
    </vt:vector>
  </TitlesOfParts>
  <Company>National Disability Authority</Company>
  <LinksUpToDate>false</LinksUpToDate>
  <CharactersWithSpaces>89484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attitudes to disabled people, attitudes measurement and attitude change</dc:title>
  <dc:subject/>
  <dc:creator>Frances B. Hannon</dc:creator>
  <cp:keywords/>
  <cp:lastModifiedBy>tammingre</cp:lastModifiedBy>
  <cp:revision>2</cp:revision>
  <cp:lastPrinted>2022-10-06T12:55:00Z</cp:lastPrinted>
  <dcterms:created xsi:type="dcterms:W3CDTF">2023-01-17T09:23:00Z</dcterms:created>
  <dcterms:modified xsi:type="dcterms:W3CDTF">2023-01-17T09:23:00Z</dcterms:modified>
</cp:coreProperties>
</file>