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C7BD" w14:textId="3C332CB7" w:rsidR="00423DC7" w:rsidRDefault="002C6B1B" w:rsidP="00423DC7">
      <w:pPr>
        <w:pStyle w:val="Title"/>
        <w:spacing w:before="1440"/>
        <w:rPr>
          <w:rFonts w:ascii="Gill Sans MT" w:hAnsi="Gill Sans MT"/>
          <w:b/>
        </w:rPr>
      </w:pPr>
      <w:bookmarkStart w:id="0" w:name="_GoBack"/>
      <w:bookmarkEnd w:id="0"/>
      <w:r w:rsidRPr="00D47730">
        <w:rPr>
          <w:rFonts w:ascii="Gill Sans MT" w:hAnsi="Gill Sans MT"/>
          <w:b/>
        </w:rPr>
        <w:t>Mid-term Review of Progress</w:t>
      </w:r>
      <w:r w:rsidR="00423DC7">
        <w:rPr>
          <w:rFonts w:ascii="Gill Sans MT" w:hAnsi="Gill Sans MT"/>
          <w:b/>
        </w:rPr>
        <w:t>:</w:t>
      </w:r>
    </w:p>
    <w:p w14:paraId="672D5A93" w14:textId="013E9500" w:rsidR="00E22F03" w:rsidRPr="00D47730" w:rsidRDefault="00423DC7" w:rsidP="00423DC7">
      <w:pPr>
        <w:pStyle w:val="Title"/>
        <w:spacing w:before="1440"/>
        <w:rPr>
          <w:rFonts w:ascii="Gill Sans MT" w:hAnsi="Gill Sans MT"/>
          <w:b/>
        </w:rPr>
      </w:pPr>
      <w:r>
        <w:rPr>
          <w:rFonts w:ascii="Gill Sans MT" w:hAnsi="Gill Sans MT"/>
          <w:b/>
        </w:rPr>
        <w:t>T</w:t>
      </w:r>
      <w:r w:rsidR="002C6B1B" w:rsidRPr="00D47730">
        <w:rPr>
          <w:rFonts w:ascii="Gill Sans MT" w:hAnsi="Gill Sans MT"/>
          <w:b/>
        </w:rPr>
        <w:t>he National Disability Inclusion Strategy and Indicators</w:t>
      </w:r>
    </w:p>
    <w:p w14:paraId="51C6EB48" w14:textId="557EF37D" w:rsidR="00E22F03" w:rsidRPr="00D47730" w:rsidRDefault="00A92481" w:rsidP="00D47730">
      <w:pPr>
        <w:spacing w:after="4080"/>
        <w:rPr>
          <w:b/>
          <w:sz w:val="32"/>
          <w:szCs w:val="32"/>
        </w:rPr>
      </w:pPr>
      <w:r>
        <w:rPr>
          <w:b/>
          <w:sz w:val="32"/>
          <w:szCs w:val="32"/>
        </w:rPr>
        <w:t>April</w:t>
      </w:r>
      <w:r w:rsidR="0025038D">
        <w:rPr>
          <w:b/>
          <w:sz w:val="32"/>
          <w:szCs w:val="32"/>
        </w:rPr>
        <w:t xml:space="preserve"> </w:t>
      </w:r>
      <w:r w:rsidR="00707BC7">
        <w:rPr>
          <w:b/>
          <w:sz w:val="32"/>
          <w:szCs w:val="32"/>
        </w:rPr>
        <w:t>2020</w:t>
      </w:r>
    </w:p>
    <w:p w14:paraId="38337A05" w14:textId="77777777" w:rsidR="00D47730" w:rsidRDefault="00E22F03" w:rsidP="002C6B1B">
      <w:pPr>
        <w:rPr>
          <w:b/>
          <w:sz w:val="24"/>
        </w:rPr>
        <w:sectPr w:rsidR="00D47730" w:rsidSect="00E812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pPr>
      <w:r w:rsidRPr="007B6280">
        <w:rPr>
          <w:noProof/>
          <w:sz w:val="24"/>
          <w:lang w:eastAsia="en-IE"/>
        </w:rPr>
        <w:drawing>
          <wp:inline distT="0" distB="0" distL="0" distR="0" wp14:anchorId="3FD9B88F" wp14:editId="62756D1A">
            <wp:extent cx="2524125" cy="1800225"/>
            <wp:effectExtent l="0" t="0" r="9525" b="9525"/>
            <wp:docPr id="1" name="Picture 1" descr="Logo of National Disability Author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1800225"/>
                    </a:xfrm>
                    <a:prstGeom prst="rect">
                      <a:avLst/>
                    </a:prstGeom>
                    <a:noFill/>
                    <a:ln>
                      <a:noFill/>
                    </a:ln>
                  </pic:spPr>
                </pic:pic>
              </a:graphicData>
            </a:graphic>
          </wp:inline>
        </w:drawing>
      </w:r>
    </w:p>
    <w:p w14:paraId="5E4C069E" w14:textId="18C0AFFF" w:rsidR="00DB7749" w:rsidRPr="00D47730" w:rsidRDefault="00D47730" w:rsidP="00D47730">
      <w:pPr>
        <w:pStyle w:val="Heading1"/>
      </w:pPr>
      <w:r>
        <w:lastRenderedPageBreak/>
        <w:t>Contents</w:t>
      </w:r>
    </w:p>
    <w:sdt>
      <w:sdtPr>
        <w:rPr>
          <w:rFonts w:ascii="Gill Sans MT" w:eastAsia="Times New Roman" w:hAnsi="Gill Sans MT" w:cs="Times New Roman"/>
          <w:color w:val="auto"/>
          <w:sz w:val="26"/>
          <w:szCs w:val="24"/>
          <w:lang w:val="en-IE"/>
        </w:rPr>
        <w:id w:val="-1554389610"/>
        <w:docPartObj>
          <w:docPartGallery w:val="Table of Contents"/>
          <w:docPartUnique/>
        </w:docPartObj>
      </w:sdtPr>
      <w:sdtEndPr>
        <w:rPr>
          <w:b/>
          <w:bCs/>
          <w:noProof/>
        </w:rPr>
      </w:sdtEndPr>
      <w:sdtContent>
        <w:p w14:paraId="28B197E8" w14:textId="1D67317C" w:rsidR="00AA621E" w:rsidRPr="00D47730" w:rsidRDefault="00926B30" w:rsidP="00D47730">
          <w:pPr>
            <w:pStyle w:val="TOCHeading"/>
            <w:rPr>
              <w:rFonts w:ascii="Gill Sans MT" w:eastAsia="Times New Roman" w:hAnsi="Gill Sans MT" w:cs="Times New Roman"/>
              <w:noProof/>
              <w:color w:val="auto"/>
              <w:sz w:val="26"/>
              <w:szCs w:val="24"/>
              <w:lang w:val="en-IE"/>
            </w:rPr>
          </w:pPr>
          <w:r>
            <w:fldChar w:fldCharType="begin"/>
          </w:r>
          <w:r>
            <w:instrText xml:space="preserve"> TOC \o "1-3" \h \z \u </w:instrText>
          </w:r>
          <w:r>
            <w:fldChar w:fldCharType="separate"/>
          </w:r>
        </w:p>
        <w:p w14:paraId="401D5AD9" w14:textId="58A95D3C" w:rsidR="00AA621E" w:rsidRPr="005F6E6F" w:rsidRDefault="00573849">
          <w:pPr>
            <w:pStyle w:val="TOC1"/>
            <w:tabs>
              <w:tab w:val="right" w:leader="dot" w:pos="9016"/>
            </w:tabs>
            <w:rPr>
              <w:rFonts w:asciiTheme="minorHAnsi" w:eastAsiaTheme="minorEastAsia" w:hAnsiTheme="minorHAnsi" w:cstheme="minorBidi"/>
              <w:b/>
              <w:noProof/>
              <w:sz w:val="22"/>
              <w:szCs w:val="22"/>
              <w:lang w:eastAsia="en-IE"/>
            </w:rPr>
          </w:pPr>
          <w:hyperlink w:anchor="_Toc36809784" w:history="1">
            <w:r w:rsidR="00AA621E" w:rsidRPr="005F6E6F">
              <w:rPr>
                <w:rStyle w:val="Hyperlink"/>
                <w:b/>
                <w:noProof/>
              </w:rPr>
              <w:t>Introduction</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_Toc36809784 \h </w:instrText>
            </w:r>
            <w:r w:rsidR="00AA621E" w:rsidRPr="005F6E6F">
              <w:rPr>
                <w:b/>
                <w:noProof/>
                <w:webHidden/>
              </w:rPr>
            </w:r>
            <w:r w:rsidR="00AA621E" w:rsidRPr="005F6E6F">
              <w:rPr>
                <w:b/>
                <w:noProof/>
                <w:webHidden/>
              </w:rPr>
              <w:fldChar w:fldCharType="separate"/>
            </w:r>
            <w:r w:rsidR="00AB0FA2">
              <w:rPr>
                <w:b/>
                <w:noProof/>
                <w:webHidden/>
              </w:rPr>
              <w:t>9</w:t>
            </w:r>
            <w:r w:rsidR="00AA621E" w:rsidRPr="005F6E6F">
              <w:rPr>
                <w:b/>
                <w:noProof/>
                <w:webHidden/>
              </w:rPr>
              <w:fldChar w:fldCharType="end"/>
            </w:r>
          </w:hyperlink>
        </w:p>
        <w:p w14:paraId="4133202E" w14:textId="3BF1843F" w:rsidR="00AA621E" w:rsidRPr="005F6E6F" w:rsidRDefault="00573849">
          <w:pPr>
            <w:pStyle w:val="TOC1"/>
            <w:tabs>
              <w:tab w:val="right" w:leader="dot" w:pos="9016"/>
            </w:tabs>
            <w:rPr>
              <w:rFonts w:asciiTheme="minorHAnsi" w:eastAsiaTheme="minorEastAsia" w:hAnsiTheme="minorHAnsi" w:cstheme="minorBidi"/>
              <w:b/>
              <w:noProof/>
              <w:sz w:val="22"/>
              <w:szCs w:val="22"/>
              <w:lang w:eastAsia="en-IE"/>
            </w:rPr>
          </w:pPr>
          <w:hyperlink w:anchor="_Toc36809785" w:history="1">
            <w:r w:rsidR="00AA621E" w:rsidRPr="005F6E6F">
              <w:rPr>
                <w:rStyle w:val="Hyperlink"/>
                <w:b/>
                <w:noProof/>
                <w:lang w:eastAsia="en-IE"/>
              </w:rPr>
              <w:t>Methods</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_Toc36809785 \h </w:instrText>
            </w:r>
            <w:r w:rsidR="00AA621E" w:rsidRPr="005F6E6F">
              <w:rPr>
                <w:b/>
                <w:noProof/>
                <w:webHidden/>
              </w:rPr>
            </w:r>
            <w:r w:rsidR="00AA621E" w:rsidRPr="005F6E6F">
              <w:rPr>
                <w:b/>
                <w:noProof/>
                <w:webHidden/>
              </w:rPr>
              <w:fldChar w:fldCharType="separate"/>
            </w:r>
            <w:r w:rsidR="00AB0FA2">
              <w:rPr>
                <w:b/>
                <w:noProof/>
                <w:webHidden/>
              </w:rPr>
              <w:t>11</w:t>
            </w:r>
            <w:r w:rsidR="00AA621E" w:rsidRPr="005F6E6F">
              <w:rPr>
                <w:b/>
                <w:noProof/>
                <w:webHidden/>
              </w:rPr>
              <w:fldChar w:fldCharType="end"/>
            </w:r>
          </w:hyperlink>
        </w:p>
        <w:p w14:paraId="61666D62" w14:textId="1B83408E" w:rsidR="00AA621E" w:rsidRPr="005F6E6F" w:rsidRDefault="00573849">
          <w:pPr>
            <w:pStyle w:val="TOC1"/>
            <w:tabs>
              <w:tab w:val="right" w:leader="dot" w:pos="9016"/>
            </w:tabs>
            <w:rPr>
              <w:rFonts w:asciiTheme="minorHAnsi" w:eastAsiaTheme="minorEastAsia" w:hAnsiTheme="minorHAnsi" w:cstheme="minorBidi"/>
              <w:b/>
              <w:noProof/>
              <w:sz w:val="22"/>
              <w:szCs w:val="22"/>
              <w:lang w:eastAsia="en-IE"/>
            </w:rPr>
          </w:pPr>
          <w:hyperlink w:anchor="_Toc36809786" w:history="1">
            <w:r w:rsidR="00AA621E" w:rsidRPr="005F6E6F">
              <w:rPr>
                <w:rStyle w:val="Hyperlink"/>
                <w:b/>
                <w:noProof/>
                <w:lang w:eastAsia="en-IE"/>
              </w:rPr>
              <w:t>Theme 1: Equality and Choice</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_Toc36809786 \h </w:instrText>
            </w:r>
            <w:r w:rsidR="00AA621E" w:rsidRPr="005F6E6F">
              <w:rPr>
                <w:b/>
                <w:noProof/>
                <w:webHidden/>
              </w:rPr>
            </w:r>
            <w:r w:rsidR="00AA621E" w:rsidRPr="005F6E6F">
              <w:rPr>
                <w:b/>
                <w:noProof/>
                <w:webHidden/>
              </w:rPr>
              <w:fldChar w:fldCharType="separate"/>
            </w:r>
            <w:r w:rsidR="00AB0FA2">
              <w:rPr>
                <w:b/>
                <w:noProof/>
                <w:webHidden/>
              </w:rPr>
              <w:t>12</w:t>
            </w:r>
            <w:r w:rsidR="00AA621E" w:rsidRPr="005F6E6F">
              <w:rPr>
                <w:b/>
                <w:noProof/>
                <w:webHidden/>
              </w:rPr>
              <w:fldChar w:fldCharType="end"/>
            </w:r>
          </w:hyperlink>
        </w:p>
        <w:p w14:paraId="317F3F4A" w14:textId="461E36A2" w:rsidR="00AA621E" w:rsidRPr="005F6E6F" w:rsidRDefault="00573849">
          <w:pPr>
            <w:pStyle w:val="TOC1"/>
            <w:tabs>
              <w:tab w:val="right" w:leader="dot" w:pos="9016"/>
            </w:tabs>
            <w:rPr>
              <w:rFonts w:asciiTheme="minorHAnsi" w:eastAsiaTheme="minorEastAsia" w:hAnsiTheme="minorHAnsi" w:cstheme="minorBidi"/>
              <w:b/>
              <w:noProof/>
              <w:sz w:val="22"/>
              <w:szCs w:val="22"/>
              <w:lang w:eastAsia="en-IE"/>
            </w:rPr>
          </w:pPr>
          <w:hyperlink w:anchor="_Toc36809787" w:history="1">
            <w:r w:rsidR="00AA621E" w:rsidRPr="005F6E6F">
              <w:rPr>
                <w:rStyle w:val="Hyperlink"/>
                <w:b/>
                <w:noProof/>
                <w:lang w:eastAsia="en-IE"/>
              </w:rPr>
              <w:t>Theme 2: Joined-up Policies and Public Services</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_Toc36809787 \h </w:instrText>
            </w:r>
            <w:r w:rsidR="00AA621E" w:rsidRPr="005F6E6F">
              <w:rPr>
                <w:b/>
                <w:noProof/>
                <w:webHidden/>
              </w:rPr>
            </w:r>
            <w:r w:rsidR="00AA621E" w:rsidRPr="005F6E6F">
              <w:rPr>
                <w:b/>
                <w:noProof/>
                <w:webHidden/>
              </w:rPr>
              <w:fldChar w:fldCharType="separate"/>
            </w:r>
            <w:r w:rsidR="00AB0FA2">
              <w:rPr>
                <w:b/>
                <w:noProof/>
                <w:webHidden/>
              </w:rPr>
              <w:t>21</w:t>
            </w:r>
            <w:r w:rsidR="00AA621E" w:rsidRPr="005F6E6F">
              <w:rPr>
                <w:b/>
                <w:noProof/>
                <w:webHidden/>
              </w:rPr>
              <w:fldChar w:fldCharType="end"/>
            </w:r>
          </w:hyperlink>
        </w:p>
        <w:p w14:paraId="79ABC8EE" w14:textId="215ECDF0" w:rsidR="00AA621E" w:rsidRPr="005F6E6F" w:rsidRDefault="00573849">
          <w:pPr>
            <w:pStyle w:val="TOC1"/>
            <w:tabs>
              <w:tab w:val="right" w:leader="dot" w:pos="9016"/>
            </w:tabs>
            <w:rPr>
              <w:rFonts w:asciiTheme="minorHAnsi" w:eastAsiaTheme="minorEastAsia" w:hAnsiTheme="minorHAnsi" w:cstheme="minorBidi"/>
              <w:b/>
              <w:noProof/>
              <w:sz w:val="22"/>
              <w:szCs w:val="22"/>
              <w:lang w:eastAsia="en-IE"/>
            </w:rPr>
          </w:pPr>
          <w:hyperlink w:anchor="_Toc36809788" w:history="1">
            <w:r w:rsidR="00AA621E" w:rsidRPr="005F6E6F">
              <w:rPr>
                <w:rStyle w:val="Hyperlink"/>
                <w:b/>
                <w:noProof/>
                <w:lang w:eastAsia="en-IE"/>
              </w:rPr>
              <w:t>Theme 3: Education</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_Toc36809788 \h </w:instrText>
            </w:r>
            <w:r w:rsidR="00AA621E" w:rsidRPr="005F6E6F">
              <w:rPr>
                <w:b/>
                <w:noProof/>
                <w:webHidden/>
              </w:rPr>
            </w:r>
            <w:r w:rsidR="00AA621E" w:rsidRPr="005F6E6F">
              <w:rPr>
                <w:b/>
                <w:noProof/>
                <w:webHidden/>
              </w:rPr>
              <w:fldChar w:fldCharType="separate"/>
            </w:r>
            <w:r w:rsidR="00AB0FA2">
              <w:rPr>
                <w:b/>
                <w:noProof/>
                <w:webHidden/>
              </w:rPr>
              <w:t>26</w:t>
            </w:r>
            <w:r w:rsidR="00AA621E" w:rsidRPr="005F6E6F">
              <w:rPr>
                <w:b/>
                <w:noProof/>
                <w:webHidden/>
              </w:rPr>
              <w:fldChar w:fldCharType="end"/>
            </w:r>
          </w:hyperlink>
        </w:p>
        <w:p w14:paraId="4E484480" w14:textId="5CAF1633" w:rsidR="00AA621E" w:rsidRPr="005F6E6F" w:rsidRDefault="00573849">
          <w:pPr>
            <w:pStyle w:val="TOC1"/>
            <w:tabs>
              <w:tab w:val="right" w:leader="dot" w:pos="9016"/>
            </w:tabs>
            <w:rPr>
              <w:rFonts w:asciiTheme="minorHAnsi" w:eastAsiaTheme="minorEastAsia" w:hAnsiTheme="minorHAnsi" w:cstheme="minorBidi"/>
              <w:b/>
              <w:noProof/>
              <w:sz w:val="22"/>
              <w:szCs w:val="22"/>
              <w:lang w:eastAsia="en-IE"/>
            </w:rPr>
          </w:pPr>
          <w:hyperlink w:anchor="_Toc36809789" w:history="1">
            <w:r w:rsidR="00AA621E" w:rsidRPr="005F6E6F">
              <w:rPr>
                <w:rStyle w:val="Hyperlink"/>
                <w:b/>
                <w:noProof/>
                <w:lang w:eastAsia="en-IE"/>
              </w:rPr>
              <w:t>Theme 4: Employment</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_Toc36809789 \h </w:instrText>
            </w:r>
            <w:r w:rsidR="00AA621E" w:rsidRPr="005F6E6F">
              <w:rPr>
                <w:b/>
                <w:noProof/>
                <w:webHidden/>
              </w:rPr>
            </w:r>
            <w:r w:rsidR="00AA621E" w:rsidRPr="005F6E6F">
              <w:rPr>
                <w:b/>
                <w:noProof/>
                <w:webHidden/>
              </w:rPr>
              <w:fldChar w:fldCharType="separate"/>
            </w:r>
            <w:r w:rsidR="00AB0FA2">
              <w:rPr>
                <w:b/>
                <w:noProof/>
                <w:webHidden/>
              </w:rPr>
              <w:t>30</w:t>
            </w:r>
            <w:r w:rsidR="00AA621E" w:rsidRPr="005F6E6F">
              <w:rPr>
                <w:b/>
                <w:noProof/>
                <w:webHidden/>
              </w:rPr>
              <w:fldChar w:fldCharType="end"/>
            </w:r>
          </w:hyperlink>
        </w:p>
        <w:p w14:paraId="4578CE06" w14:textId="7066E344" w:rsidR="00AA621E" w:rsidRPr="005F6E6F" w:rsidRDefault="00573849">
          <w:pPr>
            <w:pStyle w:val="TOC1"/>
            <w:tabs>
              <w:tab w:val="right" w:leader="dot" w:pos="9016"/>
            </w:tabs>
            <w:rPr>
              <w:rFonts w:asciiTheme="minorHAnsi" w:eastAsiaTheme="minorEastAsia" w:hAnsiTheme="minorHAnsi" w:cstheme="minorBidi"/>
              <w:b/>
              <w:noProof/>
              <w:sz w:val="22"/>
              <w:szCs w:val="22"/>
              <w:lang w:eastAsia="en-IE"/>
            </w:rPr>
          </w:pPr>
          <w:hyperlink w:anchor="_Toc36809790" w:history="1">
            <w:r w:rsidR="00AA621E" w:rsidRPr="005F6E6F">
              <w:rPr>
                <w:rStyle w:val="Hyperlink"/>
                <w:b/>
                <w:noProof/>
                <w:lang w:eastAsia="en-IE"/>
              </w:rPr>
              <w:t>Theme 5: Health and Wellbeing</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_Toc36809790 \h </w:instrText>
            </w:r>
            <w:r w:rsidR="00AA621E" w:rsidRPr="005F6E6F">
              <w:rPr>
                <w:b/>
                <w:noProof/>
                <w:webHidden/>
              </w:rPr>
            </w:r>
            <w:r w:rsidR="00AA621E" w:rsidRPr="005F6E6F">
              <w:rPr>
                <w:b/>
                <w:noProof/>
                <w:webHidden/>
              </w:rPr>
              <w:fldChar w:fldCharType="separate"/>
            </w:r>
            <w:r w:rsidR="00AB0FA2">
              <w:rPr>
                <w:b/>
                <w:noProof/>
                <w:webHidden/>
              </w:rPr>
              <w:t>37</w:t>
            </w:r>
            <w:r w:rsidR="00AA621E" w:rsidRPr="005F6E6F">
              <w:rPr>
                <w:b/>
                <w:noProof/>
                <w:webHidden/>
              </w:rPr>
              <w:fldChar w:fldCharType="end"/>
            </w:r>
          </w:hyperlink>
        </w:p>
        <w:p w14:paraId="468488C2" w14:textId="72BA3376" w:rsidR="00AA621E" w:rsidRPr="005F6E6F" w:rsidRDefault="00573849">
          <w:pPr>
            <w:pStyle w:val="TOC1"/>
            <w:tabs>
              <w:tab w:val="right" w:leader="dot" w:pos="9016"/>
            </w:tabs>
            <w:rPr>
              <w:rFonts w:asciiTheme="minorHAnsi" w:eastAsiaTheme="minorEastAsia" w:hAnsiTheme="minorHAnsi" w:cstheme="minorBidi"/>
              <w:b/>
              <w:noProof/>
              <w:sz w:val="22"/>
              <w:szCs w:val="22"/>
              <w:lang w:eastAsia="en-IE"/>
            </w:rPr>
          </w:pPr>
          <w:hyperlink w:anchor="_Toc36809791" w:history="1">
            <w:r w:rsidR="00AA621E" w:rsidRPr="005F6E6F">
              <w:rPr>
                <w:rStyle w:val="Hyperlink"/>
                <w:b/>
                <w:noProof/>
                <w:lang w:eastAsia="en-IE"/>
              </w:rPr>
              <w:t>Theme 6: Person-centred disability services</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_Toc36809791 \h </w:instrText>
            </w:r>
            <w:r w:rsidR="00AA621E" w:rsidRPr="005F6E6F">
              <w:rPr>
                <w:b/>
                <w:noProof/>
                <w:webHidden/>
              </w:rPr>
            </w:r>
            <w:r w:rsidR="00AA621E" w:rsidRPr="005F6E6F">
              <w:rPr>
                <w:b/>
                <w:noProof/>
                <w:webHidden/>
              </w:rPr>
              <w:fldChar w:fldCharType="separate"/>
            </w:r>
            <w:r w:rsidR="00AB0FA2">
              <w:rPr>
                <w:b/>
                <w:noProof/>
                <w:webHidden/>
              </w:rPr>
              <w:t>43</w:t>
            </w:r>
            <w:r w:rsidR="00AA621E" w:rsidRPr="005F6E6F">
              <w:rPr>
                <w:b/>
                <w:noProof/>
                <w:webHidden/>
              </w:rPr>
              <w:fldChar w:fldCharType="end"/>
            </w:r>
          </w:hyperlink>
        </w:p>
        <w:p w14:paraId="657F4661" w14:textId="1C66FDF2" w:rsidR="00AA621E" w:rsidRPr="005F6E6F" w:rsidRDefault="00573849">
          <w:pPr>
            <w:pStyle w:val="TOC1"/>
            <w:tabs>
              <w:tab w:val="right" w:leader="dot" w:pos="9016"/>
            </w:tabs>
            <w:rPr>
              <w:rFonts w:asciiTheme="minorHAnsi" w:eastAsiaTheme="minorEastAsia" w:hAnsiTheme="minorHAnsi" w:cstheme="minorBidi"/>
              <w:b/>
              <w:noProof/>
              <w:sz w:val="22"/>
              <w:szCs w:val="22"/>
              <w:lang w:eastAsia="en-IE"/>
            </w:rPr>
          </w:pPr>
          <w:hyperlink w:anchor="_Toc36809792" w:history="1">
            <w:r w:rsidR="00AA621E" w:rsidRPr="005F6E6F">
              <w:rPr>
                <w:rStyle w:val="Hyperlink"/>
                <w:b/>
                <w:noProof/>
                <w:lang w:eastAsia="en-IE"/>
              </w:rPr>
              <w:t>Theme 7: Living in the Community</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_Toc36809792 \h </w:instrText>
            </w:r>
            <w:r w:rsidR="00AA621E" w:rsidRPr="005F6E6F">
              <w:rPr>
                <w:b/>
                <w:noProof/>
                <w:webHidden/>
              </w:rPr>
            </w:r>
            <w:r w:rsidR="00AA621E" w:rsidRPr="005F6E6F">
              <w:rPr>
                <w:b/>
                <w:noProof/>
                <w:webHidden/>
              </w:rPr>
              <w:fldChar w:fldCharType="separate"/>
            </w:r>
            <w:r w:rsidR="00AB0FA2">
              <w:rPr>
                <w:b/>
                <w:noProof/>
                <w:webHidden/>
              </w:rPr>
              <w:t>48</w:t>
            </w:r>
            <w:r w:rsidR="00AA621E" w:rsidRPr="005F6E6F">
              <w:rPr>
                <w:b/>
                <w:noProof/>
                <w:webHidden/>
              </w:rPr>
              <w:fldChar w:fldCharType="end"/>
            </w:r>
          </w:hyperlink>
        </w:p>
        <w:p w14:paraId="5EBBD127" w14:textId="5BC49083" w:rsidR="00AA621E" w:rsidRDefault="00573849">
          <w:pPr>
            <w:pStyle w:val="TOC1"/>
            <w:tabs>
              <w:tab w:val="right" w:leader="dot" w:pos="9016"/>
            </w:tabs>
            <w:rPr>
              <w:rFonts w:asciiTheme="minorHAnsi" w:eastAsiaTheme="minorEastAsia" w:hAnsiTheme="minorHAnsi" w:cstheme="minorBidi"/>
              <w:noProof/>
              <w:sz w:val="22"/>
              <w:szCs w:val="22"/>
              <w:lang w:eastAsia="en-IE"/>
            </w:rPr>
          </w:pPr>
          <w:hyperlink w:anchor="_Toc36809793" w:history="1">
            <w:r w:rsidR="00AA621E" w:rsidRPr="005F6E6F">
              <w:rPr>
                <w:rStyle w:val="Hyperlink"/>
                <w:b/>
                <w:noProof/>
                <w:lang w:eastAsia="en-IE"/>
              </w:rPr>
              <w:t>Theme 8: Transport and Access to Places</w:t>
            </w:r>
            <w:r w:rsidR="00AA621E" w:rsidRPr="005F6E6F">
              <w:rPr>
                <w:b/>
                <w:noProof/>
                <w:webHidden/>
              </w:rPr>
              <w:tab/>
            </w:r>
            <w:r w:rsidR="00AA621E" w:rsidRPr="005F6E6F">
              <w:rPr>
                <w:b/>
                <w:noProof/>
                <w:webHidden/>
              </w:rPr>
              <w:fldChar w:fldCharType="begin"/>
            </w:r>
            <w:r w:rsidR="00AA621E" w:rsidRPr="005F6E6F">
              <w:rPr>
                <w:b/>
                <w:noProof/>
                <w:webHidden/>
              </w:rPr>
              <w:instrText xml:space="preserve"> PAGEREF _Toc36809793 \h </w:instrText>
            </w:r>
            <w:r w:rsidR="00AA621E" w:rsidRPr="005F6E6F">
              <w:rPr>
                <w:b/>
                <w:noProof/>
                <w:webHidden/>
              </w:rPr>
            </w:r>
            <w:r w:rsidR="00AA621E" w:rsidRPr="005F6E6F">
              <w:rPr>
                <w:b/>
                <w:noProof/>
                <w:webHidden/>
              </w:rPr>
              <w:fldChar w:fldCharType="separate"/>
            </w:r>
            <w:r w:rsidR="00AB0FA2">
              <w:rPr>
                <w:b/>
                <w:noProof/>
                <w:webHidden/>
              </w:rPr>
              <w:t>54</w:t>
            </w:r>
            <w:r w:rsidR="00AA621E" w:rsidRPr="005F6E6F">
              <w:rPr>
                <w:b/>
                <w:noProof/>
                <w:webHidden/>
              </w:rPr>
              <w:fldChar w:fldCharType="end"/>
            </w:r>
          </w:hyperlink>
        </w:p>
        <w:p w14:paraId="66539DCE" w14:textId="66AB2BC8" w:rsidR="00AA621E" w:rsidRDefault="00573849">
          <w:pPr>
            <w:pStyle w:val="TOC1"/>
            <w:tabs>
              <w:tab w:val="right" w:leader="dot" w:pos="9016"/>
            </w:tabs>
            <w:rPr>
              <w:rFonts w:asciiTheme="minorHAnsi" w:eastAsiaTheme="minorEastAsia" w:hAnsiTheme="minorHAnsi" w:cstheme="minorBidi"/>
              <w:noProof/>
              <w:sz w:val="22"/>
              <w:szCs w:val="22"/>
              <w:lang w:eastAsia="en-IE"/>
            </w:rPr>
          </w:pPr>
          <w:hyperlink w:anchor="_Toc36809794" w:history="1">
            <w:r w:rsidR="00AA621E" w:rsidRPr="00DA3E38">
              <w:rPr>
                <w:rStyle w:val="Hyperlink"/>
                <w:b/>
                <w:noProof/>
                <w:lang w:eastAsia="en-IE"/>
              </w:rPr>
              <w:t>Conclusions and Recommendations</w:t>
            </w:r>
            <w:r w:rsidR="00AA621E">
              <w:rPr>
                <w:noProof/>
                <w:webHidden/>
              </w:rPr>
              <w:tab/>
            </w:r>
            <w:r w:rsidR="00AA621E">
              <w:rPr>
                <w:noProof/>
                <w:webHidden/>
              </w:rPr>
              <w:fldChar w:fldCharType="begin"/>
            </w:r>
            <w:r w:rsidR="00AA621E">
              <w:rPr>
                <w:noProof/>
                <w:webHidden/>
              </w:rPr>
              <w:instrText xml:space="preserve"> PAGEREF _Toc36809794 \h </w:instrText>
            </w:r>
            <w:r w:rsidR="00AA621E">
              <w:rPr>
                <w:noProof/>
                <w:webHidden/>
              </w:rPr>
            </w:r>
            <w:r w:rsidR="00AA621E">
              <w:rPr>
                <w:noProof/>
                <w:webHidden/>
              </w:rPr>
              <w:fldChar w:fldCharType="separate"/>
            </w:r>
            <w:r w:rsidR="00AB0FA2">
              <w:rPr>
                <w:noProof/>
                <w:webHidden/>
              </w:rPr>
              <w:t>59</w:t>
            </w:r>
            <w:r w:rsidR="00AA621E">
              <w:rPr>
                <w:noProof/>
                <w:webHidden/>
              </w:rPr>
              <w:fldChar w:fldCharType="end"/>
            </w:r>
          </w:hyperlink>
        </w:p>
        <w:p w14:paraId="30D9E378" w14:textId="6908B840" w:rsidR="00AA621E" w:rsidRDefault="00573849">
          <w:pPr>
            <w:pStyle w:val="TOC2"/>
            <w:tabs>
              <w:tab w:val="right" w:leader="dot" w:pos="9016"/>
            </w:tabs>
            <w:rPr>
              <w:rFonts w:asciiTheme="minorHAnsi" w:eastAsiaTheme="minorEastAsia" w:hAnsiTheme="minorHAnsi" w:cstheme="minorBidi"/>
              <w:noProof/>
              <w:sz w:val="22"/>
              <w:szCs w:val="22"/>
              <w:lang w:eastAsia="en-IE"/>
            </w:rPr>
          </w:pPr>
          <w:hyperlink w:anchor="_Toc36809795" w:history="1">
            <w:r w:rsidR="00AA621E" w:rsidRPr="00DA3E38">
              <w:rPr>
                <w:rStyle w:val="Hyperlink"/>
                <w:noProof/>
              </w:rPr>
              <w:t>Recommendations</w:t>
            </w:r>
            <w:r w:rsidR="00AA621E" w:rsidRPr="00DA3E38">
              <w:rPr>
                <w:rStyle w:val="Hyperlink"/>
                <w:b/>
                <w:noProof/>
                <w:lang w:eastAsia="en-IE"/>
              </w:rPr>
              <w:t>:</w:t>
            </w:r>
            <w:r w:rsidR="00AA621E">
              <w:rPr>
                <w:noProof/>
                <w:webHidden/>
              </w:rPr>
              <w:tab/>
            </w:r>
            <w:r w:rsidR="00AA621E">
              <w:rPr>
                <w:noProof/>
                <w:webHidden/>
              </w:rPr>
              <w:fldChar w:fldCharType="begin"/>
            </w:r>
            <w:r w:rsidR="00AA621E">
              <w:rPr>
                <w:noProof/>
                <w:webHidden/>
              </w:rPr>
              <w:instrText xml:space="preserve"> PAGEREF _Toc36809795 \h </w:instrText>
            </w:r>
            <w:r w:rsidR="00AA621E">
              <w:rPr>
                <w:noProof/>
                <w:webHidden/>
              </w:rPr>
            </w:r>
            <w:r w:rsidR="00AA621E">
              <w:rPr>
                <w:noProof/>
                <w:webHidden/>
              </w:rPr>
              <w:fldChar w:fldCharType="separate"/>
            </w:r>
            <w:r w:rsidR="00AB0FA2">
              <w:rPr>
                <w:noProof/>
                <w:webHidden/>
              </w:rPr>
              <w:t>60</w:t>
            </w:r>
            <w:r w:rsidR="00AA621E">
              <w:rPr>
                <w:noProof/>
                <w:webHidden/>
              </w:rPr>
              <w:fldChar w:fldCharType="end"/>
            </w:r>
          </w:hyperlink>
        </w:p>
        <w:p w14:paraId="31F84132" w14:textId="787F7413" w:rsidR="00AA621E" w:rsidRDefault="00573849">
          <w:pPr>
            <w:pStyle w:val="TOC2"/>
            <w:tabs>
              <w:tab w:val="right" w:leader="dot" w:pos="9016"/>
            </w:tabs>
            <w:rPr>
              <w:rFonts w:asciiTheme="minorHAnsi" w:eastAsiaTheme="minorEastAsia" w:hAnsiTheme="minorHAnsi" w:cstheme="minorBidi"/>
              <w:noProof/>
              <w:sz w:val="22"/>
              <w:szCs w:val="22"/>
              <w:lang w:eastAsia="en-IE"/>
            </w:rPr>
          </w:pPr>
          <w:hyperlink w:anchor="_Toc36809796" w:history="1">
            <w:r w:rsidR="00AA621E" w:rsidRPr="00DA3E38">
              <w:rPr>
                <w:rStyle w:val="Hyperlink"/>
                <w:noProof/>
              </w:rPr>
              <w:t>Next steps</w:t>
            </w:r>
            <w:r w:rsidR="00AA621E">
              <w:rPr>
                <w:noProof/>
                <w:webHidden/>
              </w:rPr>
              <w:tab/>
            </w:r>
            <w:r w:rsidR="00AA621E">
              <w:rPr>
                <w:noProof/>
                <w:webHidden/>
              </w:rPr>
              <w:fldChar w:fldCharType="begin"/>
            </w:r>
            <w:r w:rsidR="00AA621E">
              <w:rPr>
                <w:noProof/>
                <w:webHidden/>
              </w:rPr>
              <w:instrText xml:space="preserve"> PAGEREF _Toc36809796 \h </w:instrText>
            </w:r>
            <w:r w:rsidR="00AA621E">
              <w:rPr>
                <w:noProof/>
                <w:webHidden/>
              </w:rPr>
            </w:r>
            <w:r w:rsidR="00AA621E">
              <w:rPr>
                <w:noProof/>
                <w:webHidden/>
              </w:rPr>
              <w:fldChar w:fldCharType="separate"/>
            </w:r>
            <w:r w:rsidR="00AB0FA2">
              <w:rPr>
                <w:noProof/>
                <w:webHidden/>
              </w:rPr>
              <w:t>61</w:t>
            </w:r>
            <w:r w:rsidR="00AA621E">
              <w:rPr>
                <w:noProof/>
                <w:webHidden/>
              </w:rPr>
              <w:fldChar w:fldCharType="end"/>
            </w:r>
          </w:hyperlink>
        </w:p>
        <w:p w14:paraId="58A01408" w14:textId="4BB35F44" w:rsidR="00926B30" w:rsidRDefault="00926B30" w:rsidP="00752303">
          <w:r>
            <w:rPr>
              <w:b/>
              <w:bCs/>
              <w:noProof/>
            </w:rPr>
            <w:fldChar w:fldCharType="end"/>
          </w:r>
        </w:p>
      </w:sdtContent>
    </w:sdt>
    <w:p w14:paraId="173A1BB7" w14:textId="77777777" w:rsidR="00752303" w:rsidRDefault="00752303">
      <w:pPr>
        <w:spacing w:after="200" w:line="276" w:lineRule="auto"/>
        <w:rPr>
          <w:rFonts w:asciiTheme="majorHAnsi" w:eastAsiaTheme="majorEastAsia" w:hAnsiTheme="majorHAnsi" w:cstheme="majorBidi"/>
          <w:color w:val="365F91" w:themeColor="accent1" w:themeShade="BF"/>
          <w:sz w:val="32"/>
          <w:szCs w:val="32"/>
        </w:rPr>
      </w:pPr>
      <w:r>
        <w:br w:type="page"/>
      </w:r>
    </w:p>
    <w:p w14:paraId="07CB939A" w14:textId="195CC68F" w:rsidR="00DB7749" w:rsidRDefault="00DB7749" w:rsidP="00CF3D95">
      <w:pPr>
        <w:pStyle w:val="Heading1"/>
        <w:spacing w:after="240"/>
      </w:pPr>
      <w:r w:rsidRPr="00DB7749">
        <w:lastRenderedPageBreak/>
        <w:t>List of Acronyms</w:t>
      </w:r>
    </w:p>
    <w:p w14:paraId="27EA3A09" w14:textId="77777777" w:rsidR="00DB7749" w:rsidRPr="00DB7749" w:rsidRDefault="00DB7749" w:rsidP="00DB7749">
      <w:pPr>
        <w:autoSpaceDE w:val="0"/>
        <w:autoSpaceDN w:val="0"/>
        <w:adjustRightInd w:val="0"/>
        <w:rPr>
          <w:szCs w:val="26"/>
        </w:rPr>
      </w:pPr>
      <w:r w:rsidRPr="00DB7749">
        <w:rPr>
          <w:szCs w:val="26"/>
        </w:rPr>
        <w:t>A</w:t>
      </w:r>
      <w:r>
        <w:rPr>
          <w:szCs w:val="26"/>
        </w:rPr>
        <w:t>IM</w:t>
      </w:r>
      <w:r>
        <w:rPr>
          <w:szCs w:val="26"/>
        </w:rPr>
        <w:tab/>
      </w:r>
      <w:r>
        <w:rPr>
          <w:szCs w:val="26"/>
        </w:rPr>
        <w:tab/>
        <w:t xml:space="preserve">Access and Inclusion Model </w:t>
      </w:r>
    </w:p>
    <w:p w14:paraId="5FC142DC" w14:textId="77777777" w:rsidR="00587F09" w:rsidRDefault="00587F09" w:rsidP="00DB7749">
      <w:pPr>
        <w:autoSpaceDE w:val="0"/>
        <w:autoSpaceDN w:val="0"/>
        <w:adjustRightInd w:val="0"/>
        <w:rPr>
          <w:szCs w:val="26"/>
        </w:rPr>
      </w:pPr>
      <w:r>
        <w:rPr>
          <w:szCs w:val="26"/>
        </w:rPr>
        <w:t>CAMHS</w:t>
      </w:r>
      <w:r>
        <w:rPr>
          <w:szCs w:val="26"/>
        </w:rPr>
        <w:tab/>
        <w:t>Child and Adolescent Mental Health Services</w:t>
      </w:r>
    </w:p>
    <w:p w14:paraId="142ED8BA" w14:textId="77777777" w:rsidR="009639C5" w:rsidRDefault="009639C5" w:rsidP="00DB7749">
      <w:pPr>
        <w:autoSpaceDE w:val="0"/>
        <w:autoSpaceDN w:val="0"/>
        <w:adjustRightInd w:val="0"/>
        <w:rPr>
          <w:szCs w:val="26"/>
        </w:rPr>
      </w:pPr>
      <w:r>
        <w:rPr>
          <w:szCs w:val="26"/>
        </w:rPr>
        <w:t>CES</w:t>
      </w:r>
      <w:r>
        <w:rPr>
          <w:szCs w:val="26"/>
        </w:rPr>
        <w:tab/>
      </w:r>
      <w:r>
        <w:rPr>
          <w:szCs w:val="26"/>
        </w:rPr>
        <w:tab/>
        <w:t>Comprehensive Employment Strategy</w:t>
      </w:r>
    </w:p>
    <w:p w14:paraId="643D1323" w14:textId="77777777" w:rsidR="00587F09" w:rsidRDefault="00587F09" w:rsidP="00DB7749">
      <w:pPr>
        <w:autoSpaceDE w:val="0"/>
        <w:autoSpaceDN w:val="0"/>
        <w:adjustRightInd w:val="0"/>
        <w:rPr>
          <w:szCs w:val="26"/>
        </w:rPr>
      </w:pPr>
      <w:r>
        <w:rPr>
          <w:szCs w:val="26"/>
        </w:rPr>
        <w:t xml:space="preserve">CHO </w:t>
      </w:r>
      <w:r>
        <w:rPr>
          <w:szCs w:val="26"/>
        </w:rPr>
        <w:tab/>
      </w:r>
      <w:r>
        <w:rPr>
          <w:szCs w:val="26"/>
        </w:rPr>
        <w:tab/>
        <w:t>Community Healthcare Organisation</w:t>
      </w:r>
    </w:p>
    <w:p w14:paraId="16140F11" w14:textId="77777777" w:rsidR="00DB7749" w:rsidRPr="00DB7749" w:rsidRDefault="00DB7749" w:rsidP="00DB7749">
      <w:pPr>
        <w:autoSpaceDE w:val="0"/>
        <w:autoSpaceDN w:val="0"/>
        <w:adjustRightInd w:val="0"/>
        <w:rPr>
          <w:szCs w:val="26"/>
        </w:rPr>
      </w:pPr>
      <w:r w:rsidRPr="00DB7749">
        <w:rPr>
          <w:szCs w:val="26"/>
        </w:rPr>
        <w:t xml:space="preserve">CSO </w:t>
      </w:r>
      <w:r w:rsidRPr="00DB7749">
        <w:rPr>
          <w:szCs w:val="26"/>
        </w:rPr>
        <w:tab/>
      </w:r>
      <w:r w:rsidRPr="00DB7749">
        <w:rPr>
          <w:szCs w:val="26"/>
        </w:rPr>
        <w:tab/>
        <w:t>Central Statistics Office</w:t>
      </w:r>
    </w:p>
    <w:p w14:paraId="1A92C17D" w14:textId="77777777" w:rsidR="00DB7749" w:rsidRPr="00DB7749" w:rsidRDefault="00DB7749" w:rsidP="00DB7749">
      <w:pPr>
        <w:autoSpaceDE w:val="0"/>
        <w:autoSpaceDN w:val="0"/>
        <w:adjustRightInd w:val="0"/>
        <w:rPr>
          <w:szCs w:val="26"/>
        </w:rPr>
      </w:pPr>
      <w:r w:rsidRPr="00DB7749">
        <w:rPr>
          <w:szCs w:val="26"/>
        </w:rPr>
        <w:t>DA</w:t>
      </w:r>
      <w:r w:rsidRPr="00DB7749">
        <w:rPr>
          <w:szCs w:val="26"/>
        </w:rPr>
        <w:tab/>
      </w:r>
      <w:r w:rsidRPr="00DB7749">
        <w:rPr>
          <w:szCs w:val="26"/>
        </w:rPr>
        <w:tab/>
        <w:t>Disability Allowance</w:t>
      </w:r>
    </w:p>
    <w:p w14:paraId="0B15A8BD" w14:textId="77777777" w:rsidR="009639C5" w:rsidRDefault="009639C5" w:rsidP="00DB7749">
      <w:pPr>
        <w:autoSpaceDE w:val="0"/>
        <w:autoSpaceDN w:val="0"/>
        <w:adjustRightInd w:val="0"/>
        <w:rPr>
          <w:szCs w:val="26"/>
        </w:rPr>
      </w:pPr>
      <w:r>
        <w:rPr>
          <w:szCs w:val="26"/>
        </w:rPr>
        <w:t>DARE</w:t>
      </w:r>
      <w:r>
        <w:rPr>
          <w:szCs w:val="26"/>
        </w:rPr>
        <w:tab/>
      </w:r>
      <w:r>
        <w:rPr>
          <w:szCs w:val="26"/>
        </w:rPr>
        <w:tab/>
        <w:t xml:space="preserve">Disability Access Route </w:t>
      </w:r>
      <w:r w:rsidR="00D4722A">
        <w:rPr>
          <w:szCs w:val="26"/>
        </w:rPr>
        <w:t>to</w:t>
      </w:r>
      <w:r>
        <w:rPr>
          <w:szCs w:val="26"/>
        </w:rPr>
        <w:t xml:space="preserve"> Education</w:t>
      </w:r>
    </w:p>
    <w:p w14:paraId="58F70358" w14:textId="77777777" w:rsidR="00DB7749" w:rsidRPr="00DB7749" w:rsidRDefault="00DB7749" w:rsidP="00DB7749">
      <w:pPr>
        <w:autoSpaceDE w:val="0"/>
        <w:autoSpaceDN w:val="0"/>
        <w:adjustRightInd w:val="0"/>
        <w:rPr>
          <w:szCs w:val="26"/>
        </w:rPr>
      </w:pPr>
      <w:r w:rsidRPr="00DB7749">
        <w:rPr>
          <w:szCs w:val="26"/>
        </w:rPr>
        <w:t>DCA</w:t>
      </w:r>
      <w:r w:rsidRPr="00DB7749">
        <w:rPr>
          <w:szCs w:val="26"/>
        </w:rPr>
        <w:tab/>
      </w:r>
      <w:r w:rsidRPr="00DB7749">
        <w:rPr>
          <w:szCs w:val="26"/>
        </w:rPr>
        <w:tab/>
        <w:t>Domiciliary Care Allowance</w:t>
      </w:r>
    </w:p>
    <w:p w14:paraId="17483903" w14:textId="77777777" w:rsidR="00DB7749" w:rsidRPr="00DB7749" w:rsidRDefault="00DB7749" w:rsidP="00DB7749">
      <w:pPr>
        <w:autoSpaceDE w:val="0"/>
        <w:autoSpaceDN w:val="0"/>
        <w:adjustRightInd w:val="0"/>
        <w:rPr>
          <w:szCs w:val="26"/>
        </w:rPr>
      </w:pPr>
      <w:r w:rsidRPr="00DB7749">
        <w:rPr>
          <w:szCs w:val="26"/>
        </w:rPr>
        <w:t>DCC</w:t>
      </w:r>
      <w:r w:rsidRPr="00DB7749">
        <w:rPr>
          <w:szCs w:val="26"/>
        </w:rPr>
        <w:tab/>
      </w:r>
      <w:r w:rsidRPr="00DB7749">
        <w:rPr>
          <w:szCs w:val="26"/>
        </w:rPr>
        <w:tab/>
        <w:t>Department Consultative Committee</w:t>
      </w:r>
    </w:p>
    <w:p w14:paraId="48BFED19" w14:textId="29937F0E" w:rsidR="00DB7749" w:rsidRPr="00DB7749" w:rsidRDefault="00DB7749" w:rsidP="00DB7749">
      <w:pPr>
        <w:autoSpaceDE w:val="0"/>
        <w:autoSpaceDN w:val="0"/>
        <w:adjustRightInd w:val="0"/>
        <w:rPr>
          <w:szCs w:val="26"/>
        </w:rPr>
      </w:pPr>
      <w:r w:rsidRPr="00DB7749">
        <w:rPr>
          <w:szCs w:val="26"/>
        </w:rPr>
        <w:t>DCYA</w:t>
      </w:r>
      <w:r>
        <w:rPr>
          <w:szCs w:val="26"/>
        </w:rPr>
        <w:tab/>
      </w:r>
      <w:r w:rsidRPr="00DB7749">
        <w:rPr>
          <w:szCs w:val="26"/>
        </w:rPr>
        <w:tab/>
        <w:t>Departmen</w:t>
      </w:r>
      <w:r w:rsidR="00D47730">
        <w:rPr>
          <w:szCs w:val="26"/>
        </w:rPr>
        <w:t>t of Children and Youth Affairs</w:t>
      </w:r>
    </w:p>
    <w:p w14:paraId="05F7BD17" w14:textId="7A139AB7" w:rsidR="00DB7749" w:rsidRPr="00DB7749" w:rsidRDefault="00DB7749" w:rsidP="00DB7749">
      <w:pPr>
        <w:autoSpaceDE w:val="0"/>
        <w:autoSpaceDN w:val="0"/>
        <w:adjustRightInd w:val="0"/>
        <w:rPr>
          <w:szCs w:val="26"/>
        </w:rPr>
      </w:pPr>
      <w:r w:rsidRPr="00DB7749">
        <w:rPr>
          <w:szCs w:val="26"/>
        </w:rPr>
        <w:t>DEASP</w:t>
      </w:r>
      <w:r w:rsidRPr="00DB7749">
        <w:rPr>
          <w:szCs w:val="26"/>
        </w:rPr>
        <w:tab/>
        <w:t>Department of Employmen</w:t>
      </w:r>
      <w:r w:rsidR="00D47730">
        <w:rPr>
          <w:szCs w:val="26"/>
        </w:rPr>
        <w:t>t Affairs and Social Protection</w:t>
      </w:r>
    </w:p>
    <w:p w14:paraId="0C1DC924" w14:textId="77777777" w:rsidR="00DB7749" w:rsidRPr="00DB7749" w:rsidRDefault="00DB7749" w:rsidP="00DB7749">
      <w:pPr>
        <w:autoSpaceDE w:val="0"/>
        <w:autoSpaceDN w:val="0"/>
        <w:adjustRightInd w:val="0"/>
        <w:rPr>
          <w:szCs w:val="26"/>
        </w:rPr>
      </w:pPr>
      <w:r w:rsidRPr="00DB7749">
        <w:rPr>
          <w:szCs w:val="26"/>
        </w:rPr>
        <w:t>DES</w:t>
      </w:r>
      <w:r w:rsidRPr="00DB7749">
        <w:rPr>
          <w:szCs w:val="26"/>
        </w:rPr>
        <w:tab/>
      </w:r>
      <w:r w:rsidRPr="00DB7749">
        <w:rPr>
          <w:szCs w:val="26"/>
        </w:rPr>
        <w:tab/>
        <w:t>Department of Education and Skills</w:t>
      </w:r>
    </w:p>
    <w:p w14:paraId="6DBA1CE1" w14:textId="77777777" w:rsidR="009639C5" w:rsidRDefault="009639C5" w:rsidP="00DB7749">
      <w:pPr>
        <w:autoSpaceDE w:val="0"/>
        <w:autoSpaceDN w:val="0"/>
        <w:adjustRightInd w:val="0"/>
        <w:rPr>
          <w:szCs w:val="26"/>
        </w:rPr>
      </w:pPr>
      <w:r>
        <w:rPr>
          <w:szCs w:val="26"/>
        </w:rPr>
        <w:t>DHPLG</w:t>
      </w:r>
      <w:r>
        <w:rPr>
          <w:szCs w:val="26"/>
        </w:rPr>
        <w:tab/>
        <w:t>Department of Housing, Planning and Local Government</w:t>
      </w:r>
    </w:p>
    <w:p w14:paraId="17F2C36D" w14:textId="77777777" w:rsidR="00F33334" w:rsidRDefault="00F33334" w:rsidP="00DB7749">
      <w:pPr>
        <w:autoSpaceDE w:val="0"/>
        <w:autoSpaceDN w:val="0"/>
        <w:adjustRightInd w:val="0"/>
        <w:rPr>
          <w:szCs w:val="26"/>
        </w:rPr>
      </w:pPr>
      <w:r>
        <w:rPr>
          <w:szCs w:val="26"/>
        </w:rPr>
        <w:t>DOJE</w:t>
      </w:r>
      <w:r>
        <w:rPr>
          <w:szCs w:val="26"/>
        </w:rPr>
        <w:tab/>
      </w:r>
      <w:r>
        <w:rPr>
          <w:szCs w:val="26"/>
        </w:rPr>
        <w:tab/>
        <w:t>Department of Justice and Equality</w:t>
      </w:r>
    </w:p>
    <w:p w14:paraId="573FDE6D" w14:textId="77777777" w:rsidR="00DB7749" w:rsidRPr="00DB7749" w:rsidRDefault="00DB7749" w:rsidP="00DB7749">
      <w:pPr>
        <w:autoSpaceDE w:val="0"/>
        <w:autoSpaceDN w:val="0"/>
        <w:adjustRightInd w:val="0"/>
        <w:rPr>
          <w:szCs w:val="26"/>
        </w:rPr>
      </w:pPr>
      <w:r w:rsidRPr="00DB7749">
        <w:rPr>
          <w:szCs w:val="26"/>
        </w:rPr>
        <w:t>DSS</w:t>
      </w:r>
      <w:r w:rsidRPr="00DB7749">
        <w:rPr>
          <w:szCs w:val="26"/>
        </w:rPr>
        <w:tab/>
      </w:r>
      <w:r w:rsidRPr="00DB7749">
        <w:rPr>
          <w:szCs w:val="26"/>
        </w:rPr>
        <w:tab/>
        <w:t>Decision Support Service</w:t>
      </w:r>
    </w:p>
    <w:p w14:paraId="4844CD6B" w14:textId="77777777" w:rsidR="009639C5" w:rsidRDefault="009639C5" w:rsidP="00DB7749">
      <w:pPr>
        <w:autoSpaceDE w:val="0"/>
        <w:autoSpaceDN w:val="0"/>
        <w:adjustRightInd w:val="0"/>
        <w:rPr>
          <w:szCs w:val="26"/>
        </w:rPr>
      </w:pPr>
      <w:r>
        <w:rPr>
          <w:szCs w:val="26"/>
        </w:rPr>
        <w:t>EASI</w:t>
      </w:r>
      <w:r>
        <w:rPr>
          <w:szCs w:val="26"/>
        </w:rPr>
        <w:tab/>
      </w:r>
      <w:r>
        <w:rPr>
          <w:szCs w:val="26"/>
        </w:rPr>
        <w:tab/>
      </w:r>
      <w:r w:rsidRPr="00811B35">
        <w:rPr>
          <w:rFonts w:eastAsiaTheme="minorHAnsi" w:cs="Gill Sans MT,Bold"/>
          <w:bCs/>
          <w:szCs w:val="26"/>
        </w:rPr>
        <w:t>E</w:t>
      </w:r>
      <w:r w:rsidRPr="00811B35">
        <w:rPr>
          <w:rFonts w:eastAsiaTheme="minorHAnsi" w:cs="Gill Sans MT"/>
          <w:szCs w:val="26"/>
        </w:rPr>
        <w:t xml:space="preserve">valuation, </w:t>
      </w:r>
      <w:r w:rsidRPr="00811B35">
        <w:rPr>
          <w:rFonts w:eastAsiaTheme="minorHAnsi" w:cs="Gill Sans MT,Bold"/>
          <w:bCs/>
          <w:szCs w:val="26"/>
        </w:rPr>
        <w:t>A</w:t>
      </w:r>
      <w:r w:rsidRPr="00811B35">
        <w:rPr>
          <w:rFonts w:eastAsiaTheme="minorHAnsi" w:cs="Gill Sans MT"/>
          <w:szCs w:val="26"/>
        </w:rPr>
        <w:t xml:space="preserve">ction and </w:t>
      </w:r>
      <w:r w:rsidRPr="00811B35">
        <w:rPr>
          <w:rFonts w:eastAsiaTheme="minorHAnsi" w:cs="Gill Sans MT,Bold"/>
          <w:bCs/>
          <w:szCs w:val="26"/>
        </w:rPr>
        <w:t>S</w:t>
      </w:r>
      <w:r w:rsidRPr="00811B35">
        <w:rPr>
          <w:rFonts w:eastAsiaTheme="minorHAnsi" w:cs="Gill Sans MT"/>
          <w:szCs w:val="26"/>
        </w:rPr>
        <w:t xml:space="preserve">ervice </w:t>
      </w:r>
      <w:r w:rsidRPr="00811B35">
        <w:rPr>
          <w:rFonts w:eastAsiaTheme="minorHAnsi" w:cs="Gill Sans MT,Bold"/>
          <w:bCs/>
          <w:szCs w:val="26"/>
        </w:rPr>
        <w:t>I</w:t>
      </w:r>
      <w:r w:rsidRPr="00811B35">
        <w:rPr>
          <w:rFonts w:eastAsiaTheme="minorHAnsi" w:cs="Gill Sans MT"/>
          <w:szCs w:val="26"/>
        </w:rPr>
        <w:t>mprovement</w:t>
      </w:r>
    </w:p>
    <w:p w14:paraId="12896933" w14:textId="77777777" w:rsidR="00DB7749" w:rsidRPr="00DB7749" w:rsidRDefault="00DB7749" w:rsidP="00DB7749">
      <w:pPr>
        <w:autoSpaceDE w:val="0"/>
        <w:autoSpaceDN w:val="0"/>
        <w:adjustRightInd w:val="0"/>
        <w:rPr>
          <w:szCs w:val="26"/>
        </w:rPr>
      </w:pPr>
      <w:r w:rsidRPr="00DB7749">
        <w:rPr>
          <w:szCs w:val="26"/>
        </w:rPr>
        <w:t>ECCE</w:t>
      </w:r>
      <w:r w:rsidRPr="00DB7749">
        <w:rPr>
          <w:szCs w:val="26"/>
        </w:rPr>
        <w:tab/>
      </w:r>
      <w:r w:rsidRPr="00DB7749">
        <w:rPr>
          <w:szCs w:val="26"/>
        </w:rPr>
        <w:tab/>
        <w:t>Early Childhood Care and Education</w:t>
      </w:r>
    </w:p>
    <w:p w14:paraId="3C958F83" w14:textId="77777777" w:rsidR="00DB7749" w:rsidRPr="00DB7749" w:rsidRDefault="00DB7749" w:rsidP="00DB7749">
      <w:pPr>
        <w:autoSpaceDE w:val="0"/>
        <w:autoSpaceDN w:val="0"/>
        <w:adjustRightInd w:val="0"/>
        <w:rPr>
          <w:szCs w:val="26"/>
        </w:rPr>
      </w:pPr>
      <w:r w:rsidRPr="00DB7749">
        <w:rPr>
          <w:szCs w:val="26"/>
        </w:rPr>
        <w:t>FET</w:t>
      </w:r>
      <w:r w:rsidRPr="00DB7749">
        <w:rPr>
          <w:szCs w:val="26"/>
        </w:rPr>
        <w:tab/>
      </w:r>
      <w:r w:rsidRPr="00DB7749">
        <w:rPr>
          <w:szCs w:val="26"/>
        </w:rPr>
        <w:tab/>
        <w:t>Further Education and Training</w:t>
      </w:r>
    </w:p>
    <w:p w14:paraId="50AF6117" w14:textId="77777777" w:rsidR="00B95056" w:rsidRDefault="00B95056" w:rsidP="00DB7749">
      <w:pPr>
        <w:autoSpaceDE w:val="0"/>
        <w:autoSpaceDN w:val="0"/>
        <w:adjustRightInd w:val="0"/>
        <w:rPr>
          <w:szCs w:val="26"/>
        </w:rPr>
      </w:pPr>
      <w:r>
        <w:rPr>
          <w:szCs w:val="26"/>
        </w:rPr>
        <w:t>GUI</w:t>
      </w:r>
      <w:r>
        <w:rPr>
          <w:szCs w:val="26"/>
        </w:rPr>
        <w:tab/>
      </w:r>
      <w:r>
        <w:rPr>
          <w:szCs w:val="26"/>
        </w:rPr>
        <w:tab/>
        <w:t>Growing up in Ireland</w:t>
      </w:r>
    </w:p>
    <w:p w14:paraId="732C9AA6" w14:textId="77777777" w:rsidR="00B95056" w:rsidRDefault="00B95056" w:rsidP="00DB7749">
      <w:pPr>
        <w:autoSpaceDE w:val="0"/>
        <w:autoSpaceDN w:val="0"/>
        <w:adjustRightInd w:val="0"/>
        <w:rPr>
          <w:szCs w:val="26"/>
        </w:rPr>
      </w:pPr>
      <w:r>
        <w:rPr>
          <w:szCs w:val="26"/>
        </w:rPr>
        <w:t>HBSC</w:t>
      </w:r>
      <w:r>
        <w:rPr>
          <w:szCs w:val="26"/>
        </w:rPr>
        <w:tab/>
      </w:r>
      <w:r>
        <w:rPr>
          <w:szCs w:val="26"/>
        </w:rPr>
        <w:tab/>
        <w:t>Health Behaviour in School Aged Children</w:t>
      </w:r>
    </w:p>
    <w:p w14:paraId="1135D6B5" w14:textId="54BA6C59" w:rsidR="00DB7749" w:rsidRPr="00DB7749" w:rsidRDefault="00DB7749" w:rsidP="00DB7749">
      <w:pPr>
        <w:autoSpaceDE w:val="0"/>
        <w:autoSpaceDN w:val="0"/>
        <w:adjustRightInd w:val="0"/>
        <w:rPr>
          <w:szCs w:val="26"/>
        </w:rPr>
      </w:pPr>
      <w:r w:rsidRPr="00DB7749">
        <w:rPr>
          <w:szCs w:val="26"/>
        </w:rPr>
        <w:t>HIQA</w:t>
      </w:r>
      <w:r w:rsidRPr="00DB7749">
        <w:rPr>
          <w:szCs w:val="26"/>
        </w:rPr>
        <w:tab/>
      </w:r>
      <w:r>
        <w:rPr>
          <w:szCs w:val="26"/>
        </w:rPr>
        <w:tab/>
      </w:r>
      <w:r w:rsidRPr="00DB7749">
        <w:rPr>
          <w:szCs w:val="26"/>
        </w:rPr>
        <w:t>Health In</w:t>
      </w:r>
      <w:r w:rsidR="00D47730">
        <w:rPr>
          <w:szCs w:val="26"/>
        </w:rPr>
        <w:t>formation and Quality Authority</w:t>
      </w:r>
    </w:p>
    <w:p w14:paraId="597A8FBB" w14:textId="77777777" w:rsidR="00DB7749" w:rsidRPr="00DB7749" w:rsidRDefault="00DB7749" w:rsidP="00DB7749">
      <w:pPr>
        <w:autoSpaceDE w:val="0"/>
        <w:autoSpaceDN w:val="0"/>
        <w:adjustRightInd w:val="0"/>
        <w:rPr>
          <w:szCs w:val="26"/>
        </w:rPr>
      </w:pPr>
      <w:r w:rsidRPr="00DB7749">
        <w:rPr>
          <w:szCs w:val="26"/>
        </w:rPr>
        <w:t>HSE</w:t>
      </w:r>
      <w:r w:rsidRPr="00DB7749">
        <w:rPr>
          <w:szCs w:val="26"/>
        </w:rPr>
        <w:tab/>
      </w:r>
      <w:r w:rsidRPr="00DB7749">
        <w:rPr>
          <w:szCs w:val="26"/>
        </w:rPr>
        <w:tab/>
        <w:t>Health Service Executive</w:t>
      </w:r>
    </w:p>
    <w:p w14:paraId="4DE8D8B1" w14:textId="77777777" w:rsidR="00DB7749" w:rsidRPr="00DB7749" w:rsidRDefault="00DB7749" w:rsidP="00DB7749">
      <w:pPr>
        <w:autoSpaceDE w:val="0"/>
        <w:autoSpaceDN w:val="0"/>
        <w:adjustRightInd w:val="0"/>
        <w:rPr>
          <w:szCs w:val="26"/>
        </w:rPr>
      </w:pPr>
      <w:r w:rsidRPr="00DB7749">
        <w:rPr>
          <w:szCs w:val="26"/>
        </w:rPr>
        <w:t>IB</w:t>
      </w:r>
      <w:r w:rsidRPr="00DB7749">
        <w:rPr>
          <w:szCs w:val="26"/>
        </w:rPr>
        <w:tab/>
      </w:r>
      <w:r w:rsidRPr="00DB7749">
        <w:rPr>
          <w:szCs w:val="26"/>
        </w:rPr>
        <w:tab/>
        <w:t>Illness Benefit</w:t>
      </w:r>
    </w:p>
    <w:p w14:paraId="78CDDD62" w14:textId="77777777" w:rsidR="00D54503" w:rsidRDefault="00D54503" w:rsidP="00D54503">
      <w:pPr>
        <w:autoSpaceDE w:val="0"/>
        <w:autoSpaceDN w:val="0"/>
        <w:adjustRightInd w:val="0"/>
        <w:ind w:left="1440" w:hanging="1440"/>
        <w:rPr>
          <w:szCs w:val="26"/>
        </w:rPr>
      </w:pPr>
      <w:r>
        <w:rPr>
          <w:szCs w:val="26"/>
        </w:rPr>
        <w:t>IDS TILDA</w:t>
      </w:r>
      <w:r>
        <w:rPr>
          <w:szCs w:val="26"/>
        </w:rPr>
        <w:tab/>
        <w:t xml:space="preserve">Intellectual Disability Supplement The Irish Longitudinal Study on Ageing </w:t>
      </w:r>
    </w:p>
    <w:p w14:paraId="0CB2E5B3" w14:textId="39CDC862" w:rsidR="00DB7749" w:rsidRPr="00DB7749" w:rsidRDefault="00DB7749" w:rsidP="00DB7749">
      <w:pPr>
        <w:autoSpaceDE w:val="0"/>
        <w:autoSpaceDN w:val="0"/>
        <w:adjustRightInd w:val="0"/>
        <w:rPr>
          <w:szCs w:val="26"/>
        </w:rPr>
      </w:pPr>
      <w:r w:rsidRPr="00DB7749">
        <w:rPr>
          <w:szCs w:val="26"/>
        </w:rPr>
        <w:lastRenderedPageBreak/>
        <w:t>IHREC</w:t>
      </w:r>
      <w:r w:rsidRPr="00DB7749">
        <w:rPr>
          <w:szCs w:val="26"/>
        </w:rPr>
        <w:tab/>
        <w:t>Irish Human</w:t>
      </w:r>
      <w:r w:rsidR="00D47730">
        <w:rPr>
          <w:szCs w:val="26"/>
        </w:rPr>
        <w:t xml:space="preserve"> Rights and Equality Commission</w:t>
      </w:r>
    </w:p>
    <w:p w14:paraId="4622C97C" w14:textId="77777777" w:rsidR="00DB7749" w:rsidRPr="00DB7749" w:rsidRDefault="00DB7749" w:rsidP="00DB7749">
      <w:pPr>
        <w:autoSpaceDE w:val="0"/>
        <w:autoSpaceDN w:val="0"/>
        <w:adjustRightInd w:val="0"/>
        <w:rPr>
          <w:szCs w:val="26"/>
        </w:rPr>
      </w:pPr>
      <w:r w:rsidRPr="00DB7749">
        <w:rPr>
          <w:szCs w:val="26"/>
        </w:rPr>
        <w:t>IPS</w:t>
      </w:r>
      <w:r w:rsidRPr="00DB7749">
        <w:rPr>
          <w:szCs w:val="26"/>
        </w:rPr>
        <w:tab/>
      </w:r>
      <w:r w:rsidRPr="00DB7749">
        <w:rPr>
          <w:szCs w:val="26"/>
        </w:rPr>
        <w:tab/>
        <w:t>Individual Placement and Support</w:t>
      </w:r>
    </w:p>
    <w:p w14:paraId="3F98827F" w14:textId="77777777" w:rsidR="00DB7749" w:rsidRPr="00DB7749" w:rsidRDefault="00DB7749" w:rsidP="00DB7749">
      <w:pPr>
        <w:autoSpaceDE w:val="0"/>
        <w:autoSpaceDN w:val="0"/>
        <w:adjustRightInd w:val="0"/>
        <w:rPr>
          <w:szCs w:val="26"/>
        </w:rPr>
      </w:pPr>
      <w:r w:rsidRPr="00DB7749">
        <w:rPr>
          <w:szCs w:val="26"/>
        </w:rPr>
        <w:t>IRIS</w:t>
      </w:r>
      <w:r w:rsidRPr="00DB7749">
        <w:rPr>
          <w:szCs w:val="26"/>
        </w:rPr>
        <w:tab/>
      </w:r>
      <w:r w:rsidRPr="00DB7749">
        <w:rPr>
          <w:szCs w:val="26"/>
        </w:rPr>
        <w:tab/>
        <w:t>Irish Remote Interpreting Service</w:t>
      </w:r>
    </w:p>
    <w:p w14:paraId="58D323EB" w14:textId="77777777" w:rsidR="009639C5" w:rsidRDefault="009639C5" w:rsidP="00DB7749">
      <w:pPr>
        <w:autoSpaceDE w:val="0"/>
        <w:autoSpaceDN w:val="0"/>
        <w:adjustRightInd w:val="0"/>
        <w:rPr>
          <w:szCs w:val="26"/>
        </w:rPr>
      </w:pPr>
      <w:r>
        <w:rPr>
          <w:szCs w:val="26"/>
        </w:rPr>
        <w:t>MHC</w:t>
      </w:r>
      <w:r>
        <w:rPr>
          <w:szCs w:val="26"/>
        </w:rPr>
        <w:tab/>
      </w:r>
      <w:r>
        <w:rPr>
          <w:szCs w:val="26"/>
        </w:rPr>
        <w:tab/>
        <w:t>Mental Health Commission</w:t>
      </w:r>
    </w:p>
    <w:p w14:paraId="3715C9C9" w14:textId="77777777" w:rsidR="00DB7749" w:rsidRPr="00DB7749" w:rsidRDefault="00DB7749" w:rsidP="00DB7749">
      <w:pPr>
        <w:autoSpaceDE w:val="0"/>
        <w:autoSpaceDN w:val="0"/>
        <w:adjustRightInd w:val="0"/>
        <w:rPr>
          <w:szCs w:val="26"/>
        </w:rPr>
      </w:pPr>
      <w:r w:rsidRPr="00DB7749">
        <w:rPr>
          <w:szCs w:val="26"/>
        </w:rPr>
        <w:t>NAS</w:t>
      </w:r>
      <w:r w:rsidRPr="00DB7749">
        <w:rPr>
          <w:szCs w:val="26"/>
        </w:rPr>
        <w:tab/>
      </w:r>
      <w:r w:rsidRPr="00DB7749">
        <w:rPr>
          <w:szCs w:val="26"/>
        </w:rPr>
        <w:tab/>
        <w:t>National Advocacy Service</w:t>
      </w:r>
    </w:p>
    <w:p w14:paraId="59EAEE92" w14:textId="046EA5F3" w:rsidR="00DB7749" w:rsidRPr="00DB7749" w:rsidRDefault="00DB7749" w:rsidP="00DB7749">
      <w:pPr>
        <w:autoSpaceDE w:val="0"/>
        <w:autoSpaceDN w:val="0"/>
        <w:adjustRightInd w:val="0"/>
        <w:rPr>
          <w:szCs w:val="26"/>
        </w:rPr>
      </w:pPr>
      <w:r w:rsidRPr="00DB7749">
        <w:rPr>
          <w:szCs w:val="26"/>
        </w:rPr>
        <w:t>NCCA</w:t>
      </w:r>
      <w:r w:rsidRPr="00DB7749">
        <w:rPr>
          <w:szCs w:val="26"/>
        </w:rPr>
        <w:tab/>
        <w:t>National Council for Curric</w:t>
      </w:r>
      <w:r w:rsidR="00D47730">
        <w:rPr>
          <w:szCs w:val="26"/>
        </w:rPr>
        <w:t>ulum Assessment</w:t>
      </w:r>
    </w:p>
    <w:p w14:paraId="24CF4CFA" w14:textId="73A4E5E2" w:rsidR="00DB7749" w:rsidRPr="00DB7749" w:rsidRDefault="00DB7749" w:rsidP="00DB7749">
      <w:pPr>
        <w:autoSpaceDE w:val="0"/>
        <w:autoSpaceDN w:val="0"/>
        <w:adjustRightInd w:val="0"/>
        <w:rPr>
          <w:szCs w:val="26"/>
        </w:rPr>
      </w:pPr>
      <w:r w:rsidRPr="00DB7749">
        <w:rPr>
          <w:szCs w:val="26"/>
        </w:rPr>
        <w:t>NCSE</w:t>
      </w:r>
      <w:r>
        <w:rPr>
          <w:szCs w:val="26"/>
        </w:rPr>
        <w:tab/>
      </w:r>
      <w:r w:rsidRPr="00DB7749">
        <w:rPr>
          <w:szCs w:val="26"/>
        </w:rPr>
        <w:tab/>
        <w:t>Nationa</w:t>
      </w:r>
      <w:r w:rsidR="00D47730">
        <w:rPr>
          <w:szCs w:val="26"/>
        </w:rPr>
        <w:t>l Council for Special Education</w:t>
      </w:r>
    </w:p>
    <w:p w14:paraId="3FC8E8EA" w14:textId="77777777" w:rsidR="00DB7749" w:rsidRPr="00DB7749" w:rsidRDefault="00DB7749" w:rsidP="00DB7749">
      <w:pPr>
        <w:autoSpaceDE w:val="0"/>
        <w:autoSpaceDN w:val="0"/>
        <w:adjustRightInd w:val="0"/>
        <w:rPr>
          <w:szCs w:val="26"/>
        </w:rPr>
      </w:pPr>
      <w:r w:rsidRPr="00DB7749">
        <w:rPr>
          <w:szCs w:val="26"/>
        </w:rPr>
        <w:t>NDA</w:t>
      </w:r>
      <w:r w:rsidRPr="00DB7749">
        <w:rPr>
          <w:szCs w:val="26"/>
        </w:rPr>
        <w:tab/>
      </w:r>
      <w:r w:rsidRPr="00DB7749">
        <w:rPr>
          <w:szCs w:val="26"/>
        </w:rPr>
        <w:tab/>
        <w:t>National Disability Authority</w:t>
      </w:r>
    </w:p>
    <w:p w14:paraId="199C2789" w14:textId="77777777" w:rsidR="00DB7749" w:rsidRPr="00DB7749" w:rsidRDefault="00DB7749" w:rsidP="00DB7749">
      <w:pPr>
        <w:autoSpaceDE w:val="0"/>
        <w:autoSpaceDN w:val="0"/>
        <w:adjustRightInd w:val="0"/>
        <w:rPr>
          <w:szCs w:val="26"/>
        </w:rPr>
      </w:pPr>
      <w:r w:rsidRPr="00DB7749">
        <w:rPr>
          <w:szCs w:val="26"/>
        </w:rPr>
        <w:t>NDIS</w:t>
      </w:r>
      <w:r w:rsidRPr="00DB7749">
        <w:rPr>
          <w:szCs w:val="26"/>
        </w:rPr>
        <w:tab/>
      </w:r>
      <w:r w:rsidRPr="00DB7749">
        <w:rPr>
          <w:szCs w:val="26"/>
        </w:rPr>
        <w:tab/>
        <w:t>National Disability Inclusion Strategy</w:t>
      </w:r>
    </w:p>
    <w:p w14:paraId="16A57409" w14:textId="77777777" w:rsidR="00587F09" w:rsidRDefault="00587F09" w:rsidP="00DB7749">
      <w:pPr>
        <w:autoSpaceDE w:val="0"/>
        <w:autoSpaceDN w:val="0"/>
        <w:adjustRightInd w:val="0"/>
        <w:rPr>
          <w:szCs w:val="26"/>
        </w:rPr>
      </w:pPr>
      <w:r>
        <w:rPr>
          <w:szCs w:val="26"/>
        </w:rPr>
        <w:t>NRH</w:t>
      </w:r>
      <w:r>
        <w:rPr>
          <w:szCs w:val="26"/>
        </w:rPr>
        <w:tab/>
      </w:r>
      <w:r>
        <w:rPr>
          <w:szCs w:val="26"/>
        </w:rPr>
        <w:tab/>
        <w:t>National Rehabilitation Hospital</w:t>
      </w:r>
    </w:p>
    <w:p w14:paraId="646138C3" w14:textId="77777777" w:rsidR="00DB7749" w:rsidRPr="00DB7749" w:rsidRDefault="00DB7749" w:rsidP="00DB7749">
      <w:pPr>
        <w:autoSpaceDE w:val="0"/>
        <w:autoSpaceDN w:val="0"/>
        <w:adjustRightInd w:val="0"/>
        <w:rPr>
          <w:szCs w:val="26"/>
        </w:rPr>
      </w:pPr>
      <w:r w:rsidRPr="00DB7749">
        <w:rPr>
          <w:szCs w:val="26"/>
        </w:rPr>
        <w:t>NTA</w:t>
      </w:r>
      <w:r w:rsidRPr="00DB7749">
        <w:rPr>
          <w:szCs w:val="26"/>
        </w:rPr>
        <w:tab/>
      </w:r>
      <w:r w:rsidRPr="00DB7749">
        <w:rPr>
          <w:szCs w:val="26"/>
        </w:rPr>
        <w:tab/>
        <w:t>National Transport Authority</w:t>
      </w:r>
    </w:p>
    <w:p w14:paraId="00CB733A" w14:textId="7C86AB26" w:rsidR="00DB7749" w:rsidRPr="00DB7749" w:rsidRDefault="00DB7749" w:rsidP="00DB7749">
      <w:pPr>
        <w:autoSpaceDE w:val="0"/>
        <w:autoSpaceDN w:val="0"/>
        <w:adjustRightInd w:val="0"/>
        <w:rPr>
          <w:szCs w:val="26"/>
        </w:rPr>
      </w:pPr>
      <w:r w:rsidRPr="00DB7749">
        <w:rPr>
          <w:szCs w:val="26"/>
        </w:rPr>
        <w:t>OPW</w:t>
      </w:r>
      <w:r w:rsidRPr="00DB7749">
        <w:rPr>
          <w:szCs w:val="26"/>
        </w:rPr>
        <w:tab/>
      </w:r>
      <w:r>
        <w:rPr>
          <w:szCs w:val="26"/>
        </w:rPr>
        <w:tab/>
      </w:r>
      <w:r w:rsidR="00D47730">
        <w:rPr>
          <w:szCs w:val="26"/>
        </w:rPr>
        <w:t>Office of Public Works</w:t>
      </w:r>
    </w:p>
    <w:p w14:paraId="18101824" w14:textId="77777777" w:rsidR="009639C5" w:rsidRDefault="009639C5" w:rsidP="00DB7749">
      <w:pPr>
        <w:autoSpaceDE w:val="0"/>
        <w:autoSpaceDN w:val="0"/>
        <w:adjustRightInd w:val="0"/>
        <w:rPr>
          <w:szCs w:val="26"/>
        </w:rPr>
      </w:pPr>
      <w:r>
        <w:rPr>
          <w:szCs w:val="26"/>
        </w:rPr>
        <w:t>QNHS</w:t>
      </w:r>
      <w:r>
        <w:rPr>
          <w:szCs w:val="26"/>
        </w:rPr>
        <w:tab/>
        <w:t>Quarterly National Household Survey</w:t>
      </w:r>
    </w:p>
    <w:p w14:paraId="3C7AED07" w14:textId="77777777" w:rsidR="00EC2A87" w:rsidRDefault="00EC2A87" w:rsidP="00DB7749">
      <w:pPr>
        <w:autoSpaceDE w:val="0"/>
        <w:autoSpaceDN w:val="0"/>
        <w:adjustRightInd w:val="0"/>
        <w:rPr>
          <w:szCs w:val="26"/>
        </w:rPr>
      </w:pPr>
      <w:r>
        <w:rPr>
          <w:szCs w:val="26"/>
        </w:rPr>
        <w:t>RT</w:t>
      </w:r>
      <w:r>
        <w:rPr>
          <w:szCs w:val="26"/>
        </w:rPr>
        <w:tab/>
      </w:r>
      <w:r>
        <w:rPr>
          <w:szCs w:val="26"/>
        </w:rPr>
        <w:tab/>
        <w:t>Rehabilitative Training</w:t>
      </w:r>
    </w:p>
    <w:p w14:paraId="52E4039D" w14:textId="77777777" w:rsidR="00B95056" w:rsidRDefault="00B95056" w:rsidP="00DB7749">
      <w:pPr>
        <w:autoSpaceDE w:val="0"/>
        <w:autoSpaceDN w:val="0"/>
        <w:adjustRightInd w:val="0"/>
        <w:rPr>
          <w:szCs w:val="26"/>
        </w:rPr>
      </w:pPr>
      <w:r>
        <w:rPr>
          <w:szCs w:val="26"/>
        </w:rPr>
        <w:t>SDQ</w:t>
      </w:r>
      <w:r>
        <w:rPr>
          <w:szCs w:val="26"/>
        </w:rPr>
        <w:tab/>
      </w:r>
      <w:r>
        <w:rPr>
          <w:szCs w:val="26"/>
        </w:rPr>
        <w:tab/>
        <w:t>Strengths and Difficulties Questionnaire</w:t>
      </w:r>
    </w:p>
    <w:p w14:paraId="106B8CEF" w14:textId="77777777" w:rsidR="00DB7749" w:rsidRPr="00DB7749" w:rsidRDefault="00DB7749" w:rsidP="00DB7749">
      <w:pPr>
        <w:autoSpaceDE w:val="0"/>
        <w:autoSpaceDN w:val="0"/>
        <w:adjustRightInd w:val="0"/>
        <w:rPr>
          <w:szCs w:val="26"/>
        </w:rPr>
      </w:pPr>
      <w:r w:rsidRPr="00DB7749">
        <w:rPr>
          <w:szCs w:val="26"/>
        </w:rPr>
        <w:t>SLIS</w:t>
      </w:r>
      <w:r w:rsidRPr="00DB7749">
        <w:rPr>
          <w:szCs w:val="26"/>
        </w:rPr>
        <w:tab/>
      </w:r>
      <w:r w:rsidRPr="00DB7749">
        <w:rPr>
          <w:szCs w:val="26"/>
        </w:rPr>
        <w:tab/>
        <w:t>Sign Language Interpreting Service</w:t>
      </w:r>
    </w:p>
    <w:p w14:paraId="090A59B6" w14:textId="77777777" w:rsidR="00D54503" w:rsidRDefault="00D54503" w:rsidP="00D54503">
      <w:pPr>
        <w:autoSpaceDE w:val="0"/>
        <w:autoSpaceDN w:val="0"/>
        <w:adjustRightInd w:val="0"/>
        <w:ind w:left="1440" w:hanging="1440"/>
        <w:rPr>
          <w:szCs w:val="26"/>
        </w:rPr>
      </w:pPr>
      <w:r>
        <w:rPr>
          <w:szCs w:val="26"/>
        </w:rPr>
        <w:t>TILDA</w:t>
      </w:r>
      <w:r>
        <w:rPr>
          <w:szCs w:val="26"/>
        </w:rPr>
        <w:tab/>
        <w:t xml:space="preserve">The Irish Longitudinal Study on Ageing </w:t>
      </w:r>
    </w:p>
    <w:p w14:paraId="6D204706" w14:textId="77777777" w:rsidR="00587F09" w:rsidRDefault="00587F09" w:rsidP="00DB7749">
      <w:pPr>
        <w:autoSpaceDE w:val="0"/>
        <w:autoSpaceDN w:val="0"/>
        <w:adjustRightInd w:val="0"/>
        <w:rPr>
          <w:szCs w:val="26"/>
        </w:rPr>
      </w:pPr>
      <w:r>
        <w:rPr>
          <w:szCs w:val="26"/>
        </w:rPr>
        <w:t>UD</w:t>
      </w:r>
      <w:r>
        <w:rPr>
          <w:szCs w:val="26"/>
        </w:rPr>
        <w:tab/>
      </w:r>
      <w:r>
        <w:rPr>
          <w:szCs w:val="26"/>
        </w:rPr>
        <w:tab/>
        <w:t>Universal Design</w:t>
      </w:r>
    </w:p>
    <w:p w14:paraId="0A519BF5" w14:textId="77777777" w:rsidR="00DB7749" w:rsidRPr="00DB7749" w:rsidRDefault="00DB7749" w:rsidP="00DB7749">
      <w:pPr>
        <w:autoSpaceDE w:val="0"/>
        <w:autoSpaceDN w:val="0"/>
        <w:adjustRightInd w:val="0"/>
        <w:rPr>
          <w:szCs w:val="26"/>
        </w:rPr>
      </w:pPr>
      <w:r w:rsidRPr="00DB7749">
        <w:rPr>
          <w:szCs w:val="26"/>
        </w:rPr>
        <w:t>UNCRPD</w:t>
      </w:r>
      <w:r w:rsidRPr="00DB7749">
        <w:rPr>
          <w:szCs w:val="26"/>
        </w:rPr>
        <w:tab/>
        <w:t xml:space="preserve">United Nations Convention on the Rights of Persons with Disabilities </w:t>
      </w:r>
    </w:p>
    <w:p w14:paraId="77D8B355" w14:textId="778084CE" w:rsidR="004839F6" w:rsidRDefault="00DB7749" w:rsidP="00DB7749">
      <w:pPr>
        <w:autoSpaceDE w:val="0"/>
        <w:autoSpaceDN w:val="0"/>
        <w:adjustRightInd w:val="0"/>
        <w:rPr>
          <w:szCs w:val="26"/>
        </w:rPr>
      </w:pPr>
      <w:r w:rsidRPr="00DB7749">
        <w:rPr>
          <w:szCs w:val="26"/>
        </w:rPr>
        <w:t xml:space="preserve">WRC </w:t>
      </w:r>
      <w:r w:rsidRPr="00DB7749">
        <w:rPr>
          <w:szCs w:val="26"/>
        </w:rPr>
        <w:tab/>
      </w:r>
      <w:r>
        <w:rPr>
          <w:szCs w:val="26"/>
        </w:rPr>
        <w:tab/>
      </w:r>
      <w:r w:rsidR="00D47730">
        <w:rPr>
          <w:szCs w:val="26"/>
        </w:rPr>
        <w:t>Workplace Relations Commission</w:t>
      </w:r>
    </w:p>
    <w:p w14:paraId="4F64BFF6" w14:textId="77777777" w:rsidR="00DB7749" w:rsidRDefault="009639C5" w:rsidP="004839F6">
      <w:pPr>
        <w:autoSpaceDE w:val="0"/>
        <w:autoSpaceDN w:val="0"/>
        <w:adjustRightInd w:val="0"/>
        <w:rPr>
          <w:szCs w:val="26"/>
        </w:rPr>
      </w:pPr>
      <w:r>
        <w:rPr>
          <w:szCs w:val="26"/>
        </w:rPr>
        <w:t>YESS</w:t>
      </w:r>
      <w:r>
        <w:rPr>
          <w:szCs w:val="26"/>
        </w:rPr>
        <w:tab/>
      </w:r>
      <w:r>
        <w:rPr>
          <w:szCs w:val="26"/>
        </w:rPr>
        <w:tab/>
        <w:t>Youth Employment Support Scheme</w:t>
      </w:r>
    </w:p>
    <w:p w14:paraId="14404261" w14:textId="6A4815BA" w:rsidR="00DB7749" w:rsidRDefault="00DB7749" w:rsidP="004839F6">
      <w:pPr>
        <w:autoSpaceDE w:val="0"/>
        <w:autoSpaceDN w:val="0"/>
        <w:adjustRightInd w:val="0"/>
        <w:rPr>
          <w:szCs w:val="26"/>
        </w:rPr>
      </w:pPr>
    </w:p>
    <w:p w14:paraId="003F3CDD" w14:textId="77777777" w:rsidR="00C57B51" w:rsidRDefault="00C57B51" w:rsidP="004839F6">
      <w:pPr>
        <w:autoSpaceDE w:val="0"/>
        <w:autoSpaceDN w:val="0"/>
        <w:adjustRightInd w:val="0"/>
        <w:rPr>
          <w:szCs w:val="26"/>
        </w:rPr>
        <w:sectPr w:rsidR="00C57B51" w:rsidSect="0039017E">
          <w:pgSz w:w="11906" w:h="16838"/>
          <w:pgMar w:top="1440" w:right="1440" w:bottom="1440" w:left="1440" w:header="708" w:footer="708" w:gutter="0"/>
          <w:cols w:space="708"/>
          <w:docGrid w:linePitch="360"/>
        </w:sectPr>
      </w:pPr>
    </w:p>
    <w:p w14:paraId="49201A8B" w14:textId="77777777" w:rsidR="00533014" w:rsidRPr="000B3135" w:rsidRDefault="00533014" w:rsidP="00533014">
      <w:pPr>
        <w:pStyle w:val="Heading1"/>
        <w:rPr>
          <w:b/>
          <w:color w:val="auto"/>
        </w:rPr>
      </w:pPr>
      <w:r w:rsidRPr="000B3135">
        <w:rPr>
          <w:b/>
          <w:color w:val="auto"/>
        </w:rPr>
        <w:lastRenderedPageBreak/>
        <w:t>Executive Summary</w:t>
      </w:r>
    </w:p>
    <w:p w14:paraId="685C5EF3" w14:textId="542AA924" w:rsidR="00517B67" w:rsidRDefault="00533014" w:rsidP="00533014">
      <w:pPr>
        <w:rPr>
          <w:color w:val="000000" w:themeColor="text1"/>
          <w:lang w:eastAsia="en-IE"/>
        </w:rPr>
      </w:pPr>
      <w:r w:rsidRPr="004D08BD">
        <w:rPr>
          <w:color w:val="000000" w:themeColor="text1"/>
          <w:szCs w:val="26"/>
        </w:rPr>
        <w:t xml:space="preserve">This document provides a mid-term analysis of the status of the suite of indicators for the National Disability Inclusion Strategy (NDIS). It has been prepared by the National Disability Authority (NDA). </w:t>
      </w:r>
      <w:r w:rsidRPr="004D08BD">
        <w:rPr>
          <w:rFonts w:eastAsia="SimSun" w:cs="FuturaEF-Book"/>
          <w:color w:val="000000" w:themeColor="text1"/>
          <w:szCs w:val="26"/>
          <w:lang w:eastAsia="en-IE"/>
        </w:rPr>
        <w:t xml:space="preserve">This report presents information on 61 indicators across eight themes. The indicators are categorised as being either structural (13%), process (67%) or outcome (20%) </w:t>
      </w:r>
      <w:r w:rsidR="00BD025B">
        <w:rPr>
          <w:rFonts w:eastAsia="SimSun" w:cs="FuturaEF-Book"/>
          <w:color w:val="000000" w:themeColor="text1"/>
          <w:szCs w:val="26"/>
          <w:lang w:eastAsia="en-IE"/>
        </w:rPr>
        <w:t>indicators. Most indicators use</w:t>
      </w:r>
      <w:r w:rsidRPr="004D08BD">
        <w:rPr>
          <w:rFonts w:eastAsia="SimSun" w:cs="FuturaEF-Book"/>
          <w:color w:val="000000" w:themeColor="text1"/>
          <w:szCs w:val="26"/>
          <w:lang w:eastAsia="en-IE"/>
        </w:rPr>
        <w:t xml:space="preserve"> publically available data sources such as from the Central Statistics Office</w:t>
      </w:r>
      <w:r w:rsidR="00BD025B">
        <w:rPr>
          <w:rFonts w:eastAsia="SimSun" w:cs="FuturaEF-Book"/>
          <w:color w:val="000000" w:themeColor="text1"/>
          <w:szCs w:val="26"/>
          <w:lang w:eastAsia="en-IE"/>
        </w:rPr>
        <w:t xml:space="preserve">. </w:t>
      </w:r>
      <w:r w:rsidRPr="004D08BD">
        <w:rPr>
          <w:color w:val="000000" w:themeColor="text1"/>
          <w:lang w:eastAsia="en-IE"/>
        </w:rPr>
        <w:t xml:space="preserve">The analysis has shown areas of progress in reaching the aims of the NDIS strategy and areas in need of improvement. </w:t>
      </w:r>
      <w:r w:rsidR="0040251A">
        <w:rPr>
          <w:color w:val="000000" w:themeColor="text1"/>
          <w:lang w:eastAsia="en-IE"/>
        </w:rPr>
        <w:t xml:space="preserve">Below is a summary of the main findings under the </w:t>
      </w:r>
      <w:r w:rsidR="00BD025B">
        <w:rPr>
          <w:color w:val="000000" w:themeColor="text1"/>
          <w:lang w:eastAsia="en-IE"/>
        </w:rPr>
        <w:t>s</w:t>
      </w:r>
      <w:r w:rsidR="00FB2073">
        <w:rPr>
          <w:color w:val="000000" w:themeColor="text1"/>
          <w:lang w:eastAsia="en-IE"/>
        </w:rPr>
        <w:t>trategy’s thematic areas.</w:t>
      </w:r>
    </w:p>
    <w:p w14:paraId="359E0E91" w14:textId="0704D69B" w:rsidR="00517B67" w:rsidRPr="00FD39CF" w:rsidRDefault="00FD39CF" w:rsidP="00FB2073">
      <w:pPr>
        <w:pStyle w:val="Heading2"/>
        <w:rPr>
          <w:lang w:eastAsia="en-IE"/>
        </w:rPr>
      </w:pPr>
      <w:r>
        <w:rPr>
          <w:lang w:eastAsia="en-IE"/>
        </w:rPr>
        <w:t xml:space="preserve">Theme 1: </w:t>
      </w:r>
      <w:r w:rsidR="00517B67" w:rsidRPr="00FD39CF">
        <w:rPr>
          <w:lang w:eastAsia="en-IE"/>
        </w:rPr>
        <w:t>Equality and Choice</w:t>
      </w:r>
    </w:p>
    <w:p w14:paraId="7C1437F1" w14:textId="7123962F" w:rsidR="00533014" w:rsidRPr="004D08BD" w:rsidRDefault="00533014" w:rsidP="00533014">
      <w:pPr>
        <w:rPr>
          <w:color w:val="000000" w:themeColor="text1"/>
          <w:lang w:eastAsia="en-IE"/>
        </w:rPr>
      </w:pPr>
      <w:r w:rsidRPr="004D08BD">
        <w:rPr>
          <w:color w:val="000000" w:themeColor="text1"/>
          <w:lang w:eastAsia="en-IE"/>
        </w:rPr>
        <w:t xml:space="preserve">The ratification of the </w:t>
      </w:r>
      <w:r w:rsidR="002C3F35" w:rsidRPr="002C3F35">
        <w:rPr>
          <w:color w:val="000000" w:themeColor="text1"/>
          <w:lang w:eastAsia="en-IE"/>
        </w:rPr>
        <w:t xml:space="preserve">United Nations Convention on the Rights of Persons with Disabilities </w:t>
      </w:r>
      <w:r w:rsidRPr="004D08BD">
        <w:rPr>
          <w:color w:val="000000" w:themeColor="text1"/>
          <w:lang w:eastAsia="en-IE"/>
        </w:rPr>
        <w:t>was an important milestone in the life time of this strategy. However, there are some key pieces of legislation that are outstanding and advancing them in the remaining years of the strategy is crucial. These include Deprivation of Liberty legislation, fully commencing the Assisted Decision Making (Capacity) Act, which would then allow full operation of the Decision Support Service, and reform of Mental Health Legislation to implement the Expert Group recommendations. We are also waiting for the EU Web Accessibili</w:t>
      </w:r>
      <w:r w:rsidR="00FB2073">
        <w:rPr>
          <w:color w:val="000000" w:themeColor="text1"/>
          <w:lang w:eastAsia="en-IE"/>
        </w:rPr>
        <w:t>ty Directive to be transposed.</w:t>
      </w:r>
    </w:p>
    <w:p w14:paraId="2EB3160F" w14:textId="11B3503D" w:rsidR="00533014" w:rsidRDefault="00533014" w:rsidP="00533014">
      <w:pPr>
        <w:rPr>
          <w:color w:val="000000" w:themeColor="text1"/>
        </w:rPr>
      </w:pPr>
      <w:r w:rsidRPr="004D08BD">
        <w:rPr>
          <w:color w:val="000000" w:themeColor="text1"/>
          <w:lang w:eastAsia="en-IE"/>
        </w:rPr>
        <w:t xml:space="preserve">The Irish Sign Language Act </w:t>
      </w:r>
      <w:r w:rsidR="00BD025B">
        <w:rPr>
          <w:color w:val="000000" w:themeColor="text1"/>
          <w:lang w:eastAsia="en-IE"/>
        </w:rPr>
        <w:t>was</w:t>
      </w:r>
      <w:r w:rsidRPr="004D08BD">
        <w:rPr>
          <w:color w:val="000000" w:themeColor="text1"/>
          <w:lang w:eastAsia="en-IE"/>
        </w:rPr>
        <w:t xml:space="preserve"> passed </w:t>
      </w:r>
      <w:r w:rsidR="00BD025B">
        <w:rPr>
          <w:color w:val="000000" w:themeColor="text1"/>
          <w:lang w:eastAsia="en-IE"/>
        </w:rPr>
        <w:t xml:space="preserve">in 2017 </w:t>
      </w:r>
      <w:r w:rsidRPr="004D08BD">
        <w:rPr>
          <w:color w:val="000000" w:themeColor="text1"/>
          <w:lang w:eastAsia="en-IE"/>
        </w:rPr>
        <w:t>but is not yet commenced and the NDA</w:t>
      </w:r>
      <w:r w:rsidR="0040251A">
        <w:rPr>
          <w:color w:val="000000" w:themeColor="text1"/>
          <w:lang w:eastAsia="en-IE"/>
        </w:rPr>
        <w:t xml:space="preserve"> is concerned that</w:t>
      </w:r>
      <w:r w:rsidRPr="004D08BD">
        <w:rPr>
          <w:color w:val="000000" w:themeColor="text1"/>
          <w:lang w:eastAsia="en-IE"/>
        </w:rPr>
        <w:t xml:space="preserve"> </w:t>
      </w:r>
      <w:r>
        <w:rPr>
          <w:color w:val="000000" w:themeColor="text1"/>
          <w:lang w:eastAsia="en-IE"/>
        </w:rPr>
        <w:t>there may be</w:t>
      </w:r>
      <w:r w:rsidRPr="004D08BD">
        <w:rPr>
          <w:color w:val="000000" w:themeColor="text1"/>
          <w:lang w:eastAsia="en-IE"/>
        </w:rPr>
        <w:t xml:space="preserve"> a lack of awareness in the public sector around their obligations to comply with this legislation. While the Sign Language Interpreting Service has </w:t>
      </w:r>
      <w:r w:rsidRPr="004D08BD">
        <w:rPr>
          <w:color w:val="000000" w:themeColor="text1"/>
        </w:rPr>
        <w:t>improved response rates to requests for Irish Sign Language, and use of the Irish Remote Interpreting Service has doubled between 2016 and 2018</w:t>
      </w:r>
      <w:r w:rsidR="0040251A">
        <w:rPr>
          <w:color w:val="000000" w:themeColor="text1"/>
        </w:rPr>
        <w:t>,</w:t>
      </w:r>
      <w:r w:rsidRPr="004D08BD">
        <w:rPr>
          <w:color w:val="000000" w:themeColor="text1"/>
        </w:rPr>
        <w:t xml:space="preserve"> these services will need to improve further to provide the capacity required whe</w:t>
      </w:r>
      <w:r w:rsidR="00FB2073">
        <w:rPr>
          <w:color w:val="000000" w:themeColor="text1"/>
        </w:rPr>
        <w:t>n the Act is fully commenced.</w:t>
      </w:r>
    </w:p>
    <w:p w14:paraId="4D2A53FB" w14:textId="5399EFD4" w:rsidR="00517B67" w:rsidRDefault="0040251A" w:rsidP="00533014">
      <w:pPr>
        <w:rPr>
          <w:color w:val="000000" w:themeColor="text1"/>
        </w:rPr>
      </w:pPr>
      <w:r>
        <w:rPr>
          <w:color w:val="000000" w:themeColor="text1"/>
          <w:lang w:eastAsia="en-IE"/>
        </w:rPr>
        <w:t>P</w:t>
      </w:r>
      <w:r w:rsidRPr="004D08BD">
        <w:rPr>
          <w:color w:val="000000" w:themeColor="text1"/>
          <w:lang w:eastAsia="en-IE"/>
        </w:rPr>
        <w:t xml:space="preserve">ersons with disabilities </w:t>
      </w:r>
      <w:r>
        <w:rPr>
          <w:color w:val="000000" w:themeColor="text1"/>
          <w:lang w:eastAsia="en-IE"/>
        </w:rPr>
        <w:t xml:space="preserve">have reported a higher number of </w:t>
      </w:r>
      <w:r w:rsidR="00517B67" w:rsidRPr="004D08BD">
        <w:rPr>
          <w:color w:val="000000" w:themeColor="text1"/>
          <w:lang w:eastAsia="en-IE"/>
        </w:rPr>
        <w:t xml:space="preserve">experiences of discrimination </w:t>
      </w:r>
      <w:r>
        <w:rPr>
          <w:color w:val="000000" w:themeColor="text1"/>
          <w:lang w:eastAsia="en-IE"/>
        </w:rPr>
        <w:t xml:space="preserve">than </w:t>
      </w:r>
      <w:r w:rsidR="00BD025B">
        <w:rPr>
          <w:color w:val="000000" w:themeColor="text1"/>
          <w:lang w:eastAsia="en-IE"/>
        </w:rPr>
        <w:t>persons</w:t>
      </w:r>
      <w:r>
        <w:rPr>
          <w:color w:val="000000" w:themeColor="text1"/>
          <w:lang w:eastAsia="en-IE"/>
        </w:rPr>
        <w:t xml:space="preserve"> without disabilities. Experiences of discrimination by persons with disabilities is also reflected</w:t>
      </w:r>
      <w:r w:rsidR="00517B67" w:rsidRPr="004D08BD">
        <w:rPr>
          <w:color w:val="000000" w:themeColor="text1"/>
          <w:lang w:eastAsia="en-IE"/>
        </w:rPr>
        <w:t xml:space="preserve"> in the increased number of cases taken to the Workplace Relations Commission</w:t>
      </w:r>
      <w:r>
        <w:rPr>
          <w:color w:val="000000" w:themeColor="text1"/>
          <w:lang w:eastAsia="en-IE"/>
        </w:rPr>
        <w:t xml:space="preserve"> on disability grounds</w:t>
      </w:r>
      <w:r w:rsidR="00517B67" w:rsidRPr="004D08BD">
        <w:rPr>
          <w:color w:val="000000" w:themeColor="text1"/>
          <w:lang w:eastAsia="en-IE"/>
        </w:rPr>
        <w:t xml:space="preserve"> and the </w:t>
      </w:r>
      <w:r w:rsidR="00591F27">
        <w:rPr>
          <w:color w:val="000000" w:themeColor="text1"/>
          <w:lang w:eastAsia="en-IE"/>
        </w:rPr>
        <w:t xml:space="preserve">slight </w:t>
      </w:r>
      <w:r w:rsidR="00517B67" w:rsidRPr="004D08BD">
        <w:rPr>
          <w:color w:val="000000" w:themeColor="text1"/>
          <w:lang w:eastAsia="en-IE"/>
        </w:rPr>
        <w:t xml:space="preserve">increase in calls to the Irish Human Rights and Equality </w:t>
      </w:r>
      <w:r w:rsidR="00BD025B">
        <w:rPr>
          <w:color w:val="000000" w:themeColor="text1"/>
          <w:lang w:eastAsia="en-IE"/>
        </w:rPr>
        <w:t>Commission</w:t>
      </w:r>
      <w:r w:rsidR="00517B67" w:rsidRPr="004D08BD">
        <w:rPr>
          <w:color w:val="000000" w:themeColor="text1"/>
          <w:lang w:eastAsia="en-IE"/>
        </w:rPr>
        <w:t xml:space="preserve"> relatin</w:t>
      </w:r>
      <w:r w:rsidR="00FB2073">
        <w:rPr>
          <w:color w:val="000000" w:themeColor="text1"/>
          <w:lang w:eastAsia="en-IE"/>
        </w:rPr>
        <w:t>g to disability discrimination.</w:t>
      </w:r>
    </w:p>
    <w:p w14:paraId="4CA9B6A4" w14:textId="2C534A7C" w:rsidR="00517B67" w:rsidRDefault="00517B67" w:rsidP="00533014">
      <w:pPr>
        <w:rPr>
          <w:color w:val="000000" w:themeColor="text1"/>
        </w:rPr>
      </w:pPr>
      <w:r w:rsidRPr="004D08BD">
        <w:rPr>
          <w:color w:val="000000" w:themeColor="text1"/>
          <w:lang w:eastAsia="en-IE"/>
        </w:rPr>
        <w:t xml:space="preserve">There has been an increase in the number of persons with disabilities receiving full representative advocacy support from the National Advocacy Service. </w:t>
      </w:r>
      <w:r w:rsidRPr="00B02C90">
        <w:rPr>
          <w:color w:val="000000" w:themeColor="text1"/>
          <w:szCs w:val="26"/>
          <w:lang w:eastAsia="en-IE"/>
        </w:rPr>
        <w:t>Ther</w:t>
      </w:r>
      <w:r w:rsidRPr="004D08BD">
        <w:rPr>
          <w:color w:val="000000" w:themeColor="text1"/>
          <w:szCs w:val="26"/>
          <w:lang w:eastAsia="en-IE"/>
        </w:rPr>
        <w:t>e has been an increase in both the number of safeguarding concerns reported to HSE’s Safeguarding and Protection Teams and in the proportion of these concerns which were found to have reasonable grounds for concern.</w:t>
      </w:r>
    </w:p>
    <w:p w14:paraId="5BB5D9D0" w14:textId="4114FF6F" w:rsidR="00517B67" w:rsidRPr="00FD39CF" w:rsidRDefault="00FD39CF" w:rsidP="00FB2073">
      <w:pPr>
        <w:pStyle w:val="Heading2"/>
        <w:rPr>
          <w:lang w:eastAsia="en-IE"/>
        </w:rPr>
      </w:pPr>
      <w:r>
        <w:rPr>
          <w:lang w:eastAsia="en-IE"/>
        </w:rPr>
        <w:t xml:space="preserve">Theme 2: </w:t>
      </w:r>
      <w:r w:rsidR="00517B67" w:rsidRPr="00FD39CF">
        <w:rPr>
          <w:lang w:eastAsia="en-IE"/>
        </w:rPr>
        <w:t>Joined-up Policies and Public Services</w:t>
      </w:r>
    </w:p>
    <w:p w14:paraId="0F69B513" w14:textId="6904F57D" w:rsidR="00517B67" w:rsidRDefault="00517B67" w:rsidP="00533014">
      <w:pPr>
        <w:rPr>
          <w:color w:val="000000" w:themeColor="text1"/>
          <w:lang w:eastAsia="en-IE"/>
        </w:rPr>
      </w:pPr>
      <w:r w:rsidRPr="004D08BD">
        <w:rPr>
          <w:color w:val="000000" w:themeColor="text1"/>
          <w:szCs w:val="26"/>
          <w:lang w:eastAsia="en-IE"/>
        </w:rPr>
        <w:t xml:space="preserve">A key theme of the strategy is </w:t>
      </w:r>
      <w:r>
        <w:rPr>
          <w:color w:val="000000" w:themeColor="text1"/>
          <w:szCs w:val="26"/>
          <w:lang w:eastAsia="en-IE"/>
        </w:rPr>
        <w:t>‘</w:t>
      </w:r>
      <w:r w:rsidRPr="004D08BD">
        <w:rPr>
          <w:color w:val="000000" w:themeColor="text1"/>
          <w:szCs w:val="26"/>
          <w:lang w:eastAsia="en-IE"/>
        </w:rPr>
        <w:t>Joined up Policies and Public Services</w:t>
      </w:r>
      <w:r>
        <w:rPr>
          <w:color w:val="000000" w:themeColor="text1"/>
          <w:szCs w:val="26"/>
          <w:lang w:eastAsia="en-IE"/>
        </w:rPr>
        <w:t>’</w:t>
      </w:r>
      <w:r w:rsidRPr="004D08BD">
        <w:rPr>
          <w:color w:val="000000" w:themeColor="text1"/>
          <w:szCs w:val="26"/>
          <w:lang w:eastAsia="en-IE"/>
        </w:rPr>
        <w:t xml:space="preserve">. This report provides some examples of government departments working together </w:t>
      </w:r>
      <w:r>
        <w:rPr>
          <w:color w:val="000000" w:themeColor="text1"/>
          <w:szCs w:val="26"/>
          <w:lang w:eastAsia="en-IE"/>
        </w:rPr>
        <w:t>in structures such</w:t>
      </w:r>
      <w:r w:rsidRPr="004D08BD">
        <w:rPr>
          <w:color w:val="000000" w:themeColor="text1"/>
          <w:szCs w:val="26"/>
          <w:lang w:eastAsia="en-IE"/>
        </w:rPr>
        <w:t xml:space="preserve"> as the NDIS Steering Group and the Comprehensive Employment Strategy Implementation Group. </w:t>
      </w:r>
      <w:r w:rsidRPr="004D08BD">
        <w:rPr>
          <w:color w:val="000000" w:themeColor="text1"/>
        </w:rPr>
        <w:t xml:space="preserve">Within nine government departments Disability Consultative </w:t>
      </w:r>
      <w:r w:rsidRPr="004D08BD">
        <w:rPr>
          <w:color w:val="000000" w:themeColor="text1"/>
        </w:rPr>
        <w:lastRenderedPageBreak/>
        <w:t>Committees are meeting regularly and there is scope for more depar</w:t>
      </w:r>
      <w:r w:rsidR="00FB2073">
        <w:rPr>
          <w:color w:val="000000" w:themeColor="text1"/>
        </w:rPr>
        <w:t>tments to establish committees.</w:t>
      </w:r>
    </w:p>
    <w:p w14:paraId="7032CD86" w14:textId="1CB3A577" w:rsidR="00517B67" w:rsidRPr="00FD39CF" w:rsidRDefault="00FD39CF" w:rsidP="00FB2073">
      <w:pPr>
        <w:pStyle w:val="Heading2"/>
        <w:rPr>
          <w:lang w:eastAsia="en-IE"/>
        </w:rPr>
      </w:pPr>
      <w:r>
        <w:rPr>
          <w:lang w:eastAsia="en-IE"/>
        </w:rPr>
        <w:t xml:space="preserve">Theme 3: </w:t>
      </w:r>
      <w:r w:rsidR="00517B67" w:rsidRPr="00FD39CF">
        <w:rPr>
          <w:lang w:eastAsia="en-IE"/>
        </w:rPr>
        <w:t>Education</w:t>
      </w:r>
    </w:p>
    <w:p w14:paraId="15A1A1F7" w14:textId="48784CF0" w:rsidR="00533014" w:rsidRDefault="00EA7567" w:rsidP="00533014">
      <w:pPr>
        <w:rPr>
          <w:color w:val="000000" w:themeColor="text1"/>
          <w:lang w:eastAsia="en-IE"/>
        </w:rPr>
      </w:pPr>
      <w:r>
        <w:rPr>
          <w:color w:val="000000" w:themeColor="text1"/>
          <w:lang w:eastAsia="en-IE"/>
        </w:rPr>
        <w:t xml:space="preserve">Baseline data from the 2016 census shows a </w:t>
      </w:r>
      <w:r w:rsidR="0040251A" w:rsidRPr="004D08BD">
        <w:rPr>
          <w:color w:val="000000" w:themeColor="text1"/>
          <w:lang w:eastAsia="en-IE"/>
        </w:rPr>
        <w:t xml:space="preserve">gap </w:t>
      </w:r>
      <w:r>
        <w:rPr>
          <w:color w:val="000000" w:themeColor="text1"/>
          <w:lang w:eastAsia="en-IE"/>
        </w:rPr>
        <w:t xml:space="preserve">in the highest levels of educational attainment </w:t>
      </w:r>
      <w:r w:rsidR="0040251A" w:rsidRPr="004D08BD">
        <w:rPr>
          <w:color w:val="000000" w:themeColor="text1"/>
          <w:lang w:eastAsia="en-IE"/>
        </w:rPr>
        <w:t>between persons with and without a disability</w:t>
      </w:r>
      <w:r w:rsidR="00FB2073">
        <w:rPr>
          <w:color w:val="000000" w:themeColor="text1"/>
          <w:lang w:eastAsia="en-IE"/>
        </w:rPr>
        <w:t xml:space="preserve">. </w:t>
      </w:r>
      <w:r>
        <w:rPr>
          <w:color w:val="000000" w:themeColor="text1"/>
          <w:lang w:eastAsia="en-IE"/>
        </w:rPr>
        <w:t xml:space="preserve">However, </w:t>
      </w:r>
      <w:r>
        <w:rPr>
          <w:lang w:eastAsia="en-IE"/>
        </w:rPr>
        <w:t xml:space="preserve">the proportion of students with disabilities in higher education institutions is increasing. </w:t>
      </w:r>
      <w:r w:rsidR="00533014" w:rsidRPr="004D08BD">
        <w:rPr>
          <w:color w:val="000000" w:themeColor="text1"/>
          <w:lang w:eastAsia="en-IE"/>
        </w:rPr>
        <w:t>The Access and Inclusion Model for pre-school children has been a success story with an increase in children accessing pre-school supports between 2016 and 2018 and an evaluation of the programme showing positive impacts for children. Other developments through the National Council for Curriculum Assessment and the Department of Child</w:t>
      </w:r>
      <w:r w:rsidR="00591F27">
        <w:rPr>
          <w:color w:val="000000" w:themeColor="text1"/>
          <w:lang w:eastAsia="en-IE"/>
        </w:rPr>
        <w:t>ren and Youth Affairs should lead</w:t>
      </w:r>
      <w:r w:rsidR="00533014" w:rsidRPr="004D08BD">
        <w:rPr>
          <w:color w:val="000000" w:themeColor="text1"/>
          <w:lang w:eastAsia="en-IE"/>
        </w:rPr>
        <w:t xml:space="preserve"> to an improved transition process for children with disabilities moving between p</w:t>
      </w:r>
      <w:r w:rsidR="00FB2073">
        <w:rPr>
          <w:color w:val="000000" w:themeColor="text1"/>
          <w:lang w:eastAsia="en-IE"/>
        </w:rPr>
        <w:t>re-schools and primary schools.</w:t>
      </w:r>
    </w:p>
    <w:p w14:paraId="304F6FB7" w14:textId="344124D3" w:rsidR="00517B67" w:rsidRPr="00FD39CF" w:rsidRDefault="00FD39CF" w:rsidP="00FB2073">
      <w:pPr>
        <w:pStyle w:val="Heading2"/>
        <w:rPr>
          <w:lang w:eastAsia="en-IE"/>
        </w:rPr>
      </w:pPr>
      <w:r>
        <w:rPr>
          <w:lang w:eastAsia="en-IE"/>
        </w:rPr>
        <w:t xml:space="preserve">Theme 4: </w:t>
      </w:r>
      <w:r w:rsidR="00517B67" w:rsidRPr="00FD39CF">
        <w:rPr>
          <w:lang w:eastAsia="en-IE"/>
        </w:rPr>
        <w:t>Employment</w:t>
      </w:r>
    </w:p>
    <w:p w14:paraId="41655C48" w14:textId="0F083E4A" w:rsidR="00517B67" w:rsidRDefault="00EA7567" w:rsidP="00517B67">
      <w:pPr>
        <w:rPr>
          <w:color w:val="000000" w:themeColor="text1"/>
          <w:lang w:eastAsia="en-IE"/>
        </w:rPr>
      </w:pPr>
      <w:r>
        <w:rPr>
          <w:color w:val="000000" w:themeColor="text1"/>
          <w:lang w:eastAsia="en-IE"/>
        </w:rPr>
        <w:t xml:space="preserve">Baseline data from the 2016 census shows the gap between persons with and without a disability in terms of employment levels with </w:t>
      </w:r>
      <w:r>
        <w:rPr>
          <w:szCs w:val="26"/>
          <w:lang w:eastAsia="en-IE"/>
        </w:rPr>
        <w:t>almost 73%</w:t>
      </w:r>
      <w:r w:rsidRPr="009E4ABD">
        <w:rPr>
          <w:szCs w:val="26"/>
          <w:lang w:eastAsia="en-IE"/>
        </w:rPr>
        <w:t xml:space="preserve"> of people </w:t>
      </w:r>
      <w:r>
        <w:rPr>
          <w:szCs w:val="26"/>
          <w:lang w:eastAsia="en-IE"/>
        </w:rPr>
        <w:t xml:space="preserve">aged 20-64 </w:t>
      </w:r>
      <w:r w:rsidRPr="009E4ABD">
        <w:rPr>
          <w:szCs w:val="26"/>
          <w:lang w:eastAsia="en-IE"/>
        </w:rPr>
        <w:t>with</w:t>
      </w:r>
      <w:r>
        <w:rPr>
          <w:szCs w:val="26"/>
          <w:lang w:eastAsia="en-IE"/>
        </w:rPr>
        <w:t>out</w:t>
      </w:r>
      <w:r w:rsidRPr="009E4ABD">
        <w:rPr>
          <w:szCs w:val="26"/>
          <w:lang w:eastAsia="en-IE"/>
        </w:rPr>
        <w:t xml:space="preserve"> a disability employed compared to 3</w:t>
      </w:r>
      <w:r>
        <w:rPr>
          <w:szCs w:val="26"/>
          <w:lang w:eastAsia="en-IE"/>
        </w:rPr>
        <w:t>6.5</w:t>
      </w:r>
      <w:r w:rsidRPr="009E4ABD">
        <w:rPr>
          <w:szCs w:val="26"/>
          <w:lang w:eastAsia="en-IE"/>
        </w:rPr>
        <w:t xml:space="preserve">% of </w:t>
      </w:r>
      <w:r>
        <w:rPr>
          <w:szCs w:val="26"/>
          <w:lang w:eastAsia="en-IE"/>
        </w:rPr>
        <w:t>persons without a disability</w:t>
      </w:r>
      <w:r w:rsidRPr="009E4ABD">
        <w:rPr>
          <w:szCs w:val="26"/>
          <w:lang w:eastAsia="en-IE"/>
        </w:rPr>
        <w:t xml:space="preserve"> </w:t>
      </w:r>
      <w:r>
        <w:rPr>
          <w:szCs w:val="26"/>
          <w:lang w:eastAsia="en-IE"/>
        </w:rPr>
        <w:t>in the same age group. The</w:t>
      </w:r>
      <w:r w:rsidR="00517B67" w:rsidRPr="004D08BD">
        <w:rPr>
          <w:color w:val="000000" w:themeColor="text1"/>
        </w:rPr>
        <w:t xml:space="preserve"> number of persons with disabilities employed in the public sector has decreased slightly in 2018 from 3.5% in t</w:t>
      </w:r>
      <w:r w:rsidR="00897FDE">
        <w:rPr>
          <w:color w:val="000000" w:themeColor="text1"/>
        </w:rPr>
        <w:t xml:space="preserve">he previous two years to 3.3%. </w:t>
      </w:r>
      <w:r w:rsidR="00517B67" w:rsidRPr="004D08BD">
        <w:rPr>
          <w:color w:val="000000" w:themeColor="text1"/>
          <w:lang w:eastAsia="en-IE"/>
        </w:rPr>
        <w:t>The expenditure by the Department of Employment Affairs and Social Protection on the Reasonable Accommodation Fund increased by 55% between 2016 (€77,822) and 2018 (€120,622).</w:t>
      </w:r>
    </w:p>
    <w:p w14:paraId="22508991" w14:textId="2491DD33" w:rsidR="00517B67" w:rsidRPr="00FD39CF" w:rsidRDefault="00FD39CF" w:rsidP="00FB2073">
      <w:pPr>
        <w:pStyle w:val="Heading2"/>
        <w:rPr>
          <w:lang w:eastAsia="en-IE"/>
        </w:rPr>
      </w:pPr>
      <w:r>
        <w:rPr>
          <w:lang w:eastAsia="en-IE"/>
        </w:rPr>
        <w:t xml:space="preserve">Theme 5: </w:t>
      </w:r>
      <w:r w:rsidR="00517B67" w:rsidRPr="00FD39CF">
        <w:rPr>
          <w:lang w:eastAsia="en-IE"/>
        </w:rPr>
        <w:t>Health and Wellbeing</w:t>
      </w:r>
    </w:p>
    <w:p w14:paraId="78849345" w14:textId="78838269" w:rsidR="00EA7567" w:rsidRDefault="00517B67" w:rsidP="00517B67">
      <w:pPr>
        <w:rPr>
          <w:color w:val="000000" w:themeColor="text1"/>
          <w:lang w:eastAsia="en-IE"/>
        </w:rPr>
      </w:pPr>
      <w:r w:rsidRPr="004D08BD">
        <w:rPr>
          <w:color w:val="000000" w:themeColor="text1"/>
        </w:rPr>
        <w:t>Persons with disabilities have either higher or similar levels of</w:t>
      </w:r>
      <w:r>
        <w:rPr>
          <w:color w:val="000000" w:themeColor="text1"/>
        </w:rPr>
        <w:t xml:space="preserve"> access to health screening than</w:t>
      </w:r>
      <w:r w:rsidRPr="004D08BD">
        <w:rPr>
          <w:color w:val="000000" w:themeColor="text1"/>
        </w:rPr>
        <w:t xml:space="preserve"> those without a disability, but many people with intellectual disabilities</w:t>
      </w:r>
      <w:r>
        <w:rPr>
          <w:color w:val="000000" w:themeColor="text1"/>
        </w:rPr>
        <w:t xml:space="preserve"> are taking more medication than</w:t>
      </w:r>
      <w:r w:rsidRPr="004D08BD">
        <w:rPr>
          <w:color w:val="000000" w:themeColor="text1"/>
        </w:rPr>
        <w:t xml:space="preserve"> those without disabilities, for example, 79% </w:t>
      </w:r>
      <w:r w:rsidR="00EA7567">
        <w:rPr>
          <w:color w:val="000000" w:themeColor="text1"/>
        </w:rPr>
        <w:t xml:space="preserve">of people with an intellectual disability </w:t>
      </w:r>
      <w:r w:rsidRPr="004D08BD">
        <w:rPr>
          <w:color w:val="000000" w:themeColor="text1"/>
        </w:rPr>
        <w:t xml:space="preserve"> compared to 32% of those wit</w:t>
      </w:r>
      <w:r w:rsidR="00897FDE">
        <w:rPr>
          <w:color w:val="000000" w:themeColor="text1"/>
        </w:rPr>
        <w:t>hout an intellectual disability</w:t>
      </w:r>
      <w:r w:rsidRPr="004D08BD">
        <w:rPr>
          <w:color w:val="000000" w:themeColor="text1"/>
        </w:rPr>
        <w:t xml:space="preserve">. Mortality rates for persons with disabilities are 4.1 times higher than for persons without a disability. </w:t>
      </w:r>
      <w:r w:rsidRPr="00533014">
        <w:rPr>
          <w:color w:val="000000" w:themeColor="text1"/>
        </w:rPr>
        <w:t>Numbers on</w:t>
      </w:r>
      <w:r w:rsidR="00897FDE">
        <w:rPr>
          <w:color w:val="000000" w:themeColor="text1"/>
        </w:rPr>
        <w:t xml:space="preserve"> the</w:t>
      </w:r>
      <w:r w:rsidRPr="00533014">
        <w:rPr>
          <w:color w:val="000000" w:themeColor="text1"/>
        </w:rPr>
        <w:t xml:space="preserve"> waiting list for the National Rehabilitation Hospital have increased from 151 in 2016 to 242 in 2019</w:t>
      </w:r>
      <w:r>
        <w:rPr>
          <w:color w:val="000000" w:themeColor="text1"/>
        </w:rPr>
        <w:t xml:space="preserve">. </w:t>
      </w:r>
      <w:r w:rsidRPr="004D08BD">
        <w:rPr>
          <w:color w:val="000000" w:themeColor="text1"/>
        </w:rPr>
        <w:t>Those with a long term illness or disability are less likely than</w:t>
      </w:r>
      <w:r>
        <w:rPr>
          <w:color w:val="000000" w:themeColor="text1"/>
        </w:rPr>
        <w:t xml:space="preserve"> others to participate in sport. H</w:t>
      </w:r>
      <w:r w:rsidRPr="004D08BD">
        <w:rPr>
          <w:color w:val="000000" w:themeColor="text1"/>
        </w:rPr>
        <w:t>owever, t</w:t>
      </w:r>
      <w:r w:rsidRPr="004D08BD">
        <w:rPr>
          <w:color w:val="000000" w:themeColor="text1"/>
          <w:lang w:eastAsia="en-IE"/>
        </w:rPr>
        <w:t>he proportion of persons with disabilities who engage regularly in sports increased from 28.7% in 2015 to 29.5% in 2017 and to 33% (mid-y</w:t>
      </w:r>
      <w:r w:rsidR="00FB2073">
        <w:rPr>
          <w:color w:val="000000" w:themeColor="text1"/>
          <w:lang w:eastAsia="en-IE"/>
        </w:rPr>
        <w:t>ear figure) in 2019.</w:t>
      </w:r>
    </w:p>
    <w:p w14:paraId="436A6B7D" w14:textId="232D337B" w:rsidR="00517B67" w:rsidRPr="00517B67" w:rsidRDefault="0040251A" w:rsidP="00517B67">
      <w:pPr>
        <w:rPr>
          <w:lang w:eastAsia="en-IE"/>
        </w:rPr>
      </w:pPr>
      <w:r w:rsidRPr="004D08BD">
        <w:rPr>
          <w:color w:val="000000" w:themeColor="text1"/>
          <w:lang w:eastAsia="en-IE"/>
        </w:rPr>
        <w:t xml:space="preserve">While there has been a reduction </w:t>
      </w:r>
      <w:r w:rsidR="00897FDE">
        <w:rPr>
          <w:color w:val="000000" w:themeColor="text1"/>
          <w:lang w:eastAsia="en-IE"/>
        </w:rPr>
        <w:t xml:space="preserve">in </w:t>
      </w:r>
      <w:r w:rsidRPr="004D08BD">
        <w:rPr>
          <w:color w:val="000000" w:themeColor="text1"/>
          <w:lang w:eastAsia="en-IE"/>
        </w:rPr>
        <w:t xml:space="preserve">the consistent poverty rate over time, this reduction has been found for both persons with and without disabilities and therefore the gap between the two groups persists. Many children under 18 years of age are still being admitted to adult psychiatric units and this number increased from 67 in 2016 to 84 in 2018. The timely completion of Assessment of Needs for children is very poor with only 8.5% of assessments reported as being completed on time in the HSE second quarter report in 2019. While many children requiring Child and Adolescent Mental Health Services still wait for an appointment, the numbers waiting both three months and 12 months has decreased. </w:t>
      </w:r>
      <w:r>
        <w:rPr>
          <w:color w:val="000000" w:themeColor="text1"/>
          <w:lang w:eastAsia="en-IE"/>
        </w:rPr>
        <w:t>However, the NDA notes</w:t>
      </w:r>
      <w:r w:rsidRPr="004D08BD">
        <w:rPr>
          <w:color w:val="000000" w:themeColor="text1"/>
          <w:lang w:eastAsia="en-IE"/>
        </w:rPr>
        <w:t xml:space="preserve"> the availability of these services is not equitable across the country. </w:t>
      </w:r>
      <w:r w:rsidRPr="004D08BD">
        <w:rPr>
          <w:color w:val="000000" w:themeColor="text1"/>
        </w:rPr>
        <w:t>The number of Children’s Disability Network Teams has not yet met</w:t>
      </w:r>
      <w:r w:rsidR="009A78AE">
        <w:rPr>
          <w:color w:val="000000" w:themeColor="text1"/>
        </w:rPr>
        <w:t xml:space="preserve"> its</w:t>
      </w:r>
      <w:r w:rsidRPr="004D08BD">
        <w:rPr>
          <w:color w:val="000000" w:themeColor="text1"/>
        </w:rPr>
        <w:t xml:space="preserve"> target of 138 teams, with only 56 in place since 2016. However, there are indications that significant progress in increasing the number of teams will take place during 2020.</w:t>
      </w:r>
    </w:p>
    <w:p w14:paraId="02EED11F" w14:textId="2E8D85D6" w:rsidR="00517B67" w:rsidRPr="00FD39CF" w:rsidRDefault="00FD39CF" w:rsidP="00FB2073">
      <w:pPr>
        <w:pStyle w:val="Heading2"/>
        <w:rPr>
          <w:lang w:eastAsia="en-IE"/>
        </w:rPr>
      </w:pPr>
      <w:r>
        <w:rPr>
          <w:lang w:eastAsia="en-IE"/>
        </w:rPr>
        <w:t xml:space="preserve">Theme 6: </w:t>
      </w:r>
      <w:r w:rsidR="00517B67" w:rsidRPr="00FD39CF">
        <w:rPr>
          <w:lang w:eastAsia="en-IE"/>
        </w:rPr>
        <w:t>Person-centred disability services</w:t>
      </w:r>
    </w:p>
    <w:p w14:paraId="1369D8B7" w14:textId="1E71334F" w:rsidR="00517B67" w:rsidRDefault="00517B67" w:rsidP="00517B67">
      <w:pPr>
        <w:rPr>
          <w:color w:val="000000" w:themeColor="text1"/>
        </w:rPr>
      </w:pPr>
      <w:r w:rsidRPr="004D08BD">
        <w:rPr>
          <w:color w:val="000000" w:themeColor="text1"/>
        </w:rPr>
        <w:t>In general</w:t>
      </w:r>
      <w:r w:rsidR="00AB7337">
        <w:rPr>
          <w:color w:val="000000" w:themeColor="text1"/>
        </w:rPr>
        <w:t>,</w:t>
      </w:r>
      <w:r w:rsidRPr="004D08BD">
        <w:rPr>
          <w:color w:val="000000" w:themeColor="text1"/>
        </w:rPr>
        <w:t xml:space="preserve"> compliance with regulations, standards and codes of practice by disability and mental health services has improved. This is evidenced in reports from the Mental Health Commission and HIQA. However,</w:t>
      </w:r>
      <w:r>
        <w:rPr>
          <w:color w:val="000000" w:themeColor="text1"/>
        </w:rPr>
        <w:t xml:space="preserve"> further</w:t>
      </w:r>
      <w:r w:rsidRPr="004D08BD">
        <w:rPr>
          <w:color w:val="000000" w:themeColor="text1"/>
        </w:rPr>
        <w:t xml:space="preserve"> improvements are still necessary. </w:t>
      </w:r>
      <w:r>
        <w:rPr>
          <w:color w:val="000000" w:themeColor="text1"/>
          <w:szCs w:val="26"/>
          <w:lang w:eastAsia="en-IE"/>
        </w:rPr>
        <w:t>It is as yet unclear</w:t>
      </w:r>
      <w:r w:rsidRPr="004D08BD">
        <w:rPr>
          <w:color w:val="000000" w:themeColor="text1"/>
          <w:szCs w:val="26"/>
          <w:lang w:eastAsia="en-IE"/>
        </w:rPr>
        <w:t xml:space="preserve"> whether HSE interim standards for New Directions have been achieved as the first report has not yet been published. New Directions involves the</w:t>
      </w:r>
      <w:r w:rsidRPr="004D08BD">
        <w:rPr>
          <w:color w:val="000000" w:themeColor="text1"/>
        </w:rPr>
        <w:t xml:space="preserve"> transitions of adults with disabilities to supports of choice and access to mainstream services. Services are due to self-report on their progress towards meeting the standards.</w:t>
      </w:r>
    </w:p>
    <w:p w14:paraId="33E5B0D3" w14:textId="7B365131" w:rsidR="00517B67" w:rsidRPr="00517B67" w:rsidRDefault="0053715D" w:rsidP="00517B67">
      <w:r w:rsidRPr="004D08BD">
        <w:rPr>
          <w:color w:val="000000" w:themeColor="text1"/>
          <w:lang w:eastAsia="en-IE"/>
        </w:rPr>
        <w:t>A number of pilot or demonstration projects are underway examining personalised budgets and implementation of the person-centred</w:t>
      </w:r>
      <w:r>
        <w:rPr>
          <w:color w:val="000000" w:themeColor="text1"/>
          <w:lang w:eastAsia="en-IE"/>
        </w:rPr>
        <w:t xml:space="preserve"> planning</w:t>
      </w:r>
      <w:r w:rsidRPr="004D08BD">
        <w:rPr>
          <w:color w:val="000000" w:themeColor="text1"/>
          <w:lang w:eastAsia="en-IE"/>
        </w:rPr>
        <w:t xml:space="preserve"> framework</w:t>
      </w:r>
      <w:r w:rsidR="00AB7337">
        <w:rPr>
          <w:color w:val="000000" w:themeColor="text1"/>
          <w:lang w:eastAsia="en-IE"/>
        </w:rPr>
        <w:t xml:space="preserve"> in disability support services</w:t>
      </w:r>
      <w:r w:rsidRPr="004D08BD">
        <w:rPr>
          <w:color w:val="000000" w:themeColor="text1"/>
          <w:lang w:eastAsia="en-IE"/>
        </w:rPr>
        <w:t xml:space="preserve">. It is important that once the demonstration projects are completed, roll out commences as soon as possible </w:t>
      </w:r>
      <w:r>
        <w:rPr>
          <w:color w:val="000000" w:themeColor="text1"/>
          <w:lang w:eastAsia="en-IE"/>
        </w:rPr>
        <w:t>informed by any recommendations or conclusions emerging from the demonstration phase</w:t>
      </w:r>
      <w:r w:rsidRPr="004D08BD">
        <w:rPr>
          <w:color w:val="000000" w:themeColor="text1"/>
          <w:lang w:eastAsia="en-IE"/>
        </w:rPr>
        <w:t>.</w:t>
      </w:r>
    </w:p>
    <w:p w14:paraId="531CE8E6" w14:textId="4FDEBE7C" w:rsidR="00517B67" w:rsidRPr="00FD39CF" w:rsidRDefault="0053715D" w:rsidP="00FB2073">
      <w:pPr>
        <w:pStyle w:val="Heading2"/>
        <w:rPr>
          <w:lang w:eastAsia="en-IE"/>
        </w:rPr>
      </w:pPr>
      <w:r>
        <w:rPr>
          <w:lang w:eastAsia="en-IE"/>
        </w:rPr>
        <w:t xml:space="preserve">Theme 7: </w:t>
      </w:r>
      <w:r w:rsidR="00517B67" w:rsidRPr="00FD39CF">
        <w:rPr>
          <w:lang w:eastAsia="en-IE"/>
        </w:rPr>
        <w:t>Living in the Community</w:t>
      </w:r>
    </w:p>
    <w:p w14:paraId="2FC476B7" w14:textId="03D18AD3" w:rsidR="00517B67" w:rsidRPr="0040251A" w:rsidRDefault="00517B67" w:rsidP="0040251A">
      <w:pPr>
        <w:rPr>
          <w:lang w:eastAsia="en-IE"/>
        </w:rPr>
      </w:pPr>
      <w:r w:rsidRPr="004D08BD">
        <w:rPr>
          <w:color w:val="000000" w:themeColor="text1"/>
          <w:lang w:eastAsia="en-IE"/>
        </w:rPr>
        <w:t>The indicators highlighted the slow pace of decongregation, a HSE policy since 2011</w:t>
      </w:r>
      <w:r w:rsidR="009A78AE">
        <w:rPr>
          <w:color w:val="000000" w:themeColor="text1"/>
          <w:lang w:eastAsia="en-IE"/>
        </w:rPr>
        <w:t xml:space="preserve"> to move persons with physical, sensory and intellectual disabilities who are living in congregated settings (greater than 10 people) to dispersed homes in the community.</w:t>
      </w:r>
      <w:r w:rsidR="00F5419E">
        <w:rPr>
          <w:color w:val="000000" w:themeColor="text1"/>
          <w:lang w:eastAsia="en-IE"/>
        </w:rPr>
        <w:t xml:space="preserve"> </w:t>
      </w:r>
      <w:r w:rsidR="009A78AE">
        <w:rPr>
          <w:color w:val="000000" w:themeColor="text1"/>
          <w:lang w:eastAsia="en-IE"/>
        </w:rPr>
        <w:t>I</w:t>
      </w:r>
      <w:r w:rsidRPr="004D08BD">
        <w:rPr>
          <w:color w:val="000000" w:themeColor="text1"/>
          <w:lang w:eastAsia="en-IE"/>
        </w:rPr>
        <w:t xml:space="preserve">t is clear that the target to have everyone decongregated by the original timeframe of 2021 will not be met. </w:t>
      </w:r>
      <w:r w:rsidRPr="004D08BD">
        <w:rPr>
          <w:color w:val="000000" w:themeColor="text1"/>
        </w:rPr>
        <w:t>However, there is growing evidence that people in the new community models of residential services enjoy better o</w:t>
      </w:r>
      <w:r>
        <w:rPr>
          <w:color w:val="000000" w:themeColor="text1"/>
        </w:rPr>
        <w:t>utcomes and quality of life than</w:t>
      </w:r>
      <w:r w:rsidRPr="004D08BD">
        <w:rPr>
          <w:color w:val="000000" w:themeColor="text1"/>
        </w:rPr>
        <w:t xml:space="preserve"> those remaining in institutional settings. </w:t>
      </w:r>
      <w:r w:rsidRPr="004D08BD">
        <w:rPr>
          <w:color w:val="000000" w:themeColor="text1"/>
          <w:lang w:eastAsia="en-IE"/>
        </w:rPr>
        <w:t xml:space="preserve">The indicators also highlighted </w:t>
      </w:r>
      <w:r>
        <w:rPr>
          <w:color w:val="000000" w:themeColor="text1"/>
          <w:lang w:eastAsia="en-IE"/>
        </w:rPr>
        <w:t>differences</w:t>
      </w:r>
      <w:r w:rsidRPr="004D08BD">
        <w:rPr>
          <w:color w:val="000000" w:themeColor="text1"/>
          <w:lang w:eastAsia="en-IE"/>
        </w:rPr>
        <w:t xml:space="preserve"> between HSE policies for residential disability services (for persons with intellectual, physical and sensory disabilities) and residential services for people with mental health difficulties</w:t>
      </w:r>
      <w:r>
        <w:rPr>
          <w:color w:val="000000" w:themeColor="text1"/>
          <w:lang w:eastAsia="en-IE"/>
        </w:rPr>
        <w:t>. NDA notes</w:t>
      </w:r>
      <w:r w:rsidRPr="004D08BD">
        <w:rPr>
          <w:color w:val="000000" w:themeColor="text1"/>
          <w:lang w:eastAsia="en-IE"/>
        </w:rPr>
        <w:t xml:space="preserve"> </w:t>
      </w:r>
      <w:r>
        <w:rPr>
          <w:color w:val="000000" w:themeColor="text1"/>
          <w:lang w:eastAsia="en-IE"/>
        </w:rPr>
        <w:t>further</w:t>
      </w:r>
      <w:r w:rsidRPr="004D08BD">
        <w:rPr>
          <w:color w:val="000000" w:themeColor="text1"/>
          <w:lang w:eastAsia="en-IE"/>
        </w:rPr>
        <w:t xml:space="preserve"> </w:t>
      </w:r>
      <w:r>
        <w:rPr>
          <w:color w:val="000000" w:themeColor="text1"/>
          <w:lang w:eastAsia="en-IE"/>
        </w:rPr>
        <w:t>work</w:t>
      </w:r>
      <w:r w:rsidRPr="004D08BD">
        <w:rPr>
          <w:color w:val="000000" w:themeColor="text1"/>
          <w:lang w:eastAsia="en-IE"/>
        </w:rPr>
        <w:t xml:space="preserve"> is required</w:t>
      </w:r>
      <w:r>
        <w:rPr>
          <w:color w:val="000000" w:themeColor="text1"/>
          <w:lang w:eastAsia="en-IE"/>
        </w:rPr>
        <w:t xml:space="preserve"> to understand the experiences of persons in mental health services</w:t>
      </w:r>
      <w:r w:rsidRPr="004D08BD">
        <w:rPr>
          <w:color w:val="000000" w:themeColor="text1"/>
          <w:lang w:eastAsia="en-IE"/>
        </w:rPr>
        <w:t>. Lack of regulation of 24-hour community psychiatric residences is also of concern and the number of these residences with 10 beds or more remains high.</w:t>
      </w:r>
    </w:p>
    <w:p w14:paraId="4BF4B7F2" w14:textId="7BD90F19" w:rsidR="00517B67" w:rsidRPr="00FD39CF" w:rsidRDefault="0053715D" w:rsidP="00FB2073">
      <w:pPr>
        <w:pStyle w:val="Heading2"/>
        <w:rPr>
          <w:lang w:eastAsia="en-IE"/>
        </w:rPr>
      </w:pPr>
      <w:r>
        <w:rPr>
          <w:lang w:eastAsia="en-IE"/>
        </w:rPr>
        <w:t xml:space="preserve">Theme 8: </w:t>
      </w:r>
      <w:r w:rsidR="00517B67" w:rsidRPr="00FD39CF">
        <w:rPr>
          <w:lang w:eastAsia="en-IE"/>
        </w:rPr>
        <w:t>Transport and Access to Places</w:t>
      </w:r>
    </w:p>
    <w:p w14:paraId="6B6345BD" w14:textId="3727643F" w:rsidR="00FD39CF" w:rsidRDefault="00FD39CF" w:rsidP="00533014">
      <w:pPr>
        <w:rPr>
          <w:color w:val="000000" w:themeColor="text1"/>
          <w:lang w:eastAsia="en-IE"/>
        </w:rPr>
      </w:pPr>
      <w:r>
        <w:rPr>
          <w:color w:val="000000" w:themeColor="text1"/>
          <w:lang w:eastAsia="en-IE"/>
        </w:rPr>
        <w:t>We</w:t>
      </w:r>
      <w:r w:rsidR="00533014" w:rsidRPr="004D08BD">
        <w:rPr>
          <w:color w:val="000000" w:themeColor="text1"/>
        </w:rPr>
        <w:t xml:space="preserve"> </w:t>
      </w:r>
      <w:r w:rsidR="00EF2E3E">
        <w:rPr>
          <w:color w:val="000000" w:themeColor="text1"/>
        </w:rPr>
        <w:t>do not</w:t>
      </w:r>
      <w:r w:rsidR="00533014" w:rsidRPr="004D08BD">
        <w:rPr>
          <w:color w:val="000000" w:themeColor="text1"/>
        </w:rPr>
        <w:t xml:space="preserve"> know the number of public buildings</w:t>
      </w:r>
      <w:r>
        <w:rPr>
          <w:color w:val="000000" w:themeColor="text1"/>
        </w:rPr>
        <w:t xml:space="preserve"> that are accessible</w:t>
      </w:r>
      <w:r w:rsidR="00533014" w:rsidRPr="004D08BD">
        <w:rPr>
          <w:color w:val="000000" w:themeColor="text1"/>
        </w:rPr>
        <w:t xml:space="preserve"> as these data are not collected. However, through an</w:t>
      </w:r>
      <w:r w:rsidR="00533014" w:rsidRPr="004D08BD">
        <w:rPr>
          <w:color w:val="000000" w:themeColor="text1"/>
          <w:szCs w:val="26"/>
          <w:lang w:eastAsia="en-IE"/>
        </w:rPr>
        <w:t xml:space="preserve"> Operational Review of the Effectiveness of Section 25 of the Disability Act 2005 conducted last year</w:t>
      </w:r>
      <w:r>
        <w:rPr>
          <w:color w:val="000000" w:themeColor="text1"/>
          <w:szCs w:val="26"/>
          <w:lang w:eastAsia="en-IE"/>
        </w:rPr>
        <w:t>,</w:t>
      </w:r>
      <w:r w:rsidR="00533014" w:rsidRPr="004D08BD">
        <w:rPr>
          <w:color w:val="000000" w:themeColor="text1"/>
          <w:szCs w:val="26"/>
          <w:lang w:eastAsia="en-IE"/>
        </w:rPr>
        <w:t xml:space="preserve"> we know there appears to be low awareness, enforcement and understanding among </w:t>
      </w:r>
      <w:r w:rsidR="00533014">
        <w:rPr>
          <w:color w:val="000000" w:themeColor="text1"/>
          <w:szCs w:val="26"/>
          <w:lang w:eastAsia="en-IE"/>
        </w:rPr>
        <w:t xml:space="preserve">the </w:t>
      </w:r>
      <w:r w:rsidR="00533014" w:rsidRPr="004D08BD">
        <w:rPr>
          <w:color w:val="000000" w:themeColor="text1"/>
          <w:szCs w:val="26"/>
          <w:lang w:eastAsia="en-IE"/>
        </w:rPr>
        <w:t>public bodies</w:t>
      </w:r>
      <w:r w:rsidR="00533014">
        <w:rPr>
          <w:color w:val="000000" w:themeColor="text1"/>
          <w:szCs w:val="26"/>
          <w:lang w:eastAsia="en-IE"/>
        </w:rPr>
        <w:t xml:space="preserve"> reviewed</w:t>
      </w:r>
      <w:r w:rsidR="00533014" w:rsidRPr="004D08BD">
        <w:rPr>
          <w:color w:val="000000" w:themeColor="text1"/>
          <w:szCs w:val="26"/>
          <w:lang w:eastAsia="en-IE"/>
        </w:rPr>
        <w:t xml:space="preserve"> of their obligations under Section 25</w:t>
      </w:r>
      <w:r w:rsidR="00EF2E3E">
        <w:rPr>
          <w:color w:val="000000" w:themeColor="text1"/>
          <w:szCs w:val="26"/>
          <w:lang w:eastAsia="en-IE"/>
        </w:rPr>
        <w:t xml:space="preserve"> to make their buildings accessible</w:t>
      </w:r>
      <w:r w:rsidR="00533014" w:rsidRPr="004D08BD">
        <w:rPr>
          <w:color w:val="000000" w:themeColor="text1"/>
          <w:szCs w:val="26"/>
          <w:lang w:eastAsia="en-IE"/>
        </w:rPr>
        <w:t xml:space="preserve">. Further monitoring of this will be required. </w:t>
      </w:r>
      <w:r w:rsidR="00533014" w:rsidRPr="004D08BD">
        <w:rPr>
          <w:color w:val="000000" w:themeColor="text1"/>
          <w:lang w:eastAsia="en-IE"/>
        </w:rPr>
        <w:t xml:space="preserve">While there are still issues in relation to measuring access to transport there have been a number of improvements such as shorter notice periods for using rail services, improvements in accessibility of stations and bus stops and the introduction of Customer Services Officers. The NDA are working on a set of indicators specifically to monitor the transport sector. </w:t>
      </w:r>
    </w:p>
    <w:p w14:paraId="6CEEC578" w14:textId="751764FB" w:rsidR="0040251A" w:rsidRPr="00FD39CF" w:rsidRDefault="0040251A" w:rsidP="00FB2073">
      <w:pPr>
        <w:pStyle w:val="Heading2"/>
        <w:rPr>
          <w:lang w:eastAsia="en-IE"/>
        </w:rPr>
      </w:pPr>
      <w:r w:rsidRPr="00FD39CF">
        <w:rPr>
          <w:lang w:eastAsia="en-IE"/>
        </w:rPr>
        <w:t>Conclusion</w:t>
      </w:r>
    </w:p>
    <w:p w14:paraId="104CBF3E" w14:textId="14ECCBDC" w:rsidR="0040251A" w:rsidRDefault="0040251A" w:rsidP="00533014">
      <w:pPr>
        <w:rPr>
          <w:color w:val="000000" w:themeColor="text1"/>
          <w:lang w:eastAsia="en-IE"/>
        </w:rPr>
      </w:pPr>
      <w:r w:rsidRPr="004D08BD">
        <w:rPr>
          <w:color w:val="000000" w:themeColor="text1"/>
          <w:lang w:eastAsia="en-IE"/>
        </w:rPr>
        <w:t>A key weakness in this indicator report is that for most indicators there are no targets in the current strategy against which to measure any incremental changes. There were also some indicators for which there were little or no data available.</w:t>
      </w:r>
      <w:r w:rsidR="00FD39CF">
        <w:rPr>
          <w:color w:val="000000" w:themeColor="text1"/>
          <w:lang w:eastAsia="en-IE"/>
        </w:rPr>
        <w:t xml:space="preserve"> </w:t>
      </w:r>
      <w:r w:rsidR="00FD39CF" w:rsidRPr="004D08BD">
        <w:rPr>
          <w:color w:val="000000" w:themeColor="text1"/>
          <w:lang w:eastAsia="en-IE"/>
        </w:rPr>
        <w:t xml:space="preserve">Some important outcome indicators such as employment levels and education attainment levels of persons with disabilities depend on the next census for us to determine if there has been any improvement from baseline. </w:t>
      </w:r>
      <w:r w:rsidR="004B3F56" w:rsidRPr="00FE6309">
        <w:rPr>
          <w:lang w:eastAsia="en-IE"/>
        </w:rPr>
        <w:t>The suite of indicators will be revised in light of the mid-term review and forthcoming UNCRPD national implementation plan.</w:t>
      </w:r>
      <w:r w:rsidR="004B3F56">
        <w:rPr>
          <w:lang w:eastAsia="en-IE"/>
        </w:rPr>
        <w:t xml:space="preserve"> </w:t>
      </w:r>
      <w:r w:rsidR="004B3F56" w:rsidRPr="00FE6309">
        <w:rPr>
          <w:lang w:eastAsia="en-IE"/>
        </w:rPr>
        <w:t>The NDA will continue to work to build access to more data sources</w:t>
      </w:r>
      <w:r w:rsidR="00FB2073" w:rsidRPr="00FE6309">
        <w:rPr>
          <w:lang w:eastAsia="en-IE"/>
        </w:rPr>
        <w:t>.</w:t>
      </w:r>
    </w:p>
    <w:p w14:paraId="17A6CDC6" w14:textId="079C66FD" w:rsidR="008D285C" w:rsidRDefault="00533014" w:rsidP="008D285C">
      <w:pPr>
        <w:rPr>
          <w:lang w:eastAsia="en-IE"/>
        </w:rPr>
      </w:pPr>
      <w:r w:rsidRPr="004D08BD">
        <w:rPr>
          <w:color w:val="000000" w:themeColor="text1"/>
          <w:lang w:eastAsia="en-IE"/>
        </w:rPr>
        <w:t xml:space="preserve">Issues raised in this report on any activities in the NDIS which are not progressing as expected will be explored in more depth in the NDA’s annual independent assessment. This mid-term indicator report should be considered a complement to that annual report. </w:t>
      </w:r>
      <w:r w:rsidR="008D285C">
        <w:rPr>
          <w:color w:val="000000" w:themeColor="text1"/>
          <w:lang w:eastAsia="en-IE"/>
        </w:rPr>
        <w:t>Therefore, the recommendations in this report focus</w:t>
      </w:r>
      <w:r w:rsidR="008D285C">
        <w:rPr>
          <w:lang w:eastAsia="en-IE"/>
        </w:rPr>
        <w:t xml:space="preserve"> on the data rather than the substantive issues. The recommendations include using this report to help inform the collection of indicators for an over-arching UNCRPD implementation plan. Public bodies would be actively preparing for their responsibilities under the EU Web Accessibility Directive the ISL Act and Section 25 of the Disability Act. There is also a recommendation to identify gaps and improve data collection natio</w:t>
      </w:r>
      <w:r w:rsidR="00FB2073">
        <w:rPr>
          <w:lang w:eastAsia="en-IE"/>
        </w:rPr>
        <w:t>nally relating to disabilities.</w:t>
      </w:r>
    </w:p>
    <w:p w14:paraId="0C368DF6" w14:textId="472E54CC" w:rsidR="008D285C" w:rsidRPr="00FB2073" w:rsidRDefault="008D285C" w:rsidP="00FB2073">
      <w:pPr>
        <w:spacing w:after="120"/>
        <w:rPr>
          <w:szCs w:val="26"/>
        </w:rPr>
      </w:pPr>
      <w:r w:rsidRPr="00FE6309">
        <w:rPr>
          <w:szCs w:val="26"/>
        </w:rPr>
        <w:t xml:space="preserve">It is recognised that a survey with persons with disabilities would supplement this </w:t>
      </w:r>
      <w:r w:rsidR="004B3F56">
        <w:rPr>
          <w:szCs w:val="26"/>
        </w:rPr>
        <w:t>report</w:t>
      </w:r>
      <w:r w:rsidRPr="00FE6309">
        <w:rPr>
          <w:szCs w:val="26"/>
        </w:rPr>
        <w:t>, particularly in relation to gaps in sources of information e.g. accessibility of buildings and services. Such a survey could be undertaken at relevant intervals to measure change. The NDA has also advised that the CSO conduct a large</w:t>
      </w:r>
      <w:r>
        <w:rPr>
          <w:szCs w:val="26"/>
        </w:rPr>
        <w:t>-</w:t>
      </w:r>
      <w:r w:rsidRPr="00FE6309">
        <w:rPr>
          <w:szCs w:val="26"/>
        </w:rPr>
        <w:t>scale national disa</w:t>
      </w:r>
      <w:r>
        <w:rPr>
          <w:szCs w:val="26"/>
        </w:rPr>
        <w:t>bility survey to maximise input from those with disabilities.</w:t>
      </w:r>
    </w:p>
    <w:p w14:paraId="2F336825" w14:textId="77777777" w:rsidR="00012297" w:rsidRDefault="00012297" w:rsidP="00FB2073">
      <w:pPr>
        <w:rPr>
          <w:rFonts w:eastAsiaTheme="majorEastAsia"/>
        </w:rPr>
      </w:pPr>
      <w:r>
        <w:br w:type="page"/>
      </w:r>
    </w:p>
    <w:p w14:paraId="150E918D" w14:textId="00BEB506" w:rsidR="004839F6" w:rsidRPr="00591F27" w:rsidRDefault="004839F6" w:rsidP="0090589F">
      <w:pPr>
        <w:pStyle w:val="Heading1"/>
        <w:rPr>
          <w:b/>
          <w:color w:val="auto"/>
        </w:rPr>
      </w:pPr>
      <w:r w:rsidRPr="00591F27">
        <w:rPr>
          <w:b/>
          <w:color w:val="auto"/>
        </w:rPr>
        <w:t>Introduction</w:t>
      </w:r>
    </w:p>
    <w:p w14:paraId="6AF28897" w14:textId="331F15D6" w:rsidR="004839F6" w:rsidRPr="00A036DC" w:rsidRDefault="004839F6" w:rsidP="004839F6">
      <w:pPr>
        <w:autoSpaceDE w:val="0"/>
        <w:autoSpaceDN w:val="0"/>
        <w:adjustRightInd w:val="0"/>
        <w:rPr>
          <w:szCs w:val="26"/>
        </w:rPr>
      </w:pPr>
      <w:r w:rsidRPr="00A036DC">
        <w:rPr>
          <w:szCs w:val="26"/>
        </w:rPr>
        <w:t xml:space="preserve">This document </w:t>
      </w:r>
      <w:r w:rsidR="00253087" w:rsidRPr="00A036DC">
        <w:rPr>
          <w:szCs w:val="26"/>
        </w:rPr>
        <w:t xml:space="preserve">was prepared by the </w:t>
      </w:r>
      <w:r w:rsidR="00587F09" w:rsidRPr="00A036DC">
        <w:rPr>
          <w:szCs w:val="26"/>
        </w:rPr>
        <w:t xml:space="preserve">National Disability </w:t>
      </w:r>
      <w:r w:rsidR="00587F09">
        <w:rPr>
          <w:szCs w:val="26"/>
        </w:rPr>
        <w:t>Authority (</w:t>
      </w:r>
      <w:r w:rsidR="00253087" w:rsidRPr="00A036DC">
        <w:rPr>
          <w:szCs w:val="26"/>
        </w:rPr>
        <w:t>NDA</w:t>
      </w:r>
      <w:r w:rsidR="00587F09">
        <w:rPr>
          <w:szCs w:val="26"/>
        </w:rPr>
        <w:t>)</w:t>
      </w:r>
      <w:r w:rsidR="00253087" w:rsidRPr="00A036DC">
        <w:rPr>
          <w:szCs w:val="26"/>
        </w:rPr>
        <w:t xml:space="preserve"> further to an analysis of av</w:t>
      </w:r>
      <w:r w:rsidR="00A53628">
        <w:rPr>
          <w:szCs w:val="26"/>
        </w:rPr>
        <w:t xml:space="preserve">ailable data on areas covered by </w:t>
      </w:r>
      <w:r w:rsidRPr="00A036DC">
        <w:rPr>
          <w:szCs w:val="26"/>
        </w:rPr>
        <w:t>the National Disability Inclusion Strategy</w:t>
      </w:r>
      <w:r w:rsidR="00693033">
        <w:rPr>
          <w:rStyle w:val="FootnoteReference"/>
          <w:szCs w:val="26"/>
        </w:rPr>
        <w:footnoteReference w:id="2"/>
      </w:r>
      <w:r w:rsidRPr="00A036DC">
        <w:rPr>
          <w:szCs w:val="26"/>
        </w:rPr>
        <w:t xml:space="preserve"> (NDIS) using a suite of indicators. These indicators were developed by the </w:t>
      </w:r>
      <w:r w:rsidR="00587F09">
        <w:rPr>
          <w:szCs w:val="26"/>
        </w:rPr>
        <w:t>NDA</w:t>
      </w:r>
      <w:r w:rsidRPr="00A036DC">
        <w:rPr>
          <w:szCs w:val="26"/>
        </w:rPr>
        <w:t xml:space="preserve"> in consultation with a number of stakeholders during 2017 and 2018 and were adopted by the NDIS Steering Group in 2018. </w:t>
      </w:r>
      <w:r w:rsidRPr="00A036DC">
        <w:rPr>
          <w:rFonts w:eastAsia="Interstate-Regular" w:cs="Interstate-Regular"/>
          <w:szCs w:val="26"/>
          <w:lang w:eastAsia="en-IE"/>
        </w:rPr>
        <w:t xml:space="preserve">Indicators play a role in the identification of trends and issues </w:t>
      </w:r>
      <w:r w:rsidR="00253087" w:rsidRPr="00A036DC">
        <w:rPr>
          <w:rFonts w:eastAsia="Interstate-Regular" w:cs="Interstate-Regular"/>
          <w:szCs w:val="26"/>
          <w:lang w:eastAsia="en-IE"/>
        </w:rPr>
        <w:t xml:space="preserve">assisting measurement of change and progress, </w:t>
      </w:r>
      <w:r w:rsidRPr="00A036DC">
        <w:rPr>
          <w:rFonts w:eastAsia="Interstate-Regular" w:cs="Interstate-Regular"/>
          <w:szCs w:val="26"/>
          <w:lang w:eastAsia="en-IE"/>
        </w:rPr>
        <w:t xml:space="preserve">while contributing to </w:t>
      </w:r>
      <w:r w:rsidR="00253087" w:rsidRPr="00A036DC">
        <w:rPr>
          <w:rFonts w:eastAsia="Interstate-Regular" w:cs="Interstate-Regular"/>
          <w:szCs w:val="26"/>
          <w:lang w:eastAsia="en-IE"/>
        </w:rPr>
        <w:t>the process of priority setting</w:t>
      </w:r>
      <w:r w:rsidR="00054543" w:rsidRPr="00A036DC">
        <w:rPr>
          <w:rFonts w:eastAsia="Interstate-Regular" w:cs="Interstate-Regular"/>
          <w:szCs w:val="26"/>
          <w:lang w:eastAsia="en-IE"/>
        </w:rPr>
        <w:t xml:space="preserve"> </w:t>
      </w:r>
      <w:r w:rsidR="00253087" w:rsidRPr="00A036DC">
        <w:rPr>
          <w:rFonts w:eastAsia="Interstate-Regular" w:cs="Interstate-Regular"/>
          <w:szCs w:val="26"/>
          <w:lang w:eastAsia="en-IE"/>
        </w:rPr>
        <w:t xml:space="preserve">and </w:t>
      </w:r>
      <w:r w:rsidRPr="00A036DC">
        <w:rPr>
          <w:rFonts w:eastAsia="Interstate-Regular" w:cs="Interstate-Regular"/>
          <w:szCs w:val="26"/>
          <w:lang w:eastAsia="en-IE"/>
        </w:rPr>
        <w:t>policy formulation</w:t>
      </w:r>
      <w:r w:rsidR="00253087" w:rsidRPr="00A036DC">
        <w:rPr>
          <w:rFonts w:eastAsia="Interstate-Regular" w:cs="Interstate-Regular"/>
          <w:szCs w:val="26"/>
          <w:lang w:eastAsia="en-IE"/>
        </w:rPr>
        <w:t xml:space="preserve">. </w:t>
      </w:r>
      <w:r w:rsidRPr="00A036DC">
        <w:rPr>
          <w:szCs w:val="26"/>
        </w:rPr>
        <w:t xml:space="preserve">The NDA wishes to acknowledge the cooperation and support of departments, agencies and other stakeholders in providing information </w:t>
      </w:r>
      <w:r w:rsidR="00253087" w:rsidRPr="00A036DC">
        <w:rPr>
          <w:szCs w:val="26"/>
        </w:rPr>
        <w:t xml:space="preserve">and data relevant to the indicators, </w:t>
      </w:r>
      <w:r w:rsidRPr="00A036DC">
        <w:rPr>
          <w:szCs w:val="26"/>
        </w:rPr>
        <w:t>and in their commitment to on-going data collection and review.</w:t>
      </w:r>
    </w:p>
    <w:p w14:paraId="756F042A" w14:textId="1706A2D9" w:rsidR="004839F6" w:rsidRPr="00A036DC" w:rsidRDefault="004839F6" w:rsidP="004839F6">
      <w:pPr>
        <w:spacing w:after="120"/>
        <w:rPr>
          <w:szCs w:val="26"/>
        </w:rPr>
      </w:pPr>
      <w:r w:rsidRPr="00A036DC">
        <w:rPr>
          <w:szCs w:val="26"/>
        </w:rPr>
        <w:t>The data used to report on</w:t>
      </w:r>
      <w:r w:rsidR="00DE5396" w:rsidRPr="00A036DC">
        <w:rPr>
          <w:szCs w:val="26"/>
        </w:rPr>
        <w:t xml:space="preserve"> </w:t>
      </w:r>
      <w:r w:rsidRPr="00A036DC">
        <w:rPr>
          <w:szCs w:val="26"/>
        </w:rPr>
        <w:t>indicators were mostly identified from valid, robust and readily available data sources</w:t>
      </w:r>
      <w:r w:rsidR="00A036DC" w:rsidRPr="00A036DC">
        <w:rPr>
          <w:szCs w:val="26"/>
        </w:rPr>
        <w:t xml:space="preserve"> such as the </w:t>
      </w:r>
      <w:r w:rsidR="00BD025B">
        <w:rPr>
          <w:szCs w:val="26"/>
        </w:rPr>
        <w:t>census</w:t>
      </w:r>
      <w:r w:rsidR="00A036DC" w:rsidRPr="00A036DC">
        <w:rPr>
          <w:szCs w:val="26"/>
        </w:rPr>
        <w:t xml:space="preserve"> and Central Statistics Office </w:t>
      </w:r>
      <w:r w:rsidR="00716A1A">
        <w:rPr>
          <w:szCs w:val="26"/>
        </w:rPr>
        <w:t xml:space="preserve">(CSO) </w:t>
      </w:r>
      <w:r w:rsidR="00A036DC" w:rsidRPr="00A036DC">
        <w:rPr>
          <w:szCs w:val="26"/>
        </w:rPr>
        <w:t>surveys</w:t>
      </w:r>
      <w:r w:rsidRPr="00A036DC">
        <w:rPr>
          <w:szCs w:val="26"/>
        </w:rPr>
        <w:t xml:space="preserve">. However, we also used </w:t>
      </w:r>
      <w:r w:rsidR="00D20C81" w:rsidRPr="00687C79">
        <w:rPr>
          <w:szCs w:val="26"/>
        </w:rPr>
        <w:t xml:space="preserve">relevant and available </w:t>
      </w:r>
      <w:r w:rsidRPr="00A036DC">
        <w:rPr>
          <w:szCs w:val="26"/>
        </w:rPr>
        <w:t xml:space="preserve">information from </w:t>
      </w:r>
      <w:r w:rsidR="00716A1A">
        <w:rPr>
          <w:szCs w:val="26"/>
        </w:rPr>
        <w:t>g</w:t>
      </w:r>
      <w:r w:rsidRPr="00A036DC">
        <w:rPr>
          <w:szCs w:val="26"/>
        </w:rPr>
        <w:t xml:space="preserve">overnment </w:t>
      </w:r>
      <w:r w:rsidR="00716A1A">
        <w:rPr>
          <w:szCs w:val="26"/>
        </w:rPr>
        <w:t>d</w:t>
      </w:r>
      <w:r w:rsidRPr="00A036DC">
        <w:rPr>
          <w:szCs w:val="26"/>
        </w:rPr>
        <w:t xml:space="preserve">epartments and agencies to supplement the picture provided by the core data. </w:t>
      </w:r>
      <w:r w:rsidR="0043717E" w:rsidRPr="0043717E">
        <w:rPr>
          <w:szCs w:val="26"/>
        </w:rPr>
        <w:t xml:space="preserve">The indicators were selected with an aim of having </w:t>
      </w:r>
      <w:r w:rsidR="00D20C81" w:rsidRPr="00687C79">
        <w:rPr>
          <w:szCs w:val="26"/>
        </w:rPr>
        <w:t xml:space="preserve">where possible, </w:t>
      </w:r>
      <w:r w:rsidR="0043717E" w:rsidRPr="00687C79">
        <w:rPr>
          <w:szCs w:val="26"/>
        </w:rPr>
        <w:t>a balance bet</w:t>
      </w:r>
      <w:r w:rsidR="00D20C81" w:rsidRPr="00687C79">
        <w:rPr>
          <w:szCs w:val="26"/>
        </w:rPr>
        <w:t>ween child and adult indicators</w:t>
      </w:r>
      <w:r w:rsidR="0043717E" w:rsidRPr="00687C79">
        <w:rPr>
          <w:szCs w:val="26"/>
        </w:rPr>
        <w:t xml:space="preserve"> and </w:t>
      </w:r>
      <w:r w:rsidR="00D20C81" w:rsidRPr="00687C79">
        <w:rPr>
          <w:szCs w:val="26"/>
        </w:rPr>
        <w:t xml:space="preserve">also </w:t>
      </w:r>
      <w:r w:rsidR="0043717E" w:rsidRPr="00687C79">
        <w:rPr>
          <w:szCs w:val="26"/>
        </w:rPr>
        <w:t xml:space="preserve">having indicators </w:t>
      </w:r>
      <w:r w:rsidR="0043717E" w:rsidRPr="0043717E">
        <w:rPr>
          <w:szCs w:val="26"/>
        </w:rPr>
        <w:t>relevant for different disability types where possible.</w:t>
      </w:r>
    </w:p>
    <w:p w14:paraId="3EFFC6A7" w14:textId="308045B3" w:rsidR="005F2C89" w:rsidRPr="00667CD6" w:rsidRDefault="004839F6" w:rsidP="00A53628">
      <w:pPr>
        <w:pStyle w:val="ListBullet"/>
        <w:numPr>
          <w:ilvl w:val="0"/>
          <w:numId w:val="0"/>
        </w:numPr>
        <w:rPr>
          <w:szCs w:val="26"/>
        </w:rPr>
      </w:pPr>
      <w:r w:rsidRPr="00A036DC">
        <w:rPr>
          <w:szCs w:val="26"/>
        </w:rPr>
        <w:t xml:space="preserve">While there is broad alignment between the indicators </w:t>
      </w:r>
      <w:r w:rsidR="005F2C89">
        <w:rPr>
          <w:szCs w:val="26"/>
        </w:rPr>
        <w:t xml:space="preserve">and the actions in the </w:t>
      </w:r>
      <w:r w:rsidR="00DE7A69" w:rsidRPr="00A036DC">
        <w:rPr>
          <w:szCs w:val="26"/>
        </w:rPr>
        <w:t xml:space="preserve">strategy, </w:t>
      </w:r>
      <w:r w:rsidRPr="00A036DC">
        <w:rPr>
          <w:szCs w:val="26"/>
        </w:rPr>
        <w:t xml:space="preserve">there was a deliberate decision not to </w:t>
      </w:r>
      <w:r w:rsidR="00DE7A69" w:rsidRPr="00A036DC">
        <w:rPr>
          <w:szCs w:val="26"/>
        </w:rPr>
        <w:t xml:space="preserve">align </w:t>
      </w:r>
      <w:r w:rsidR="009F1A80" w:rsidRPr="00A036DC">
        <w:rPr>
          <w:szCs w:val="26"/>
        </w:rPr>
        <w:t xml:space="preserve">every </w:t>
      </w:r>
      <w:r w:rsidR="00DE7A69" w:rsidRPr="00A036DC">
        <w:rPr>
          <w:szCs w:val="26"/>
        </w:rPr>
        <w:t xml:space="preserve">action </w:t>
      </w:r>
      <w:r w:rsidRPr="00A036DC">
        <w:rPr>
          <w:szCs w:val="26"/>
        </w:rPr>
        <w:t>to an indicator</w:t>
      </w:r>
      <w:r w:rsidR="00A036DC" w:rsidRPr="00A036DC">
        <w:rPr>
          <w:szCs w:val="26"/>
        </w:rPr>
        <w:t xml:space="preserve">. </w:t>
      </w:r>
      <w:r w:rsidR="00012297" w:rsidRPr="00E16354">
        <w:rPr>
          <w:szCs w:val="26"/>
        </w:rPr>
        <w:t xml:space="preserve">Indicators are intended to be higher level and fewer in number than actions. </w:t>
      </w:r>
      <w:r w:rsidR="00012297">
        <w:rPr>
          <w:szCs w:val="26"/>
        </w:rPr>
        <w:t>T</w:t>
      </w:r>
      <w:r w:rsidRPr="00B42309">
        <w:rPr>
          <w:szCs w:val="26"/>
        </w:rPr>
        <w:t>he main</w:t>
      </w:r>
      <w:r w:rsidR="00667CD6" w:rsidRPr="00B42309">
        <w:rPr>
          <w:szCs w:val="26"/>
        </w:rPr>
        <w:t xml:space="preserve"> aim</w:t>
      </w:r>
      <w:r w:rsidR="00D20C81" w:rsidRPr="00B42309">
        <w:rPr>
          <w:szCs w:val="26"/>
        </w:rPr>
        <w:t xml:space="preserve"> </w:t>
      </w:r>
      <w:r w:rsidR="00012297">
        <w:rPr>
          <w:szCs w:val="26"/>
        </w:rPr>
        <w:t xml:space="preserve">in developing indicators </w:t>
      </w:r>
      <w:r w:rsidRPr="00A036DC">
        <w:rPr>
          <w:szCs w:val="26"/>
        </w:rPr>
        <w:t>was to</w:t>
      </w:r>
      <w:r w:rsidR="005F2C89">
        <w:rPr>
          <w:szCs w:val="26"/>
        </w:rPr>
        <w:t xml:space="preserve"> </w:t>
      </w:r>
      <w:r w:rsidR="005F2C89">
        <w:t xml:space="preserve">develop indicators using the </w:t>
      </w:r>
      <w:r w:rsidR="007959DA">
        <w:t>s</w:t>
      </w:r>
      <w:r w:rsidR="005F2C89">
        <w:t>tructure</w:t>
      </w:r>
      <w:r w:rsidR="007959DA">
        <w:t>,</w:t>
      </w:r>
      <w:r w:rsidR="005F2C89">
        <w:t xml:space="preserve"> </w:t>
      </w:r>
      <w:r w:rsidR="007959DA">
        <w:t>p</w:t>
      </w:r>
      <w:r w:rsidR="005F2C89">
        <w:t xml:space="preserve">rocess and </w:t>
      </w:r>
      <w:r w:rsidR="007959DA">
        <w:t>o</w:t>
      </w:r>
      <w:r w:rsidR="005F2C89">
        <w:t>utcome framework</w:t>
      </w:r>
      <w:r w:rsidR="00667CD6">
        <w:t xml:space="preserve"> which was developed for </w:t>
      </w:r>
      <w:r w:rsidR="005F2C89">
        <w:t>human rights indicators.</w:t>
      </w:r>
      <w:r w:rsidR="005F2C89">
        <w:rPr>
          <w:rStyle w:val="FootnoteReference"/>
        </w:rPr>
        <w:footnoteReference w:id="3"/>
      </w:r>
      <w:r w:rsidR="00A53628">
        <w:t xml:space="preserve"> </w:t>
      </w:r>
      <w:r w:rsidR="005F2C89" w:rsidRPr="005C32B3">
        <w:rPr>
          <w:rFonts w:eastAsia="SimSun"/>
          <w:lang w:eastAsia="en-IE"/>
        </w:rPr>
        <w:t>Structural indicators reflect the ratification and adoption of legal instruments and the existence as well as the creation of basic institutional mechanisms deemed necessary for the promotion and protection of human rights.</w:t>
      </w:r>
      <w:r w:rsidR="00A53628">
        <w:rPr>
          <w:rFonts w:eastAsia="SimSun"/>
          <w:lang w:eastAsia="en-IE"/>
        </w:rPr>
        <w:t xml:space="preserve"> These </w:t>
      </w:r>
      <w:r w:rsidR="00A53628" w:rsidRPr="005C32B3">
        <w:rPr>
          <w:rFonts w:eastAsia="SimSun"/>
          <w:lang w:eastAsia="en-IE"/>
        </w:rPr>
        <w:t xml:space="preserve">help in capturing the acceptance, intent and commitment of the State to undertake measures in keeping with its human rights obligations. </w:t>
      </w:r>
      <w:r w:rsidR="005F2C89" w:rsidRPr="005C32B3">
        <w:rPr>
          <w:rFonts w:eastAsia="SimSun"/>
          <w:lang w:eastAsia="en-IE"/>
        </w:rPr>
        <w:t>Process indicators help in assessing a State’s efforts, through its implementation of policy measures and programmes of action, to transform its human rights commitments into the desired results.</w:t>
      </w:r>
      <w:r w:rsidR="005F2C89">
        <w:rPr>
          <w:rFonts w:eastAsia="SimSun"/>
          <w:lang w:eastAsia="en-IE"/>
        </w:rPr>
        <w:t xml:space="preserve"> </w:t>
      </w:r>
      <w:r w:rsidR="005F2C89" w:rsidRPr="005C32B3">
        <w:rPr>
          <w:rFonts w:eastAsia="SimSun"/>
          <w:lang w:eastAsia="en-IE"/>
        </w:rPr>
        <w:t>Outcome indicators capture individual and collective attainments that reflect the state of enjoyment of human rights in a given context.</w:t>
      </w:r>
      <w:r w:rsidR="005F2C89">
        <w:rPr>
          <w:rFonts w:eastAsia="SimSun"/>
          <w:lang w:eastAsia="en-IE"/>
        </w:rPr>
        <w:t xml:space="preserve"> </w:t>
      </w:r>
      <w:r w:rsidR="00A53628">
        <w:rPr>
          <w:rFonts w:eastAsia="SimSun"/>
          <w:lang w:eastAsia="en-IE"/>
        </w:rPr>
        <w:t xml:space="preserve">These indicators </w:t>
      </w:r>
      <w:r w:rsidR="00A53628" w:rsidRPr="005C32B3">
        <w:rPr>
          <w:rFonts w:eastAsia="SimSun"/>
          <w:lang w:eastAsia="en-IE"/>
        </w:rPr>
        <w:t>help in assessing the results of State efforts in furthering</w:t>
      </w:r>
      <w:r w:rsidR="00FB2073">
        <w:rPr>
          <w:rFonts w:eastAsia="SimSun"/>
          <w:lang w:eastAsia="en-IE"/>
        </w:rPr>
        <w:t xml:space="preserve"> the enjoyment of human rights.</w:t>
      </w:r>
    </w:p>
    <w:p w14:paraId="7574D732" w14:textId="3E1A0DE7" w:rsidR="00A53628" w:rsidRDefault="00667CD6" w:rsidP="00591F27">
      <w:pPr>
        <w:rPr>
          <w:szCs w:val="26"/>
        </w:rPr>
      </w:pPr>
      <w:r>
        <w:rPr>
          <w:rFonts w:eastAsia="SimSun" w:cs="FuturaEF-Book"/>
          <w:szCs w:val="26"/>
          <w:lang w:eastAsia="en-IE"/>
        </w:rPr>
        <w:t xml:space="preserve">This report presents information on 61 indicators across eight themes (Table 1). </w:t>
      </w:r>
      <w:r w:rsidR="005F2C89">
        <w:rPr>
          <w:rFonts w:eastAsia="SimSun" w:cs="FuturaEF-Book"/>
          <w:szCs w:val="26"/>
          <w:lang w:eastAsia="en-IE"/>
        </w:rPr>
        <w:t xml:space="preserve">Overall 67% (n=41) of indicators </w:t>
      </w:r>
      <w:r w:rsidR="00A53628">
        <w:rPr>
          <w:rFonts w:eastAsia="SimSun" w:cs="FuturaEF-Book"/>
          <w:szCs w:val="26"/>
          <w:lang w:eastAsia="en-IE"/>
        </w:rPr>
        <w:t>are</w:t>
      </w:r>
      <w:r w:rsidR="005F2C89">
        <w:rPr>
          <w:rFonts w:eastAsia="SimSun" w:cs="FuturaEF-Book"/>
          <w:szCs w:val="26"/>
          <w:lang w:eastAsia="en-IE"/>
        </w:rPr>
        <w:t xml:space="preserve"> process indicators, 20% (n=12) </w:t>
      </w:r>
      <w:r w:rsidR="00A53628">
        <w:rPr>
          <w:rFonts w:eastAsia="SimSun" w:cs="FuturaEF-Book"/>
          <w:szCs w:val="26"/>
          <w:lang w:eastAsia="en-IE"/>
        </w:rPr>
        <w:t>are</w:t>
      </w:r>
      <w:r w:rsidR="005F2C89">
        <w:rPr>
          <w:rFonts w:eastAsia="SimSun" w:cs="FuturaEF-Book"/>
          <w:szCs w:val="26"/>
          <w:lang w:eastAsia="en-IE"/>
        </w:rPr>
        <w:t xml:space="preserve"> outcome indicators and 13% (n=8) </w:t>
      </w:r>
      <w:r w:rsidR="00A53628">
        <w:rPr>
          <w:rFonts w:eastAsia="SimSun" w:cs="FuturaEF-Book"/>
          <w:szCs w:val="26"/>
          <w:lang w:eastAsia="en-IE"/>
        </w:rPr>
        <w:t>are</w:t>
      </w:r>
      <w:r w:rsidR="005F2C89">
        <w:rPr>
          <w:rFonts w:eastAsia="SimSun" w:cs="FuturaEF-Book"/>
          <w:szCs w:val="26"/>
          <w:lang w:eastAsia="en-IE"/>
        </w:rPr>
        <w:t xml:space="preserve"> structural i</w:t>
      </w:r>
      <w:r>
        <w:rPr>
          <w:rFonts w:eastAsia="SimSun" w:cs="FuturaEF-Book"/>
          <w:szCs w:val="26"/>
          <w:lang w:eastAsia="en-IE"/>
        </w:rPr>
        <w:t>ndicators</w:t>
      </w:r>
      <w:r w:rsidR="005F2C89">
        <w:rPr>
          <w:rFonts w:eastAsia="SimSun" w:cs="FuturaEF-Book"/>
          <w:szCs w:val="26"/>
          <w:lang w:eastAsia="en-IE"/>
        </w:rPr>
        <w:t xml:space="preserve">. </w:t>
      </w:r>
      <w:r w:rsidR="00A53628">
        <w:rPr>
          <w:rFonts w:eastAsia="SimSun" w:cs="FuturaEF-Book"/>
          <w:szCs w:val="26"/>
          <w:lang w:eastAsia="en-IE"/>
        </w:rPr>
        <w:t xml:space="preserve">Ideally, we would have </w:t>
      </w:r>
      <w:r w:rsidR="005F2C89">
        <w:rPr>
          <w:rFonts w:eastAsia="SimSun" w:cs="FuturaEF-Book"/>
          <w:szCs w:val="26"/>
          <w:lang w:eastAsia="en-IE"/>
        </w:rPr>
        <w:t>more outcome indicators but l</w:t>
      </w:r>
      <w:r w:rsidR="005F2C89" w:rsidRPr="00A036DC">
        <w:rPr>
          <w:szCs w:val="26"/>
        </w:rPr>
        <w:t xml:space="preserve">imitations in the data available meant that this </w:t>
      </w:r>
      <w:r>
        <w:rPr>
          <w:szCs w:val="26"/>
        </w:rPr>
        <w:t>is</w:t>
      </w:r>
      <w:r w:rsidR="005F2C89" w:rsidRPr="00A036DC">
        <w:rPr>
          <w:szCs w:val="26"/>
        </w:rPr>
        <w:t xml:space="preserve"> not </w:t>
      </w:r>
      <w:r w:rsidR="005F2C89">
        <w:rPr>
          <w:szCs w:val="26"/>
        </w:rPr>
        <w:t>possible</w:t>
      </w:r>
      <w:r w:rsidR="005F2C89" w:rsidRPr="00A036DC">
        <w:rPr>
          <w:szCs w:val="26"/>
        </w:rPr>
        <w:t xml:space="preserve">. </w:t>
      </w:r>
      <w:r w:rsidR="005F2C89">
        <w:rPr>
          <w:szCs w:val="26"/>
        </w:rPr>
        <w:t>However, we will examine opportunities to increase the number of outcome indic</w:t>
      </w:r>
      <w:r w:rsidR="005F2C89" w:rsidRPr="00B42309">
        <w:rPr>
          <w:szCs w:val="26"/>
        </w:rPr>
        <w:t xml:space="preserve">ators </w:t>
      </w:r>
      <w:r w:rsidR="00325A52" w:rsidRPr="00B42309">
        <w:rPr>
          <w:szCs w:val="26"/>
        </w:rPr>
        <w:t xml:space="preserve">for an expanded analysis in the future, </w:t>
      </w:r>
      <w:r w:rsidR="005F2C89" w:rsidRPr="00B42309">
        <w:rPr>
          <w:szCs w:val="26"/>
        </w:rPr>
        <w:t>through influencing data collection and research processes.</w:t>
      </w:r>
      <w:r w:rsidR="00325A52" w:rsidRPr="00B42309">
        <w:rPr>
          <w:szCs w:val="26"/>
        </w:rPr>
        <w:t xml:space="preserve"> We will also</w:t>
      </w:r>
      <w:r w:rsidR="00B42309" w:rsidRPr="00B42309">
        <w:rPr>
          <w:szCs w:val="26"/>
        </w:rPr>
        <w:t xml:space="preserve"> continue to</w:t>
      </w:r>
      <w:r w:rsidR="00325A52" w:rsidRPr="00B42309">
        <w:rPr>
          <w:szCs w:val="26"/>
        </w:rPr>
        <w:t xml:space="preserve"> explore ways to draw from qualitative data bringing more information from the lived experience of persons with disabilities to better understand the impact of the committed</w:t>
      </w:r>
      <w:r w:rsidR="00687C79" w:rsidRPr="00B42309">
        <w:rPr>
          <w:szCs w:val="26"/>
        </w:rPr>
        <w:t xml:space="preserve"> actions.</w:t>
      </w:r>
    </w:p>
    <w:p w14:paraId="1E7093E6" w14:textId="77777777" w:rsidR="005F2C89" w:rsidRPr="005C772A" w:rsidRDefault="005F2C89" w:rsidP="005F2C89">
      <w:pPr>
        <w:rPr>
          <w:rFonts w:eastAsia="SimSun" w:cs="FuturaEF-Book"/>
          <w:b/>
          <w:szCs w:val="26"/>
          <w:lang w:eastAsia="en-IE"/>
        </w:rPr>
      </w:pPr>
      <w:r w:rsidRPr="005C772A">
        <w:rPr>
          <w:rFonts w:eastAsia="SimSun" w:cs="FuturaEF-Book"/>
          <w:b/>
          <w:szCs w:val="26"/>
          <w:lang w:eastAsia="en-IE"/>
        </w:rPr>
        <w:t xml:space="preserve">Table </w:t>
      </w:r>
      <w:r w:rsidR="00A53628">
        <w:rPr>
          <w:rFonts w:eastAsia="SimSun" w:cs="FuturaEF-Book"/>
          <w:b/>
          <w:szCs w:val="26"/>
          <w:lang w:eastAsia="en-IE"/>
        </w:rPr>
        <w:t>1</w:t>
      </w:r>
      <w:r w:rsidR="00134810">
        <w:rPr>
          <w:rFonts w:eastAsia="SimSun" w:cs="FuturaEF-Book"/>
          <w:b/>
          <w:szCs w:val="26"/>
          <w:lang w:eastAsia="en-IE"/>
        </w:rPr>
        <w:t>:</w:t>
      </w:r>
      <w:r w:rsidRPr="005C772A">
        <w:rPr>
          <w:rFonts w:eastAsia="SimSun" w:cs="FuturaEF-Book"/>
          <w:b/>
          <w:szCs w:val="26"/>
          <w:lang w:eastAsia="en-IE"/>
        </w:rPr>
        <w:t xml:space="preserve"> Type of indicator by thematic area of NDIS</w:t>
      </w:r>
    </w:p>
    <w:tbl>
      <w:tblPr>
        <w:tblW w:w="0" w:type="auto"/>
        <w:tblCellMar>
          <w:left w:w="0" w:type="dxa"/>
          <w:right w:w="0" w:type="dxa"/>
        </w:tblCellMar>
        <w:tblLook w:val="05A0" w:firstRow="1" w:lastRow="0" w:firstColumn="1" w:lastColumn="1" w:noHBand="0" w:noVBand="1"/>
        <w:tblCaption w:val="Table 1: Type of indicator by thematic area of NDIS"/>
        <w:tblDescription w:val="Indicators by structural, process and outcome."/>
      </w:tblPr>
      <w:tblGrid>
        <w:gridCol w:w="3351"/>
        <w:gridCol w:w="1459"/>
        <w:gridCol w:w="1417"/>
        <w:gridCol w:w="1276"/>
        <w:gridCol w:w="872"/>
      </w:tblGrid>
      <w:tr w:rsidR="005F2C89" w14:paraId="2F261CF7" w14:textId="77777777" w:rsidTr="00BB0068">
        <w:trPr>
          <w:cantSplit/>
          <w:tblHeader/>
        </w:trPr>
        <w:tc>
          <w:tcPr>
            <w:tcW w:w="3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E6A669" w14:textId="77777777" w:rsidR="005F2C89" w:rsidRPr="00BE7B33" w:rsidRDefault="005F2C89" w:rsidP="00AD281D">
            <w:pPr>
              <w:rPr>
                <w:rFonts w:ascii="Calibri" w:hAnsi="Calibri"/>
                <w:sz w:val="22"/>
                <w:szCs w:val="22"/>
              </w:rPr>
            </w:pPr>
            <w:bookmarkStart w:id="1" w:name="Table_1"/>
            <w:bookmarkEnd w:id="1"/>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AEB67" w14:textId="77777777" w:rsidR="005F2C89" w:rsidRPr="00BE7B33" w:rsidRDefault="005F2C89" w:rsidP="00203A06">
            <w:pPr>
              <w:jc w:val="right"/>
              <w:rPr>
                <w:b/>
                <w:bCs/>
              </w:rPr>
            </w:pPr>
            <w:r w:rsidRPr="00BE7B33">
              <w:rPr>
                <w:b/>
                <w:bCs/>
              </w:rPr>
              <w:t>Structural</w:t>
            </w:r>
          </w:p>
        </w:tc>
        <w:tc>
          <w:tcPr>
            <w:tcW w:w="1417"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2759F6B" w14:textId="77777777" w:rsidR="005F2C89" w:rsidRPr="00BE7B33" w:rsidRDefault="005F2C89" w:rsidP="00203A06">
            <w:pPr>
              <w:jc w:val="right"/>
              <w:rPr>
                <w:b/>
                <w:bCs/>
              </w:rPr>
            </w:pPr>
            <w:r w:rsidRPr="00BE7B33">
              <w:rPr>
                <w:b/>
                <w:bCs/>
              </w:rPr>
              <w:t>Process</w:t>
            </w:r>
          </w:p>
        </w:tc>
        <w:tc>
          <w:tcPr>
            <w:tcW w:w="1276" w:type="dxa"/>
            <w:tcBorders>
              <w:top w:val="single" w:sz="4" w:space="0" w:color="auto"/>
              <w:left w:val="single" w:sz="4" w:space="0" w:color="auto"/>
              <w:bottom w:val="single" w:sz="4" w:space="0" w:color="auto"/>
              <w:right w:val="single" w:sz="4" w:space="0" w:color="auto"/>
            </w:tcBorders>
          </w:tcPr>
          <w:p w14:paraId="15718CE9" w14:textId="77777777" w:rsidR="005F2C89" w:rsidRPr="00BE7B33" w:rsidRDefault="005F2C89" w:rsidP="00203A06">
            <w:pPr>
              <w:jc w:val="right"/>
              <w:rPr>
                <w:b/>
                <w:bCs/>
              </w:rPr>
            </w:pPr>
            <w:r w:rsidRPr="00BE7B33">
              <w:rPr>
                <w:b/>
                <w:bCs/>
              </w:rPr>
              <w:t>Outcome</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79399" w14:textId="77777777" w:rsidR="005F2C89" w:rsidRPr="00BE7B33" w:rsidRDefault="005F2C89" w:rsidP="00203A06">
            <w:pPr>
              <w:jc w:val="right"/>
              <w:rPr>
                <w:b/>
                <w:bCs/>
              </w:rPr>
            </w:pPr>
            <w:r w:rsidRPr="00BE7B33">
              <w:rPr>
                <w:b/>
                <w:bCs/>
              </w:rPr>
              <w:t>Total</w:t>
            </w:r>
          </w:p>
        </w:tc>
      </w:tr>
      <w:tr w:rsidR="005F2C89" w14:paraId="62C4D6B1" w14:textId="77777777" w:rsidTr="00BB0068">
        <w:tc>
          <w:tcPr>
            <w:tcW w:w="33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431F50A" w14:textId="77777777" w:rsidR="005F2C89" w:rsidRPr="00BE7B33" w:rsidRDefault="00C459B9" w:rsidP="00C459B9">
            <w:r>
              <w:t xml:space="preserve">1. </w:t>
            </w:r>
            <w:r w:rsidR="005F2C89" w:rsidRPr="00BE7B33">
              <w:t>Equality and choice</w:t>
            </w:r>
          </w:p>
        </w:tc>
        <w:tc>
          <w:tcPr>
            <w:tcW w:w="1459" w:type="dxa"/>
            <w:tcBorders>
              <w:top w:val="nil"/>
              <w:left w:val="nil"/>
              <w:bottom w:val="single" w:sz="4" w:space="0" w:color="auto"/>
              <w:right w:val="single" w:sz="8" w:space="0" w:color="auto"/>
            </w:tcBorders>
            <w:tcMar>
              <w:top w:w="0" w:type="dxa"/>
              <w:left w:w="108" w:type="dxa"/>
              <w:bottom w:w="0" w:type="dxa"/>
              <w:right w:w="108" w:type="dxa"/>
            </w:tcMar>
            <w:hideMark/>
          </w:tcPr>
          <w:p w14:paraId="6B925B25" w14:textId="77777777" w:rsidR="005F2C89" w:rsidRPr="00BE7B33" w:rsidRDefault="005F2C89" w:rsidP="00203A06">
            <w:pPr>
              <w:jc w:val="right"/>
            </w:pPr>
            <w:r w:rsidRPr="00BE7B33">
              <w:t>3</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14:paraId="68BF8476" w14:textId="77777777" w:rsidR="005F2C89" w:rsidRPr="00BE7B33" w:rsidRDefault="005F2C89" w:rsidP="00203A06">
            <w:pPr>
              <w:jc w:val="right"/>
            </w:pPr>
            <w:r w:rsidRPr="00BE7B33">
              <w:t>10</w:t>
            </w:r>
          </w:p>
        </w:tc>
        <w:tc>
          <w:tcPr>
            <w:tcW w:w="1276" w:type="dxa"/>
            <w:tcBorders>
              <w:top w:val="single" w:sz="4" w:space="0" w:color="auto"/>
              <w:left w:val="single" w:sz="4" w:space="0" w:color="auto"/>
              <w:bottom w:val="single" w:sz="4" w:space="0" w:color="auto"/>
              <w:right w:val="single" w:sz="4" w:space="0" w:color="auto"/>
            </w:tcBorders>
          </w:tcPr>
          <w:p w14:paraId="1649A3F9" w14:textId="77777777" w:rsidR="005F2C89" w:rsidRPr="00BE7B33" w:rsidRDefault="005F2C89" w:rsidP="00203A06">
            <w:pPr>
              <w:jc w:val="right"/>
            </w:pPr>
            <w:r w:rsidRPr="00BE7B33">
              <w:t>2</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439A9" w14:textId="77777777" w:rsidR="005F2C89" w:rsidRPr="00BE7B33" w:rsidRDefault="005F2C89" w:rsidP="00203A06">
            <w:pPr>
              <w:jc w:val="right"/>
            </w:pPr>
            <w:r w:rsidRPr="00BE7B33">
              <w:t>15</w:t>
            </w:r>
          </w:p>
        </w:tc>
      </w:tr>
      <w:tr w:rsidR="005F2C89" w14:paraId="178E4853" w14:textId="77777777" w:rsidTr="00BB006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D3D63" w14:textId="77777777" w:rsidR="005F2C89" w:rsidRPr="00BE7B33" w:rsidRDefault="00C459B9" w:rsidP="00AD281D">
            <w:r>
              <w:t xml:space="preserve">2. </w:t>
            </w:r>
            <w:r w:rsidR="005F2C89" w:rsidRPr="00BE7B33">
              <w:t>Joined up policies and public services</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D8C6D2" w14:textId="77777777" w:rsidR="005F2C89" w:rsidRPr="00BE7B33" w:rsidRDefault="005F2C89" w:rsidP="00203A06">
            <w:pPr>
              <w:jc w:val="right"/>
            </w:pPr>
            <w:r w:rsidRPr="00BE7B33">
              <w:t>4</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0478B" w14:textId="77777777" w:rsidR="005F2C89" w:rsidRPr="00BE7B33" w:rsidRDefault="005F2C89" w:rsidP="00203A06">
            <w:pPr>
              <w:jc w:val="right"/>
            </w:pPr>
            <w:r w:rsidRPr="00BE7B33">
              <w:t>2</w:t>
            </w:r>
          </w:p>
        </w:tc>
        <w:tc>
          <w:tcPr>
            <w:tcW w:w="1276" w:type="dxa"/>
            <w:tcBorders>
              <w:top w:val="single" w:sz="4" w:space="0" w:color="auto"/>
              <w:left w:val="single" w:sz="4" w:space="0" w:color="auto"/>
              <w:bottom w:val="single" w:sz="4" w:space="0" w:color="auto"/>
              <w:right w:val="single" w:sz="4" w:space="0" w:color="auto"/>
            </w:tcBorders>
          </w:tcPr>
          <w:p w14:paraId="02D596DC" w14:textId="77777777" w:rsidR="005F2C89" w:rsidRPr="00BE7B33" w:rsidRDefault="005F2C89" w:rsidP="00203A06">
            <w:pPr>
              <w:jc w:val="right"/>
            </w:pPr>
            <w:r w:rsidRPr="00BE7B33">
              <w:t>0</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936F5" w14:textId="77777777" w:rsidR="005F2C89" w:rsidRPr="00BE7B33" w:rsidRDefault="005F2C89" w:rsidP="00203A06">
            <w:pPr>
              <w:jc w:val="right"/>
            </w:pPr>
            <w:r w:rsidRPr="00BE7B33">
              <w:t>6</w:t>
            </w:r>
          </w:p>
        </w:tc>
      </w:tr>
      <w:tr w:rsidR="005F2C89" w14:paraId="2D74F606" w14:textId="77777777" w:rsidTr="00BB006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9512C" w14:textId="77777777" w:rsidR="005F2C89" w:rsidRPr="00BE7B33" w:rsidRDefault="00C459B9" w:rsidP="00AD281D">
            <w:r>
              <w:t xml:space="preserve">3. </w:t>
            </w:r>
            <w:r w:rsidR="005F2C89" w:rsidRPr="00BE7B33">
              <w:t>Education</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2BE796" w14:textId="77777777" w:rsidR="005F2C89" w:rsidRPr="00BE7B33" w:rsidRDefault="005F2C89" w:rsidP="00203A06">
            <w:pPr>
              <w:jc w:val="right"/>
            </w:pPr>
            <w:r w:rsidRPr="00BE7B33">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06732" w14:textId="77777777" w:rsidR="005F2C89" w:rsidRPr="00BE7B33" w:rsidRDefault="005F2C89" w:rsidP="00203A06">
            <w:pPr>
              <w:jc w:val="right"/>
            </w:pPr>
            <w:r w:rsidRPr="00BE7B33">
              <w:t>4</w:t>
            </w:r>
          </w:p>
        </w:tc>
        <w:tc>
          <w:tcPr>
            <w:tcW w:w="1276" w:type="dxa"/>
            <w:tcBorders>
              <w:top w:val="single" w:sz="4" w:space="0" w:color="auto"/>
              <w:left w:val="single" w:sz="4" w:space="0" w:color="auto"/>
              <w:bottom w:val="single" w:sz="4" w:space="0" w:color="auto"/>
              <w:right w:val="single" w:sz="4" w:space="0" w:color="auto"/>
            </w:tcBorders>
          </w:tcPr>
          <w:p w14:paraId="5963ACD3" w14:textId="77777777" w:rsidR="005F2C89" w:rsidRPr="00BE7B33" w:rsidRDefault="005F2C89" w:rsidP="00203A06">
            <w:pPr>
              <w:jc w:val="right"/>
            </w:pPr>
            <w:r w:rsidRPr="00BE7B33">
              <w:t>1</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E9F550" w14:textId="77777777" w:rsidR="005F2C89" w:rsidRPr="00BE7B33" w:rsidRDefault="005F2C89" w:rsidP="00203A06">
            <w:pPr>
              <w:jc w:val="right"/>
            </w:pPr>
            <w:r w:rsidRPr="00BE7B33">
              <w:t>5</w:t>
            </w:r>
          </w:p>
        </w:tc>
      </w:tr>
      <w:tr w:rsidR="005F2C89" w14:paraId="14929BD8" w14:textId="77777777" w:rsidTr="00BB006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0F1699" w14:textId="77777777" w:rsidR="005F2C89" w:rsidRPr="00BE7B33" w:rsidRDefault="00C459B9" w:rsidP="00AD281D">
            <w:r>
              <w:t xml:space="preserve">4. </w:t>
            </w:r>
            <w:r w:rsidR="005F2C89" w:rsidRPr="00BE7B33">
              <w:t>Employment</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2E44C" w14:textId="77777777" w:rsidR="005F2C89" w:rsidRPr="00BE7B33" w:rsidRDefault="005F2C89" w:rsidP="00203A06">
            <w:pPr>
              <w:jc w:val="right"/>
            </w:pPr>
            <w:r w:rsidRPr="00BE7B33">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CDCB2" w14:textId="77777777" w:rsidR="005F2C89" w:rsidRPr="00BE7B33" w:rsidRDefault="005F2C89" w:rsidP="00203A06">
            <w:pPr>
              <w:jc w:val="right"/>
            </w:pPr>
            <w:r w:rsidRPr="00BE7B33">
              <w:t>2</w:t>
            </w:r>
          </w:p>
        </w:tc>
        <w:tc>
          <w:tcPr>
            <w:tcW w:w="1276" w:type="dxa"/>
            <w:tcBorders>
              <w:top w:val="single" w:sz="4" w:space="0" w:color="auto"/>
              <w:left w:val="single" w:sz="4" w:space="0" w:color="auto"/>
              <w:bottom w:val="single" w:sz="4" w:space="0" w:color="auto"/>
              <w:right w:val="single" w:sz="4" w:space="0" w:color="auto"/>
            </w:tcBorders>
          </w:tcPr>
          <w:p w14:paraId="408B957F" w14:textId="77777777" w:rsidR="005F2C89" w:rsidRPr="00BE7B33" w:rsidRDefault="005F2C89" w:rsidP="00203A06">
            <w:pPr>
              <w:jc w:val="right"/>
            </w:pPr>
            <w:r w:rsidRPr="00BE7B33">
              <w:t>3</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2F44A" w14:textId="77777777" w:rsidR="005F2C89" w:rsidRPr="00BE7B33" w:rsidRDefault="005F2C89" w:rsidP="00203A06">
            <w:pPr>
              <w:jc w:val="right"/>
            </w:pPr>
            <w:r w:rsidRPr="00BE7B33">
              <w:t>5</w:t>
            </w:r>
          </w:p>
        </w:tc>
      </w:tr>
      <w:tr w:rsidR="005F2C89" w14:paraId="23CA2CFD" w14:textId="77777777" w:rsidTr="00BB006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16298" w14:textId="77777777" w:rsidR="005F2C89" w:rsidRPr="00BE7B33" w:rsidRDefault="00C459B9" w:rsidP="00AD281D">
            <w:r>
              <w:t xml:space="preserve">5. </w:t>
            </w:r>
            <w:r w:rsidR="005F2C89" w:rsidRPr="00BE7B33">
              <w:t>Health and wellbeing</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032BE" w14:textId="77777777" w:rsidR="005F2C89" w:rsidRPr="00BE7B33" w:rsidRDefault="005F2C89" w:rsidP="00203A06">
            <w:pPr>
              <w:jc w:val="right"/>
            </w:pPr>
            <w:r w:rsidRPr="00BE7B33">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076E7A" w14:textId="77777777" w:rsidR="005F2C89" w:rsidRPr="00BE7B33" w:rsidRDefault="005F2C89" w:rsidP="00203A06">
            <w:pPr>
              <w:jc w:val="right"/>
            </w:pPr>
            <w:r w:rsidRPr="00BE7B33">
              <w:t>4</w:t>
            </w:r>
          </w:p>
        </w:tc>
        <w:tc>
          <w:tcPr>
            <w:tcW w:w="1276" w:type="dxa"/>
            <w:tcBorders>
              <w:top w:val="single" w:sz="4" w:space="0" w:color="auto"/>
              <w:left w:val="single" w:sz="4" w:space="0" w:color="auto"/>
              <w:bottom w:val="single" w:sz="4" w:space="0" w:color="auto"/>
              <w:right w:val="single" w:sz="4" w:space="0" w:color="auto"/>
            </w:tcBorders>
          </w:tcPr>
          <w:p w14:paraId="272614CA" w14:textId="77777777" w:rsidR="005F2C89" w:rsidRPr="00BE7B33" w:rsidRDefault="005F2C89" w:rsidP="00203A06">
            <w:pPr>
              <w:jc w:val="right"/>
            </w:pPr>
            <w:r w:rsidRPr="00BE7B33">
              <w:t>3</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85462" w14:textId="77777777" w:rsidR="005F2C89" w:rsidRPr="00BE7B33" w:rsidRDefault="005F2C89" w:rsidP="00203A06">
            <w:pPr>
              <w:jc w:val="right"/>
            </w:pPr>
            <w:r w:rsidRPr="00BE7B33">
              <w:t>7</w:t>
            </w:r>
          </w:p>
        </w:tc>
      </w:tr>
      <w:tr w:rsidR="005F2C89" w14:paraId="464F294F" w14:textId="77777777" w:rsidTr="00BB006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CA347" w14:textId="77777777" w:rsidR="005F2C89" w:rsidRPr="00BE7B33" w:rsidRDefault="00C459B9" w:rsidP="00AD281D">
            <w:r>
              <w:t xml:space="preserve">6. </w:t>
            </w:r>
            <w:r w:rsidR="005F2C89" w:rsidRPr="00BE7B33">
              <w:t>Person-centred disability services</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0AB91" w14:textId="77777777" w:rsidR="005F2C89" w:rsidRPr="00BE7B33" w:rsidRDefault="005F2C89" w:rsidP="00203A06">
            <w:pPr>
              <w:jc w:val="right"/>
            </w:pPr>
            <w:r w:rsidRPr="00BE7B33">
              <w:t>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2AC2C" w14:textId="77777777" w:rsidR="005F2C89" w:rsidRPr="00BE7B33" w:rsidRDefault="005F2C89" w:rsidP="00203A06">
            <w:pPr>
              <w:jc w:val="right"/>
            </w:pPr>
            <w:r w:rsidRPr="00BE7B33">
              <w:t>11</w:t>
            </w:r>
          </w:p>
        </w:tc>
        <w:tc>
          <w:tcPr>
            <w:tcW w:w="1276" w:type="dxa"/>
            <w:tcBorders>
              <w:top w:val="single" w:sz="4" w:space="0" w:color="auto"/>
              <w:left w:val="single" w:sz="4" w:space="0" w:color="auto"/>
              <w:bottom w:val="single" w:sz="4" w:space="0" w:color="auto"/>
              <w:right w:val="single" w:sz="4" w:space="0" w:color="auto"/>
            </w:tcBorders>
          </w:tcPr>
          <w:p w14:paraId="08D3ED4D" w14:textId="77777777" w:rsidR="005F2C89" w:rsidRPr="00BE7B33" w:rsidRDefault="005F2C89" w:rsidP="00203A06">
            <w:pPr>
              <w:jc w:val="right"/>
            </w:pPr>
            <w:r w:rsidRPr="00BE7B33">
              <w:t>1</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36A3B" w14:textId="77777777" w:rsidR="005F2C89" w:rsidRPr="00BE7B33" w:rsidRDefault="005F2C89" w:rsidP="00203A06">
            <w:pPr>
              <w:jc w:val="right"/>
            </w:pPr>
            <w:r w:rsidRPr="00BE7B33">
              <w:t>13</w:t>
            </w:r>
          </w:p>
        </w:tc>
      </w:tr>
      <w:tr w:rsidR="005F2C89" w14:paraId="5CCE158A" w14:textId="77777777" w:rsidTr="00BB006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F0874D" w14:textId="77777777" w:rsidR="005F2C89" w:rsidRPr="00BE7B33" w:rsidRDefault="00C459B9" w:rsidP="00AD281D">
            <w:r>
              <w:t xml:space="preserve">7. </w:t>
            </w:r>
            <w:r w:rsidR="005F2C89" w:rsidRPr="00BE7B33">
              <w:t>Living in the community</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37960" w14:textId="77777777" w:rsidR="005F2C89" w:rsidRPr="00BE7B33" w:rsidRDefault="005F2C89" w:rsidP="00203A06">
            <w:pPr>
              <w:jc w:val="right"/>
            </w:pPr>
            <w:r w:rsidRPr="00BE7B33">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440FF" w14:textId="77777777" w:rsidR="005F2C89" w:rsidRPr="00BE7B33" w:rsidRDefault="005F2C89" w:rsidP="00203A06">
            <w:pPr>
              <w:jc w:val="right"/>
            </w:pPr>
            <w:r w:rsidRPr="00BE7B33">
              <w:t>5</w:t>
            </w:r>
          </w:p>
        </w:tc>
        <w:tc>
          <w:tcPr>
            <w:tcW w:w="1276" w:type="dxa"/>
            <w:tcBorders>
              <w:top w:val="single" w:sz="4" w:space="0" w:color="auto"/>
              <w:left w:val="single" w:sz="4" w:space="0" w:color="auto"/>
              <w:bottom w:val="single" w:sz="4" w:space="0" w:color="auto"/>
              <w:right w:val="single" w:sz="4" w:space="0" w:color="auto"/>
            </w:tcBorders>
          </w:tcPr>
          <w:p w14:paraId="0ECE70C6" w14:textId="77777777" w:rsidR="005F2C89" w:rsidRPr="00BE7B33" w:rsidRDefault="005F2C89" w:rsidP="00203A06">
            <w:pPr>
              <w:jc w:val="right"/>
            </w:pPr>
            <w:r w:rsidRPr="00BE7B33">
              <w:t>2</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91241" w14:textId="77777777" w:rsidR="005F2C89" w:rsidRPr="00BE7B33" w:rsidRDefault="005F2C89" w:rsidP="00203A06">
            <w:pPr>
              <w:jc w:val="right"/>
            </w:pPr>
            <w:r w:rsidRPr="00BE7B33">
              <w:t>7</w:t>
            </w:r>
          </w:p>
        </w:tc>
      </w:tr>
      <w:tr w:rsidR="005F2C89" w14:paraId="16833418" w14:textId="77777777" w:rsidTr="00BB006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D2560" w14:textId="77777777" w:rsidR="005F2C89" w:rsidRPr="00BE7B33" w:rsidRDefault="00C459B9" w:rsidP="00AD281D">
            <w:r>
              <w:t xml:space="preserve">8. </w:t>
            </w:r>
            <w:r w:rsidR="005F2C89" w:rsidRPr="00BE7B33">
              <w:t>Transport and accessible places</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FB057" w14:textId="77777777" w:rsidR="005F2C89" w:rsidRPr="00BE7B33" w:rsidRDefault="005F2C89" w:rsidP="00203A06">
            <w:pPr>
              <w:jc w:val="right"/>
            </w:pPr>
            <w:r w:rsidRPr="00BE7B33">
              <w:t>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8CB2A1" w14:textId="77777777" w:rsidR="005F2C89" w:rsidRPr="00BE7B33" w:rsidRDefault="005F2C89" w:rsidP="00203A06">
            <w:pPr>
              <w:jc w:val="right"/>
            </w:pPr>
            <w:r w:rsidRPr="00BE7B33">
              <w:t>3</w:t>
            </w:r>
          </w:p>
        </w:tc>
        <w:tc>
          <w:tcPr>
            <w:tcW w:w="1276" w:type="dxa"/>
            <w:tcBorders>
              <w:top w:val="single" w:sz="4" w:space="0" w:color="auto"/>
              <w:left w:val="single" w:sz="4" w:space="0" w:color="auto"/>
              <w:bottom w:val="single" w:sz="4" w:space="0" w:color="auto"/>
              <w:right w:val="single" w:sz="4" w:space="0" w:color="auto"/>
            </w:tcBorders>
          </w:tcPr>
          <w:p w14:paraId="7EAD86BA" w14:textId="77777777" w:rsidR="005F2C89" w:rsidRPr="00BE7B33" w:rsidRDefault="005F2C89" w:rsidP="00203A06">
            <w:pPr>
              <w:jc w:val="right"/>
            </w:pPr>
            <w:r w:rsidRPr="00BE7B33">
              <w:t>0</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168F45" w14:textId="77777777" w:rsidR="005F2C89" w:rsidRPr="00BE7B33" w:rsidRDefault="005F2C89" w:rsidP="00203A06">
            <w:pPr>
              <w:jc w:val="right"/>
            </w:pPr>
            <w:r w:rsidRPr="00BE7B33">
              <w:t>3</w:t>
            </w:r>
          </w:p>
        </w:tc>
      </w:tr>
      <w:tr w:rsidR="005F2C89" w14:paraId="4CDB0B22" w14:textId="77777777" w:rsidTr="00BB0068">
        <w:tc>
          <w:tcPr>
            <w:tcW w:w="33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23105" w14:textId="77777777" w:rsidR="005F2C89" w:rsidRPr="00BE7B33" w:rsidRDefault="005F2C89" w:rsidP="00AD281D">
            <w:r w:rsidRPr="00BE7B33">
              <w:t xml:space="preserve">Total </w:t>
            </w:r>
          </w:p>
        </w:tc>
        <w:tc>
          <w:tcPr>
            <w:tcW w:w="14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CF5E6A" w14:textId="77777777" w:rsidR="005F2C89" w:rsidRPr="00BE7B33" w:rsidRDefault="005F2C89" w:rsidP="00203A06">
            <w:pPr>
              <w:jc w:val="right"/>
            </w:pPr>
            <w:r>
              <w:t>8 (13%)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65DAED" w14:textId="77777777" w:rsidR="005F2C89" w:rsidRPr="00BE7B33" w:rsidRDefault="005F2C89" w:rsidP="00203A06">
            <w:pPr>
              <w:jc w:val="right"/>
            </w:pPr>
            <w:r>
              <w:t>41 (67%)</w:t>
            </w:r>
          </w:p>
        </w:tc>
        <w:tc>
          <w:tcPr>
            <w:tcW w:w="1276" w:type="dxa"/>
            <w:tcBorders>
              <w:top w:val="single" w:sz="4" w:space="0" w:color="auto"/>
              <w:left w:val="single" w:sz="4" w:space="0" w:color="auto"/>
              <w:bottom w:val="single" w:sz="4" w:space="0" w:color="auto"/>
              <w:right w:val="single" w:sz="4" w:space="0" w:color="auto"/>
            </w:tcBorders>
          </w:tcPr>
          <w:p w14:paraId="0D8CAECF" w14:textId="77777777" w:rsidR="005F2C89" w:rsidRPr="00BE7B33" w:rsidRDefault="005F2C89" w:rsidP="00203A06">
            <w:pPr>
              <w:jc w:val="right"/>
            </w:pPr>
            <w:r w:rsidRPr="00BE7B33">
              <w:t>12</w:t>
            </w:r>
            <w:r>
              <w:t xml:space="preserve"> (20%)</w:t>
            </w:r>
          </w:p>
        </w:tc>
        <w:tc>
          <w:tcPr>
            <w:tcW w:w="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B06A6" w14:textId="77777777" w:rsidR="005F2C89" w:rsidRPr="00BE7B33" w:rsidRDefault="005F2C89" w:rsidP="00203A06">
            <w:pPr>
              <w:keepNext/>
              <w:jc w:val="right"/>
            </w:pPr>
            <w:r>
              <w:t>61*</w:t>
            </w:r>
          </w:p>
        </w:tc>
      </w:tr>
    </w:tbl>
    <w:p w14:paraId="0A4708B9" w14:textId="77777777" w:rsidR="005F2C89" w:rsidRDefault="005F2C89" w:rsidP="00203A06">
      <w:pPr>
        <w:rPr>
          <w:sz w:val="20"/>
          <w:szCs w:val="20"/>
        </w:rPr>
      </w:pPr>
      <w:r w:rsidRPr="005C772A">
        <w:rPr>
          <w:sz w:val="20"/>
          <w:szCs w:val="20"/>
        </w:rPr>
        <w:t>*note three indicators are repeated</w:t>
      </w:r>
    </w:p>
    <w:p w14:paraId="62264DDD" w14:textId="77777777" w:rsidR="005F2C89" w:rsidRPr="005F2C89" w:rsidRDefault="005F2C89" w:rsidP="005F2C89">
      <w:pPr>
        <w:spacing w:after="120"/>
        <w:rPr>
          <w:sz w:val="20"/>
          <w:szCs w:val="20"/>
        </w:rPr>
      </w:pPr>
      <w:r>
        <w:t>The benefit of using the structure, process, outcomes framework is that it allows both the measurement of the reali</w:t>
      </w:r>
      <w:r w:rsidR="0043717E">
        <w:t>s</w:t>
      </w:r>
      <w:r>
        <w:t xml:space="preserve">ation of rights in addition to the progress made by the duty bearer in meeting its human rights obligations. </w:t>
      </w:r>
      <w:r w:rsidRPr="005C32B3">
        <w:rPr>
          <w:rFonts w:eastAsia="SimSun" w:cs="FuturaEF-Book"/>
          <w:szCs w:val="26"/>
          <w:lang w:eastAsia="en-IE"/>
        </w:rPr>
        <w:t>Outcome indicators</w:t>
      </w:r>
      <w:r>
        <w:rPr>
          <w:rFonts w:eastAsia="SimSun" w:cs="FuturaEF-Book"/>
          <w:szCs w:val="26"/>
          <w:lang w:eastAsia="en-IE"/>
        </w:rPr>
        <w:t xml:space="preserve"> tend to be </w:t>
      </w:r>
      <w:r w:rsidRPr="005C32B3">
        <w:rPr>
          <w:rFonts w:eastAsia="SimSun" w:cs="FuturaEF-Book"/>
          <w:szCs w:val="26"/>
          <w:lang w:eastAsia="en-IE"/>
        </w:rPr>
        <w:t>slow moving indicator</w:t>
      </w:r>
      <w:r>
        <w:rPr>
          <w:rFonts w:eastAsia="SimSun" w:cs="FuturaEF-Book"/>
          <w:szCs w:val="26"/>
          <w:lang w:eastAsia="en-IE"/>
        </w:rPr>
        <w:t>s that are</w:t>
      </w:r>
      <w:r w:rsidRPr="005C32B3">
        <w:rPr>
          <w:rFonts w:eastAsia="SimSun" w:cs="FuturaEF-Book"/>
          <w:szCs w:val="26"/>
          <w:lang w:eastAsia="en-IE"/>
        </w:rPr>
        <w:t xml:space="preserve"> less sensitive to capturing momentary changes than a process indicator.</w:t>
      </w:r>
      <w:r>
        <w:rPr>
          <w:rFonts w:eastAsia="SimSun" w:cs="FuturaEF-Book"/>
          <w:szCs w:val="26"/>
          <w:lang w:eastAsia="en-IE"/>
        </w:rPr>
        <w:t xml:space="preserve"> </w:t>
      </w:r>
      <w:r w:rsidR="0043717E">
        <w:rPr>
          <w:rFonts w:eastAsia="SimSun" w:cs="FuturaEF-Book"/>
          <w:szCs w:val="26"/>
          <w:lang w:eastAsia="en-IE"/>
        </w:rPr>
        <w:t>This</w:t>
      </w:r>
      <w:r>
        <w:rPr>
          <w:rFonts w:eastAsia="SimSun" w:cs="FuturaEF-Book"/>
          <w:szCs w:val="26"/>
          <w:lang w:eastAsia="en-IE"/>
        </w:rPr>
        <w:t xml:space="preserve"> framework will also help link the outcomes to their determinants, particularly policy instruments.</w:t>
      </w:r>
    </w:p>
    <w:p w14:paraId="7285FB03" w14:textId="17422D80" w:rsidR="004839F6" w:rsidRPr="0061620C" w:rsidRDefault="004839F6" w:rsidP="004839F6">
      <w:pPr>
        <w:spacing w:after="120"/>
        <w:rPr>
          <w:szCs w:val="26"/>
        </w:rPr>
      </w:pPr>
      <w:r w:rsidRPr="00796D67">
        <w:rPr>
          <w:szCs w:val="26"/>
        </w:rPr>
        <w:t xml:space="preserve">We have used the indicators to </w:t>
      </w:r>
      <w:r w:rsidR="00325A52" w:rsidRPr="00796D67">
        <w:rPr>
          <w:szCs w:val="26"/>
        </w:rPr>
        <w:t xml:space="preserve">help to build and </w:t>
      </w:r>
      <w:r w:rsidRPr="00796D67">
        <w:rPr>
          <w:szCs w:val="26"/>
        </w:rPr>
        <w:t xml:space="preserve">paint an overall picture of </w:t>
      </w:r>
      <w:r w:rsidR="00DE7A69" w:rsidRPr="00796D67">
        <w:rPr>
          <w:szCs w:val="26"/>
        </w:rPr>
        <w:t xml:space="preserve">the position in Ireland in relation to </w:t>
      </w:r>
      <w:r w:rsidR="00325A52" w:rsidRPr="00796D67">
        <w:rPr>
          <w:szCs w:val="26"/>
        </w:rPr>
        <w:t xml:space="preserve">progressing </w:t>
      </w:r>
      <w:r w:rsidR="00DE7A69" w:rsidRPr="00796D67">
        <w:rPr>
          <w:szCs w:val="26"/>
        </w:rPr>
        <w:t>equality and inclusion</w:t>
      </w:r>
      <w:r w:rsidR="0061620C" w:rsidRPr="00796D67">
        <w:rPr>
          <w:szCs w:val="26"/>
        </w:rPr>
        <w:t xml:space="preserve"> for persons with disabilities</w:t>
      </w:r>
      <w:r w:rsidR="00325A52" w:rsidRPr="00796D67">
        <w:rPr>
          <w:szCs w:val="26"/>
        </w:rPr>
        <w:t>, with a view to giving a sense where possible of</w:t>
      </w:r>
      <w:r w:rsidR="00DE7A69" w:rsidRPr="00796D67">
        <w:rPr>
          <w:szCs w:val="26"/>
        </w:rPr>
        <w:t xml:space="preserve"> the degree of </w:t>
      </w:r>
      <w:r w:rsidR="00194BEB" w:rsidRPr="00796D67">
        <w:rPr>
          <w:szCs w:val="26"/>
        </w:rPr>
        <w:t>progress, or</w:t>
      </w:r>
      <w:r w:rsidRPr="00796D67">
        <w:rPr>
          <w:szCs w:val="26"/>
        </w:rPr>
        <w:t xml:space="preserve"> lack thereof</w:t>
      </w:r>
      <w:r w:rsidR="0025038D" w:rsidRPr="00796D67">
        <w:rPr>
          <w:szCs w:val="26"/>
        </w:rPr>
        <w:t>,</w:t>
      </w:r>
      <w:r w:rsidRPr="00796D67">
        <w:rPr>
          <w:szCs w:val="26"/>
        </w:rPr>
        <w:t xml:space="preserve"> under the thematic headings of the strategy. Where relevant, we have provided an analysis of how the various data interact and the i</w:t>
      </w:r>
      <w:r w:rsidR="005F2C89" w:rsidRPr="00796D67">
        <w:rPr>
          <w:szCs w:val="26"/>
        </w:rPr>
        <w:t xml:space="preserve">nterplay with other information. </w:t>
      </w:r>
      <w:r w:rsidR="004C0A3D" w:rsidRPr="00796D67">
        <w:rPr>
          <w:szCs w:val="26"/>
        </w:rPr>
        <w:t xml:space="preserve">A fuller picture would benefit from more extensive available quantitative data and also establishing a means of gathering information direct from persons with disabilities on their lived experience in the areas covered by the </w:t>
      </w:r>
      <w:r w:rsidR="007959DA">
        <w:rPr>
          <w:szCs w:val="26"/>
        </w:rPr>
        <w:t>NDIS</w:t>
      </w:r>
      <w:r w:rsidR="004C0A3D" w:rsidRPr="00796D67">
        <w:rPr>
          <w:szCs w:val="26"/>
        </w:rPr>
        <w:t xml:space="preserve">’s actions. This would require a largescale survey or series of surveys </w:t>
      </w:r>
      <w:r w:rsidR="009F07FD" w:rsidRPr="00796D67">
        <w:rPr>
          <w:szCs w:val="26"/>
        </w:rPr>
        <w:t xml:space="preserve">with persons with disabilities </w:t>
      </w:r>
      <w:r w:rsidR="004C0A3D" w:rsidRPr="00796D67">
        <w:rPr>
          <w:szCs w:val="26"/>
        </w:rPr>
        <w:t>encompassing a robust sample size and framework to support the development of baseline data against which progre</w:t>
      </w:r>
      <w:r w:rsidR="00796D67" w:rsidRPr="00796D67">
        <w:rPr>
          <w:szCs w:val="26"/>
        </w:rPr>
        <w:t>ss could be measured over time.</w:t>
      </w:r>
      <w:r w:rsidR="004C0A3D" w:rsidRPr="00796D67">
        <w:rPr>
          <w:szCs w:val="26"/>
        </w:rPr>
        <w:t xml:space="preserve"> </w:t>
      </w:r>
      <w:r w:rsidR="00796D67" w:rsidRPr="00796D67">
        <w:rPr>
          <w:szCs w:val="26"/>
        </w:rPr>
        <w:t>It</w:t>
      </w:r>
      <w:r w:rsidR="00796D67">
        <w:rPr>
          <w:szCs w:val="26"/>
        </w:rPr>
        <w:t xml:space="preserve"> </w:t>
      </w:r>
      <w:r w:rsidR="004C0A3D" w:rsidRPr="00796D67">
        <w:rPr>
          <w:szCs w:val="26"/>
        </w:rPr>
        <w:t>was not possible to deliver this within the timeframe for this report, but the NDA is exploring how this can be achieved in terms of methods and sources for the futu</w:t>
      </w:r>
      <w:r w:rsidR="00796D67" w:rsidRPr="00796D67">
        <w:rPr>
          <w:szCs w:val="26"/>
        </w:rPr>
        <w:t>re.</w:t>
      </w:r>
    </w:p>
    <w:p w14:paraId="18FB993B" w14:textId="20F9B233" w:rsidR="0025038D" w:rsidRPr="0061620C" w:rsidRDefault="004839F6" w:rsidP="004839F6">
      <w:pPr>
        <w:spacing w:after="120"/>
        <w:rPr>
          <w:szCs w:val="26"/>
        </w:rPr>
      </w:pPr>
      <w:r w:rsidRPr="004624F5">
        <w:rPr>
          <w:szCs w:val="26"/>
        </w:rPr>
        <w:t>It should be noted that it will always be challenging to align a specific improvement or dis</w:t>
      </w:r>
      <w:r w:rsidR="005918B1">
        <w:rPr>
          <w:szCs w:val="26"/>
        </w:rPr>
        <w:t>-</w:t>
      </w:r>
      <w:r w:rsidRPr="004624F5">
        <w:rPr>
          <w:szCs w:val="26"/>
        </w:rPr>
        <w:t xml:space="preserve">improvement in an indicator with a specific action within the </w:t>
      </w:r>
      <w:r w:rsidR="00FB5CC7">
        <w:rPr>
          <w:szCs w:val="26"/>
        </w:rPr>
        <w:t>s</w:t>
      </w:r>
      <w:r w:rsidRPr="004624F5">
        <w:rPr>
          <w:szCs w:val="26"/>
        </w:rPr>
        <w:t xml:space="preserve">trategy, or even to wholly credit the </w:t>
      </w:r>
      <w:r w:rsidR="00FB5CC7">
        <w:rPr>
          <w:szCs w:val="26"/>
        </w:rPr>
        <w:t>s</w:t>
      </w:r>
      <w:r w:rsidRPr="004624F5">
        <w:rPr>
          <w:szCs w:val="26"/>
        </w:rPr>
        <w:t xml:space="preserve">trategy itself with such an improvement. </w:t>
      </w:r>
      <w:r w:rsidR="00FB5CC7">
        <w:rPr>
          <w:szCs w:val="26"/>
        </w:rPr>
        <w:t>There are a range of inter</w:t>
      </w:r>
      <w:r w:rsidRPr="004624F5">
        <w:rPr>
          <w:szCs w:val="26"/>
        </w:rPr>
        <w:t>locking factors that can lead to improvements or dis</w:t>
      </w:r>
      <w:r w:rsidR="005918B1">
        <w:rPr>
          <w:szCs w:val="26"/>
        </w:rPr>
        <w:t>-</w:t>
      </w:r>
      <w:r w:rsidRPr="004624F5">
        <w:rPr>
          <w:szCs w:val="26"/>
        </w:rPr>
        <w:t>improvements in a person’s life</w:t>
      </w:r>
      <w:r w:rsidRPr="005C48F0">
        <w:rPr>
          <w:szCs w:val="26"/>
        </w:rPr>
        <w:t xml:space="preserve">, </w:t>
      </w:r>
      <w:r w:rsidR="009F07FD" w:rsidRPr="005C48F0">
        <w:rPr>
          <w:szCs w:val="26"/>
        </w:rPr>
        <w:t xml:space="preserve">e.g. from changes in a personal situation and support network to national and global </w:t>
      </w:r>
      <w:r w:rsidR="00687C79" w:rsidRPr="005C48F0">
        <w:rPr>
          <w:szCs w:val="26"/>
        </w:rPr>
        <w:t>developments etc.</w:t>
      </w:r>
      <w:r w:rsidR="009F07FD" w:rsidRPr="005C48F0">
        <w:rPr>
          <w:szCs w:val="26"/>
        </w:rPr>
        <w:t xml:space="preserve"> </w:t>
      </w:r>
      <w:r w:rsidR="009F07FD">
        <w:rPr>
          <w:szCs w:val="26"/>
        </w:rPr>
        <w:t>so that the commitments in</w:t>
      </w:r>
      <w:r w:rsidRPr="004624F5">
        <w:rPr>
          <w:szCs w:val="26"/>
        </w:rPr>
        <w:t xml:space="preserve"> this particular </w:t>
      </w:r>
      <w:r w:rsidR="00FB5CC7">
        <w:rPr>
          <w:szCs w:val="26"/>
        </w:rPr>
        <w:t>s</w:t>
      </w:r>
      <w:r w:rsidRPr="004624F5">
        <w:rPr>
          <w:szCs w:val="26"/>
        </w:rPr>
        <w:t xml:space="preserve">trategy </w:t>
      </w:r>
      <w:r w:rsidR="009F07FD">
        <w:rPr>
          <w:szCs w:val="26"/>
        </w:rPr>
        <w:t>present</w:t>
      </w:r>
      <w:r w:rsidR="009F1A80" w:rsidRPr="004624F5">
        <w:rPr>
          <w:szCs w:val="26"/>
        </w:rPr>
        <w:t xml:space="preserve"> </w:t>
      </w:r>
      <w:r w:rsidRPr="004624F5">
        <w:rPr>
          <w:szCs w:val="26"/>
        </w:rPr>
        <w:t xml:space="preserve">only one such factor. There are other national policies, programmes and strategies which will also have a bearing on outcomes for </w:t>
      </w:r>
      <w:r w:rsidR="00194BEB">
        <w:rPr>
          <w:szCs w:val="26"/>
        </w:rPr>
        <w:t>persons</w:t>
      </w:r>
      <w:r w:rsidR="00194BEB" w:rsidRPr="004624F5">
        <w:rPr>
          <w:szCs w:val="26"/>
        </w:rPr>
        <w:t xml:space="preserve"> </w:t>
      </w:r>
      <w:r w:rsidRPr="004624F5">
        <w:rPr>
          <w:szCs w:val="26"/>
        </w:rPr>
        <w:t xml:space="preserve">with disabilities, including the </w:t>
      </w:r>
      <w:r w:rsidR="00626DBC">
        <w:rPr>
          <w:lang w:eastAsia="en-IE"/>
        </w:rPr>
        <w:t xml:space="preserve">Transforming Lives Policy ‘Time to </w:t>
      </w:r>
      <w:r w:rsidR="00FB5CC7">
        <w:rPr>
          <w:lang w:eastAsia="en-IE"/>
        </w:rPr>
        <w:t>M</w:t>
      </w:r>
      <w:r w:rsidR="00626DBC">
        <w:rPr>
          <w:lang w:eastAsia="en-IE"/>
        </w:rPr>
        <w:t>ove on from Congregated Settings’</w:t>
      </w:r>
      <w:r w:rsidR="00626DBC">
        <w:rPr>
          <w:rStyle w:val="FootnoteReference"/>
          <w:lang w:eastAsia="en-IE"/>
        </w:rPr>
        <w:footnoteReference w:id="4"/>
      </w:r>
      <w:r w:rsidRPr="004624F5">
        <w:rPr>
          <w:szCs w:val="26"/>
        </w:rPr>
        <w:t xml:space="preserve">, the </w:t>
      </w:r>
      <w:r>
        <w:rPr>
          <w:szCs w:val="26"/>
        </w:rPr>
        <w:t xml:space="preserve">implementation of the recommendations from the </w:t>
      </w:r>
      <w:r w:rsidRPr="004624F5">
        <w:rPr>
          <w:szCs w:val="26"/>
        </w:rPr>
        <w:t xml:space="preserve">Task Force on Personalised </w:t>
      </w:r>
      <w:r w:rsidRPr="0061620C">
        <w:rPr>
          <w:szCs w:val="26"/>
        </w:rPr>
        <w:t>Budgets</w:t>
      </w:r>
      <w:r w:rsidR="00626DBC">
        <w:rPr>
          <w:rStyle w:val="FootnoteReference"/>
          <w:szCs w:val="26"/>
        </w:rPr>
        <w:footnoteReference w:id="5"/>
      </w:r>
      <w:r w:rsidRPr="0061620C">
        <w:rPr>
          <w:szCs w:val="26"/>
        </w:rPr>
        <w:t>, the Comprehensive Employment Strategy</w:t>
      </w:r>
      <w:r w:rsidR="00134810">
        <w:rPr>
          <w:szCs w:val="26"/>
        </w:rPr>
        <w:t xml:space="preserve"> (CES)</w:t>
      </w:r>
      <w:r w:rsidR="00EA7A6F" w:rsidRPr="0061620C">
        <w:rPr>
          <w:rStyle w:val="FootnoteReference"/>
          <w:szCs w:val="26"/>
        </w:rPr>
        <w:footnoteReference w:id="6"/>
      </w:r>
      <w:r w:rsidRPr="0061620C">
        <w:rPr>
          <w:szCs w:val="26"/>
        </w:rPr>
        <w:t xml:space="preserve"> and </w:t>
      </w:r>
      <w:r w:rsidRPr="00902630">
        <w:rPr>
          <w:szCs w:val="26"/>
        </w:rPr>
        <w:t>others</w:t>
      </w:r>
      <w:r w:rsidR="00DE7A69" w:rsidRPr="00902630">
        <w:rPr>
          <w:szCs w:val="26"/>
        </w:rPr>
        <w:t xml:space="preserve"> </w:t>
      </w:r>
      <w:r w:rsidR="00902630" w:rsidRPr="00902630">
        <w:rPr>
          <w:szCs w:val="26"/>
        </w:rPr>
        <w:t>not necessarily</w:t>
      </w:r>
      <w:r w:rsidR="00DE7A69" w:rsidRPr="00902630">
        <w:rPr>
          <w:szCs w:val="26"/>
        </w:rPr>
        <w:t xml:space="preserve"> incorporated in</w:t>
      </w:r>
      <w:r w:rsidR="00902630" w:rsidRPr="00902630">
        <w:rPr>
          <w:szCs w:val="26"/>
        </w:rPr>
        <w:t>to</w:t>
      </w:r>
      <w:r w:rsidR="00DE7A69" w:rsidRPr="00902630">
        <w:rPr>
          <w:szCs w:val="26"/>
        </w:rPr>
        <w:t xml:space="preserve"> those strategies and programmes</w:t>
      </w:r>
      <w:r w:rsidRPr="00902630">
        <w:rPr>
          <w:szCs w:val="26"/>
        </w:rPr>
        <w:t>. The</w:t>
      </w:r>
      <w:r w:rsidRPr="0061620C">
        <w:rPr>
          <w:szCs w:val="26"/>
        </w:rPr>
        <w:t xml:space="preserve"> NDA therefore considers this indicators report as one of a number of approaches to reviewing progres</w:t>
      </w:r>
      <w:r w:rsidR="00203A06">
        <w:rPr>
          <w:szCs w:val="26"/>
        </w:rPr>
        <w:t>s achieved in the coming years.</w:t>
      </w:r>
    </w:p>
    <w:p w14:paraId="073218B8" w14:textId="4D8D07D8" w:rsidR="004839F6" w:rsidRPr="0061620C" w:rsidRDefault="0025038D" w:rsidP="004839F6">
      <w:pPr>
        <w:spacing w:after="120"/>
        <w:rPr>
          <w:szCs w:val="26"/>
        </w:rPr>
      </w:pPr>
      <w:r w:rsidRPr="0061620C">
        <w:rPr>
          <w:szCs w:val="26"/>
        </w:rPr>
        <w:t xml:space="preserve">Ireland </w:t>
      </w:r>
      <w:r w:rsidR="00DE7A69" w:rsidRPr="0061620C">
        <w:rPr>
          <w:szCs w:val="26"/>
        </w:rPr>
        <w:t>is</w:t>
      </w:r>
      <w:r w:rsidR="00DE7A69" w:rsidRPr="00FB5CC7">
        <w:rPr>
          <w:szCs w:val="26"/>
        </w:rPr>
        <w:t xml:space="preserve"> </w:t>
      </w:r>
      <w:r w:rsidRPr="00FB5CC7">
        <w:rPr>
          <w:szCs w:val="26"/>
        </w:rPr>
        <w:t>due</w:t>
      </w:r>
      <w:r w:rsidRPr="0061620C">
        <w:rPr>
          <w:szCs w:val="26"/>
        </w:rPr>
        <w:t xml:space="preserve"> to present </w:t>
      </w:r>
      <w:r w:rsidR="00F52B02" w:rsidRPr="0061620C">
        <w:rPr>
          <w:szCs w:val="26"/>
        </w:rPr>
        <w:t xml:space="preserve">its </w:t>
      </w:r>
      <w:r w:rsidRPr="0061620C">
        <w:rPr>
          <w:szCs w:val="26"/>
        </w:rPr>
        <w:t xml:space="preserve">first state party report on the United Nations Convention on the Rights of </w:t>
      </w:r>
      <w:r w:rsidR="00194BEB" w:rsidRPr="0061620C">
        <w:rPr>
          <w:szCs w:val="26"/>
        </w:rPr>
        <w:t xml:space="preserve">Persons </w:t>
      </w:r>
      <w:r w:rsidRPr="0061620C">
        <w:rPr>
          <w:szCs w:val="26"/>
        </w:rPr>
        <w:t>with Disabilities (UNCRPD) during 2020</w:t>
      </w:r>
      <w:r w:rsidR="00F52B02" w:rsidRPr="0061620C">
        <w:rPr>
          <w:szCs w:val="26"/>
        </w:rPr>
        <w:t>. This</w:t>
      </w:r>
      <w:r w:rsidR="0061620C">
        <w:rPr>
          <w:szCs w:val="26"/>
        </w:rPr>
        <w:t xml:space="preserve"> </w:t>
      </w:r>
      <w:r w:rsidRPr="0061620C">
        <w:rPr>
          <w:szCs w:val="26"/>
        </w:rPr>
        <w:t xml:space="preserve">analysis of </w:t>
      </w:r>
      <w:r w:rsidR="00F52B02" w:rsidRPr="0061620C">
        <w:rPr>
          <w:szCs w:val="26"/>
        </w:rPr>
        <w:t>data relevant to the themes and actions committed</w:t>
      </w:r>
      <w:r w:rsidR="0061620C" w:rsidRPr="0061620C">
        <w:rPr>
          <w:szCs w:val="26"/>
        </w:rPr>
        <w:t xml:space="preserve"> to</w:t>
      </w:r>
      <w:r w:rsidR="00FB5CC7">
        <w:rPr>
          <w:szCs w:val="26"/>
        </w:rPr>
        <w:t xml:space="preserve"> in the </w:t>
      </w:r>
      <w:r w:rsidRPr="0061620C">
        <w:rPr>
          <w:szCs w:val="26"/>
        </w:rPr>
        <w:t xml:space="preserve">NDIS will be useful in </w:t>
      </w:r>
      <w:r w:rsidR="00F52B02" w:rsidRPr="0061620C">
        <w:rPr>
          <w:szCs w:val="26"/>
        </w:rPr>
        <w:t xml:space="preserve">informing </w:t>
      </w:r>
      <w:r w:rsidR="00203A06">
        <w:rPr>
          <w:szCs w:val="26"/>
        </w:rPr>
        <w:t>that report.</w:t>
      </w:r>
    </w:p>
    <w:p w14:paraId="27EB0BBC" w14:textId="20F1B864" w:rsidR="00DE5396" w:rsidRPr="0061620C" w:rsidRDefault="00DE5396" w:rsidP="004839F6">
      <w:pPr>
        <w:spacing w:after="120"/>
        <w:rPr>
          <w:szCs w:val="26"/>
        </w:rPr>
      </w:pPr>
      <w:r w:rsidRPr="0061620C">
        <w:rPr>
          <w:szCs w:val="26"/>
        </w:rPr>
        <w:t>In early 2020</w:t>
      </w:r>
      <w:r w:rsidR="00FB5CC7">
        <w:rPr>
          <w:szCs w:val="26"/>
        </w:rPr>
        <w:t>,</w:t>
      </w:r>
      <w:r w:rsidRPr="0061620C">
        <w:rPr>
          <w:szCs w:val="26"/>
        </w:rPr>
        <w:t xml:space="preserve"> </w:t>
      </w:r>
      <w:r w:rsidR="009F07FD">
        <w:rPr>
          <w:szCs w:val="26"/>
        </w:rPr>
        <w:t xml:space="preserve">a revised NDIS was approved by </w:t>
      </w:r>
      <w:r w:rsidR="009F07FD" w:rsidRPr="005C48F0">
        <w:rPr>
          <w:szCs w:val="26"/>
        </w:rPr>
        <w:t>C</w:t>
      </w:r>
      <w:r w:rsidRPr="0061620C">
        <w:rPr>
          <w:szCs w:val="26"/>
        </w:rPr>
        <w:t xml:space="preserve">abinet following a </w:t>
      </w:r>
      <w:r w:rsidR="00F52B02" w:rsidRPr="0061620C">
        <w:rPr>
          <w:szCs w:val="26"/>
        </w:rPr>
        <w:t xml:space="preserve">mid-term </w:t>
      </w:r>
      <w:r w:rsidRPr="0061620C">
        <w:rPr>
          <w:szCs w:val="26"/>
        </w:rPr>
        <w:t>review process that saw some new actions included. This may result in the development of new indicators</w:t>
      </w:r>
      <w:r w:rsidR="00AB2FA0" w:rsidRPr="0061620C">
        <w:rPr>
          <w:szCs w:val="26"/>
        </w:rPr>
        <w:t>,</w:t>
      </w:r>
      <w:r w:rsidRPr="0061620C">
        <w:rPr>
          <w:szCs w:val="26"/>
        </w:rPr>
        <w:t xml:space="preserve"> but this report concentrates on the </w:t>
      </w:r>
      <w:r w:rsidR="00FB5CC7">
        <w:rPr>
          <w:szCs w:val="26"/>
        </w:rPr>
        <w:t>original</w:t>
      </w:r>
      <w:r w:rsidRPr="0061620C">
        <w:rPr>
          <w:szCs w:val="26"/>
        </w:rPr>
        <w:t xml:space="preserve"> suite of </w:t>
      </w:r>
      <w:r w:rsidR="00F52B02" w:rsidRPr="0061620C">
        <w:rPr>
          <w:szCs w:val="26"/>
        </w:rPr>
        <w:t xml:space="preserve">adopted </w:t>
      </w:r>
      <w:r w:rsidRPr="0061620C">
        <w:rPr>
          <w:szCs w:val="26"/>
        </w:rPr>
        <w:t>indicators and</w:t>
      </w:r>
      <w:r w:rsidR="00AB2FA0" w:rsidRPr="0061620C">
        <w:rPr>
          <w:szCs w:val="26"/>
        </w:rPr>
        <w:t xml:space="preserve"> the NDA</w:t>
      </w:r>
      <w:r w:rsidRPr="0061620C">
        <w:rPr>
          <w:szCs w:val="26"/>
        </w:rPr>
        <w:t xml:space="preserve"> will examine the need for further indicators in line with the revised </w:t>
      </w:r>
      <w:r w:rsidR="007959DA">
        <w:rPr>
          <w:szCs w:val="26"/>
        </w:rPr>
        <w:t>s</w:t>
      </w:r>
      <w:r w:rsidR="00203A06">
        <w:rPr>
          <w:szCs w:val="26"/>
        </w:rPr>
        <w:t>trategy in due course.</w:t>
      </w:r>
    </w:p>
    <w:p w14:paraId="7F2DEA4F" w14:textId="77777777" w:rsidR="004839F6" w:rsidRPr="00591F27" w:rsidRDefault="004839F6" w:rsidP="004839F6">
      <w:pPr>
        <w:pStyle w:val="Heading1"/>
        <w:rPr>
          <w:b/>
          <w:color w:val="auto"/>
          <w:lang w:eastAsia="en-IE"/>
        </w:rPr>
      </w:pPr>
      <w:r w:rsidRPr="00591F27">
        <w:rPr>
          <w:b/>
          <w:color w:val="auto"/>
          <w:lang w:eastAsia="en-IE"/>
        </w:rPr>
        <w:t>Methods</w:t>
      </w:r>
    </w:p>
    <w:p w14:paraId="1F82CFB0" w14:textId="5493E71D" w:rsidR="004839F6" w:rsidRPr="003006E7" w:rsidRDefault="00AB2FA0" w:rsidP="009F1255">
      <w:pPr>
        <w:spacing w:after="120"/>
        <w:rPr>
          <w:szCs w:val="26"/>
        </w:rPr>
      </w:pPr>
      <w:r w:rsidRPr="0061620C">
        <w:rPr>
          <w:szCs w:val="26"/>
        </w:rPr>
        <w:t xml:space="preserve">Details on the development of the initial indicator set for </w:t>
      </w:r>
      <w:r w:rsidR="007959DA">
        <w:rPr>
          <w:szCs w:val="26"/>
        </w:rPr>
        <w:t>the NDIS</w:t>
      </w:r>
      <w:r w:rsidR="00F52B02" w:rsidRPr="0061620C">
        <w:rPr>
          <w:szCs w:val="26"/>
        </w:rPr>
        <w:t xml:space="preserve"> are</w:t>
      </w:r>
      <w:r w:rsidRPr="0061620C">
        <w:rPr>
          <w:szCs w:val="26"/>
        </w:rPr>
        <w:t xml:space="preserve"> available elsewhere</w:t>
      </w:r>
      <w:r w:rsidRPr="0061620C">
        <w:rPr>
          <w:rStyle w:val="FootnoteReference"/>
          <w:szCs w:val="26"/>
        </w:rPr>
        <w:footnoteReference w:id="7"/>
      </w:r>
      <w:r w:rsidRPr="0061620C">
        <w:rPr>
          <w:szCs w:val="26"/>
        </w:rPr>
        <w:t xml:space="preserve">. For this review, </w:t>
      </w:r>
      <w:r w:rsidR="009F1255" w:rsidRPr="0061620C">
        <w:rPr>
          <w:szCs w:val="26"/>
        </w:rPr>
        <w:t xml:space="preserve">where </w:t>
      </w:r>
      <w:r w:rsidR="00F52B02" w:rsidRPr="0061620C">
        <w:rPr>
          <w:szCs w:val="26"/>
        </w:rPr>
        <w:t>possible</w:t>
      </w:r>
      <w:r w:rsidR="0061620C" w:rsidRPr="0061620C">
        <w:rPr>
          <w:szCs w:val="26"/>
        </w:rPr>
        <w:t>,</w:t>
      </w:r>
      <w:r w:rsidR="00F52B02" w:rsidRPr="0061620C">
        <w:rPr>
          <w:szCs w:val="26"/>
        </w:rPr>
        <w:t xml:space="preserve"> any </w:t>
      </w:r>
      <w:r w:rsidR="009F1255" w:rsidRPr="0061620C">
        <w:rPr>
          <w:szCs w:val="26"/>
        </w:rPr>
        <w:t xml:space="preserve">available </w:t>
      </w:r>
      <w:r w:rsidRPr="0061620C">
        <w:rPr>
          <w:szCs w:val="26"/>
        </w:rPr>
        <w:t xml:space="preserve">baseline data </w:t>
      </w:r>
      <w:r w:rsidR="009F1255" w:rsidRPr="0061620C">
        <w:rPr>
          <w:szCs w:val="26"/>
        </w:rPr>
        <w:t xml:space="preserve">on these indicators </w:t>
      </w:r>
      <w:r w:rsidRPr="0061620C">
        <w:rPr>
          <w:szCs w:val="26"/>
        </w:rPr>
        <w:t>wa</w:t>
      </w:r>
      <w:r w:rsidR="009F1255" w:rsidRPr="0061620C">
        <w:rPr>
          <w:szCs w:val="26"/>
        </w:rPr>
        <w:t xml:space="preserve">s compared to </w:t>
      </w:r>
      <w:r w:rsidR="0025038D" w:rsidRPr="0061620C">
        <w:rPr>
          <w:szCs w:val="26"/>
        </w:rPr>
        <w:t>more</w:t>
      </w:r>
      <w:r w:rsidR="009F1255" w:rsidRPr="0061620C">
        <w:rPr>
          <w:szCs w:val="26"/>
        </w:rPr>
        <w:t xml:space="preserve"> recent data</w:t>
      </w:r>
      <w:r w:rsidR="004839F6" w:rsidRPr="0061620C">
        <w:rPr>
          <w:szCs w:val="26"/>
        </w:rPr>
        <w:t xml:space="preserve">. </w:t>
      </w:r>
      <w:r w:rsidRPr="0061620C">
        <w:rPr>
          <w:szCs w:val="26"/>
        </w:rPr>
        <w:t>Data was collated in late 2019</w:t>
      </w:r>
      <w:r w:rsidR="0025038D" w:rsidRPr="0061620C">
        <w:rPr>
          <w:szCs w:val="26"/>
        </w:rPr>
        <w:t xml:space="preserve"> and </w:t>
      </w:r>
      <w:r w:rsidR="0025038D">
        <w:rPr>
          <w:szCs w:val="26"/>
        </w:rPr>
        <w:t>early 2020</w:t>
      </w:r>
      <w:r>
        <w:rPr>
          <w:szCs w:val="26"/>
        </w:rPr>
        <w:t xml:space="preserve"> and </w:t>
      </w:r>
      <w:r w:rsidR="009F1255">
        <w:rPr>
          <w:szCs w:val="26"/>
        </w:rPr>
        <w:t>may relate to different years</w:t>
      </w:r>
      <w:r w:rsidR="00264AB3">
        <w:rPr>
          <w:szCs w:val="26"/>
        </w:rPr>
        <w:t>. G</w:t>
      </w:r>
      <w:r w:rsidR="009F1255">
        <w:rPr>
          <w:szCs w:val="26"/>
        </w:rPr>
        <w:t>enerally the most recent data available was from 2018</w:t>
      </w:r>
      <w:r>
        <w:rPr>
          <w:szCs w:val="26"/>
        </w:rPr>
        <w:t xml:space="preserve">, </w:t>
      </w:r>
      <w:r w:rsidR="004839F6" w:rsidRPr="003006E7">
        <w:rPr>
          <w:szCs w:val="26"/>
        </w:rPr>
        <w:t>but in some cases the</w:t>
      </w:r>
      <w:r w:rsidR="009F1255">
        <w:rPr>
          <w:szCs w:val="26"/>
        </w:rPr>
        <w:t xml:space="preserve"> most recent</w:t>
      </w:r>
      <w:r w:rsidR="004839F6" w:rsidRPr="003006E7">
        <w:rPr>
          <w:szCs w:val="26"/>
        </w:rPr>
        <w:t xml:space="preserve"> data </w:t>
      </w:r>
      <w:r w:rsidR="009F1255">
        <w:rPr>
          <w:szCs w:val="26"/>
        </w:rPr>
        <w:t>was from 2017 or 2019.</w:t>
      </w:r>
      <w:r w:rsidR="004839F6" w:rsidRPr="003006E7">
        <w:rPr>
          <w:szCs w:val="26"/>
        </w:rPr>
        <w:t xml:space="preserve"> </w:t>
      </w:r>
      <w:r w:rsidR="009F1255" w:rsidRPr="003006E7">
        <w:rPr>
          <w:szCs w:val="26"/>
        </w:rPr>
        <w:t xml:space="preserve">Government departments and agencies were contacted where necessary to provide information </w:t>
      </w:r>
      <w:r w:rsidR="00264AB3" w:rsidRPr="005C48F0">
        <w:rPr>
          <w:szCs w:val="26"/>
        </w:rPr>
        <w:t xml:space="preserve">from their administration datasets </w:t>
      </w:r>
      <w:r w:rsidR="009F1255" w:rsidRPr="005C48F0">
        <w:rPr>
          <w:szCs w:val="26"/>
        </w:rPr>
        <w:t xml:space="preserve">when it was not readily available through existing datasets or </w:t>
      </w:r>
      <w:r w:rsidR="00264AB3" w:rsidRPr="005C48F0">
        <w:rPr>
          <w:szCs w:val="26"/>
        </w:rPr>
        <w:t xml:space="preserve">set out in their </w:t>
      </w:r>
      <w:r w:rsidR="009F1255" w:rsidRPr="003006E7">
        <w:rPr>
          <w:szCs w:val="26"/>
        </w:rPr>
        <w:t xml:space="preserve">annual reports. </w:t>
      </w:r>
      <w:r w:rsidR="004839F6" w:rsidRPr="003006E7">
        <w:rPr>
          <w:szCs w:val="26"/>
        </w:rPr>
        <w:t>Where relevant</w:t>
      </w:r>
      <w:r w:rsidR="004839F6">
        <w:rPr>
          <w:szCs w:val="26"/>
        </w:rPr>
        <w:t>,</w:t>
      </w:r>
      <w:r w:rsidR="004839F6" w:rsidRPr="003006E7">
        <w:rPr>
          <w:szCs w:val="26"/>
        </w:rPr>
        <w:t xml:space="preserve"> data for multiple years are included to in</w:t>
      </w:r>
      <w:r w:rsidR="00203A06">
        <w:rPr>
          <w:szCs w:val="26"/>
        </w:rPr>
        <w:t>dicate a trend.</w:t>
      </w:r>
    </w:p>
    <w:p w14:paraId="7866577E" w14:textId="77777777" w:rsidR="00E22F03" w:rsidRDefault="00E22F03" w:rsidP="00E22F03">
      <w:pPr>
        <w:pStyle w:val="Heading1"/>
        <w:rPr>
          <w:rFonts w:ascii="MS Mincho" w:eastAsia="MS Mincho" w:hAnsi="MS Mincho" w:cs="MS Mincho"/>
          <w:lang w:eastAsia="en-IE"/>
        </w:rPr>
      </w:pPr>
      <w:r>
        <w:rPr>
          <w:lang w:eastAsia="en-IE"/>
        </w:rPr>
        <w:t xml:space="preserve">Theme 1: </w:t>
      </w:r>
      <w:r w:rsidRPr="00E22F03">
        <w:rPr>
          <w:lang w:eastAsia="en-IE"/>
        </w:rPr>
        <w:t>Equality and Choice</w:t>
      </w:r>
      <w:r w:rsidR="00053BBF">
        <w:rPr>
          <w:lang w:eastAsia="en-IE"/>
        </w:rPr>
        <w:t xml:space="preserve"> </w:t>
      </w:r>
    </w:p>
    <w:p w14:paraId="093784B2" w14:textId="065882BF" w:rsidR="005F3492" w:rsidRPr="006C4D04" w:rsidRDefault="006760FA" w:rsidP="004B60B8">
      <w:pPr>
        <w:pStyle w:val="Pa0"/>
        <w:spacing w:after="240"/>
        <w:rPr>
          <w:rFonts w:ascii="Gill Sans MT" w:hAnsi="Gill Sans MT"/>
          <w:color w:val="000000"/>
          <w:sz w:val="26"/>
          <w:szCs w:val="26"/>
        </w:rPr>
      </w:pPr>
      <w:r w:rsidRPr="002E2BA0">
        <w:rPr>
          <w:rStyle w:val="A01"/>
          <w:rFonts w:ascii="Gill Sans MT" w:hAnsi="Gill Sans MT"/>
          <w:sz w:val="26"/>
          <w:szCs w:val="26"/>
        </w:rPr>
        <w:t>This theme has</w:t>
      </w:r>
      <w:r w:rsidR="005C772A">
        <w:rPr>
          <w:rStyle w:val="A01"/>
          <w:rFonts w:ascii="Gill Sans MT" w:hAnsi="Gill Sans MT"/>
          <w:sz w:val="26"/>
          <w:szCs w:val="26"/>
        </w:rPr>
        <w:t>, at 15,</w:t>
      </w:r>
      <w:r w:rsidRPr="002E2BA0">
        <w:rPr>
          <w:rStyle w:val="A01"/>
          <w:rFonts w:ascii="Gill Sans MT" w:hAnsi="Gill Sans MT"/>
          <w:sz w:val="26"/>
          <w:szCs w:val="26"/>
        </w:rPr>
        <w:t xml:space="preserve"> the most indicators of all the eight themes in the strategy.</w:t>
      </w:r>
      <w:r w:rsidR="005C772A">
        <w:rPr>
          <w:rStyle w:val="A01"/>
          <w:rFonts w:ascii="Gill Sans MT" w:hAnsi="Gill Sans MT"/>
          <w:sz w:val="26"/>
          <w:szCs w:val="26"/>
        </w:rPr>
        <w:t xml:space="preserve"> Three are structural, 10 are process and two are outcome indicators. This theme is concerned with a </w:t>
      </w:r>
      <w:r w:rsidRPr="002E2BA0">
        <w:rPr>
          <w:rStyle w:val="A01"/>
          <w:rFonts w:ascii="Gill Sans MT" w:hAnsi="Gill Sans MT"/>
          <w:sz w:val="26"/>
          <w:szCs w:val="26"/>
        </w:rPr>
        <w:t>number of areas including that</w:t>
      </w:r>
      <w:r w:rsidR="004B60B8">
        <w:rPr>
          <w:rStyle w:val="A01"/>
          <w:rFonts w:ascii="Gill Sans MT" w:hAnsi="Gill Sans MT"/>
          <w:sz w:val="26"/>
          <w:szCs w:val="26"/>
        </w:rPr>
        <w:t xml:space="preserve"> </w:t>
      </w:r>
      <w:r w:rsidRPr="002E2BA0">
        <w:rPr>
          <w:rStyle w:val="A01"/>
          <w:rFonts w:ascii="Gill Sans MT" w:hAnsi="Gill Sans MT"/>
          <w:sz w:val="26"/>
          <w:szCs w:val="26"/>
        </w:rPr>
        <w:t>p</w:t>
      </w:r>
      <w:r w:rsidR="005F3492" w:rsidRPr="002E2BA0">
        <w:rPr>
          <w:rStyle w:val="A01"/>
          <w:rFonts w:ascii="Gill Sans MT" w:hAnsi="Gill Sans MT"/>
          <w:sz w:val="26"/>
          <w:szCs w:val="26"/>
        </w:rPr>
        <w:t>ersons with disabilities</w:t>
      </w:r>
      <w:r w:rsidR="005C772A">
        <w:rPr>
          <w:rStyle w:val="A01"/>
          <w:rFonts w:ascii="Gill Sans MT" w:hAnsi="Gill Sans MT"/>
          <w:sz w:val="26"/>
          <w:szCs w:val="26"/>
        </w:rPr>
        <w:t xml:space="preserve"> </w:t>
      </w:r>
      <w:r w:rsidR="005F3492" w:rsidRPr="002E2BA0">
        <w:rPr>
          <w:rStyle w:val="A01"/>
          <w:rFonts w:ascii="Gill Sans MT" w:hAnsi="Gill Sans MT"/>
          <w:sz w:val="26"/>
          <w:szCs w:val="26"/>
        </w:rPr>
        <w:t>are recognised and</w:t>
      </w:r>
      <w:r w:rsidRPr="002E2BA0">
        <w:rPr>
          <w:rStyle w:val="A01"/>
          <w:rFonts w:ascii="Gill Sans MT" w:hAnsi="Gill Sans MT"/>
          <w:sz w:val="26"/>
          <w:szCs w:val="26"/>
        </w:rPr>
        <w:t xml:space="preserve"> treated equally before the law, </w:t>
      </w:r>
      <w:r w:rsidR="005C772A">
        <w:rPr>
          <w:rStyle w:val="A01"/>
          <w:rFonts w:ascii="Gill Sans MT" w:hAnsi="Gill Sans MT"/>
          <w:sz w:val="26"/>
          <w:szCs w:val="26"/>
        </w:rPr>
        <w:t>have the same rights as others, can make their own choices and decision</w:t>
      </w:r>
      <w:r w:rsidR="00562FA6">
        <w:rPr>
          <w:rStyle w:val="A01"/>
          <w:rFonts w:ascii="Gill Sans MT" w:hAnsi="Gill Sans MT"/>
          <w:sz w:val="26"/>
          <w:szCs w:val="26"/>
        </w:rPr>
        <w:t>s</w:t>
      </w:r>
      <w:r w:rsidR="005C772A">
        <w:rPr>
          <w:rStyle w:val="A01"/>
          <w:rFonts w:ascii="Gill Sans MT" w:hAnsi="Gill Sans MT"/>
          <w:sz w:val="26"/>
          <w:szCs w:val="26"/>
        </w:rPr>
        <w:t xml:space="preserve"> and are treated with dignity and respect. </w:t>
      </w:r>
      <w:r w:rsidRPr="004B60B8">
        <w:rPr>
          <w:rFonts w:ascii="Gill Sans MT" w:hAnsi="Gill Sans MT"/>
          <w:color w:val="000000"/>
          <w:sz w:val="26"/>
          <w:szCs w:val="26"/>
        </w:rPr>
        <w:t>This theme also includes</w:t>
      </w:r>
      <w:r w:rsidR="006C4D04">
        <w:rPr>
          <w:rFonts w:ascii="Gill Sans MT" w:hAnsi="Gill Sans MT"/>
          <w:color w:val="000000"/>
          <w:sz w:val="26"/>
          <w:szCs w:val="26"/>
        </w:rPr>
        <w:t xml:space="preserve"> participation in public and political life and looks at</w:t>
      </w:r>
      <w:r w:rsidRPr="004B60B8">
        <w:rPr>
          <w:rFonts w:ascii="Gill Sans MT" w:hAnsi="Gill Sans MT"/>
          <w:color w:val="000000"/>
          <w:sz w:val="26"/>
          <w:szCs w:val="26"/>
        </w:rPr>
        <w:t xml:space="preserve"> the area of accessibility including that p</w:t>
      </w:r>
      <w:r w:rsidR="005F3492" w:rsidRPr="004B60B8">
        <w:rPr>
          <w:rStyle w:val="A01"/>
          <w:rFonts w:ascii="Gill Sans MT" w:hAnsi="Gill Sans MT"/>
          <w:sz w:val="26"/>
          <w:szCs w:val="26"/>
        </w:rPr>
        <w:t>ublic sector information is accessible</w:t>
      </w:r>
      <w:r w:rsidR="00FA20BB">
        <w:rPr>
          <w:rStyle w:val="A01"/>
          <w:rFonts w:ascii="Gill Sans MT" w:hAnsi="Gill Sans MT"/>
          <w:sz w:val="26"/>
          <w:szCs w:val="26"/>
        </w:rPr>
        <w:t xml:space="preserve"> and easy to understand</w:t>
      </w:r>
      <w:r w:rsidR="005F3492" w:rsidRPr="004B60B8">
        <w:rPr>
          <w:rStyle w:val="A01"/>
          <w:rFonts w:ascii="Gill Sans MT" w:hAnsi="Gill Sans MT"/>
          <w:sz w:val="26"/>
          <w:szCs w:val="26"/>
        </w:rPr>
        <w:t xml:space="preserve"> </w:t>
      </w:r>
      <w:r w:rsidRPr="004B60B8">
        <w:rPr>
          <w:rStyle w:val="A01"/>
          <w:rFonts w:ascii="Gill Sans MT" w:hAnsi="Gill Sans MT"/>
          <w:sz w:val="26"/>
          <w:szCs w:val="26"/>
        </w:rPr>
        <w:t>and that p</w:t>
      </w:r>
      <w:r w:rsidR="005F3492" w:rsidRPr="004B60B8">
        <w:rPr>
          <w:rFonts w:ascii="Gill Sans MT" w:hAnsi="Gill Sans MT" w:cs="YFEWFP+ArialMT"/>
          <w:color w:val="000000"/>
          <w:sz w:val="26"/>
          <w:szCs w:val="26"/>
        </w:rPr>
        <w:t xml:space="preserve">ublic services </w:t>
      </w:r>
      <w:r w:rsidR="00194BEB">
        <w:rPr>
          <w:rFonts w:ascii="Gill Sans MT" w:hAnsi="Gill Sans MT" w:cs="YFEWFP+ArialMT"/>
          <w:color w:val="000000"/>
          <w:sz w:val="26"/>
          <w:szCs w:val="26"/>
        </w:rPr>
        <w:t>follow a Universal Design</w:t>
      </w:r>
      <w:r w:rsidR="00A5743F">
        <w:rPr>
          <w:rFonts w:ascii="Gill Sans MT" w:hAnsi="Gill Sans MT" w:cs="YFEWFP+ArialMT"/>
          <w:color w:val="000000"/>
          <w:sz w:val="26"/>
          <w:szCs w:val="26"/>
        </w:rPr>
        <w:t xml:space="preserve"> (UD)</w:t>
      </w:r>
      <w:r w:rsidR="00194BEB">
        <w:rPr>
          <w:rFonts w:ascii="Gill Sans MT" w:hAnsi="Gill Sans MT" w:cs="YFEWFP+ArialMT"/>
          <w:color w:val="000000"/>
          <w:sz w:val="26"/>
          <w:szCs w:val="26"/>
        </w:rPr>
        <w:t xml:space="preserve"> approach</w:t>
      </w:r>
      <w:r w:rsidR="005F3492" w:rsidRPr="004B60B8">
        <w:rPr>
          <w:rFonts w:ascii="Gill Sans MT" w:hAnsi="Gill Sans MT" w:cs="YFEWFP+ArialMT"/>
          <w:color w:val="000000"/>
          <w:sz w:val="26"/>
          <w:szCs w:val="26"/>
        </w:rPr>
        <w:t xml:space="preserve"> and </w:t>
      </w:r>
      <w:r w:rsidR="00194BEB">
        <w:rPr>
          <w:rFonts w:ascii="Gill Sans MT" w:hAnsi="Gill Sans MT" w:cs="YFEWFP+ArialMT"/>
          <w:color w:val="000000"/>
          <w:sz w:val="26"/>
          <w:szCs w:val="26"/>
        </w:rPr>
        <w:t xml:space="preserve">are </w:t>
      </w:r>
      <w:r w:rsidR="005F3492" w:rsidRPr="004B60B8">
        <w:rPr>
          <w:rFonts w:ascii="Gill Sans MT" w:hAnsi="Gill Sans MT" w:cs="YFEWFP+ArialMT"/>
          <w:color w:val="000000"/>
          <w:sz w:val="26"/>
          <w:szCs w:val="26"/>
        </w:rPr>
        <w:t>accessible to all citizens.</w:t>
      </w:r>
    </w:p>
    <w:p w14:paraId="31EA6753" w14:textId="44C07140" w:rsidR="004A15E9" w:rsidRPr="00A31ADD" w:rsidRDefault="00321429" w:rsidP="009E4ABD">
      <w:pPr>
        <w:rPr>
          <w:lang w:eastAsia="en-IE"/>
        </w:rPr>
      </w:pPr>
      <w:r w:rsidRPr="00981C78">
        <w:rPr>
          <w:b/>
          <w:lang w:eastAsia="en-IE"/>
        </w:rPr>
        <w:t>I</w:t>
      </w:r>
      <w:r w:rsidRPr="00321429">
        <w:rPr>
          <w:b/>
          <w:lang w:eastAsia="en-IE"/>
        </w:rPr>
        <w:t xml:space="preserve">ndicator </w:t>
      </w:r>
      <w:r w:rsidR="009D59CB" w:rsidRPr="00321429">
        <w:rPr>
          <w:b/>
          <w:lang w:eastAsia="en-IE"/>
        </w:rPr>
        <w:t>1.1a</w:t>
      </w:r>
      <w:r w:rsidR="009D59CB" w:rsidRPr="00981C78">
        <w:rPr>
          <w:b/>
          <w:i/>
          <w:lang w:eastAsia="en-IE"/>
        </w:rPr>
        <w:t>.</w:t>
      </w:r>
      <w:r w:rsidR="009D59CB" w:rsidRPr="009E4ABD">
        <w:rPr>
          <w:b/>
          <w:lang w:eastAsia="en-IE"/>
        </w:rPr>
        <w:t xml:space="preserve"> Ratification of the UNCRPD</w:t>
      </w:r>
      <w:r w:rsidR="006C4D04">
        <w:rPr>
          <w:b/>
          <w:lang w:eastAsia="en-IE"/>
        </w:rPr>
        <w:t xml:space="preserve"> (Structural)</w:t>
      </w:r>
      <w:r w:rsidR="009D59CB" w:rsidRPr="009E4ABD">
        <w:rPr>
          <w:b/>
          <w:lang w:eastAsia="en-IE"/>
        </w:rPr>
        <w:t>:</w:t>
      </w:r>
      <w:r w:rsidR="009D59CB">
        <w:rPr>
          <w:lang w:eastAsia="en-IE"/>
        </w:rPr>
        <w:t xml:space="preserve"> </w:t>
      </w:r>
      <w:r w:rsidR="00F647E4">
        <w:rPr>
          <w:lang w:eastAsia="en-IE"/>
        </w:rPr>
        <w:t xml:space="preserve">The </w:t>
      </w:r>
      <w:r w:rsidR="004A15E9">
        <w:rPr>
          <w:lang w:eastAsia="en-IE"/>
        </w:rPr>
        <w:t xml:space="preserve">UNCRPD </w:t>
      </w:r>
      <w:r w:rsidR="00F647E4">
        <w:rPr>
          <w:lang w:eastAsia="en-IE"/>
        </w:rPr>
        <w:t xml:space="preserve">was </w:t>
      </w:r>
      <w:r w:rsidR="00961F2B">
        <w:rPr>
          <w:lang w:eastAsia="en-IE"/>
        </w:rPr>
        <w:t xml:space="preserve">ratified by Ireland in </w:t>
      </w:r>
      <w:r w:rsidR="00194BEB">
        <w:rPr>
          <w:lang w:eastAsia="en-IE"/>
        </w:rPr>
        <w:t xml:space="preserve">April </w:t>
      </w:r>
      <w:r w:rsidR="00961F2B">
        <w:rPr>
          <w:lang w:eastAsia="en-IE"/>
        </w:rPr>
        <w:t>2018</w:t>
      </w:r>
      <w:r w:rsidR="005278F6">
        <w:rPr>
          <w:rStyle w:val="FootnoteReference"/>
          <w:lang w:eastAsia="en-IE"/>
        </w:rPr>
        <w:footnoteReference w:id="8"/>
      </w:r>
      <w:r w:rsidR="009B095B">
        <w:rPr>
          <w:lang w:eastAsia="en-IE"/>
        </w:rPr>
        <w:t xml:space="preserve"> and the first state party report is due in Q2 2020. </w:t>
      </w:r>
      <w:r w:rsidR="00A30A8C" w:rsidRPr="00A30A8C">
        <w:rPr>
          <w:lang w:eastAsia="en-IE"/>
        </w:rPr>
        <w:t>The Department of Justice and Equality</w:t>
      </w:r>
      <w:r w:rsidR="00A5743F">
        <w:rPr>
          <w:lang w:eastAsia="en-IE"/>
        </w:rPr>
        <w:t xml:space="preserve"> (DOJE)</w:t>
      </w:r>
      <w:r w:rsidR="00A30A8C" w:rsidRPr="00A30A8C">
        <w:rPr>
          <w:lang w:eastAsia="en-IE"/>
        </w:rPr>
        <w:t>, as the focal point for the UNCRPD, is responsible for preparing the first state party report. The NDA has bee</w:t>
      </w:r>
      <w:r w:rsidR="00A30A8C" w:rsidRPr="005C48F0">
        <w:rPr>
          <w:lang w:eastAsia="en-IE"/>
        </w:rPr>
        <w:t xml:space="preserve">n </w:t>
      </w:r>
      <w:r w:rsidR="00264AB3" w:rsidRPr="005C48F0">
        <w:rPr>
          <w:lang w:eastAsia="en-IE"/>
        </w:rPr>
        <w:t xml:space="preserve">advising </w:t>
      </w:r>
      <w:r w:rsidR="00B57882" w:rsidRPr="005C48F0">
        <w:rPr>
          <w:lang w:eastAsia="en-IE"/>
        </w:rPr>
        <w:t xml:space="preserve">the </w:t>
      </w:r>
      <w:r w:rsidR="00A5743F" w:rsidRPr="005C48F0">
        <w:rPr>
          <w:lang w:eastAsia="en-IE"/>
        </w:rPr>
        <w:t>DOJE</w:t>
      </w:r>
      <w:r w:rsidR="00B57882" w:rsidRPr="005C48F0">
        <w:rPr>
          <w:lang w:eastAsia="en-IE"/>
        </w:rPr>
        <w:t xml:space="preserve"> </w:t>
      </w:r>
      <w:r w:rsidR="00264AB3" w:rsidRPr="005C48F0">
        <w:rPr>
          <w:lang w:eastAsia="en-IE"/>
        </w:rPr>
        <w:t xml:space="preserve">and other </w:t>
      </w:r>
      <w:r w:rsidR="00A30A8C" w:rsidRPr="005C48F0">
        <w:rPr>
          <w:lang w:eastAsia="en-IE"/>
        </w:rPr>
        <w:t>government departments</w:t>
      </w:r>
      <w:r w:rsidR="00264AB3" w:rsidRPr="005C48F0">
        <w:rPr>
          <w:lang w:eastAsia="en-IE"/>
        </w:rPr>
        <w:t xml:space="preserve"> on the implementation of </w:t>
      </w:r>
      <w:r w:rsidR="00A30A8C" w:rsidRPr="005C48F0">
        <w:rPr>
          <w:lang w:eastAsia="en-IE"/>
        </w:rPr>
        <w:t>their obligations under the UNCRPD</w:t>
      </w:r>
      <w:r w:rsidR="00264AB3" w:rsidRPr="005C48F0">
        <w:rPr>
          <w:lang w:eastAsia="en-IE"/>
        </w:rPr>
        <w:t xml:space="preserve"> bey</w:t>
      </w:r>
      <w:r w:rsidR="005C48F0" w:rsidRPr="005C48F0">
        <w:rPr>
          <w:lang w:eastAsia="en-IE"/>
        </w:rPr>
        <w:t>ond the commitments in the NDIS</w:t>
      </w:r>
      <w:r w:rsidR="00CF5D5C" w:rsidRPr="005C48F0">
        <w:rPr>
          <w:lang w:eastAsia="en-IE"/>
        </w:rPr>
        <w:t xml:space="preserve">. </w:t>
      </w:r>
      <w:r w:rsidR="00EE29BA" w:rsidRPr="00A31ADD">
        <w:rPr>
          <w:lang w:eastAsia="en-IE"/>
        </w:rPr>
        <w:t xml:space="preserve">The NDA notes that the government announced its intention </w:t>
      </w:r>
      <w:r w:rsidR="009B095B" w:rsidRPr="00A31ADD">
        <w:rPr>
          <w:lang w:eastAsia="en-IE"/>
        </w:rPr>
        <w:t>to ratify the Optional Protocol after</w:t>
      </w:r>
      <w:r w:rsidR="004839F6" w:rsidRPr="00A31ADD">
        <w:rPr>
          <w:lang w:eastAsia="en-IE"/>
        </w:rPr>
        <w:t xml:space="preserve"> Ireland’s first reporting cycle.</w:t>
      </w:r>
    </w:p>
    <w:p w14:paraId="088A99A5" w14:textId="1CE3BB68" w:rsidR="00A028A6" w:rsidRPr="00DC2F07" w:rsidRDefault="00CF5BEB" w:rsidP="00A028A6">
      <w:pPr>
        <w:rPr>
          <w:lang w:eastAsia="en-IE"/>
        </w:rPr>
      </w:pPr>
      <w:r w:rsidRPr="00EB55D1">
        <w:rPr>
          <w:b/>
          <w:lang w:eastAsia="en-IE"/>
        </w:rPr>
        <w:t>Indicator 1.1b.</w:t>
      </w:r>
      <w:r w:rsidRPr="009E4ABD">
        <w:rPr>
          <w:b/>
          <w:lang w:eastAsia="en-IE"/>
        </w:rPr>
        <w:t xml:space="preserve"> Amendment of the Mental Health Act, 2001 and other relevant legislation, giving full effect to the Expert Group </w:t>
      </w:r>
      <w:r w:rsidR="00A81193">
        <w:rPr>
          <w:b/>
          <w:lang w:eastAsia="en-IE"/>
        </w:rPr>
        <w:t>r</w:t>
      </w:r>
      <w:r w:rsidRPr="009E4ABD">
        <w:rPr>
          <w:b/>
          <w:lang w:eastAsia="en-IE"/>
        </w:rPr>
        <w:t>eport</w:t>
      </w:r>
      <w:r w:rsidR="006C4D04">
        <w:rPr>
          <w:b/>
          <w:lang w:eastAsia="en-IE"/>
        </w:rPr>
        <w:t xml:space="preserve"> (Structural)</w:t>
      </w:r>
      <w:r w:rsidR="009F15F7">
        <w:rPr>
          <w:b/>
          <w:lang w:eastAsia="en-IE"/>
        </w:rPr>
        <w:t>:</w:t>
      </w:r>
      <w:r w:rsidR="009F15F7">
        <w:rPr>
          <w:lang w:eastAsia="en-IE"/>
        </w:rPr>
        <w:t xml:space="preserve"> </w:t>
      </w:r>
      <w:r w:rsidR="00A028A6" w:rsidRPr="00A028A6">
        <w:rPr>
          <w:lang w:eastAsia="en-IE"/>
        </w:rPr>
        <w:t>In 2012, an Expert Group was appointed to re</w:t>
      </w:r>
      <w:r w:rsidR="00A028A6">
        <w:rPr>
          <w:lang w:eastAsia="en-IE"/>
        </w:rPr>
        <w:t>view th</w:t>
      </w:r>
      <w:r w:rsidR="00BD03DE">
        <w:rPr>
          <w:lang w:eastAsia="en-IE"/>
        </w:rPr>
        <w:t>e Mental Health Act</w:t>
      </w:r>
      <w:r w:rsidR="00A028A6">
        <w:rPr>
          <w:lang w:eastAsia="en-IE"/>
        </w:rPr>
        <w:t xml:space="preserve"> 2001</w:t>
      </w:r>
      <w:r w:rsidR="00BD03DE">
        <w:rPr>
          <w:lang w:eastAsia="en-IE"/>
        </w:rPr>
        <w:t xml:space="preserve"> and</w:t>
      </w:r>
      <w:r w:rsidR="00FC42BA">
        <w:rPr>
          <w:lang w:eastAsia="en-IE"/>
        </w:rPr>
        <w:t xml:space="preserve"> subsequently</w:t>
      </w:r>
      <w:r w:rsidR="00A028A6">
        <w:rPr>
          <w:lang w:eastAsia="en-IE"/>
        </w:rPr>
        <w:t xml:space="preserve"> made a series of recommendations to update the </w:t>
      </w:r>
      <w:r w:rsidR="00051B3C">
        <w:rPr>
          <w:lang w:eastAsia="en-IE"/>
        </w:rPr>
        <w:t xml:space="preserve">existing </w:t>
      </w:r>
      <w:r w:rsidR="00A028A6">
        <w:rPr>
          <w:lang w:eastAsia="en-IE"/>
        </w:rPr>
        <w:t>legislation.</w:t>
      </w:r>
      <w:r w:rsidR="00AA4DB2">
        <w:rPr>
          <w:rStyle w:val="FootnoteReference"/>
          <w:lang w:eastAsia="en-IE"/>
        </w:rPr>
        <w:footnoteReference w:id="9"/>
      </w:r>
      <w:r w:rsidR="00A028A6">
        <w:rPr>
          <w:lang w:eastAsia="en-IE"/>
        </w:rPr>
        <w:t xml:space="preserve"> </w:t>
      </w:r>
      <w:r w:rsidR="00BD03DE">
        <w:rPr>
          <w:lang w:eastAsia="en-IE"/>
        </w:rPr>
        <w:t>While t</w:t>
      </w:r>
      <w:r w:rsidR="00A028A6">
        <w:rPr>
          <w:lang w:eastAsia="en-IE"/>
        </w:rPr>
        <w:t>he</w:t>
      </w:r>
      <w:r w:rsidR="00A028A6" w:rsidRPr="00A028A6">
        <w:rPr>
          <w:lang w:eastAsia="en-IE"/>
        </w:rPr>
        <w:t xml:space="preserve"> </w:t>
      </w:r>
      <w:r w:rsidR="00A028A6">
        <w:rPr>
          <w:lang w:eastAsia="en-IE"/>
        </w:rPr>
        <w:t>Mental Health Act 2001</w:t>
      </w:r>
      <w:r w:rsidR="00A028A6" w:rsidRPr="00A028A6">
        <w:rPr>
          <w:lang w:eastAsia="en-IE"/>
        </w:rPr>
        <w:t xml:space="preserve"> has been amended </w:t>
      </w:r>
      <w:r w:rsidR="00A028A6">
        <w:rPr>
          <w:lang w:eastAsia="en-IE"/>
        </w:rPr>
        <w:t xml:space="preserve">a number of times in recent years, including </w:t>
      </w:r>
      <w:r w:rsidR="00BD03DE">
        <w:rPr>
          <w:lang w:eastAsia="en-IE"/>
        </w:rPr>
        <w:t>by way of</w:t>
      </w:r>
      <w:r w:rsidR="00A028A6" w:rsidRPr="00A028A6">
        <w:rPr>
          <w:lang w:eastAsia="en-IE"/>
        </w:rPr>
        <w:t xml:space="preserve"> the Mental Health (Amendment) Act 2018, </w:t>
      </w:r>
      <w:r w:rsidR="00BD03DE">
        <w:rPr>
          <w:lang w:eastAsia="en-IE"/>
        </w:rPr>
        <w:t xml:space="preserve">legislation giving full effect to the Expert Group </w:t>
      </w:r>
      <w:r w:rsidR="00A81193">
        <w:rPr>
          <w:lang w:eastAsia="en-IE"/>
        </w:rPr>
        <w:t>recommendations</w:t>
      </w:r>
      <w:r w:rsidR="00BD03DE">
        <w:rPr>
          <w:lang w:eastAsia="en-IE"/>
        </w:rPr>
        <w:t xml:space="preserve"> has yet to be </w:t>
      </w:r>
      <w:r w:rsidR="00E05BF7">
        <w:rPr>
          <w:lang w:eastAsia="en-IE"/>
        </w:rPr>
        <w:t>finalised</w:t>
      </w:r>
      <w:r w:rsidR="00A028A6">
        <w:rPr>
          <w:lang w:eastAsia="en-IE"/>
        </w:rPr>
        <w:t xml:space="preserve">. </w:t>
      </w:r>
      <w:r w:rsidR="00BD03DE">
        <w:rPr>
          <w:lang w:eastAsia="en-IE"/>
        </w:rPr>
        <w:t>The Mental H</w:t>
      </w:r>
      <w:r w:rsidR="00A028A6">
        <w:rPr>
          <w:lang w:eastAsia="en-IE"/>
        </w:rPr>
        <w:t>ealth (Renewal Orders) Act 2018</w:t>
      </w:r>
      <w:r w:rsidR="00BD03DE">
        <w:rPr>
          <w:lang w:eastAsia="en-IE"/>
        </w:rPr>
        <w:t xml:space="preserve"> implemented one of the recommendations by stipulating</w:t>
      </w:r>
      <w:r w:rsidR="00A028A6">
        <w:rPr>
          <w:lang w:eastAsia="en-IE"/>
        </w:rPr>
        <w:t xml:space="preserve"> </w:t>
      </w:r>
      <w:r w:rsidR="00A028A6" w:rsidRPr="00A028A6">
        <w:rPr>
          <w:lang w:eastAsia="en-IE"/>
        </w:rPr>
        <w:t xml:space="preserve">that the involuntary detention of a person under a ‘renewal order’ cannot exceed a period of 6 months at any given time. In addition, a person who is detained against their will under a renewal order can now apply for a review of their detention at or after three months from the date the renewal order </w:t>
      </w:r>
      <w:r w:rsidR="00A028A6" w:rsidRPr="00DC2F07">
        <w:rPr>
          <w:lang w:eastAsia="en-IE"/>
        </w:rPr>
        <w:t>was made.</w:t>
      </w:r>
    </w:p>
    <w:p w14:paraId="48351526" w14:textId="77777777" w:rsidR="00DC2F07" w:rsidRPr="00A31ADD" w:rsidRDefault="00051B3C" w:rsidP="00863939">
      <w:pPr>
        <w:pStyle w:val="Default"/>
        <w:spacing w:after="240"/>
        <w:rPr>
          <w:rFonts w:ascii="Gill Sans MT" w:hAnsi="Gill Sans MT" w:cs="Calibri"/>
          <w:sz w:val="26"/>
          <w:szCs w:val="26"/>
        </w:rPr>
      </w:pPr>
      <w:r w:rsidRPr="00E45EEB">
        <w:rPr>
          <w:rFonts w:ascii="Gill Sans MT" w:hAnsi="Gill Sans MT"/>
          <w:sz w:val="26"/>
          <w:szCs w:val="26"/>
          <w:lang w:eastAsia="en-IE"/>
        </w:rPr>
        <w:t xml:space="preserve">The text of a draft </w:t>
      </w:r>
      <w:r w:rsidR="00CF5BEB" w:rsidRPr="00E45EEB">
        <w:rPr>
          <w:rFonts w:ascii="Gill Sans MT" w:hAnsi="Gill Sans MT"/>
          <w:sz w:val="26"/>
          <w:szCs w:val="26"/>
          <w:lang w:eastAsia="en-IE"/>
        </w:rPr>
        <w:t>Heads of Bill</w:t>
      </w:r>
      <w:r w:rsidR="005F4A12" w:rsidRPr="00E45EEB">
        <w:rPr>
          <w:rFonts w:ascii="Gill Sans MT" w:hAnsi="Gill Sans MT"/>
          <w:sz w:val="26"/>
          <w:szCs w:val="26"/>
          <w:lang w:eastAsia="en-IE"/>
        </w:rPr>
        <w:t xml:space="preserve">, which seeks to give effect to the Expert Group </w:t>
      </w:r>
      <w:r w:rsidR="00A81193">
        <w:rPr>
          <w:rFonts w:ascii="Gill Sans MT" w:hAnsi="Gill Sans MT"/>
          <w:sz w:val="26"/>
          <w:szCs w:val="26"/>
          <w:lang w:eastAsia="en-IE"/>
        </w:rPr>
        <w:t>recommendations,</w:t>
      </w:r>
      <w:r w:rsidR="00CF5BEB" w:rsidRPr="00E45EEB">
        <w:rPr>
          <w:rFonts w:ascii="Gill Sans MT" w:hAnsi="Gill Sans MT"/>
          <w:sz w:val="26"/>
          <w:szCs w:val="26"/>
          <w:lang w:eastAsia="en-IE"/>
        </w:rPr>
        <w:t xml:space="preserve"> was developed and </w:t>
      </w:r>
      <w:r w:rsidRPr="00E45EEB">
        <w:rPr>
          <w:rFonts w:ascii="Gill Sans MT" w:hAnsi="Gill Sans MT"/>
          <w:sz w:val="26"/>
          <w:szCs w:val="26"/>
          <w:lang w:eastAsia="en-IE"/>
        </w:rPr>
        <w:t>sent to</w:t>
      </w:r>
      <w:r w:rsidR="00CF5BEB" w:rsidRPr="00E45EEB">
        <w:rPr>
          <w:rFonts w:ascii="Gill Sans MT" w:hAnsi="Gill Sans MT"/>
          <w:sz w:val="26"/>
          <w:szCs w:val="26"/>
          <w:lang w:eastAsia="en-IE"/>
        </w:rPr>
        <w:t xml:space="preserve"> the Mental Health Commission</w:t>
      </w:r>
      <w:r w:rsidR="002524EC">
        <w:rPr>
          <w:rFonts w:ascii="Gill Sans MT" w:hAnsi="Gill Sans MT"/>
          <w:sz w:val="26"/>
          <w:szCs w:val="26"/>
          <w:lang w:eastAsia="en-IE"/>
        </w:rPr>
        <w:t xml:space="preserve"> (MHC)</w:t>
      </w:r>
      <w:r w:rsidR="00CF5BEB" w:rsidRPr="00E45EEB">
        <w:rPr>
          <w:rFonts w:ascii="Gill Sans MT" w:hAnsi="Gill Sans MT"/>
          <w:sz w:val="26"/>
          <w:szCs w:val="26"/>
          <w:lang w:eastAsia="en-IE"/>
        </w:rPr>
        <w:t xml:space="preserve"> </w:t>
      </w:r>
      <w:r w:rsidRPr="00E45EEB">
        <w:rPr>
          <w:rFonts w:ascii="Gill Sans MT" w:hAnsi="Gill Sans MT"/>
          <w:sz w:val="26"/>
          <w:szCs w:val="26"/>
          <w:lang w:eastAsia="en-IE"/>
        </w:rPr>
        <w:t>for review in July 2019</w:t>
      </w:r>
      <w:r w:rsidR="004D6175" w:rsidRPr="00E45EEB">
        <w:rPr>
          <w:rFonts w:ascii="Gill Sans MT" w:hAnsi="Gill Sans MT"/>
          <w:sz w:val="26"/>
          <w:szCs w:val="26"/>
          <w:lang w:eastAsia="en-IE"/>
        </w:rPr>
        <w:t>. However,</w:t>
      </w:r>
      <w:r w:rsidR="00CF5BEB" w:rsidRPr="00E45EEB">
        <w:rPr>
          <w:rFonts w:ascii="Gill Sans MT" w:hAnsi="Gill Sans MT"/>
          <w:sz w:val="26"/>
          <w:szCs w:val="26"/>
          <w:lang w:eastAsia="en-IE"/>
        </w:rPr>
        <w:t xml:space="preserve"> at the time of writing</w:t>
      </w:r>
      <w:r w:rsidR="004D6175" w:rsidRPr="00E45EEB">
        <w:rPr>
          <w:rFonts w:ascii="Gill Sans MT" w:hAnsi="Gill Sans MT"/>
          <w:sz w:val="26"/>
          <w:szCs w:val="26"/>
          <w:lang w:eastAsia="en-IE"/>
        </w:rPr>
        <w:t>,</w:t>
      </w:r>
      <w:r w:rsidR="00CF5BEB" w:rsidRPr="00E45EEB">
        <w:rPr>
          <w:rFonts w:ascii="Gill Sans MT" w:hAnsi="Gill Sans MT"/>
          <w:sz w:val="26"/>
          <w:szCs w:val="26"/>
          <w:lang w:eastAsia="en-IE"/>
        </w:rPr>
        <w:t xml:space="preserve"> the D</w:t>
      </w:r>
      <m:oMath>
        <m:r>
          <w:rPr>
            <w:rFonts w:ascii="Cambria Math" w:hAnsi="Cambria Math"/>
            <w:sz w:val="26"/>
            <w:szCs w:val="26"/>
            <w:lang w:eastAsia="en-IE"/>
          </w:rPr>
          <m:t>á</m:t>
        </m:r>
      </m:oMath>
      <w:r w:rsidR="00CF5BEB" w:rsidRPr="00E45EEB">
        <w:rPr>
          <w:rFonts w:ascii="Gill Sans MT" w:hAnsi="Gill Sans MT"/>
          <w:sz w:val="26"/>
          <w:szCs w:val="26"/>
          <w:lang w:eastAsia="en-IE"/>
        </w:rPr>
        <w:t xml:space="preserve">il has been dissolved so </w:t>
      </w:r>
      <w:r w:rsidR="002E2BA0" w:rsidRPr="00E45EEB">
        <w:rPr>
          <w:rFonts w:ascii="Gill Sans MT" w:hAnsi="Gill Sans MT"/>
          <w:sz w:val="26"/>
          <w:szCs w:val="26"/>
          <w:lang w:eastAsia="en-IE"/>
        </w:rPr>
        <w:t>the future of the Bill is uncertain</w:t>
      </w:r>
      <w:r w:rsidR="00CF5BEB" w:rsidRPr="00E45EEB">
        <w:rPr>
          <w:rFonts w:ascii="Gill Sans MT" w:hAnsi="Gill Sans MT"/>
          <w:sz w:val="26"/>
          <w:szCs w:val="26"/>
          <w:lang w:eastAsia="en-IE"/>
        </w:rPr>
        <w:t>. It is hoped that by 2022</w:t>
      </w:r>
      <w:r w:rsidR="004D6175" w:rsidRPr="00E45EEB">
        <w:rPr>
          <w:rFonts w:ascii="Gill Sans MT" w:hAnsi="Gill Sans MT"/>
          <w:sz w:val="26"/>
          <w:szCs w:val="26"/>
          <w:lang w:eastAsia="en-IE"/>
        </w:rPr>
        <w:t>,</w:t>
      </w:r>
      <w:r w:rsidR="00CF5BEB" w:rsidRPr="00E45EEB">
        <w:rPr>
          <w:rFonts w:ascii="Gill Sans MT" w:hAnsi="Gill Sans MT"/>
          <w:sz w:val="26"/>
          <w:szCs w:val="26"/>
          <w:lang w:eastAsia="en-IE"/>
        </w:rPr>
        <w:t xml:space="preserve"> </w:t>
      </w:r>
      <w:r w:rsidR="004D6175" w:rsidRPr="00E45EEB">
        <w:rPr>
          <w:rFonts w:ascii="Gill Sans MT" w:hAnsi="Gill Sans MT"/>
          <w:sz w:val="26"/>
          <w:szCs w:val="26"/>
          <w:lang w:eastAsia="en-IE"/>
        </w:rPr>
        <w:t xml:space="preserve">all </w:t>
      </w:r>
      <w:r w:rsidR="00CF5BEB" w:rsidRPr="00E45EEB">
        <w:rPr>
          <w:rFonts w:ascii="Gill Sans MT" w:hAnsi="Gill Sans MT"/>
          <w:sz w:val="26"/>
          <w:szCs w:val="26"/>
          <w:lang w:eastAsia="en-IE"/>
        </w:rPr>
        <w:t xml:space="preserve">relevant legislation </w:t>
      </w:r>
      <w:r w:rsidR="00BF2E25" w:rsidRPr="00E45EEB">
        <w:rPr>
          <w:rFonts w:ascii="Gill Sans MT" w:hAnsi="Gill Sans MT"/>
          <w:sz w:val="26"/>
          <w:szCs w:val="26"/>
          <w:lang w:eastAsia="en-IE"/>
        </w:rPr>
        <w:t xml:space="preserve">which seeks to implement the Expert Group </w:t>
      </w:r>
      <w:r w:rsidR="00A81193">
        <w:rPr>
          <w:rFonts w:ascii="Gill Sans MT" w:hAnsi="Gill Sans MT"/>
          <w:sz w:val="26"/>
          <w:szCs w:val="26"/>
          <w:lang w:eastAsia="en-IE"/>
        </w:rPr>
        <w:t>recommendations</w:t>
      </w:r>
      <w:r w:rsidR="00CF5BEB" w:rsidRPr="00E45EEB">
        <w:rPr>
          <w:rFonts w:ascii="Gill Sans MT" w:hAnsi="Gill Sans MT"/>
          <w:sz w:val="26"/>
          <w:szCs w:val="26"/>
          <w:lang w:eastAsia="en-IE"/>
        </w:rPr>
        <w:t xml:space="preserve"> will have been enacted.</w:t>
      </w:r>
      <w:r w:rsidR="00DC2F07" w:rsidRPr="00E45EEB">
        <w:rPr>
          <w:rFonts w:ascii="Gill Sans MT" w:hAnsi="Gill Sans MT"/>
          <w:sz w:val="26"/>
          <w:szCs w:val="26"/>
          <w:lang w:eastAsia="en-IE"/>
        </w:rPr>
        <w:t xml:space="preserve"> Separately, legislation on Deprivation of Liberty, which is in the process of development for a number of years needs to be progressed. While this will have some impact on people with mental health </w:t>
      </w:r>
      <w:r w:rsidR="00DC2F07" w:rsidRPr="00A31ADD">
        <w:rPr>
          <w:rFonts w:ascii="Gill Sans MT" w:hAnsi="Gill Sans MT"/>
          <w:sz w:val="26"/>
          <w:szCs w:val="26"/>
          <w:lang w:eastAsia="en-IE"/>
        </w:rPr>
        <w:t xml:space="preserve">difficulties its reach is wider </w:t>
      </w:r>
      <w:r w:rsidR="00A81193">
        <w:rPr>
          <w:rFonts w:ascii="Gill Sans MT" w:hAnsi="Gill Sans MT"/>
          <w:sz w:val="26"/>
          <w:szCs w:val="26"/>
          <w:lang w:eastAsia="en-IE"/>
        </w:rPr>
        <w:t>and would include</w:t>
      </w:r>
      <w:r w:rsidR="00DC2F07" w:rsidRPr="00A31ADD">
        <w:rPr>
          <w:rFonts w:ascii="Gill Sans MT" w:hAnsi="Gill Sans MT"/>
          <w:sz w:val="26"/>
          <w:szCs w:val="26"/>
          <w:lang w:eastAsia="en-IE"/>
        </w:rPr>
        <w:t xml:space="preserve"> people in nursing homes, residential centres for people with disabilities and the use of chemical restraint. </w:t>
      </w:r>
      <w:r w:rsidR="00B57882" w:rsidRPr="00A31ADD">
        <w:rPr>
          <w:rFonts w:ascii="Gill Sans MT" w:hAnsi="Gill Sans MT"/>
          <w:sz w:val="26"/>
          <w:szCs w:val="26"/>
          <w:lang w:eastAsia="en-IE"/>
        </w:rPr>
        <w:t>NDA advises</w:t>
      </w:r>
      <w:r w:rsidR="00A81193">
        <w:rPr>
          <w:rFonts w:ascii="Gill Sans MT" w:hAnsi="Gill Sans MT"/>
          <w:sz w:val="26"/>
          <w:szCs w:val="26"/>
          <w:lang w:eastAsia="en-IE"/>
        </w:rPr>
        <w:t xml:space="preserve"> the</w:t>
      </w:r>
      <w:r w:rsidR="00B57882" w:rsidRPr="00A31ADD">
        <w:rPr>
          <w:rFonts w:ascii="Gill Sans MT" w:hAnsi="Gill Sans MT"/>
          <w:sz w:val="26"/>
          <w:szCs w:val="26"/>
          <w:lang w:eastAsia="en-IE"/>
        </w:rPr>
        <w:t xml:space="preserve"> importance of progressing both in order to achieve progress against this indicator.</w:t>
      </w:r>
    </w:p>
    <w:p w14:paraId="37793436" w14:textId="125BCD3B" w:rsidR="001B089A" w:rsidRDefault="009D59CB" w:rsidP="009E4ABD">
      <w:pPr>
        <w:rPr>
          <w:lang w:eastAsia="en-IE"/>
        </w:rPr>
      </w:pPr>
      <w:r w:rsidRPr="009E4ABD">
        <w:rPr>
          <w:b/>
          <w:lang w:eastAsia="en-IE"/>
        </w:rPr>
        <w:t>Indicator 1.1c. Percentage of people with and without a disability who report experiencing discrimination</w:t>
      </w:r>
      <w:r w:rsidR="006C4D04">
        <w:rPr>
          <w:b/>
          <w:lang w:eastAsia="en-IE"/>
        </w:rPr>
        <w:t xml:space="preserve"> (Outcome)</w:t>
      </w:r>
      <w:r w:rsidRPr="009E4ABD">
        <w:rPr>
          <w:b/>
          <w:lang w:eastAsia="en-IE"/>
        </w:rPr>
        <w:t>:</w:t>
      </w:r>
      <w:r>
        <w:rPr>
          <w:lang w:eastAsia="en-IE"/>
        </w:rPr>
        <w:t xml:space="preserve"> </w:t>
      </w:r>
      <w:r w:rsidR="00212369">
        <w:rPr>
          <w:lang w:eastAsia="en-IE"/>
        </w:rPr>
        <w:t>In</w:t>
      </w:r>
      <w:r w:rsidR="00B57882">
        <w:rPr>
          <w:lang w:eastAsia="en-IE"/>
        </w:rPr>
        <w:t xml:space="preserve"> the </w:t>
      </w:r>
      <w:r w:rsidR="00212369">
        <w:rPr>
          <w:lang w:eastAsia="en-IE"/>
        </w:rPr>
        <w:t>2014</w:t>
      </w:r>
      <w:r w:rsidR="00B57882">
        <w:rPr>
          <w:lang w:eastAsia="en-IE"/>
        </w:rPr>
        <w:t xml:space="preserve"> Equality and Discrimination module of the Quarterly National Household </w:t>
      </w:r>
      <w:r w:rsidR="00B80CFF">
        <w:rPr>
          <w:lang w:eastAsia="en-IE"/>
        </w:rPr>
        <w:t xml:space="preserve">(QNHS) </w:t>
      </w:r>
      <w:r w:rsidR="00B57882">
        <w:rPr>
          <w:lang w:eastAsia="en-IE"/>
        </w:rPr>
        <w:t>survey</w:t>
      </w:r>
      <w:r w:rsidR="00A31ADD">
        <w:rPr>
          <w:rStyle w:val="FootnoteReference"/>
          <w:lang w:eastAsia="en-IE"/>
        </w:rPr>
        <w:footnoteReference w:id="10"/>
      </w:r>
      <w:r w:rsidR="00212369">
        <w:rPr>
          <w:lang w:eastAsia="en-IE"/>
        </w:rPr>
        <w:t xml:space="preserve">, </w:t>
      </w:r>
      <w:r w:rsidR="00212369" w:rsidRPr="00DC2F07">
        <w:rPr>
          <w:lang w:eastAsia="en-IE"/>
        </w:rPr>
        <w:t>16%</w:t>
      </w:r>
      <w:r w:rsidR="00212369">
        <w:rPr>
          <w:lang w:eastAsia="en-IE"/>
        </w:rPr>
        <w:t xml:space="preserve"> of </w:t>
      </w:r>
      <w:r w:rsidR="00194BEB">
        <w:rPr>
          <w:lang w:eastAsia="en-IE"/>
        </w:rPr>
        <w:t xml:space="preserve">persons </w:t>
      </w:r>
      <w:r w:rsidR="00212369">
        <w:rPr>
          <w:lang w:eastAsia="en-IE"/>
        </w:rPr>
        <w:t>with a disability said they had felt discriminated</w:t>
      </w:r>
      <w:r w:rsidR="00D07373">
        <w:rPr>
          <w:lang w:eastAsia="en-IE"/>
        </w:rPr>
        <w:t xml:space="preserve"> against</w:t>
      </w:r>
      <w:r w:rsidR="00212369">
        <w:rPr>
          <w:lang w:eastAsia="en-IE"/>
        </w:rPr>
        <w:t xml:space="preserve"> in the previous two years, compared to </w:t>
      </w:r>
      <w:r w:rsidR="00212369" w:rsidRPr="00DC2F07">
        <w:rPr>
          <w:lang w:eastAsia="en-IE"/>
        </w:rPr>
        <w:t>11%</w:t>
      </w:r>
      <w:r w:rsidR="00212369">
        <w:rPr>
          <w:lang w:eastAsia="en-IE"/>
        </w:rPr>
        <w:t xml:space="preserve"> </w:t>
      </w:r>
      <w:r w:rsidR="00A31ADD">
        <w:rPr>
          <w:lang w:eastAsia="en-IE"/>
        </w:rPr>
        <w:t xml:space="preserve">of persons </w:t>
      </w:r>
      <w:r w:rsidR="00212369">
        <w:rPr>
          <w:lang w:eastAsia="en-IE"/>
        </w:rPr>
        <w:t xml:space="preserve">without a disability. </w:t>
      </w:r>
      <w:r w:rsidR="00D07373">
        <w:rPr>
          <w:lang w:eastAsia="en-IE"/>
        </w:rPr>
        <w:t xml:space="preserve">In </w:t>
      </w:r>
      <w:r w:rsidR="00B57882">
        <w:rPr>
          <w:lang w:eastAsia="en-IE"/>
        </w:rPr>
        <w:t xml:space="preserve">the </w:t>
      </w:r>
      <w:r w:rsidR="00AA082C">
        <w:rPr>
          <w:lang w:eastAsia="en-IE"/>
        </w:rPr>
        <w:t>2019 Equality and Discrimination Survey</w:t>
      </w:r>
      <w:r w:rsidR="00A31ADD">
        <w:rPr>
          <w:rStyle w:val="FootnoteReference"/>
          <w:lang w:eastAsia="en-IE"/>
        </w:rPr>
        <w:footnoteReference w:id="11"/>
      </w:r>
      <w:r w:rsidR="00D07373">
        <w:rPr>
          <w:lang w:eastAsia="en-IE"/>
        </w:rPr>
        <w:t>, this gap had increased, with 24.1% of adults with a disability reporting they felt discriminated against compared to 16.7% of those without a disability</w:t>
      </w:r>
      <w:r w:rsidR="00233C4A">
        <w:rPr>
          <w:lang w:eastAsia="en-IE"/>
        </w:rPr>
        <w:t xml:space="preserve"> (see Figure </w:t>
      </w:r>
      <w:r w:rsidR="00E95BF9" w:rsidRPr="00E95BF9">
        <w:rPr>
          <w:lang w:eastAsia="en-IE"/>
        </w:rPr>
        <w:t>1</w:t>
      </w:r>
      <w:r w:rsidR="00233C4A">
        <w:rPr>
          <w:lang w:eastAsia="en-IE"/>
        </w:rPr>
        <w:t>)</w:t>
      </w:r>
      <w:r w:rsidR="009F6E3C">
        <w:rPr>
          <w:lang w:eastAsia="en-IE"/>
        </w:rPr>
        <w:t>.</w:t>
      </w:r>
      <w:r w:rsidR="00571151">
        <w:rPr>
          <w:rStyle w:val="FootnoteReference"/>
          <w:lang w:eastAsia="en-IE"/>
        </w:rPr>
        <w:footnoteReference w:id="12"/>
      </w:r>
      <w:r w:rsidR="009F6E3C">
        <w:rPr>
          <w:lang w:eastAsia="en-IE"/>
        </w:rPr>
        <w:t xml:space="preserve"> </w:t>
      </w:r>
      <w:r w:rsidR="008B3278">
        <w:rPr>
          <w:lang w:eastAsia="en-IE"/>
        </w:rPr>
        <w:t xml:space="preserve">Comparing the 2019 figures to the 2014 figures </w:t>
      </w:r>
      <w:r w:rsidR="00AA082C">
        <w:rPr>
          <w:lang w:eastAsia="en-IE"/>
        </w:rPr>
        <w:t>suggests</w:t>
      </w:r>
      <w:r w:rsidR="008B3278">
        <w:rPr>
          <w:lang w:eastAsia="en-IE"/>
        </w:rPr>
        <w:t xml:space="preserve"> that t</w:t>
      </w:r>
      <w:r w:rsidR="009F6E3C">
        <w:rPr>
          <w:lang w:eastAsia="en-IE"/>
        </w:rPr>
        <w:t xml:space="preserve">he proportion of people </w:t>
      </w:r>
      <w:r w:rsidR="00D07373">
        <w:rPr>
          <w:lang w:eastAsia="en-IE"/>
        </w:rPr>
        <w:t>feeling discriminated against</w:t>
      </w:r>
      <w:r w:rsidR="009F6E3C">
        <w:rPr>
          <w:lang w:eastAsia="en-IE"/>
        </w:rPr>
        <w:t xml:space="preserve"> in both groups</w:t>
      </w:r>
      <w:r w:rsidR="00D07373">
        <w:rPr>
          <w:lang w:eastAsia="en-IE"/>
        </w:rPr>
        <w:t xml:space="preserve"> had increased </w:t>
      </w:r>
      <w:r w:rsidR="008B3278">
        <w:rPr>
          <w:lang w:eastAsia="en-IE"/>
        </w:rPr>
        <w:t>over time</w:t>
      </w:r>
      <w:r w:rsidR="00D07373">
        <w:rPr>
          <w:lang w:eastAsia="en-IE"/>
        </w:rPr>
        <w:t xml:space="preserve">. </w:t>
      </w:r>
      <w:r w:rsidR="001B089A">
        <w:rPr>
          <w:lang w:eastAsia="en-IE"/>
        </w:rPr>
        <w:t>This increase could be due to better awareness of what constitutes discrimination and therefore more reporting in the survey</w:t>
      </w:r>
      <w:r w:rsidR="00A31ADD">
        <w:rPr>
          <w:lang w:eastAsia="en-IE"/>
        </w:rPr>
        <w:t>. I</w:t>
      </w:r>
      <w:r w:rsidR="008B3278">
        <w:rPr>
          <w:lang w:eastAsia="en-IE"/>
        </w:rPr>
        <w:t>ndeed</w:t>
      </w:r>
      <w:r w:rsidR="00A31ADD">
        <w:rPr>
          <w:lang w:eastAsia="en-IE"/>
        </w:rPr>
        <w:t>,</w:t>
      </w:r>
      <w:r w:rsidR="008B3278">
        <w:rPr>
          <w:lang w:eastAsia="en-IE"/>
        </w:rPr>
        <w:t xml:space="preserve"> the CSO reported an increase in respondents’ awareness of their rights under Irish equality law over time</w:t>
      </w:r>
      <w:r w:rsidR="00E45EEB">
        <w:rPr>
          <w:lang w:eastAsia="en-IE"/>
        </w:rPr>
        <w:t>.</w:t>
      </w:r>
      <w:r w:rsidR="003F5920">
        <w:rPr>
          <w:rStyle w:val="FootnoteReference"/>
          <w:lang w:eastAsia="en-IE"/>
        </w:rPr>
        <w:footnoteReference w:id="13"/>
      </w:r>
      <w:r w:rsidR="001B089A">
        <w:rPr>
          <w:lang w:eastAsia="en-IE"/>
        </w:rPr>
        <w:t xml:space="preserve"> It </w:t>
      </w:r>
      <w:r w:rsidR="00B23A4A">
        <w:rPr>
          <w:lang w:eastAsia="en-IE"/>
        </w:rPr>
        <w:t xml:space="preserve">could </w:t>
      </w:r>
      <w:r w:rsidR="001B089A">
        <w:rPr>
          <w:lang w:eastAsia="en-IE"/>
        </w:rPr>
        <w:t xml:space="preserve">also be due to a true increase in the levels of discrimination experienced by </w:t>
      </w:r>
      <w:r w:rsidR="004B469A">
        <w:rPr>
          <w:lang w:eastAsia="en-IE"/>
        </w:rPr>
        <w:t>persons with disabilities</w:t>
      </w:r>
      <w:r w:rsidR="00B57882">
        <w:rPr>
          <w:lang w:eastAsia="en-IE"/>
        </w:rPr>
        <w:t xml:space="preserve"> and therefore warrants monitoring over time.</w:t>
      </w:r>
    </w:p>
    <w:p w14:paraId="3FD4DA8D" w14:textId="3E75BAFF" w:rsidR="001B089A" w:rsidRDefault="00AA082C" w:rsidP="009E4ABD">
      <w:pPr>
        <w:rPr>
          <w:lang w:eastAsia="en-IE"/>
        </w:rPr>
      </w:pPr>
      <w:r>
        <w:rPr>
          <w:lang w:eastAsia="en-IE"/>
        </w:rPr>
        <w:t xml:space="preserve">The </w:t>
      </w:r>
      <w:r w:rsidR="00562FA6">
        <w:rPr>
          <w:lang w:eastAsia="en-IE"/>
        </w:rPr>
        <w:t xml:space="preserve">2019 </w:t>
      </w:r>
      <w:r>
        <w:rPr>
          <w:lang w:eastAsia="en-IE"/>
        </w:rPr>
        <w:t>Equality and Discrimination Survey also explored specific forms of discrimination in relation to services and the workforce.</w:t>
      </w:r>
      <w:r w:rsidR="00D53DFC">
        <w:rPr>
          <w:rStyle w:val="FootnoteReference"/>
          <w:lang w:eastAsia="en-IE"/>
        </w:rPr>
        <w:footnoteReference w:id="14"/>
      </w:r>
      <w:r>
        <w:rPr>
          <w:lang w:eastAsia="en-IE"/>
        </w:rPr>
        <w:t xml:space="preserve"> Findings indicated</w:t>
      </w:r>
      <w:r w:rsidR="00A31ADD">
        <w:rPr>
          <w:lang w:eastAsia="en-IE"/>
        </w:rPr>
        <w:t xml:space="preserve"> that</w:t>
      </w:r>
      <w:r w:rsidR="00212369">
        <w:rPr>
          <w:lang w:eastAsia="en-IE"/>
        </w:rPr>
        <w:t xml:space="preserve"> 18.3% of </w:t>
      </w:r>
      <w:r w:rsidR="00194BEB">
        <w:rPr>
          <w:lang w:eastAsia="en-IE"/>
        </w:rPr>
        <w:t>persons with a disability</w:t>
      </w:r>
      <w:r w:rsidR="00D07373">
        <w:rPr>
          <w:lang w:eastAsia="en-IE"/>
        </w:rPr>
        <w:t xml:space="preserve"> </w:t>
      </w:r>
      <w:r w:rsidR="00A31ADD">
        <w:rPr>
          <w:lang w:eastAsia="en-IE"/>
        </w:rPr>
        <w:t>reported</w:t>
      </w:r>
      <w:r w:rsidR="00D07373">
        <w:rPr>
          <w:lang w:eastAsia="en-IE"/>
        </w:rPr>
        <w:t xml:space="preserve"> they had experienced d</w:t>
      </w:r>
      <w:r w:rsidR="00212369">
        <w:rPr>
          <w:lang w:eastAsia="en-IE"/>
        </w:rPr>
        <w:t>iscrimination</w:t>
      </w:r>
      <w:r w:rsidR="00A31ADD">
        <w:rPr>
          <w:lang w:eastAsia="en-IE"/>
        </w:rPr>
        <w:t xml:space="preserve"> accessing services</w:t>
      </w:r>
      <w:r>
        <w:rPr>
          <w:rStyle w:val="FootnoteReference"/>
          <w:lang w:eastAsia="en-IE"/>
        </w:rPr>
        <w:footnoteReference w:id="15"/>
      </w:r>
      <w:r>
        <w:rPr>
          <w:lang w:eastAsia="en-IE"/>
        </w:rPr>
        <w:t xml:space="preserve"> </w:t>
      </w:r>
      <w:r w:rsidR="00212369">
        <w:rPr>
          <w:lang w:eastAsia="en-IE"/>
        </w:rPr>
        <w:t xml:space="preserve">compared to </w:t>
      </w:r>
      <w:r w:rsidR="009230E3">
        <w:rPr>
          <w:lang w:eastAsia="en-IE"/>
        </w:rPr>
        <w:t>10.9</w:t>
      </w:r>
      <w:r w:rsidR="00212369">
        <w:rPr>
          <w:lang w:eastAsia="en-IE"/>
        </w:rPr>
        <w:t xml:space="preserve">% of </w:t>
      </w:r>
      <w:r w:rsidR="00194BEB">
        <w:rPr>
          <w:lang w:eastAsia="en-IE"/>
        </w:rPr>
        <w:t>persons without a disability</w:t>
      </w:r>
      <w:r w:rsidR="00212369">
        <w:rPr>
          <w:lang w:eastAsia="en-IE"/>
        </w:rPr>
        <w:t xml:space="preserve">. </w:t>
      </w:r>
      <w:r w:rsidR="00A90185">
        <w:rPr>
          <w:lang w:eastAsia="en-IE"/>
        </w:rPr>
        <w:t>This gap was narrower when considering workplace discrimination</w:t>
      </w:r>
      <w:r>
        <w:rPr>
          <w:lang w:eastAsia="en-IE"/>
        </w:rPr>
        <w:t>,</w:t>
      </w:r>
      <w:r w:rsidR="00A90185">
        <w:rPr>
          <w:lang w:eastAsia="en-IE"/>
        </w:rPr>
        <w:t xml:space="preserve"> with 12.3% of </w:t>
      </w:r>
      <w:r w:rsidR="00C84D5A">
        <w:rPr>
          <w:lang w:eastAsia="en-IE"/>
        </w:rPr>
        <w:t xml:space="preserve">adults </w:t>
      </w:r>
      <w:r w:rsidR="00A90185">
        <w:rPr>
          <w:lang w:eastAsia="en-IE"/>
        </w:rPr>
        <w:t>with a disability</w:t>
      </w:r>
      <w:r w:rsidR="00C84D5A">
        <w:rPr>
          <w:lang w:eastAsia="en-IE"/>
        </w:rPr>
        <w:t xml:space="preserve"> experiencing discrimination in the workplace and/or while looking for work </w:t>
      </w:r>
      <w:r w:rsidR="00A90185">
        <w:rPr>
          <w:lang w:eastAsia="en-IE"/>
        </w:rPr>
        <w:t>compared to 9</w:t>
      </w:r>
      <w:r w:rsidR="00A770F7">
        <w:rPr>
          <w:lang w:eastAsia="en-IE"/>
        </w:rPr>
        <w:t>.0</w:t>
      </w:r>
      <w:r w:rsidR="00A90185">
        <w:rPr>
          <w:lang w:eastAsia="en-IE"/>
        </w:rPr>
        <w:t xml:space="preserve">% of </w:t>
      </w:r>
      <w:r w:rsidR="00C84D5A">
        <w:rPr>
          <w:lang w:eastAsia="en-IE"/>
        </w:rPr>
        <w:t>those without a disability</w:t>
      </w:r>
      <w:r w:rsidR="00A90185">
        <w:rPr>
          <w:lang w:eastAsia="en-IE"/>
        </w:rPr>
        <w:t>.</w:t>
      </w:r>
      <w:r w:rsidR="00C84D5A">
        <w:rPr>
          <w:lang w:eastAsia="en-IE"/>
        </w:rPr>
        <w:t xml:space="preserve"> </w:t>
      </w:r>
      <w:r w:rsidR="00106E2D">
        <w:rPr>
          <w:lang w:eastAsia="en-IE"/>
        </w:rPr>
        <w:t xml:space="preserve">These figures demonstrate that persons with disabilities continue to experience higher levels of discrimination across many areas of life. </w:t>
      </w:r>
    </w:p>
    <w:p w14:paraId="53433217" w14:textId="51D3367E" w:rsidR="00827580" w:rsidRDefault="00827580" w:rsidP="009E4ABD">
      <w:pPr>
        <w:rPr>
          <w:lang w:eastAsia="en-IE"/>
        </w:rPr>
      </w:pPr>
      <w:r>
        <w:rPr>
          <w:noProof/>
          <w:lang w:eastAsia="en-IE"/>
        </w:rPr>
        <w:drawing>
          <wp:inline distT="0" distB="0" distL="0" distR="0" wp14:anchorId="38D7D6AB" wp14:editId="6FE95449">
            <wp:extent cx="5724525" cy="2162175"/>
            <wp:effectExtent l="0" t="0" r="9525" b="9525"/>
            <wp:docPr id="4" name="Picture 4" descr="24.1% of adults with a disability and 16.7% of adults without a disability reported general perceived discrimination, 18.3% of adults with a disability and 10.9% of adults without a disability reported discrimination in services and 12.3% of adults with a disability and 9% of adults without a disability reported work-related discrimination. " title="Figure 1. Perceived discrimination by adults with and without a disability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162175"/>
                    </a:xfrm>
                    <a:prstGeom prst="rect">
                      <a:avLst/>
                    </a:prstGeom>
                    <a:noFill/>
                    <a:ln>
                      <a:noFill/>
                    </a:ln>
                  </pic:spPr>
                </pic:pic>
              </a:graphicData>
            </a:graphic>
          </wp:inline>
        </w:drawing>
      </w:r>
    </w:p>
    <w:p w14:paraId="6B86A74D" w14:textId="775E64BE" w:rsidR="00FC42BA" w:rsidRDefault="003965C6" w:rsidP="009E4ABD">
      <w:pPr>
        <w:rPr>
          <w:lang w:eastAsia="en-IE"/>
        </w:rPr>
      </w:pPr>
      <w:r w:rsidRPr="009E4ABD">
        <w:rPr>
          <w:b/>
          <w:lang w:eastAsia="en-IE"/>
        </w:rPr>
        <w:t>Indicator 1.1d</w:t>
      </w:r>
      <w:r w:rsidR="001E495A">
        <w:rPr>
          <w:b/>
          <w:lang w:eastAsia="en-IE"/>
        </w:rPr>
        <w:t>.</w:t>
      </w:r>
      <w:r w:rsidRPr="009E4ABD">
        <w:rPr>
          <w:b/>
          <w:lang w:eastAsia="en-IE"/>
        </w:rPr>
        <w:t xml:space="preserve"> Percentage of cases taken under the Employment Equality Act and the Equal Status Act on disability grounds in the Workplace Relations Commission that are upheld</w:t>
      </w:r>
      <w:r w:rsidR="006C4D04">
        <w:rPr>
          <w:b/>
          <w:lang w:eastAsia="en-IE"/>
        </w:rPr>
        <w:t xml:space="preserve"> (Process)</w:t>
      </w:r>
      <w:r w:rsidRPr="009E4ABD">
        <w:rPr>
          <w:b/>
          <w:lang w:eastAsia="en-IE"/>
        </w:rPr>
        <w:t>:</w:t>
      </w:r>
      <w:r>
        <w:rPr>
          <w:lang w:eastAsia="en-IE"/>
        </w:rPr>
        <w:t xml:space="preserve"> </w:t>
      </w:r>
      <w:r w:rsidR="00CF7ECF">
        <w:rPr>
          <w:lang w:eastAsia="en-IE"/>
        </w:rPr>
        <w:t xml:space="preserve">There was an increase in the number of complaints received by the </w:t>
      </w:r>
      <w:r w:rsidR="001E495A">
        <w:rPr>
          <w:lang w:eastAsia="en-IE"/>
        </w:rPr>
        <w:t>Workplace Relations Commission (</w:t>
      </w:r>
      <w:r w:rsidR="00CF7ECF">
        <w:rPr>
          <w:lang w:eastAsia="en-IE"/>
        </w:rPr>
        <w:t>WRC</w:t>
      </w:r>
      <w:r w:rsidR="001E495A">
        <w:rPr>
          <w:lang w:eastAsia="en-IE"/>
        </w:rPr>
        <w:t>)</w:t>
      </w:r>
      <w:r w:rsidR="00CF7ECF">
        <w:rPr>
          <w:lang w:eastAsia="en-IE"/>
        </w:rPr>
        <w:t xml:space="preserve"> between 2017</w:t>
      </w:r>
      <w:r w:rsidR="00E57543">
        <w:rPr>
          <w:lang w:eastAsia="en-IE"/>
        </w:rPr>
        <w:t xml:space="preserve"> (n=261)</w:t>
      </w:r>
      <w:r w:rsidR="00D207EF" w:rsidRPr="00D207EF">
        <w:rPr>
          <w:rStyle w:val="FootnoteReference"/>
          <w:lang w:eastAsia="en-IE"/>
        </w:rPr>
        <w:t xml:space="preserve"> </w:t>
      </w:r>
      <w:r w:rsidR="00D207EF">
        <w:rPr>
          <w:rStyle w:val="FootnoteReference"/>
          <w:lang w:eastAsia="en-IE"/>
        </w:rPr>
        <w:footnoteReference w:id="16"/>
      </w:r>
      <w:r w:rsidR="00CF7ECF">
        <w:rPr>
          <w:lang w:eastAsia="en-IE"/>
        </w:rPr>
        <w:t xml:space="preserve"> and 2018</w:t>
      </w:r>
      <w:r w:rsidR="00E57543">
        <w:rPr>
          <w:lang w:eastAsia="en-IE"/>
        </w:rPr>
        <w:t xml:space="preserve"> (n=382)</w:t>
      </w:r>
      <w:r w:rsidR="00D207EF">
        <w:rPr>
          <w:rStyle w:val="FootnoteReference"/>
          <w:lang w:eastAsia="en-IE"/>
        </w:rPr>
        <w:footnoteReference w:id="17"/>
      </w:r>
      <w:r w:rsidR="00CF7ECF">
        <w:rPr>
          <w:lang w:eastAsia="en-IE"/>
        </w:rPr>
        <w:t xml:space="preserve"> </w:t>
      </w:r>
      <w:r w:rsidR="00E57543">
        <w:rPr>
          <w:lang w:eastAsia="en-IE"/>
        </w:rPr>
        <w:t>on disability grounds under the Equal Status Acts and the Employment Equality Acts</w:t>
      </w:r>
      <w:r w:rsidR="00CF7ECF">
        <w:rPr>
          <w:lang w:eastAsia="en-IE"/>
        </w:rPr>
        <w:t xml:space="preserve">. </w:t>
      </w:r>
      <w:r w:rsidR="00106E2D">
        <w:rPr>
          <w:lang w:eastAsia="en-IE"/>
        </w:rPr>
        <w:t>These complaints included</w:t>
      </w:r>
      <w:r w:rsidR="00C072C5">
        <w:rPr>
          <w:lang w:eastAsia="en-IE"/>
        </w:rPr>
        <w:t>,</w:t>
      </w:r>
      <w:r w:rsidR="00106E2D">
        <w:rPr>
          <w:lang w:eastAsia="en-IE"/>
        </w:rPr>
        <w:t xml:space="preserve"> among others</w:t>
      </w:r>
      <w:r w:rsidR="00C072C5">
        <w:rPr>
          <w:lang w:eastAsia="en-IE"/>
        </w:rPr>
        <w:t>,</w:t>
      </w:r>
      <w:r w:rsidR="00106E2D">
        <w:rPr>
          <w:lang w:eastAsia="en-IE"/>
        </w:rPr>
        <w:t xml:space="preserve"> a perception of being treated less favourably than a person without a disability and their disability not being reasonably accommodated. </w:t>
      </w:r>
      <w:r w:rsidR="00C072C5">
        <w:rPr>
          <w:lang w:eastAsia="en-IE"/>
        </w:rPr>
        <w:t>A more detailed analysis</w:t>
      </w:r>
      <w:r w:rsidR="00E32D10">
        <w:rPr>
          <w:lang w:eastAsia="en-IE"/>
        </w:rPr>
        <w:t xml:space="preserve"> </w:t>
      </w:r>
      <w:r w:rsidR="00CF7ECF">
        <w:rPr>
          <w:lang w:eastAsia="en-IE"/>
        </w:rPr>
        <w:t>using the WRC database</w:t>
      </w:r>
      <w:r w:rsidR="00E57543">
        <w:rPr>
          <w:rStyle w:val="FootnoteReference"/>
          <w:lang w:eastAsia="en-IE"/>
        </w:rPr>
        <w:footnoteReference w:id="18"/>
      </w:r>
      <w:r w:rsidR="00CF7ECF">
        <w:rPr>
          <w:lang w:eastAsia="en-IE"/>
        </w:rPr>
        <w:t xml:space="preserve"> examined these complaints </w:t>
      </w:r>
      <w:r w:rsidR="00E57543">
        <w:rPr>
          <w:lang w:eastAsia="en-IE"/>
        </w:rPr>
        <w:t>and found</w:t>
      </w:r>
      <w:r w:rsidR="00CF7ECF">
        <w:rPr>
          <w:lang w:eastAsia="en-IE"/>
        </w:rPr>
        <w:t xml:space="preserve"> </w:t>
      </w:r>
      <w:r w:rsidR="00571151">
        <w:rPr>
          <w:lang w:eastAsia="en-IE"/>
        </w:rPr>
        <w:t>that</w:t>
      </w:r>
      <w:r w:rsidR="00961F2B">
        <w:rPr>
          <w:lang w:eastAsia="en-IE"/>
        </w:rPr>
        <w:t xml:space="preserve"> 85 complaints </w:t>
      </w:r>
      <w:r w:rsidR="00F875CB">
        <w:rPr>
          <w:lang w:eastAsia="en-IE"/>
        </w:rPr>
        <w:t xml:space="preserve">were made to the </w:t>
      </w:r>
      <w:r w:rsidR="00C072C5">
        <w:rPr>
          <w:lang w:eastAsia="en-IE"/>
        </w:rPr>
        <w:t>WRC</w:t>
      </w:r>
      <w:r w:rsidR="00F875CB">
        <w:rPr>
          <w:lang w:eastAsia="en-IE"/>
        </w:rPr>
        <w:t xml:space="preserve"> on disability grounds under </w:t>
      </w:r>
      <w:r w:rsidR="00571151">
        <w:rPr>
          <w:lang w:eastAsia="en-IE"/>
        </w:rPr>
        <w:t xml:space="preserve">the two Acts </w:t>
      </w:r>
      <w:r w:rsidR="00961F2B">
        <w:rPr>
          <w:lang w:eastAsia="en-IE"/>
        </w:rPr>
        <w:t>in 2017</w:t>
      </w:r>
      <w:r w:rsidR="00FC42BA">
        <w:rPr>
          <w:lang w:eastAsia="en-IE"/>
        </w:rPr>
        <w:t>,</w:t>
      </w:r>
      <w:r w:rsidR="00961F2B">
        <w:rPr>
          <w:lang w:eastAsia="en-IE"/>
        </w:rPr>
        <w:t xml:space="preserve"> with 35 upheld (</w:t>
      </w:r>
      <w:r w:rsidR="00DA3A96">
        <w:rPr>
          <w:lang w:eastAsia="en-IE"/>
        </w:rPr>
        <w:t>41%</w:t>
      </w:r>
      <w:r w:rsidR="00F875CB">
        <w:rPr>
          <w:lang w:eastAsia="en-IE"/>
        </w:rPr>
        <w:t>).</w:t>
      </w:r>
      <w:r w:rsidR="00E32D10">
        <w:rPr>
          <w:lang w:eastAsia="en-IE"/>
        </w:rPr>
        <w:t xml:space="preserve"> </w:t>
      </w:r>
      <w:r w:rsidR="00F875CB">
        <w:rPr>
          <w:lang w:eastAsia="en-IE"/>
        </w:rPr>
        <w:t>This compared to</w:t>
      </w:r>
      <w:r w:rsidR="00961F2B">
        <w:rPr>
          <w:lang w:eastAsia="en-IE"/>
        </w:rPr>
        <w:t xml:space="preserve"> 93 com</w:t>
      </w:r>
      <w:r w:rsidR="00DA3A96">
        <w:rPr>
          <w:lang w:eastAsia="en-IE"/>
        </w:rPr>
        <w:t>plaints</w:t>
      </w:r>
      <w:r w:rsidR="00F875CB">
        <w:rPr>
          <w:lang w:eastAsia="en-IE"/>
        </w:rPr>
        <w:t xml:space="preserve"> made</w:t>
      </w:r>
      <w:r w:rsidR="00DA3A96">
        <w:rPr>
          <w:lang w:eastAsia="en-IE"/>
        </w:rPr>
        <w:t xml:space="preserve"> in 2018</w:t>
      </w:r>
      <w:r w:rsidR="00FC42BA">
        <w:rPr>
          <w:lang w:eastAsia="en-IE"/>
        </w:rPr>
        <w:t>,</w:t>
      </w:r>
      <w:r w:rsidR="00DA3A96">
        <w:rPr>
          <w:lang w:eastAsia="en-IE"/>
        </w:rPr>
        <w:t xml:space="preserve"> with 19 upheld </w:t>
      </w:r>
      <w:r w:rsidR="00F875CB">
        <w:rPr>
          <w:lang w:eastAsia="en-IE"/>
        </w:rPr>
        <w:t>and</w:t>
      </w:r>
      <w:r w:rsidR="00DA3A96">
        <w:rPr>
          <w:lang w:eastAsia="en-IE"/>
        </w:rPr>
        <w:t xml:space="preserve"> </w:t>
      </w:r>
      <w:r w:rsidR="00961F2B">
        <w:rPr>
          <w:lang w:eastAsia="en-IE"/>
        </w:rPr>
        <w:t>2 partially up</w:t>
      </w:r>
      <w:r w:rsidR="00DA3A96">
        <w:rPr>
          <w:lang w:eastAsia="en-IE"/>
        </w:rPr>
        <w:t>held (23%).</w:t>
      </w:r>
      <w:r w:rsidR="00E32D10">
        <w:rPr>
          <w:rStyle w:val="FootnoteReference"/>
          <w:lang w:eastAsia="en-IE"/>
        </w:rPr>
        <w:footnoteReference w:id="19"/>
      </w:r>
      <w:r w:rsidR="00FE04A8">
        <w:rPr>
          <w:lang w:eastAsia="en-IE"/>
        </w:rPr>
        <w:t xml:space="preserve"> </w:t>
      </w:r>
    </w:p>
    <w:p w14:paraId="27CD1CAD" w14:textId="22F0C0C3" w:rsidR="0081521E" w:rsidRDefault="00F875CB" w:rsidP="009E4ABD">
      <w:pPr>
        <w:rPr>
          <w:lang w:eastAsia="en-IE"/>
        </w:rPr>
      </w:pPr>
      <w:r>
        <w:rPr>
          <w:lang w:eastAsia="en-IE"/>
        </w:rPr>
        <w:t>The number of complaints</w:t>
      </w:r>
      <w:r w:rsidR="00E57543">
        <w:rPr>
          <w:lang w:eastAsia="en-IE"/>
        </w:rPr>
        <w:t xml:space="preserve"> on disability grounds</w:t>
      </w:r>
      <w:r>
        <w:rPr>
          <w:lang w:eastAsia="en-IE"/>
        </w:rPr>
        <w:t xml:space="preserve"> could be increasing </w:t>
      </w:r>
      <w:r w:rsidR="00110C34">
        <w:rPr>
          <w:lang w:eastAsia="en-IE"/>
        </w:rPr>
        <w:t xml:space="preserve">due to </w:t>
      </w:r>
      <w:r w:rsidR="00C072C5">
        <w:rPr>
          <w:lang w:eastAsia="en-IE"/>
        </w:rPr>
        <w:t>better</w:t>
      </w:r>
      <w:r w:rsidR="00110C34">
        <w:rPr>
          <w:lang w:eastAsia="en-IE"/>
        </w:rPr>
        <w:t xml:space="preserve"> awareness of</w:t>
      </w:r>
      <w:r>
        <w:rPr>
          <w:lang w:eastAsia="en-IE"/>
        </w:rPr>
        <w:t xml:space="preserve"> the legislation and the role of the WRC</w:t>
      </w:r>
      <w:r w:rsidR="00C072C5">
        <w:rPr>
          <w:lang w:eastAsia="en-IE"/>
        </w:rPr>
        <w:t xml:space="preserve"> and </w:t>
      </w:r>
      <w:r w:rsidR="00E57543">
        <w:rPr>
          <w:lang w:eastAsia="en-IE"/>
        </w:rPr>
        <w:t>therefore more people</w:t>
      </w:r>
      <w:r w:rsidR="00C072C5">
        <w:rPr>
          <w:lang w:eastAsia="en-IE"/>
        </w:rPr>
        <w:t xml:space="preserve"> are</w:t>
      </w:r>
      <w:r w:rsidR="00E57543">
        <w:rPr>
          <w:lang w:eastAsia="en-IE"/>
        </w:rPr>
        <w:t xml:space="preserve"> taking cases</w:t>
      </w:r>
      <w:r>
        <w:rPr>
          <w:lang w:eastAsia="en-IE"/>
        </w:rPr>
        <w:t xml:space="preserve">. The </w:t>
      </w:r>
      <w:r w:rsidR="00AC491A">
        <w:rPr>
          <w:lang w:eastAsia="en-IE"/>
        </w:rPr>
        <w:t xml:space="preserve">percentage </w:t>
      </w:r>
      <w:r>
        <w:rPr>
          <w:lang w:eastAsia="en-IE"/>
        </w:rPr>
        <w:t>of cases being upheld has decreased</w:t>
      </w:r>
      <w:r w:rsidR="00BF2E25">
        <w:rPr>
          <w:lang w:eastAsia="en-IE"/>
        </w:rPr>
        <w:t xml:space="preserve"> from 2017 to 2018</w:t>
      </w:r>
      <w:r>
        <w:rPr>
          <w:lang w:eastAsia="en-IE"/>
        </w:rPr>
        <w:t xml:space="preserve">. </w:t>
      </w:r>
      <w:r w:rsidR="00110C34">
        <w:rPr>
          <w:lang w:eastAsia="en-IE"/>
        </w:rPr>
        <w:t>In general</w:t>
      </w:r>
      <w:r w:rsidR="00FC42BA">
        <w:rPr>
          <w:lang w:eastAsia="en-IE"/>
        </w:rPr>
        <w:t>,</w:t>
      </w:r>
      <w:r w:rsidR="00110C34">
        <w:rPr>
          <w:lang w:eastAsia="en-IE"/>
        </w:rPr>
        <w:t xml:space="preserve"> the </w:t>
      </w:r>
      <w:r w:rsidR="00BF2E25">
        <w:rPr>
          <w:lang w:eastAsia="en-IE"/>
        </w:rPr>
        <w:t>main</w:t>
      </w:r>
      <w:r w:rsidR="00110C34">
        <w:rPr>
          <w:lang w:eastAsia="en-IE"/>
        </w:rPr>
        <w:t xml:space="preserve"> reasons why a claim was not upheld was due to </w:t>
      </w:r>
      <w:r w:rsidR="0081521E">
        <w:rPr>
          <w:lang w:eastAsia="en-IE"/>
        </w:rPr>
        <w:t>insufficient evidence that discrimination had taken place, or</w:t>
      </w:r>
      <w:r w:rsidR="00BF2E25">
        <w:rPr>
          <w:lang w:eastAsia="en-IE"/>
        </w:rPr>
        <w:t>,</w:t>
      </w:r>
      <w:r w:rsidR="0081521E">
        <w:rPr>
          <w:lang w:eastAsia="en-IE"/>
        </w:rPr>
        <w:t xml:space="preserve"> in</w:t>
      </w:r>
      <w:r w:rsidR="00110C34">
        <w:rPr>
          <w:lang w:eastAsia="en-IE"/>
        </w:rPr>
        <w:t xml:space="preserve"> some cases</w:t>
      </w:r>
      <w:r w:rsidR="0081521E">
        <w:rPr>
          <w:lang w:eastAsia="en-IE"/>
        </w:rPr>
        <w:t>,</w:t>
      </w:r>
      <w:r w:rsidR="00110C34">
        <w:rPr>
          <w:lang w:eastAsia="en-IE"/>
        </w:rPr>
        <w:t xml:space="preserve"> the claimant did not turn up for the hearing. Many claimants represent themselves as there is no state support for legal representation. </w:t>
      </w:r>
      <w:r w:rsidR="004839F6">
        <w:rPr>
          <w:lang w:eastAsia="en-IE"/>
        </w:rPr>
        <w:t xml:space="preserve">Lack of civil legal aid may </w:t>
      </w:r>
      <w:r w:rsidR="00FC42BA" w:rsidRPr="00FC42BA">
        <w:rPr>
          <w:lang w:eastAsia="en-IE"/>
        </w:rPr>
        <w:t>contribute to the relatively low number of cases upheld</w:t>
      </w:r>
      <w:r w:rsidR="00FC42BA">
        <w:rPr>
          <w:lang w:eastAsia="en-IE"/>
        </w:rPr>
        <w:t xml:space="preserve"> and may </w:t>
      </w:r>
      <w:r w:rsidR="004839F6">
        <w:rPr>
          <w:lang w:eastAsia="en-IE"/>
        </w:rPr>
        <w:t>also impact the number of cases taken</w:t>
      </w:r>
      <w:r w:rsidR="0081521E">
        <w:rPr>
          <w:lang w:eastAsia="en-IE"/>
        </w:rPr>
        <w:t xml:space="preserve"> to the WRC</w:t>
      </w:r>
      <w:r w:rsidR="00467DE7">
        <w:rPr>
          <w:lang w:eastAsia="en-IE"/>
        </w:rPr>
        <w:t>.</w:t>
      </w:r>
    </w:p>
    <w:p w14:paraId="02D1DB50" w14:textId="27CC2AB9" w:rsidR="00961F2B" w:rsidRPr="009E4ABD" w:rsidRDefault="00E470BF" w:rsidP="009E4ABD">
      <w:pPr>
        <w:rPr>
          <w:szCs w:val="26"/>
          <w:lang w:eastAsia="en-IE"/>
        </w:rPr>
      </w:pPr>
      <w:r>
        <w:rPr>
          <w:lang w:eastAsia="en-IE"/>
        </w:rPr>
        <w:t xml:space="preserve">Information on </w:t>
      </w:r>
      <w:r w:rsidR="0092563B">
        <w:rPr>
          <w:lang w:eastAsia="en-IE"/>
        </w:rPr>
        <w:t xml:space="preserve">disability-related queries on the Equal Status Act and the Employment Equality Act is also available from </w:t>
      </w:r>
      <w:r w:rsidR="0092563B" w:rsidRPr="000A52DD">
        <w:rPr>
          <w:lang w:eastAsia="en-IE"/>
        </w:rPr>
        <w:t>the Irish Human Rights and Equality Commission</w:t>
      </w:r>
      <w:r w:rsidR="0092563B">
        <w:rPr>
          <w:lang w:eastAsia="en-IE"/>
        </w:rPr>
        <w:t xml:space="preserve"> (IHREC)</w:t>
      </w:r>
      <w:r w:rsidR="00BD2EB3">
        <w:rPr>
          <w:lang w:eastAsia="en-IE"/>
        </w:rPr>
        <w:t>.</w:t>
      </w:r>
      <w:r w:rsidR="00106E2D">
        <w:rPr>
          <w:rStyle w:val="FootnoteReference"/>
          <w:lang w:eastAsia="en-IE"/>
        </w:rPr>
        <w:footnoteReference w:id="20"/>
      </w:r>
      <w:r w:rsidR="0092563B">
        <w:rPr>
          <w:lang w:eastAsia="en-IE"/>
        </w:rPr>
        <w:t xml:space="preserve"> </w:t>
      </w:r>
      <w:r w:rsidR="00DE17C3" w:rsidRPr="000A52DD">
        <w:rPr>
          <w:lang w:eastAsia="en-IE"/>
        </w:rPr>
        <w:t xml:space="preserve">Discrimination against </w:t>
      </w:r>
      <w:r w:rsidR="00194BEB">
        <w:rPr>
          <w:lang w:eastAsia="en-IE"/>
        </w:rPr>
        <w:t>persons with a disability</w:t>
      </w:r>
      <w:r w:rsidR="00DE17C3" w:rsidRPr="000A52DD">
        <w:rPr>
          <w:lang w:eastAsia="en-IE"/>
        </w:rPr>
        <w:t xml:space="preserve"> accounted for the highest number of information queries to </w:t>
      </w:r>
      <w:r w:rsidR="0092563B">
        <w:rPr>
          <w:lang w:eastAsia="en-IE"/>
        </w:rPr>
        <w:t xml:space="preserve">IHREC </w:t>
      </w:r>
      <w:r w:rsidR="00DE17C3" w:rsidRPr="000A52DD">
        <w:rPr>
          <w:lang w:eastAsia="en-IE"/>
        </w:rPr>
        <w:t xml:space="preserve">under both the </w:t>
      </w:r>
      <w:r w:rsidR="00591F27" w:rsidRPr="000A52DD">
        <w:rPr>
          <w:lang w:eastAsia="en-IE"/>
        </w:rPr>
        <w:t xml:space="preserve">Employment Equality Act </w:t>
      </w:r>
      <w:r w:rsidR="00591F27">
        <w:rPr>
          <w:lang w:eastAsia="en-IE"/>
        </w:rPr>
        <w:t xml:space="preserve">and the </w:t>
      </w:r>
      <w:r w:rsidR="00DE17C3" w:rsidRPr="000A52DD">
        <w:rPr>
          <w:lang w:eastAsia="en-IE"/>
        </w:rPr>
        <w:t xml:space="preserve">Equal Status Act in 2018. </w:t>
      </w:r>
      <w:r w:rsidR="00D7240E">
        <w:rPr>
          <w:lang w:eastAsia="en-IE"/>
        </w:rPr>
        <w:t>Thirty percent</w:t>
      </w:r>
      <w:r w:rsidR="00106E2D">
        <w:rPr>
          <w:lang w:eastAsia="en-IE"/>
        </w:rPr>
        <w:t xml:space="preserve"> (n=106)</w:t>
      </w:r>
      <w:r w:rsidR="00DE17C3" w:rsidRPr="000A52DD">
        <w:rPr>
          <w:lang w:eastAsia="en-IE"/>
        </w:rPr>
        <w:t xml:space="preserve"> of all queries under the Employment Equality Act </w:t>
      </w:r>
      <w:r w:rsidR="00D7240E">
        <w:rPr>
          <w:lang w:eastAsia="en-IE"/>
        </w:rPr>
        <w:t>and</w:t>
      </w:r>
      <w:r w:rsidR="00DE17C3" w:rsidRPr="000A52DD">
        <w:rPr>
          <w:lang w:eastAsia="en-IE"/>
        </w:rPr>
        <w:t xml:space="preserve"> 33%</w:t>
      </w:r>
      <w:r w:rsidR="00106E2D">
        <w:rPr>
          <w:lang w:eastAsia="en-IE"/>
        </w:rPr>
        <w:t xml:space="preserve"> (n=167)</w:t>
      </w:r>
      <w:r w:rsidR="00DE17C3" w:rsidRPr="000A52DD">
        <w:rPr>
          <w:lang w:eastAsia="en-IE"/>
        </w:rPr>
        <w:t xml:space="preserve"> of all queries under the </w:t>
      </w:r>
      <w:r w:rsidR="00DE17C3" w:rsidRPr="002E2BA0">
        <w:rPr>
          <w:lang w:eastAsia="en-IE"/>
        </w:rPr>
        <w:t>Equal Status Act related to disability.</w:t>
      </w:r>
      <w:r w:rsidR="00A92481">
        <w:rPr>
          <w:lang w:eastAsia="en-IE"/>
        </w:rPr>
        <w:t xml:space="preserve"> This compares to 31%</w:t>
      </w:r>
      <w:r w:rsidR="00591F27">
        <w:rPr>
          <w:lang w:eastAsia="en-IE"/>
        </w:rPr>
        <w:t xml:space="preserve"> (n=111)</w:t>
      </w:r>
      <w:r w:rsidR="00A92481">
        <w:rPr>
          <w:lang w:eastAsia="en-IE"/>
        </w:rPr>
        <w:t xml:space="preserve"> and 27% </w:t>
      </w:r>
      <w:r w:rsidR="00591F27">
        <w:rPr>
          <w:lang w:eastAsia="en-IE"/>
        </w:rPr>
        <w:t>(n=148)</w:t>
      </w:r>
      <w:r w:rsidR="00467DE7">
        <w:rPr>
          <w:lang w:eastAsia="en-IE"/>
        </w:rPr>
        <w:t xml:space="preserve"> </w:t>
      </w:r>
      <w:r w:rsidR="00A92481">
        <w:rPr>
          <w:lang w:eastAsia="en-IE"/>
        </w:rPr>
        <w:t>of all queries</w:t>
      </w:r>
      <w:r w:rsidR="00591F27">
        <w:rPr>
          <w:lang w:eastAsia="en-IE"/>
        </w:rPr>
        <w:t xml:space="preserve"> relating to disability</w:t>
      </w:r>
      <w:r w:rsidR="00A92481">
        <w:rPr>
          <w:lang w:eastAsia="en-IE"/>
        </w:rPr>
        <w:t xml:space="preserve"> under the two acts respectively</w:t>
      </w:r>
      <w:r w:rsidR="00591F27">
        <w:rPr>
          <w:lang w:eastAsia="en-IE"/>
        </w:rPr>
        <w:t xml:space="preserve"> in 2017</w:t>
      </w:r>
      <w:r w:rsidR="00A92481">
        <w:rPr>
          <w:lang w:eastAsia="en-IE"/>
        </w:rPr>
        <w:t>.</w:t>
      </w:r>
      <w:r w:rsidR="00591F27">
        <w:rPr>
          <w:rStyle w:val="FootnoteReference"/>
          <w:lang w:eastAsia="en-IE"/>
        </w:rPr>
        <w:footnoteReference w:id="21"/>
      </w:r>
    </w:p>
    <w:p w14:paraId="47D743F5" w14:textId="70F31A53" w:rsidR="0094367E" w:rsidRPr="00BD2EB3" w:rsidRDefault="00CF5BEB" w:rsidP="009E4ABD">
      <w:pPr>
        <w:rPr>
          <w:b/>
          <w:lang w:eastAsia="en-IE"/>
        </w:rPr>
      </w:pPr>
      <w:r w:rsidRPr="00BD2EB3">
        <w:rPr>
          <w:b/>
          <w:lang w:eastAsia="en-IE"/>
        </w:rPr>
        <w:t>Indicator 1.2a</w:t>
      </w:r>
      <w:r w:rsidR="009F15F7" w:rsidRPr="00BD2EB3">
        <w:rPr>
          <w:b/>
          <w:lang w:eastAsia="en-IE"/>
        </w:rPr>
        <w:t>.</w:t>
      </w:r>
      <w:r w:rsidR="0071207F" w:rsidRPr="00BD2EB3">
        <w:rPr>
          <w:b/>
          <w:lang w:eastAsia="en-IE"/>
        </w:rPr>
        <w:t xml:space="preserve"> </w:t>
      </w:r>
      <w:r w:rsidRPr="00BD2EB3">
        <w:rPr>
          <w:b/>
          <w:lang w:eastAsia="en-IE"/>
        </w:rPr>
        <w:t xml:space="preserve">Number of </w:t>
      </w:r>
      <w:r w:rsidR="000E7CCF" w:rsidRPr="00BD2EB3">
        <w:rPr>
          <w:b/>
          <w:lang w:eastAsia="en-IE"/>
        </w:rPr>
        <w:t>decision</w:t>
      </w:r>
      <w:r w:rsidRPr="00BD2EB3">
        <w:rPr>
          <w:b/>
          <w:lang w:eastAsia="en-IE"/>
        </w:rPr>
        <w:t>-</w:t>
      </w:r>
      <w:r w:rsidR="000E7CCF" w:rsidRPr="00BD2EB3">
        <w:rPr>
          <w:b/>
          <w:lang w:eastAsia="en-IE"/>
        </w:rPr>
        <w:t xml:space="preserve">making agreements </w:t>
      </w:r>
      <w:r w:rsidRPr="00BD2EB3">
        <w:rPr>
          <w:b/>
          <w:lang w:eastAsia="en-IE"/>
        </w:rPr>
        <w:t>notified to, or registered with, the Director of the Decision Support Service</w:t>
      </w:r>
      <w:r w:rsidR="006C4D04">
        <w:rPr>
          <w:b/>
          <w:lang w:eastAsia="en-IE"/>
        </w:rPr>
        <w:t xml:space="preserve"> (Process)</w:t>
      </w:r>
      <w:r w:rsidRPr="00BD2EB3">
        <w:rPr>
          <w:b/>
          <w:lang w:eastAsia="en-IE"/>
        </w:rPr>
        <w:t>:</w:t>
      </w:r>
      <w:r w:rsidRPr="00BD2EB3">
        <w:rPr>
          <w:lang w:eastAsia="en-IE"/>
        </w:rPr>
        <w:t xml:space="preserve"> </w:t>
      </w:r>
      <w:r w:rsidR="00B330E0" w:rsidRPr="00BD2EB3">
        <w:rPr>
          <w:lang w:eastAsia="en-IE"/>
        </w:rPr>
        <w:t xml:space="preserve">This </w:t>
      </w:r>
      <w:r w:rsidRPr="00BD2EB3">
        <w:rPr>
          <w:lang w:eastAsia="en-IE"/>
        </w:rPr>
        <w:t>indicator cannot be measured as the</w:t>
      </w:r>
      <w:r w:rsidR="00A5743F">
        <w:rPr>
          <w:lang w:eastAsia="en-IE"/>
        </w:rPr>
        <w:t xml:space="preserve"> Decision Support Service (</w:t>
      </w:r>
      <w:r w:rsidR="00B330E0" w:rsidRPr="00BD2EB3">
        <w:rPr>
          <w:lang w:eastAsia="en-IE"/>
        </w:rPr>
        <w:t>DSS</w:t>
      </w:r>
      <w:r w:rsidR="00A5743F">
        <w:rPr>
          <w:lang w:eastAsia="en-IE"/>
        </w:rPr>
        <w:t xml:space="preserve">) </w:t>
      </w:r>
      <w:r w:rsidRPr="00BD2EB3">
        <w:rPr>
          <w:lang w:eastAsia="en-IE"/>
        </w:rPr>
        <w:t xml:space="preserve">is not yet operational. This service is legislated </w:t>
      </w:r>
      <w:r w:rsidR="006B6045" w:rsidRPr="00BD2EB3">
        <w:rPr>
          <w:lang w:eastAsia="en-IE"/>
        </w:rPr>
        <w:t>for under the Assisted Decision-</w:t>
      </w:r>
      <w:r w:rsidRPr="00BD2EB3">
        <w:rPr>
          <w:lang w:eastAsia="en-IE"/>
        </w:rPr>
        <w:t xml:space="preserve">Making (Capacity) Act 2015. </w:t>
      </w:r>
      <w:r w:rsidR="00E52D7B">
        <w:rPr>
          <w:lang w:val="en"/>
        </w:rPr>
        <w:t>As reported in the Mental Health Commission 2018 Annual report,</w:t>
      </w:r>
      <w:r w:rsidR="00E52D7B">
        <w:rPr>
          <w:rStyle w:val="FootnoteReference"/>
          <w:lang w:val="en"/>
        </w:rPr>
        <w:footnoteReference w:id="22"/>
      </w:r>
      <w:r w:rsidR="00E52D7B">
        <w:rPr>
          <w:lang w:val="en"/>
        </w:rPr>
        <w:t xml:space="preserve"> e</w:t>
      </w:r>
      <w:r w:rsidRPr="00BD2EB3">
        <w:rPr>
          <w:lang w:val="en"/>
        </w:rPr>
        <w:t>xtensive work has taken place in preparation for a fully operational DSS, including organisational design, scoping the service, project governance, scoping ICT infrastructure, defining the regulatory framework, undertaking stakeholder engagement and mapping out customer journeys. A number of Codes of Practice for decision</w:t>
      </w:r>
      <w:r w:rsidR="006B6045" w:rsidRPr="00BD2EB3">
        <w:rPr>
          <w:lang w:val="en"/>
        </w:rPr>
        <w:t>-making</w:t>
      </w:r>
      <w:r w:rsidRPr="00BD2EB3">
        <w:rPr>
          <w:lang w:val="en"/>
        </w:rPr>
        <w:t xml:space="preserve"> supporters and certain categories of professionals and for Advance Healthcare Directives have been drafted</w:t>
      </w:r>
      <w:r w:rsidR="00D1543B" w:rsidRPr="00BD2EB3">
        <w:rPr>
          <w:lang w:val="en"/>
        </w:rPr>
        <w:t>, including 11 non-healthcare Codes of Practice developed by the NDA</w:t>
      </w:r>
      <w:r w:rsidR="00591F27">
        <w:rPr>
          <w:lang w:val="en"/>
        </w:rPr>
        <w:t xml:space="preserve"> between 2017 and 2019</w:t>
      </w:r>
      <w:r w:rsidRPr="00BD2EB3">
        <w:rPr>
          <w:lang w:val="en"/>
        </w:rPr>
        <w:t>.</w:t>
      </w:r>
      <w:r w:rsidR="009B095B" w:rsidRPr="00BD2EB3">
        <w:rPr>
          <w:lang w:val="en"/>
        </w:rPr>
        <w:t xml:space="preserve"> </w:t>
      </w:r>
      <w:r w:rsidR="00E80616" w:rsidRPr="00BD2EB3">
        <w:rPr>
          <w:lang w:val="en"/>
        </w:rPr>
        <w:t xml:space="preserve">It is </w:t>
      </w:r>
      <w:r w:rsidR="00EE29BA" w:rsidRPr="00BD2EB3">
        <w:rPr>
          <w:lang w:val="en"/>
        </w:rPr>
        <w:t xml:space="preserve">expected </w:t>
      </w:r>
      <w:r w:rsidR="00E80616" w:rsidRPr="00BD2EB3">
        <w:rPr>
          <w:lang w:val="en"/>
        </w:rPr>
        <w:t xml:space="preserve">that by the end of the </w:t>
      </w:r>
      <w:r w:rsidR="000E7CCF" w:rsidRPr="00BD2EB3">
        <w:rPr>
          <w:lang w:val="en"/>
        </w:rPr>
        <w:t xml:space="preserve">Strategy </w:t>
      </w:r>
      <w:r w:rsidR="00E80616" w:rsidRPr="00BD2EB3">
        <w:rPr>
          <w:lang w:val="en"/>
        </w:rPr>
        <w:t xml:space="preserve">in 2021 </w:t>
      </w:r>
      <w:r w:rsidR="00D41B07" w:rsidRPr="00BD2EB3">
        <w:rPr>
          <w:lang w:val="en"/>
        </w:rPr>
        <w:t xml:space="preserve">the DSS </w:t>
      </w:r>
      <w:r w:rsidR="008F4DF6" w:rsidRPr="00BD2EB3">
        <w:rPr>
          <w:lang w:val="en"/>
        </w:rPr>
        <w:t xml:space="preserve">would </w:t>
      </w:r>
      <w:r w:rsidRPr="00BD2EB3">
        <w:rPr>
          <w:lang w:val="en"/>
        </w:rPr>
        <w:t>be operationa</w:t>
      </w:r>
      <w:r w:rsidR="006B6045" w:rsidRPr="00BD2EB3">
        <w:rPr>
          <w:lang w:val="en"/>
        </w:rPr>
        <w:t>l</w:t>
      </w:r>
      <w:r w:rsidR="00BE74B3" w:rsidRPr="00BD2EB3">
        <w:rPr>
          <w:lang w:val="en"/>
        </w:rPr>
        <w:t xml:space="preserve"> and initial data can be reported against this indicator, noting it will take time for agreements to be registered.</w:t>
      </w:r>
    </w:p>
    <w:p w14:paraId="2856FB2E" w14:textId="5EFCCD33" w:rsidR="00264AB3" w:rsidRDefault="003965C6" w:rsidP="00264AB3">
      <w:pPr>
        <w:tabs>
          <w:tab w:val="left" w:pos="142"/>
        </w:tabs>
        <w:rPr>
          <w:lang w:eastAsia="en-IE"/>
        </w:rPr>
      </w:pPr>
      <w:r w:rsidRPr="009E4ABD">
        <w:rPr>
          <w:b/>
          <w:lang w:eastAsia="en-IE"/>
        </w:rPr>
        <w:t>Indicator 1.2b</w:t>
      </w:r>
      <w:r w:rsidR="0094367E" w:rsidRPr="009E4ABD">
        <w:rPr>
          <w:b/>
          <w:lang w:eastAsia="en-IE"/>
        </w:rPr>
        <w:t>. Number of people leaving congregated settings to live self-directed lives within the community</w:t>
      </w:r>
      <w:r w:rsidR="006C4D04">
        <w:rPr>
          <w:b/>
          <w:lang w:eastAsia="en-IE"/>
        </w:rPr>
        <w:t xml:space="preserve"> (Outcome):</w:t>
      </w:r>
      <w:r w:rsidR="00CF5D5C">
        <w:rPr>
          <w:b/>
          <w:lang w:eastAsia="en-IE"/>
        </w:rPr>
        <w:t xml:space="preserve"> </w:t>
      </w:r>
      <w:r w:rsidR="00E45EEB">
        <w:rPr>
          <w:lang w:eastAsia="en-IE"/>
        </w:rPr>
        <w:t>Congregated settings are defined by the Time to Move on From Congregated Settings Report as</w:t>
      </w:r>
      <w:r w:rsidR="00E45EEB" w:rsidRPr="00EA6C95">
        <w:rPr>
          <w:szCs w:val="26"/>
          <w:lang w:eastAsia="en-IE"/>
        </w:rPr>
        <w:t xml:space="preserve"> </w:t>
      </w:r>
      <w:r w:rsidR="00E45EEB" w:rsidRPr="00EA6C95">
        <w:rPr>
          <w:szCs w:val="26"/>
        </w:rPr>
        <w:t xml:space="preserve">a residential setting where </w:t>
      </w:r>
      <w:r w:rsidR="00E45EEB">
        <w:rPr>
          <w:szCs w:val="26"/>
        </w:rPr>
        <w:t>people with disabilities</w:t>
      </w:r>
      <w:r w:rsidR="00E45EEB" w:rsidRPr="00EA6C95">
        <w:rPr>
          <w:szCs w:val="26"/>
        </w:rPr>
        <w:t xml:space="preserve"> </w:t>
      </w:r>
      <w:r w:rsidR="00E45EEB" w:rsidRPr="006640CA">
        <w:rPr>
          <w:szCs w:val="26"/>
        </w:rPr>
        <w:t>live with ten or more people.</w:t>
      </w:r>
      <w:r w:rsidR="00E45EEB" w:rsidRPr="006640CA">
        <w:rPr>
          <w:rStyle w:val="FootnoteReference"/>
          <w:szCs w:val="26"/>
        </w:rPr>
        <w:footnoteReference w:id="23"/>
      </w:r>
      <w:r w:rsidR="00E45EEB" w:rsidRPr="006640CA">
        <w:rPr>
          <w:szCs w:val="26"/>
        </w:rPr>
        <w:t xml:space="preserve"> </w:t>
      </w:r>
      <w:r w:rsidR="0094367E">
        <w:rPr>
          <w:lang w:eastAsia="en-IE"/>
        </w:rPr>
        <w:t xml:space="preserve">The number of people leaving congregated settings to live self-directed lives in the community </w:t>
      </w:r>
      <w:r w:rsidR="00D41B07">
        <w:rPr>
          <w:lang w:eastAsia="en-IE"/>
        </w:rPr>
        <w:t xml:space="preserve">has </w:t>
      </w:r>
      <w:r w:rsidR="0094367E" w:rsidRPr="005C48F0">
        <w:rPr>
          <w:lang w:eastAsia="en-IE"/>
        </w:rPr>
        <w:t>increased</w:t>
      </w:r>
      <w:r w:rsidR="00264AB3" w:rsidRPr="005C48F0">
        <w:rPr>
          <w:lang w:eastAsia="en-IE"/>
        </w:rPr>
        <w:t xml:space="preserve"> annually</w:t>
      </w:r>
      <w:r w:rsidR="0094367E" w:rsidRPr="005C48F0">
        <w:rPr>
          <w:lang w:eastAsia="en-IE"/>
        </w:rPr>
        <w:t>. In 2016, 74 individuals transitioned out of congregated settings</w:t>
      </w:r>
      <w:r w:rsidR="00D41B07" w:rsidRPr="005C48F0">
        <w:rPr>
          <w:lang w:eastAsia="en-IE"/>
        </w:rPr>
        <w:t xml:space="preserve"> to live in the community</w:t>
      </w:r>
      <w:r w:rsidR="0094367E" w:rsidRPr="005C48F0">
        <w:rPr>
          <w:lang w:eastAsia="en-IE"/>
        </w:rPr>
        <w:t>, a figure which represent</w:t>
      </w:r>
      <w:r w:rsidR="00B330E0" w:rsidRPr="005C48F0">
        <w:rPr>
          <w:lang w:eastAsia="en-IE"/>
        </w:rPr>
        <w:t>ed</w:t>
      </w:r>
      <w:r w:rsidR="005A64DD" w:rsidRPr="005C48F0">
        <w:rPr>
          <w:lang w:eastAsia="en-IE"/>
        </w:rPr>
        <w:t xml:space="preserve"> 2.7% </w:t>
      </w:r>
      <w:r w:rsidR="0094367E" w:rsidRPr="005C48F0">
        <w:rPr>
          <w:lang w:eastAsia="en-IE"/>
        </w:rPr>
        <w:t>of all individuals in congregated settings.</w:t>
      </w:r>
      <w:r w:rsidR="00F440A7" w:rsidRPr="00F440A7">
        <w:rPr>
          <w:rStyle w:val="FootnoteReference"/>
          <w:lang w:eastAsia="en-IE"/>
        </w:rPr>
        <w:t xml:space="preserve"> </w:t>
      </w:r>
      <w:r w:rsidR="00F440A7">
        <w:rPr>
          <w:rStyle w:val="FootnoteReference"/>
          <w:lang w:eastAsia="en-IE"/>
        </w:rPr>
        <w:footnoteReference w:id="24"/>
      </w:r>
      <w:r w:rsidR="0094367E" w:rsidRPr="005C48F0">
        <w:rPr>
          <w:lang w:eastAsia="en-IE"/>
        </w:rPr>
        <w:t xml:space="preserve"> In 2018, 165 individuals transitioned which represent</w:t>
      </w:r>
      <w:r w:rsidR="00F640C9" w:rsidRPr="005C48F0">
        <w:rPr>
          <w:lang w:eastAsia="en-IE"/>
        </w:rPr>
        <w:t>ed</w:t>
      </w:r>
      <w:r w:rsidR="0094367E" w:rsidRPr="005C48F0">
        <w:rPr>
          <w:lang w:eastAsia="en-IE"/>
        </w:rPr>
        <w:t xml:space="preserve"> 7.1</w:t>
      </w:r>
      <w:r w:rsidR="005A64DD" w:rsidRPr="005C48F0">
        <w:rPr>
          <w:lang w:eastAsia="en-IE"/>
        </w:rPr>
        <w:t>%</w:t>
      </w:r>
      <w:r w:rsidR="0094367E" w:rsidRPr="005C48F0">
        <w:rPr>
          <w:lang w:eastAsia="en-IE"/>
        </w:rPr>
        <w:t xml:space="preserve"> per cent of all individuals in congregated settings</w:t>
      </w:r>
      <w:r w:rsidR="0065239E" w:rsidRPr="005C48F0">
        <w:rPr>
          <w:lang w:eastAsia="en-IE"/>
        </w:rPr>
        <w:t xml:space="preserve">, and the </w:t>
      </w:r>
      <w:r w:rsidR="00E7174F" w:rsidRPr="005C48F0">
        <w:rPr>
          <w:lang w:eastAsia="en-IE"/>
        </w:rPr>
        <w:t>Health Service Executive</w:t>
      </w:r>
      <w:r w:rsidR="005A64DD" w:rsidRPr="005C48F0">
        <w:rPr>
          <w:lang w:eastAsia="en-IE"/>
        </w:rPr>
        <w:t>’s</w:t>
      </w:r>
      <w:r w:rsidR="00E7174F" w:rsidRPr="005C48F0">
        <w:rPr>
          <w:lang w:eastAsia="en-IE"/>
        </w:rPr>
        <w:t xml:space="preserve"> (</w:t>
      </w:r>
      <w:r w:rsidR="0065239E" w:rsidRPr="005C48F0">
        <w:rPr>
          <w:lang w:eastAsia="en-IE"/>
        </w:rPr>
        <w:t>HSE</w:t>
      </w:r>
      <w:r w:rsidR="005A64DD" w:rsidRPr="005C48F0">
        <w:rPr>
          <w:lang w:eastAsia="en-IE"/>
        </w:rPr>
        <w:t>’s</w:t>
      </w:r>
      <w:r w:rsidR="00E7174F" w:rsidRPr="005C48F0">
        <w:rPr>
          <w:lang w:eastAsia="en-IE"/>
        </w:rPr>
        <w:t>)</w:t>
      </w:r>
      <w:r w:rsidR="0094367E" w:rsidRPr="005C48F0">
        <w:rPr>
          <w:lang w:eastAsia="en-IE"/>
        </w:rPr>
        <w:t xml:space="preserve"> target for transitions</w:t>
      </w:r>
      <w:r w:rsidR="0065239E" w:rsidRPr="005C48F0">
        <w:rPr>
          <w:lang w:eastAsia="en-IE"/>
        </w:rPr>
        <w:t xml:space="preserve"> (170</w:t>
      </w:r>
      <w:r w:rsidR="0094367E" w:rsidRPr="005C48F0">
        <w:rPr>
          <w:lang w:eastAsia="en-IE"/>
        </w:rPr>
        <w:t xml:space="preserve"> individuals</w:t>
      </w:r>
      <w:r w:rsidR="0065239E" w:rsidRPr="005C48F0">
        <w:rPr>
          <w:lang w:eastAsia="en-IE"/>
        </w:rPr>
        <w:t>) was almost met</w:t>
      </w:r>
      <w:r w:rsidR="0094367E" w:rsidRPr="005C48F0">
        <w:rPr>
          <w:lang w:eastAsia="en-IE"/>
        </w:rPr>
        <w:t>.</w:t>
      </w:r>
      <w:r w:rsidR="00F440A7" w:rsidRPr="00F440A7">
        <w:rPr>
          <w:rStyle w:val="FootnoteReference"/>
          <w:lang w:eastAsia="en-IE"/>
        </w:rPr>
        <w:t xml:space="preserve"> </w:t>
      </w:r>
      <w:r w:rsidR="00F440A7">
        <w:rPr>
          <w:rStyle w:val="FootnoteReference"/>
          <w:lang w:eastAsia="en-IE"/>
        </w:rPr>
        <w:footnoteReference w:id="25"/>
      </w:r>
      <w:r w:rsidR="008B359C" w:rsidRPr="005C48F0">
        <w:rPr>
          <w:lang w:eastAsia="en-IE"/>
        </w:rPr>
        <w:t xml:space="preserve"> </w:t>
      </w:r>
      <w:r w:rsidR="007521F9" w:rsidRPr="005C48F0">
        <w:rPr>
          <w:lang w:eastAsia="en-IE"/>
        </w:rPr>
        <w:t xml:space="preserve">However, </w:t>
      </w:r>
      <w:r w:rsidR="00264AB3" w:rsidRPr="005C48F0">
        <w:rPr>
          <w:lang w:eastAsia="en-IE"/>
        </w:rPr>
        <w:t>it is</w:t>
      </w:r>
      <w:r w:rsidR="007521F9" w:rsidRPr="005C48F0">
        <w:rPr>
          <w:lang w:eastAsia="en-IE"/>
        </w:rPr>
        <w:t xml:space="preserve"> noted </w:t>
      </w:r>
      <w:r w:rsidR="00264AB3" w:rsidRPr="005C48F0">
        <w:rPr>
          <w:lang w:eastAsia="en-IE"/>
        </w:rPr>
        <w:t xml:space="preserve">at the same time </w:t>
      </w:r>
      <w:r w:rsidR="007521F9" w:rsidRPr="005C48F0">
        <w:rPr>
          <w:lang w:eastAsia="en-IE"/>
        </w:rPr>
        <w:t>that during 2018</w:t>
      </w:r>
      <w:r w:rsidR="0032752E" w:rsidRPr="005C48F0">
        <w:rPr>
          <w:lang w:eastAsia="en-IE"/>
        </w:rPr>
        <w:t>,</w:t>
      </w:r>
      <w:r w:rsidR="007521F9" w:rsidRPr="005C48F0">
        <w:rPr>
          <w:lang w:eastAsia="en-IE"/>
        </w:rPr>
        <w:t xml:space="preserve"> 94 residents </w:t>
      </w:r>
      <w:r w:rsidR="00D443E5" w:rsidRPr="005C48F0">
        <w:rPr>
          <w:lang w:eastAsia="en-IE"/>
        </w:rPr>
        <w:t>died</w:t>
      </w:r>
      <w:r w:rsidR="007521F9" w:rsidRPr="005C48F0">
        <w:rPr>
          <w:lang w:eastAsia="en-IE"/>
        </w:rPr>
        <w:t xml:space="preserve"> before they could transition to the community and 33 people were admitted or re-admitted</w:t>
      </w:r>
      <w:r w:rsidR="00D443E5" w:rsidRPr="005C48F0">
        <w:rPr>
          <w:lang w:eastAsia="en-IE"/>
        </w:rPr>
        <w:t xml:space="preserve"> to a congregated setting</w:t>
      </w:r>
      <w:r w:rsidR="00467DE7">
        <w:rPr>
          <w:lang w:eastAsia="en-IE"/>
        </w:rPr>
        <w:t>.</w:t>
      </w:r>
    </w:p>
    <w:p w14:paraId="2BEED0C7" w14:textId="77777777" w:rsidR="0032752E" w:rsidRDefault="00B0146C" w:rsidP="00264AB3">
      <w:pPr>
        <w:tabs>
          <w:tab w:val="left" w:pos="142"/>
        </w:tabs>
        <w:rPr>
          <w:lang w:eastAsia="en-IE"/>
        </w:rPr>
      </w:pPr>
      <w:r w:rsidRPr="00D9183D">
        <w:rPr>
          <w:lang w:eastAsia="en-IE"/>
        </w:rPr>
        <w:t xml:space="preserve">At </w:t>
      </w:r>
      <w:r w:rsidR="007521F9" w:rsidRPr="00D9183D">
        <w:rPr>
          <w:lang w:eastAsia="en-IE"/>
        </w:rPr>
        <w:t>the end of 2018</w:t>
      </w:r>
      <w:r w:rsidR="00D443E5" w:rsidRPr="00D9183D">
        <w:rPr>
          <w:lang w:eastAsia="en-IE"/>
        </w:rPr>
        <w:t>,</w:t>
      </w:r>
      <w:r w:rsidR="007521F9" w:rsidRPr="00D9183D">
        <w:rPr>
          <w:lang w:eastAsia="en-IE"/>
        </w:rPr>
        <w:t xml:space="preserve"> 2,136 people remained in congregated settings. T</w:t>
      </w:r>
      <w:r w:rsidR="001D64E4" w:rsidRPr="00D9183D">
        <w:rPr>
          <w:lang w:eastAsia="en-IE"/>
        </w:rPr>
        <w:t>he pace of change</w:t>
      </w:r>
      <w:r w:rsidR="00F640C9" w:rsidRPr="00D9183D">
        <w:rPr>
          <w:lang w:eastAsia="en-IE"/>
        </w:rPr>
        <w:t xml:space="preserve"> is slow, the</w:t>
      </w:r>
      <w:r w:rsidR="001D64E4" w:rsidRPr="00D9183D">
        <w:rPr>
          <w:lang w:eastAsia="en-IE"/>
        </w:rPr>
        <w:t xml:space="preserve"> targets are low and it has been acknowledged that the original target of </w:t>
      </w:r>
      <w:r w:rsidR="0032752E" w:rsidRPr="00D9183D">
        <w:rPr>
          <w:lang w:eastAsia="en-IE"/>
        </w:rPr>
        <w:t xml:space="preserve">all </w:t>
      </w:r>
      <w:r w:rsidR="001D64E4" w:rsidRPr="00D9183D">
        <w:rPr>
          <w:lang w:eastAsia="en-IE"/>
        </w:rPr>
        <w:t xml:space="preserve">4,099 </w:t>
      </w:r>
      <w:r w:rsidR="008F4EF2" w:rsidRPr="00D9183D">
        <w:rPr>
          <w:lang w:eastAsia="en-IE"/>
        </w:rPr>
        <w:t xml:space="preserve">people </w:t>
      </w:r>
      <w:r w:rsidR="001D64E4" w:rsidRPr="00D9183D">
        <w:rPr>
          <w:lang w:eastAsia="en-IE"/>
        </w:rPr>
        <w:t>being moved out by 2021 will not be met at the current pace.</w:t>
      </w:r>
      <w:r w:rsidR="001D64E4">
        <w:rPr>
          <w:lang w:eastAsia="en-IE"/>
        </w:rPr>
        <w:t xml:space="preserve"> </w:t>
      </w:r>
      <w:r w:rsidR="00D9183D" w:rsidRPr="00D9183D">
        <w:rPr>
          <w:lang w:eastAsia="en-IE"/>
        </w:rPr>
        <w:t>The NDA</w:t>
      </w:r>
      <w:r w:rsidR="00E45EEB">
        <w:rPr>
          <w:lang w:eastAsia="en-IE"/>
        </w:rPr>
        <w:t xml:space="preserve"> advises a continued focus on decongregation and notes with concern that the original target will not be met</w:t>
      </w:r>
      <w:r w:rsidR="00264AB3">
        <w:rPr>
          <w:lang w:eastAsia="en-IE"/>
        </w:rPr>
        <w:t xml:space="preserve"> </w:t>
      </w:r>
      <w:r w:rsidR="00264AB3" w:rsidRPr="005C48F0">
        <w:rPr>
          <w:lang w:eastAsia="en-IE"/>
        </w:rPr>
        <w:t>within the established timeframe</w:t>
      </w:r>
      <w:r w:rsidR="00E45EEB" w:rsidRPr="005C48F0">
        <w:rPr>
          <w:lang w:eastAsia="en-IE"/>
        </w:rPr>
        <w:t>.</w:t>
      </w:r>
    </w:p>
    <w:p w14:paraId="03CC3D8F" w14:textId="05003A67" w:rsidR="008F4EF2" w:rsidRPr="009E4ABD" w:rsidRDefault="001D64E4" w:rsidP="009E4ABD">
      <w:pPr>
        <w:autoSpaceDE w:val="0"/>
        <w:autoSpaceDN w:val="0"/>
        <w:adjustRightInd w:val="0"/>
        <w:rPr>
          <w:szCs w:val="26"/>
        </w:rPr>
      </w:pPr>
      <w:r>
        <w:rPr>
          <w:lang w:eastAsia="en-IE"/>
        </w:rPr>
        <w:t xml:space="preserve">Reasons for delays include difficulties in acquiring suitable houses due to </w:t>
      </w:r>
      <w:r w:rsidR="005A64DD">
        <w:rPr>
          <w:lang w:eastAsia="en-IE"/>
        </w:rPr>
        <w:t xml:space="preserve">limited availability and </w:t>
      </w:r>
      <w:r w:rsidR="00B0146C">
        <w:rPr>
          <w:lang w:eastAsia="en-IE"/>
        </w:rPr>
        <w:t>issues of affordability</w:t>
      </w:r>
      <w:r w:rsidR="0032752E">
        <w:rPr>
          <w:lang w:eastAsia="en-IE"/>
        </w:rPr>
        <w:t xml:space="preserve"> </w:t>
      </w:r>
      <w:r>
        <w:rPr>
          <w:lang w:eastAsia="en-IE"/>
        </w:rPr>
        <w:t xml:space="preserve">and </w:t>
      </w:r>
      <w:r w:rsidR="00B0146C">
        <w:rPr>
          <w:lang w:eastAsia="en-IE"/>
        </w:rPr>
        <w:t xml:space="preserve">challenges </w:t>
      </w:r>
      <w:r w:rsidR="005A64DD">
        <w:rPr>
          <w:lang w:eastAsia="en-IE"/>
        </w:rPr>
        <w:t>in</w:t>
      </w:r>
      <w:r w:rsidR="00B0146C">
        <w:rPr>
          <w:lang w:eastAsia="en-IE"/>
        </w:rPr>
        <w:t xml:space="preserve"> securing revenue to</w:t>
      </w:r>
      <w:r>
        <w:rPr>
          <w:lang w:eastAsia="en-IE"/>
        </w:rPr>
        <w:t xml:space="preserve"> </w:t>
      </w:r>
      <w:r w:rsidR="00B0146C">
        <w:rPr>
          <w:lang w:eastAsia="en-IE"/>
        </w:rPr>
        <w:t xml:space="preserve">ensure </w:t>
      </w:r>
      <w:r>
        <w:rPr>
          <w:lang w:eastAsia="en-IE"/>
        </w:rPr>
        <w:t xml:space="preserve">transitions are person-centred. </w:t>
      </w:r>
      <w:r w:rsidRPr="009E4ABD">
        <w:rPr>
          <w:szCs w:val="26"/>
        </w:rPr>
        <w:t>Preliminary findings from NDA research to evaluate the costs and benefits of new models of service suggest that, while some institutional practices can persist in community</w:t>
      </w:r>
      <w:r w:rsidR="00F640C9">
        <w:rPr>
          <w:szCs w:val="26"/>
        </w:rPr>
        <w:t>-</w:t>
      </w:r>
      <w:r w:rsidRPr="009E4ABD">
        <w:rPr>
          <w:szCs w:val="26"/>
        </w:rPr>
        <w:t xml:space="preserve">based residential settings, positive outcomes for residents do in general flow from moving to the community. </w:t>
      </w:r>
      <w:r w:rsidR="00464CCA" w:rsidRPr="005C48F0">
        <w:rPr>
          <w:szCs w:val="26"/>
        </w:rPr>
        <w:t xml:space="preserve">The NDA has also supported the development of frameworks for measuring quality of life outcomes in HSE funded support programmes, which over time when fully implemented </w:t>
      </w:r>
      <w:r w:rsidR="005C48F0" w:rsidRPr="005C48F0">
        <w:rPr>
          <w:szCs w:val="26"/>
        </w:rPr>
        <w:t>can provide information on a variety of metrics</w:t>
      </w:r>
      <w:r w:rsidR="005C48F0">
        <w:rPr>
          <w:szCs w:val="26"/>
        </w:rPr>
        <w:t xml:space="preserve"> and outcomes</w:t>
      </w:r>
      <w:r w:rsidR="005C48F0" w:rsidRPr="005C48F0">
        <w:rPr>
          <w:szCs w:val="26"/>
        </w:rPr>
        <w:t>.</w:t>
      </w:r>
      <w:r w:rsidR="00464CCA" w:rsidRPr="005C48F0">
        <w:rPr>
          <w:szCs w:val="26"/>
        </w:rPr>
        <w:t xml:space="preserve"> </w:t>
      </w:r>
      <w:r w:rsidRPr="009E4ABD">
        <w:rPr>
          <w:szCs w:val="26"/>
        </w:rPr>
        <w:t>The NDA looks forward to seeing continued and accelerated progress with regard to this indicator</w:t>
      </w:r>
      <w:r w:rsidR="00D443E5">
        <w:rPr>
          <w:szCs w:val="26"/>
        </w:rPr>
        <w:t>. In addition, the NDA</w:t>
      </w:r>
      <w:r w:rsidR="0032752E">
        <w:rPr>
          <w:szCs w:val="26"/>
        </w:rPr>
        <w:t xml:space="preserve"> </w:t>
      </w:r>
      <w:r w:rsidRPr="009E4ABD">
        <w:rPr>
          <w:szCs w:val="26"/>
        </w:rPr>
        <w:t>propose</w:t>
      </w:r>
      <w:r w:rsidR="0032752E">
        <w:rPr>
          <w:szCs w:val="26"/>
        </w:rPr>
        <w:t>s</w:t>
      </w:r>
      <w:r w:rsidRPr="009E4ABD">
        <w:rPr>
          <w:szCs w:val="26"/>
        </w:rPr>
        <w:t xml:space="preserve"> that a policy to close all admissions to congregated settings for </w:t>
      </w:r>
      <w:r w:rsidR="004B469A">
        <w:rPr>
          <w:szCs w:val="26"/>
        </w:rPr>
        <w:t>persons with disabilities</w:t>
      </w:r>
      <w:r w:rsidRPr="009E4ABD">
        <w:rPr>
          <w:szCs w:val="26"/>
        </w:rPr>
        <w:t xml:space="preserve"> falling under the </w:t>
      </w:r>
      <w:r w:rsidR="00F640C9">
        <w:rPr>
          <w:szCs w:val="26"/>
        </w:rPr>
        <w:t>T</w:t>
      </w:r>
      <w:r w:rsidRPr="009E4ABD">
        <w:rPr>
          <w:szCs w:val="26"/>
        </w:rPr>
        <w:t xml:space="preserve">ransforming </w:t>
      </w:r>
      <w:r w:rsidR="00F640C9">
        <w:rPr>
          <w:szCs w:val="26"/>
        </w:rPr>
        <w:t>L</w:t>
      </w:r>
      <w:r w:rsidRPr="009E4ABD">
        <w:rPr>
          <w:szCs w:val="26"/>
        </w:rPr>
        <w:t xml:space="preserve">ives policy be considered to reduce new/re admissions which can currently arise in crisis situations. </w:t>
      </w:r>
    </w:p>
    <w:p w14:paraId="4D625391" w14:textId="6056FAA9" w:rsidR="0032752E" w:rsidRPr="00F5419E" w:rsidRDefault="003965C6" w:rsidP="009E4ABD">
      <w:pPr>
        <w:autoSpaceDE w:val="0"/>
        <w:autoSpaceDN w:val="0"/>
        <w:adjustRightInd w:val="0"/>
        <w:rPr>
          <w:vertAlign w:val="superscript"/>
          <w:lang w:eastAsia="en-IE"/>
        </w:rPr>
      </w:pPr>
      <w:r w:rsidRPr="009F15F7">
        <w:rPr>
          <w:b/>
          <w:lang w:eastAsia="en-IE"/>
        </w:rPr>
        <w:t>I</w:t>
      </w:r>
      <w:r w:rsidRPr="009E4ABD">
        <w:rPr>
          <w:b/>
          <w:lang w:eastAsia="en-IE"/>
        </w:rPr>
        <w:t xml:space="preserve">ndicator 1.2c. Number of people living in 24-hour supervised mental health residences and the percentage of residences with </w:t>
      </w:r>
      <w:r w:rsidR="00D443E5">
        <w:rPr>
          <w:b/>
          <w:lang w:eastAsia="en-IE"/>
        </w:rPr>
        <w:t>more than</w:t>
      </w:r>
      <w:r w:rsidR="00D443E5" w:rsidRPr="009E4ABD">
        <w:rPr>
          <w:b/>
          <w:lang w:eastAsia="en-IE"/>
        </w:rPr>
        <w:t xml:space="preserve"> </w:t>
      </w:r>
      <w:r w:rsidRPr="009E4ABD">
        <w:rPr>
          <w:b/>
          <w:lang w:eastAsia="en-IE"/>
        </w:rPr>
        <w:t>10 beds</w:t>
      </w:r>
      <w:r w:rsidR="006C4D04">
        <w:rPr>
          <w:b/>
          <w:lang w:eastAsia="en-IE"/>
        </w:rPr>
        <w:t xml:space="preserve"> (Process)</w:t>
      </w:r>
      <w:r w:rsidRPr="009E4ABD">
        <w:rPr>
          <w:b/>
          <w:lang w:eastAsia="en-IE"/>
        </w:rPr>
        <w:t>:</w:t>
      </w:r>
      <w:r>
        <w:rPr>
          <w:lang w:eastAsia="en-IE"/>
        </w:rPr>
        <w:t xml:space="preserve"> It is not possible to report</w:t>
      </w:r>
      <w:r w:rsidR="001D64E4">
        <w:rPr>
          <w:lang w:eastAsia="en-IE"/>
        </w:rPr>
        <w:t xml:space="preserve"> against</w:t>
      </w:r>
      <w:r>
        <w:rPr>
          <w:lang w:eastAsia="en-IE"/>
        </w:rPr>
        <w:t xml:space="preserve"> this indicator precisely due to the way data are collected and reported. In 2016 1,355 people lived in 122 residences</w:t>
      </w:r>
      <w:r w:rsidR="00B407D8">
        <w:rPr>
          <w:rStyle w:val="FootnoteReference"/>
          <w:lang w:eastAsia="en-IE"/>
        </w:rPr>
        <w:footnoteReference w:id="26"/>
      </w:r>
      <w:r>
        <w:rPr>
          <w:lang w:eastAsia="en-IE"/>
        </w:rPr>
        <w:t xml:space="preserve"> and in 2018 this</w:t>
      </w:r>
      <w:r w:rsidR="008F4DF6">
        <w:rPr>
          <w:lang w:eastAsia="en-IE"/>
        </w:rPr>
        <w:t xml:space="preserve"> </w:t>
      </w:r>
      <w:r w:rsidR="00BD2EB3" w:rsidRPr="00BD2EB3">
        <w:rPr>
          <w:lang w:eastAsia="en-IE"/>
        </w:rPr>
        <w:t>decreased</w:t>
      </w:r>
      <w:r w:rsidRPr="00BD2EB3">
        <w:rPr>
          <w:lang w:eastAsia="en-IE"/>
        </w:rPr>
        <w:t xml:space="preserve"> </w:t>
      </w:r>
      <w:r>
        <w:rPr>
          <w:lang w:eastAsia="en-IE"/>
        </w:rPr>
        <w:t>to 1,200</w:t>
      </w:r>
      <w:r w:rsidR="00D443E5">
        <w:rPr>
          <w:lang w:eastAsia="en-IE"/>
        </w:rPr>
        <w:t xml:space="preserve"> people</w:t>
      </w:r>
      <w:r>
        <w:rPr>
          <w:lang w:eastAsia="en-IE"/>
        </w:rPr>
        <w:t xml:space="preserve"> living in 118 residences</w:t>
      </w:r>
      <w:r w:rsidR="00D443E5">
        <w:rPr>
          <w:lang w:eastAsia="en-IE"/>
        </w:rPr>
        <w:t xml:space="preserve"> (estimate from the </w:t>
      </w:r>
      <w:r w:rsidR="00E7174F">
        <w:rPr>
          <w:lang w:eastAsia="en-IE"/>
        </w:rPr>
        <w:t>MHC</w:t>
      </w:r>
      <w:r w:rsidR="00B407D8">
        <w:rPr>
          <w:rStyle w:val="FootnoteReference"/>
          <w:lang w:eastAsia="en-IE"/>
        </w:rPr>
        <w:footnoteReference w:id="27"/>
      </w:r>
      <w:r w:rsidR="00D443E5">
        <w:rPr>
          <w:lang w:eastAsia="en-IE"/>
        </w:rPr>
        <w:t>)</w:t>
      </w:r>
      <w:r>
        <w:rPr>
          <w:lang w:eastAsia="en-IE"/>
        </w:rPr>
        <w:t>. However, the proportion of residences with 10 beds or more remains largely unchanged. In 2016</w:t>
      </w:r>
      <w:r w:rsidR="0032752E">
        <w:rPr>
          <w:lang w:eastAsia="en-IE"/>
        </w:rPr>
        <w:t>,</w:t>
      </w:r>
      <w:r>
        <w:rPr>
          <w:lang w:eastAsia="en-IE"/>
        </w:rPr>
        <w:t xml:space="preserve"> 46% of 122 residences were reported to have at least 10 beds. In 2018</w:t>
      </w:r>
      <w:r w:rsidR="00012297">
        <w:rPr>
          <w:lang w:eastAsia="en-IE"/>
        </w:rPr>
        <w:t xml:space="preserve"> the number with at least 10 beds is not reported but we know that</w:t>
      </w:r>
      <w:r>
        <w:rPr>
          <w:lang w:eastAsia="en-IE"/>
        </w:rPr>
        <w:t xml:space="preserve"> 43% of 54 residences that were inspected had 10 or m</w:t>
      </w:r>
      <w:r w:rsidR="00886139">
        <w:rPr>
          <w:lang w:eastAsia="en-IE"/>
        </w:rPr>
        <w:t>ore beds</w:t>
      </w:r>
      <w:r w:rsidR="00012297">
        <w:rPr>
          <w:lang w:eastAsia="en-IE"/>
        </w:rPr>
        <w:t>.</w:t>
      </w:r>
    </w:p>
    <w:p w14:paraId="502CB97E" w14:textId="22F1554C" w:rsidR="0032752E" w:rsidRDefault="001D64E4" w:rsidP="009E4ABD">
      <w:pPr>
        <w:autoSpaceDE w:val="0"/>
        <w:autoSpaceDN w:val="0"/>
        <w:adjustRightInd w:val="0"/>
        <w:rPr>
          <w:lang w:eastAsia="en-IE"/>
        </w:rPr>
      </w:pPr>
      <w:r w:rsidRPr="005C48F0">
        <w:rPr>
          <w:lang w:eastAsia="en-IE"/>
        </w:rPr>
        <w:t xml:space="preserve">The NDA notes </w:t>
      </w:r>
      <w:r w:rsidR="00665383">
        <w:rPr>
          <w:lang w:eastAsia="en-IE"/>
        </w:rPr>
        <w:t>the differences</w:t>
      </w:r>
      <w:r w:rsidR="003965C6" w:rsidRPr="005C48F0">
        <w:rPr>
          <w:lang w:eastAsia="en-IE"/>
        </w:rPr>
        <w:t xml:space="preserve"> between the 10 or less bed units </w:t>
      </w:r>
      <w:r w:rsidR="00665383">
        <w:rPr>
          <w:lang w:eastAsia="en-IE"/>
        </w:rPr>
        <w:t>set out in</w:t>
      </w:r>
      <w:r w:rsidR="003965C6" w:rsidRPr="005C48F0">
        <w:rPr>
          <w:lang w:eastAsia="en-IE"/>
        </w:rPr>
        <w:t xml:space="preserve"> the</w:t>
      </w:r>
      <w:r w:rsidR="00562FA6">
        <w:rPr>
          <w:lang w:eastAsia="en-IE"/>
        </w:rPr>
        <w:t xml:space="preserve"> 2006</w:t>
      </w:r>
      <w:r w:rsidR="003965C6" w:rsidRPr="005C48F0">
        <w:rPr>
          <w:lang w:eastAsia="en-IE"/>
        </w:rPr>
        <w:t xml:space="preserve"> </w:t>
      </w:r>
      <w:r w:rsidR="006F6DC6" w:rsidRPr="005C48F0">
        <w:rPr>
          <w:lang w:eastAsia="en-IE"/>
        </w:rPr>
        <w:t>‘</w:t>
      </w:r>
      <w:r w:rsidR="003965C6" w:rsidRPr="005C48F0">
        <w:rPr>
          <w:lang w:eastAsia="en-IE"/>
        </w:rPr>
        <w:t>A Vis</w:t>
      </w:r>
      <w:r w:rsidR="00EB5D41" w:rsidRPr="005C48F0">
        <w:rPr>
          <w:lang w:eastAsia="en-IE"/>
        </w:rPr>
        <w:t>i</w:t>
      </w:r>
      <w:r w:rsidR="003965C6" w:rsidRPr="005C48F0">
        <w:rPr>
          <w:lang w:eastAsia="en-IE"/>
        </w:rPr>
        <w:t>on For Change</w:t>
      </w:r>
      <w:r w:rsidR="006F6DC6" w:rsidRPr="005C48F0">
        <w:rPr>
          <w:lang w:eastAsia="en-IE"/>
        </w:rPr>
        <w:t>’</w:t>
      </w:r>
      <w:r w:rsidR="006F6DC6" w:rsidRPr="005C48F0">
        <w:rPr>
          <w:rStyle w:val="FootnoteReference"/>
          <w:lang w:eastAsia="en-IE"/>
        </w:rPr>
        <w:footnoteReference w:id="28"/>
      </w:r>
      <w:r w:rsidR="003965C6" w:rsidRPr="005C48F0">
        <w:rPr>
          <w:lang w:eastAsia="en-IE"/>
        </w:rPr>
        <w:t xml:space="preserve"> document and the</w:t>
      </w:r>
      <w:r w:rsidR="00665383">
        <w:rPr>
          <w:lang w:eastAsia="en-IE"/>
        </w:rPr>
        <w:t xml:space="preserve"> recommendations in</w:t>
      </w:r>
      <w:r w:rsidR="003965C6" w:rsidRPr="005C48F0">
        <w:rPr>
          <w:lang w:eastAsia="en-IE"/>
        </w:rPr>
        <w:t xml:space="preserve"> the</w:t>
      </w:r>
      <w:r w:rsidR="00562FA6">
        <w:rPr>
          <w:lang w:eastAsia="en-IE"/>
        </w:rPr>
        <w:t xml:space="preserve"> 2011</w:t>
      </w:r>
      <w:r w:rsidR="003965C6" w:rsidRPr="005C48F0">
        <w:rPr>
          <w:lang w:eastAsia="en-IE"/>
        </w:rPr>
        <w:t xml:space="preserve"> Transforming Lives Policy ‘Time to </w:t>
      </w:r>
      <w:r w:rsidR="00EB5D41" w:rsidRPr="005C48F0">
        <w:rPr>
          <w:lang w:eastAsia="en-IE"/>
        </w:rPr>
        <w:t>M</w:t>
      </w:r>
      <w:r w:rsidR="003965C6" w:rsidRPr="005C48F0">
        <w:rPr>
          <w:lang w:eastAsia="en-IE"/>
        </w:rPr>
        <w:t>ove on from Congregated Settings’</w:t>
      </w:r>
      <w:r w:rsidR="006F6DC6" w:rsidRPr="005C48F0">
        <w:rPr>
          <w:rStyle w:val="FootnoteReference"/>
          <w:lang w:eastAsia="en-IE"/>
        </w:rPr>
        <w:footnoteReference w:id="29"/>
      </w:r>
      <w:r w:rsidR="00665383">
        <w:rPr>
          <w:lang w:eastAsia="en-IE"/>
        </w:rPr>
        <w:t>, which recommend a maximum of four persons in any one setting</w:t>
      </w:r>
      <w:r w:rsidR="003965C6" w:rsidRPr="005C48F0">
        <w:rPr>
          <w:lang w:eastAsia="en-IE"/>
        </w:rPr>
        <w:t>. Both are HSE documents</w:t>
      </w:r>
      <w:r w:rsidR="00F34C82" w:rsidRPr="005C48F0">
        <w:rPr>
          <w:lang w:eastAsia="en-IE"/>
        </w:rPr>
        <w:t xml:space="preserve">. The </w:t>
      </w:r>
      <w:r w:rsidR="00665383">
        <w:rPr>
          <w:lang w:eastAsia="en-IE"/>
        </w:rPr>
        <w:t>numbers set out in the Time to Move On policy</w:t>
      </w:r>
      <w:r w:rsidR="00F34C82" w:rsidRPr="005C48F0">
        <w:rPr>
          <w:lang w:eastAsia="en-IE"/>
        </w:rPr>
        <w:t xml:space="preserve"> </w:t>
      </w:r>
      <w:r w:rsidR="00665383">
        <w:rPr>
          <w:lang w:eastAsia="en-IE"/>
        </w:rPr>
        <w:t>are</w:t>
      </w:r>
      <w:r w:rsidR="00464CCA" w:rsidRPr="005C48F0">
        <w:rPr>
          <w:lang w:eastAsia="en-IE"/>
        </w:rPr>
        <w:t xml:space="preserve"> informed by </w:t>
      </w:r>
      <w:r w:rsidR="00F34C82" w:rsidRPr="005C48F0">
        <w:rPr>
          <w:lang w:eastAsia="en-IE"/>
        </w:rPr>
        <w:t xml:space="preserve">NDA research that looked specifically at disability (physical, sensory and intellectual) and not mental health. We advise that research is conducted on the optimal unit size for mental health units </w:t>
      </w:r>
      <w:r w:rsidR="00464CCA" w:rsidRPr="005C48F0">
        <w:rPr>
          <w:lang w:eastAsia="en-IE"/>
        </w:rPr>
        <w:t>to ensure an appropriate approach while re</w:t>
      </w:r>
      <w:r w:rsidR="00665383">
        <w:rPr>
          <w:lang w:eastAsia="en-IE"/>
        </w:rPr>
        <w:t>cognising choice of individuals</w:t>
      </w:r>
      <w:r w:rsidR="00464CCA" w:rsidRPr="005C48F0">
        <w:rPr>
          <w:lang w:eastAsia="en-IE"/>
        </w:rPr>
        <w:t xml:space="preserve">. </w:t>
      </w:r>
      <w:r w:rsidR="00FD39CF">
        <w:rPr>
          <w:lang w:eastAsia="en-IE"/>
        </w:rPr>
        <w:t>Progress on</w:t>
      </w:r>
      <w:r w:rsidR="003965C6" w:rsidRPr="005C48F0">
        <w:rPr>
          <w:lang w:eastAsia="en-IE"/>
        </w:rPr>
        <w:t xml:space="preserve"> giving people their own </w:t>
      </w:r>
      <w:r w:rsidR="00467DE7">
        <w:rPr>
          <w:lang w:eastAsia="en-IE"/>
        </w:rPr>
        <w:t>room is reported as being slow.</w:t>
      </w:r>
    </w:p>
    <w:p w14:paraId="5ED4EC1D" w14:textId="1E127936" w:rsidR="008F4EF2" w:rsidRPr="00AE10DB" w:rsidRDefault="003965C6" w:rsidP="00AE10DB">
      <w:pPr>
        <w:pStyle w:val="CommentText"/>
        <w:rPr>
          <w:rFonts w:eastAsiaTheme="minorHAnsi" w:cs="DIN-Light"/>
          <w:sz w:val="26"/>
          <w:szCs w:val="26"/>
        </w:rPr>
      </w:pPr>
      <w:r w:rsidRPr="00AE10DB">
        <w:rPr>
          <w:sz w:val="26"/>
          <w:szCs w:val="26"/>
          <w:lang w:eastAsia="en-IE"/>
        </w:rPr>
        <w:t xml:space="preserve">A key underlying contextual factor here is that the 24-hour supervised mental health residences are not regulated. </w:t>
      </w:r>
      <w:r w:rsidR="00AE10DB" w:rsidRPr="00AE10DB">
        <w:rPr>
          <w:sz w:val="26"/>
          <w:szCs w:val="26"/>
        </w:rPr>
        <w:t xml:space="preserve">Regulation would allow the </w:t>
      </w:r>
      <w:r w:rsidR="00E7174F">
        <w:rPr>
          <w:sz w:val="26"/>
          <w:szCs w:val="26"/>
        </w:rPr>
        <w:t>MHC</w:t>
      </w:r>
      <w:r w:rsidR="00AE10DB" w:rsidRPr="00AE10DB">
        <w:rPr>
          <w:sz w:val="26"/>
          <w:szCs w:val="26"/>
        </w:rPr>
        <w:t xml:space="preserve"> to enforce changes where deficits and risks are found, protect the human rights of people living in these residences and help mental health services to provide care and treatment in accordance with best practice </w:t>
      </w:r>
      <w:r w:rsidR="00AE10DB" w:rsidRPr="0013326B">
        <w:rPr>
          <w:sz w:val="26"/>
          <w:szCs w:val="26"/>
        </w:rPr>
        <w:t xml:space="preserve">standards. </w:t>
      </w:r>
      <w:r w:rsidRPr="0013326B">
        <w:rPr>
          <w:sz w:val="26"/>
          <w:szCs w:val="26"/>
          <w:lang w:eastAsia="en-IE"/>
        </w:rPr>
        <w:t xml:space="preserve">We echo the concerns of the Inspector of Mental Health Services who stated </w:t>
      </w:r>
      <w:r w:rsidR="0055485D">
        <w:rPr>
          <w:sz w:val="26"/>
          <w:szCs w:val="26"/>
          <w:lang w:eastAsia="en-IE"/>
        </w:rPr>
        <w:t xml:space="preserve">in 2019 </w:t>
      </w:r>
      <w:r w:rsidRPr="0013326B">
        <w:rPr>
          <w:sz w:val="26"/>
          <w:szCs w:val="26"/>
          <w:lang w:eastAsia="en-IE"/>
        </w:rPr>
        <w:t>‘</w:t>
      </w:r>
      <w:r w:rsidRPr="0013326B">
        <w:rPr>
          <w:rFonts w:eastAsiaTheme="minorHAnsi" w:cs="DIN-Light"/>
          <w:sz w:val="26"/>
          <w:szCs w:val="26"/>
        </w:rPr>
        <w:t>This is a serious deficiency, leading to the risk of abuse and substandard living conditions and treatment.’</w:t>
      </w:r>
      <w:r w:rsidR="007D371A" w:rsidRPr="0013326B">
        <w:rPr>
          <w:rStyle w:val="FootnoteReference"/>
          <w:rFonts w:eastAsiaTheme="minorHAnsi" w:cs="DIN-Light"/>
          <w:sz w:val="26"/>
          <w:szCs w:val="26"/>
        </w:rPr>
        <w:footnoteReference w:id="30"/>
      </w:r>
      <w:r w:rsidRPr="0013326B">
        <w:rPr>
          <w:rFonts w:eastAsiaTheme="minorHAnsi" w:cs="DIN-Light"/>
          <w:sz w:val="26"/>
          <w:szCs w:val="26"/>
        </w:rPr>
        <w:t xml:space="preserve"> </w:t>
      </w:r>
      <w:r w:rsidR="00F34C82" w:rsidRPr="00AE10DB">
        <w:rPr>
          <w:sz w:val="26"/>
          <w:szCs w:val="26"/>
          <w:lang w:eastAsia="en-IE"/>
        </w:rPr>
        <w:t>We also know that in 2016 there were 863 people resident for over a year in a psychiatric unit or psychiatric hospital</w:t>
      </w:r>
      <w:r w:rsidR="00F34C82">
        <w:rPr>
          <w:rStyle w:val="FootnoteReference"/>
          <w:sz w:val="26"/>
          <w:szCs w:val="26"/>
          <w:lang w:eastAsia="en-IE"/>
        </w:rPr>
        <w:footnoteReference w:id="31"/>
      </w:r>
      <w:r w:rsidR="004E4FE8">
        <w:rPr>
          <w:sz w:val="26"/>
          <w:szCs w:val="26"/>
          <w:lang w:eastAsia="en-IE"/>
        </w:rPr>
        <w:t xml:space="preserve">. </w:t>
      </w:r>
      <w:r w:rsidR="004E4FE8" w:rsidRPr="00E16354">
        <w:rPr>
          <w:sz w:val="26"/>
          <w:szCs w:val="26"/>
          <w:lang w:eastAsia="en-IE"/>
        </w:rPr>
        <w:t xml:space="preserve">The NDA proposes to engage further with the Mental Health Commission </w:t>
      </w:r>
      <w:r w:rsidR="00F34C82" w:rsidRPr="00E16354">
        <w:rPr>
          <w:sz w:val="26"/>
          <w:szCs w:val="26"/>
          <w:lang w:eastAsia="en-IE"/>
        </w:rPr>
        <w:t>t</w:t>
      </w:r>
      <w:r w:rsidR="004E4FE8" w:rsidRPr="00E16354">
        <w:rPr>
          <w:sz w:val="26"/>
          <w:szCs w:val="26"/>
          <w:lang w:eastAsia="en-IE"/>
        </w:rPr>
        <w:t>o gather information on the numbers acr</w:t>
      </w:r>
      <w:r w:rsidR="00CB3E20" w:rsidRPr="00E16354">
        <w:rPr>
          <w:sz w:val="26"/>
          <w:szCs w:val="26"/>
          <w:lang w:eastAsia="en-IE"/>
        </w:rPr>
        <w:t xml:space="preserve">oss the various centres, and to understand the experiences of those resident in same, over the </w:t>
      </w:r>
      <w:r w:rsidR="00467DE7">
        <w:rPr>
          <w:sz w:val="26"/>
          <w:szCs w:val="26"/>
          <w:lang w:eastAsia="en-IE"/>
        </w:rPr>
        <w:t>remaining lifetime of the NDIS.</w:t>
      </w:r>
    </w:p>
    <w:p w14:paraId="29731078" w14:textId="62F4A527" w:rsidR="00387BE1" w:rsidRDefault="002B4412" w:rsidP="002B4412">
      <w:pPr>
        <w:rPr>
          <w:b/>
          <w:szCs w:val="26"/>
        </w:rPr>
      </w:pPr>
      <w:r>
        <w:rPr>
          <w:rFonts w:eastAsiaTheme="minorHAnsi"/>
          <w:b/>
          <w:szCs w:val="26"/>
        </w:rPr>
        <w:t>Indicator 1.2d.</w:t>
      </w:r>
      <w:r w:rsidR="00AE10DB" w:rsidRPr="00AB35FF">
        <w:rPr>
          <w:rFonts w:eastAsiaTheme="minorHAnsi"/>
          <w:b/>
          <w:szCs w:val="26"/>
        </w:rPr>
        <w:t xml:space="preserve"> Percentage of involuntary admissions to psychiatric treatment units</w:t>
      </w:r>
      <w:r w:rsidR="006C4D04">
        <w:rPr>
          <w:rFonts w:eastAsiaTheme="minorHAnsi"/>
          <w:b/>
          <w:szCs w:val="26"/>
        </w:rPr>
        <w:t xml:space="preserve"> </w:t>
      </w:r>
      <w:r w:rsidR="006C4D04">
        <w:rPr>
          <w:b/>
          <w:lang w:eastAsia="en-IE"/>
        </w:rPr>
        <w:t>(Process)</w:t>
      </w:r>
      <w:r w:rsidR="003C3405">
        <w:rPr>
          <w:rFonts w:eastAsiaTheme="minorHAnsi"/>
          <w:b/>
          <w:szCs w:val="26"/>
        </w:rPr>
        <w:t xml:space="preserve">: </w:t>
      </w:r>
      <w:r w:rsidR="003C3405" w:rsidRPr="002B4412">
        <w:rPr>
          <w:rFonts w:eastAsiaTheme="minorHAnsi"/>
          <w:szCs w:val="26"/>
        </w:rPr>
        <w:t xml:space="preserve">The proportion of admissions to psychiatric hospitals that are involuntary has stayed the same between 2016 and 2018 at </w:t>
      </w:r>
      <w:r w:rsidR="00BF5AE0" w:rsidRPr="002B4412">
        <w:rPr>
          <w:rFonts w:eastAsiaTheme="minorHAnsi"/>
          <w:szCs w:val="26"/>
        </w:rPr>
        <w:t>1</w:t>
      </w:r>
      <w:r w:rsidR="00BF5AE0">
        <w:rPr>
          <w:rFonts w:eastAsiaTheme="minorHAnsi"/>
          <w:szCs w:val="26"/>
        </w:rPr>
        <w:t>4</w:t>
      </w:r>
      <w:r w:rsidR="003C3405" w:rsidRPr="0013326B">
        <w:rPr>
          <w:rFonts w:eastAsiaTheme="minorHAnsi"/>
          <w:szCs w:val="26"/>
        </w:rPr>
        <w:t>%.</w:t>
      </w:r>
      <w:r w:rsidR="00B407D8">
        <w:rPr>
          <w:rStyle w:val="FootnoteReference"/>
          <w:rFonts w:eastAsiaTheme="minorHAnsi"/>
          <w:szCs w:val="26"/>
        </w:rPr>
        <w:footnoteReference w:id="32"/>
      </w:r>
      <w:r w:rsidR="00B407D8">
        <w:rPr>
          <w:rFonts w:eastAsiaTheme="minorHAnsi"/>
          <w:szCs w:val="26"/>
        </w:rPr>
        <w:t xml:space="preserve"> </w:t>
      </w:r>
      <w:r w:rsidR="00B407D8">
        <w:rPr>
          <w:rStyle w:val="FootnoteReference"/>
          <w:rFonts w:eastAsiaTheme="minorHAnsi"/>
          <w:szCs w:val="26"/>
        </w:rPr>
        <w:footnoteReference w:id="33"/>
      </w:r>
      <w:r w:rsidR="003C3405" w:rsidRPr="0013326B">
        <w:rPr>
          <w:rFonts w:eastAsiaTheme="minorHAnsi"/>
          <w:szCs w:val="26"/>
        </w:rPr>
        <w:t xml:space="preserve"> The gender breakdown also remained similar with slightly more men (54%) than women (46%)</w:t>
      </w:r>
      <w:r w:rsidRPr="0013326B">
        <w:rPr>
          <w:rFonts w:eastAsiaTheme="minorHAnsi"/>
          <w:szCs w:val="26"/>
        </w:rPr>
        <w:t xml:space="preserve"> involuntarily admitted</w:t>
      </w:r>
      <w:r w:rsidR="0013326B" w:rsidRPr="0013326B">
        <w:rPr>
          <w:rFonts w:eastAsiaTheme="minorHAnsi"/>
          <w:szCs w:val="26"/>
        </w:rPr>
        <w:t xml:space="preserve"> in 2018</w:t>
      </w:r>
      <w:r w:rsidR="003C3405" w:rsidRPr="0013326B">
        <w:rPr>
          <w:rFonts w:eastAsiaTheme="minorHAnsi"/>
          <w:szCs w:val="26"/>
        </w:rPr>
        <w:t xml:space="preserve">. </w:t>
      </w:r>
      <w:r w:rsidR="00DC2F07" w:rsidRPr="0013326B">
        <w:rPr>
          <w:rFonts w:eastAsiaTheme="minorHAnsi"/>
          <w:szCs w:val="26"/>
        </w:rPr>
        <w:t>The age distribution also remained largely</w:t>
      </w:r>
      <w:r w:rsidR="00DC2F07" w:rsidRPr="002B4412">
        <w:rPr>
          <w:rFonts w:eastAsiaTheme="minorHAnsi"/>
          <w:szCs w:val="26"/>
        </w:rPr>
        <w:t xml:space="preserve"> unchanged. </w:t>
      </w:r>
      <w:r w:rsidR="003C3405" w:rsidRPr="002B4412">
        <w:rPr>
          <w:szCs w:val="26"/>
          <w:lang w:val="en"/>
        </w:rPr>
        <w:t>If a person</w:t>
      </w:r>
      <w:r w:rsidR="00054543">
        <w:rPr>
          <w:szCs w:val="26"/>
          <w:lang w:val="en"/>
        </w:rPr>
        <w:t xml:space="preserve"> </w:t>
      </w:r>
      <w:r w:rsidR="003C3405" w:rsidRPr="002B4412">
        <w:rPr>
          <w:szCs w:val="26"/>
          <w:lang w:val="en"/>
        </w:rPr>
        <w:t>is admitted to hospital against</w:t>
      </w:r>
      <w:r w:rsidR="00054543">
        <w:rPr>
          <w:szCs w:val="26"/>
          <w:lang w:val="en"/>
        </w:rPr>
        <w:t xml:space="preserve"> </w:t>
      </w:r>
      <w:r w:rsidR="003C3405" w:rsidRPr="002B4412">
        <w:rPr>
          <w:szCs w:val="26"/>
          <w:lang w:val="en"/>
        </w:rPr>
        <w:t>their will (involuntary patient), they are entitled to have a mental health tribunal within 21 days of their admission. The MHC is responsible for establishing these tribunals. The function of the mental health tribunal is to either revoke or affirm</w:t>
      </w:r>
      <w:r w:rsidR="00054543">
        <w:rPr>
          <w:szCs w:val="26"/>
          <w:lang w:val="en"/>
        </w:rPr>
        <w:t xml:space="preserve"> </w:t>
      </w:r>
      <w:r w:rsidR="003C3405" w:rsidRPr="002B4412">
        <w:rPr>
          <w:szCs w:val="26"/>
          <w:lang w:val="en"/>
        </w:rPr>
        <w:t xml:space="preserve">an admission or renewal order. </w:t>
      </w:r>
      <w:r w:rsidR="00DC2F07" w:rsidRPr="002B4412">
        <w:rPr>
          <w:szCs w:val="26"/>
          <w:lang w:val="en"/>
        </w:rPr>
        <w:t xml:space="preserve">In 2016 </w:t>
      </w:r>
      <w:r w:rsidR="003C3405" w:rsidRPr="002B4412">
        <w:rPr>
          <w:rFonts w:eastAsiaTheme="minorHAnsi"/>
          <w:szCs w:val="26"/>
        </w:rPr>
        <w:t>9.8% of 2</w:t>
      </w:r>
      <w:r w:rsidR="0055485D">
        <w:rPr>
          <w:rFonts w:eastAsiaTheme="minorHAnsi"/>
          <w:szCs w:val="26"/>
        </w:rPr>
        <w:t>,</w:t>
      </w:r>
      <w:r w:rsidR="003C3405" w:rsidRPr="002B4412">
        <w:rPr>
          <w:rFonts w:eastAsiaTheme="minorHAnsi"/>
          <w:szCs w:val="26"/>
        </w:rPr>
        <w:t>079 tribunal hearings were revoked</w:t>
      </w:r>
      <w:r w:rsidR="00DC2F07" w:rsidRPr="002B4412">
        <w:rPr>
          <w:rFonts w:eastAsiaTheme="minorHAnsi"/>
          <w:szCs w:val="26"/>
        </w:rPr>
        <w:t xml:space="preserve">. This compares to </w:t>
      </w:r>
      <w:r w:rsidR="003C3405" w:rsidRPr="002B4412">
        <w:rPr>
          <w:rFonts w:eastAsiaTheme="minorHAnsi"/>
          <w:szCs w:val="26"/>
        </w:rPr>
        <w:t>11.</w:t>
      </w:r>
      <w:r w:rsidR="00BF5AE0">
        <w:rPr>
          <w:rFonts w:eastAsiaTheme="minorHAnsi"/>
          <w:szCs w:val="26"/>
        </w:rPr>
        <w:t>2</w:t>
      </w:r>
      <w:r w:rsidR="003C3405" w:rsidRPr="002B4412">
        <w:rPr>
          <w:rFonts w:eastAsiaTheme="minorHAnsi"/>
          <w:szCs w:val="26"/>
        </w:rPr>
        <w:t>% of 2</w:t>
      </w:r>
      <w:r w:rsidR="00BF5AE0">
        <w:rPr>
          <w:rFonts w:eastAsiaTheme="minorHAnsi"/>
          <w:szCs w:val="26"/>
        </w:rPr>
        <w:t>,</w:t>
      </w:r>
      <w:r w:rsidR="003C3405" w:rsidRPr="002B4412">
        <w:rPr>
          <w:rFonts w:eastAsiaTheme="minorHAnsi"/>
          <w:szCs w:val="26"/>
        </w:rPr>
        <w:t>002 tribunal hearings revoked in 2018</w:t>
      </w:r>
      <w:r w:rsidR="00DC2F07" w:rsidRPr="002B4412">
        <w:rPr>
          <w:rFonts w:eastAsiaTheme="minorHAnsi"/>
          <w:szCs w:val="26"/>
        </w:rPr>
        <w:t xml:space="preserve">. </w:t>
      </w:r>
      <w:r w:rsidRPr="002B4412">
        <w:rPr>
          <w:rFonts w:eastAsiaTheme="minorHAnsi"/>
          <w:szCs w:val="26"/>
        </w:rPr>
        <w:t>These figures show that the</w:t>
      </w:r>
      <w:r w:rsidR="004F5183">
        <w:rPr>
          <w:rFonts w:eastAsiaTheme="minorHAnsi"/>
          <w:szCs w:val="26"/>
        </w:rPr>
        <w:t xml:space="preserve"> proportion of</w:t>
      </w:r>
      <w:r w:rsidRPr="002B4412">
        <w:rPr>
          <w:rFonts w:eastAsiaTheme="minorHAnsi"/>
          <w:szCs w:val="26"/>
        </w:rPr>
        <w:t xml:space="preserve"> involuntary admissions and the proportion revoked have remained stable over recent </w:t>
      </w:r>
      <w:r w:rsidRPr="00E36869">
        <w:rPr>
          <w:rFonts w:eastAsiaTheme="minorHAnsi"/>
          <w:szCs w:val="26"/>
        </w:rPr>
        <w:t>years</w:t>
      </w:r>
      <w:r w:rsidR="00467DE7">
        <w:rPr>
          <w:rFonts w:eastAsiaTheme="minorHAnsi"/>
          <w:szCs w:val="26"/>
        </w:rPr>
        <w:t>.</w:t>
      </w:r>
    </w:p>
    <w:p w14:paraId="3E4B8FB4" w14:textId="7D5022CB" w:rsidR="00AE10DB" w:rsidRDefault="00CF5BEB" w:rsidP="009E4ABD">
      <w:pPr>
        <w:autoSpaceDE w:val="0"/>
        <w:autoSpaceDN w:val="0"/>
        <w:adjustRightInd w:val="0"/>
        <w:rPr>
          <w:szCs w:val="26"/>
          <w:lang w:eastAsia="en-IE"/>
        </w:rPr>
      </w:pPr>
      <w:r w:rsidRPr="009E4ABD">
        <w:rPr>
          <w:b/>
          <w:szCs w:val="26"/>
          <w:lang w:eastAsia="en-IE"/>
        </w:rPr>
        <w:t xml:space="preserve">Indicator 1.2e. Number of </w:t>
      </w:r>
      <w:r w:rsidR="004B469A">
        <w:rPr>
          <w:b/>
          <w:szCs w:val="26"/>
          <w:lang w:eastAsia="en-IE"/>
        </w:rPr>
        <w:t>persons with disabilities</w:t>
      </w:r>
      <w:r w:rsidRPr="009E4ABD">
        <w:rPr>
          <w:b/>
          <w:szCs w:val="26"/>
          <w:lang w:eastAsia="en-IE"/>
        </w:rPr>
        <w:t xml:space="preserve"> served and waiting to be served by the National Advocacy Service</w:t>
      </w:r>
      <w:r w:rsidR="006C4D04">
        <w:rPr>
          <w:b/>
          <w:szCs w:val="26"/>
          <w:lang w:eastAsia="en-IE"/>
        </w:rPr>
        <w:t xml:space="preserve"> </w:t>
      </w:r>
      <w:r w:rsidR="006C4D04">
        <w:rPr>
          <w:b/>
          <w:lang w:eastAsia="en-IE"/>
        </w:rPr>
        <w:t>(Process)</w:t>
      </w:r>
      <w:r w:rsidRPr="009E4ABD">
        <w:rPr>
          <w:b/>
          <w:szCs w:val="26"/>
          <w:lang w:eastAsia="en-IE"/>
        </w:rPr>
        <w:t>:</w:t>
      </w:r>
      <w:r w:rsidRPr="009E4ABD">
        <w:rPr>
          <w:szCs w:val="26"/>
          <w:lang w:eastAsia="en-IE"/>
        </w:rPr>
        <w:t xml:space="preserve"> There </w:t>
      </w:r>
      <w:r w:rsidR="004925AB">
        <w:rPr>
          <w:szCs w:val="26"/>
          <w:lang w:eastAsia="en-IE"/>
        </w:rPr>
        <w:t>has been</w:t>
      </w:r>
      <w:r w:rsidR="004925AB" w:rsidRPr="009E4ABD">
        <w:rPr>
          <w:szCs w:val="26"/>
          <w:lang w:eastAsia="en-IE"/>
        </w:rPr>
        <w:t xml:space="preserve"> </w:t>
      </w:r>
      <w:r w:rsidRPr="009E4ABD">
        <w:rPr>
          <w:szCs w:val="26"/>
          <w:lang w:eastAsia="en-IE"/>
        </w:rPr>
        <w:t>an increase in the number</w:t>
      </w:r>
      <w:r w:rsidR="001A278D" w:rsidRPr="009E4ABD">
        <w:rPr>
          <w:szCs w:val="26"/>
          <w:lang w:eastAsia="en-IE"/>
        </w:rPr>
        <w:t xml:space="preserve"> of new cases receiving full representative advocacy support by</w:t>
      </w:r>
      <w:r w:rsidR="00A5743F">
        <w:rPr>
          <w:szCs w:val="26"/>
          <w:lang w:eastAsia="en-IE"/>
        </w:rPr>
        <w:t xml:space="preserve"> the National Advocacy Service (</w:t>
      </w:r>
      <w:r w:rsidR="004925AB">
        <w:rPr>
          <w:szCs w:val="26"/>
          <w:lang w:eastAsia="en-IE"/>
        </w:rPr>
        <w:t>NAS</w:t>
      </w:r>
      <w:r w:rsidR="00A5743F">
        <w:rPr>
          <w:szCs w:val="26"/>
          <w:lang w:eastAsia="en-IE"/>
        </w:rPr>
        <w:t>)</w:t>
      </w:r>
      <w:r w:rsidR="004925AB">
        <w:rPr>
          <w:szCs w:val="26"/>
          <w:lang w:eastAsia="en-IE"/>
        </w:rPr>
        <w:t>,</w:t>
      </w:r>
      <w:r w:rsidR="00AE10DB">
        <w:rPr>
          <w:szCs w:val="26"/>
          <w:lang w:eastAsia="en-IE"/>
        </w:rPr>
        <w:t xml:space="preserve"> </w:t>
      </w:r>
      <w:r w:rsidRPr="009E4ABD">
        <w:rPr>
          <w:szCs w:val="26"/>
          <w:lang w:eastAsia="en-IE"/>
        </w:rPr>
        <w:t>from 324 in 2016</w:t>
      </w:r>
      <w:r w:rsidR="00152608">
        <w:rPr>
          <w:rStyle w:val="FootnoteReference"/>
          <w:szCs w:val="26"/>
          <w:lang w:eastAsia="en-IE"/>
        </w:rPr>
        <w:footnoteReference w:id="34"/>
      </w:r>
      <w:r w:rsidRPr="009E4ABD">
        <w:rPr>
          <w:szCs w:val="26"/>
          <w:lang w:eastAsia="en-IE"/>
        </w:rPr>
        <w:t xml:space="preserve"> to 406 in 2018.</w:t>
      </w:r>
      <w:r w:rsidR="00E36869">
        <w:rPr>
          <w:rStyle w:val="FootnoteReference"/>
          <w:szCs w:val="26"/>
          <w:lang w:eastAsia="en-IE"/>
        </w:rPr>
        <w:footnoteReference w:id="35"/>
      </w:r>
      <w:r w:rsidRPr="009E4ABD">
        <w:rPr>
          <w:szCs w:val="26"/>
          <w:lang w:eastAsia="en-IE"/>
        </w:rPr>
        <w:t xml:space="preserve"> </w:t>
      </w:r>
      <w:r w:rsidR="00152608">
        <w:rPr>
          <w:szCs w:val="26"/>
          <w:lang w:eastAsia="en-IE"/>
        </w:rPr>
        <w:t>In 2018, t</w:t>
      </w:r>
      <w:r w:rsidRPr="009E4ABD">
        <w:rPr>
          <w:szCs w:val="26"/>
          <w:lang w:eastAsia="en-IE"/>
        </w:rPr>
        <w:t xml:space="preserve">he </w:t>
      </w:r>
      <w:r w:rsidR="001A278D" w:rsidRPr="009E4ABD">
        <w:rPr>
          <w:szCs w:val="26"/>
          <w:lang w:eastAsia="en-IE"/>
        </w:rPr>
        <w:t xml:space="preserve">main </w:t>
      </w:r>
      <w:r w:rsidRPr="009E4ABD">
        <w:rPr>
          <w:szCs w:val="26"/>
          <w:lang w:eastAsia="en-IE"/>
        </w:rPr>
        <w:t xml:space="preserve">issues </w:t>
      </w:r>
      <w:r w:rsidR="001A278D" w:rsidRPr="009E4ABD">
        <w:rPr>
          <w:szCs w:val="26"/>
          <w:lang w:eastAsia="en-IE"/>
        </w:rPr>
        <w:t>supported</w:t>
      </w:r>
      <w:r w:rsidRPr="009E4ABD">
        <w:rPr>
          <w:szCs w:val="26"/>
          <w:lang w:eastAsia="en-IE"/>
        </w:rPr>
        <w:t xml:space="preserve"> were</w:t>
      </w:r>
      <w:r w:rsidR="001A278D" w:rsidRPr="009E4ABD">
        <w:rPr>
          <w:szCs w:val="26"/>
          <w:lang w:eastAsia="en-IE"/>
        </w:rPr>
        <w:t xml:space="preserve"> </w:t>
      </w:r>
      <w:r w:rsidRPr="009E4ABD">
        <w:rPr>
          <w:szCs w:val="26"/>
          <w:lang w:eastAsia="en-IE"/>
        </w:rPr>
        <w:t>housing (50%), health (</w:t>
      </w:r>
      <w:r w:rsidR="00AA65C4" w:rsidRPr="009E4ABD">
        <w:rPr>
          <w:szCs w:val="26"/>
          <w:lang w:eastAsia="en-IE"/>
        </w:rPr>
        <w:t>2</w:t>
      </w:r>
      <w:r w:rsidR="00AA65C4">
        <w:rPr>
          <w:szCs w:val="26"/>
          <w:lang w:eastAsia="en-IE"/>
        </w:rPr>
        <w:t>3</w:t>
      </w:r>
      <w:r w:rsidRPr="009E4ABD">
        <w:rPr>
          <w:szCs w:val="26"/>
          <w:lang w:eastAsia="en-IE"/>
        </w:rPr>
        <w:t>%), justice issues (</w:t>
      </w:r>
      <w:r w:rsidR="00AA65C4" w:rsidRPr="009E4ABD">
        <w:rPr>
          <w:szCs w:val="26"/>
          <w:lang w:eastAsia="en-IE"/>
        </w:rPr>
        <w:t>1</w:t>
      </w:r>
      <w:r w:rsidR="00AA65C4">
        <w:rPr>
          <w:szCs w:val="26"/>
          <w:lang w:eastAsia="en-IE"/>
        </w:rPr>
        <w:t>3</w:t>
      </w:r>
      <w:r w:rsidRPr="009E4ABD">
        <w:rPr>
          <w:szCs w:val="26"/>
          <w:lang w:eastAsia="en-IE"/>
        </w:rPr>
        <w:t xml:space="preserve">%) and parenting with a disability (8%). </w:t>
      </w:r>
      <w:r w:rsidR="00E36869">
        <w:rPr>
          <w:szCs w:val="26"/>
          <w:lang w:eastAsia="en-IE"/>
        </w:rPr>
        <w:t>NAS supported a further 2</w:t>
      </w:r>
      <w:r w:rsidR="00387756">
        <w:rPr>
          <w:szCs w:val="26"/>
          <w:lang w:eastAsia="en-IE"/>
        </w:rPr>
        <w:t>,</w:t>
      </w:r>
      <w:r w:rsidR="00E36869">
        <w:rPr>
          <w:szCs w:val="26"/>
          <w:lang w:eastAsia="en-IE"/>
        </w:rPr>
        <w:t xml:space="preserve">619 people who received other forms of advocacy support and information. </w:t>
      </w:r>
      <w:r w:rsidRPr="009E4ABD">
        <w:rPr>
          <w:szCs w:val="26"/>
          <w:lang w:eastAsia="en-IE"/>
        </w:rPr>
        <w:t>The NAS annual report outlines a number of factors leading to the increased demand for its service.</w:t>
      </w:r>
      <w:r w:rsidR="00B177B5">
        <w:rPr>
          <w:rStyle w:val="FootnoteReference"/>
          <w:szCs w:val="26"/>
          <w:lang w:eastAsia="en-IE"/>
        </w:rPr>
        <w:footnoteReference w:id="36"/>
      </w:r>
      <w:r w:rsidRPr="009E4ABD">
        <w:rPr>
          <w:szCs w:val="26"/>
          <w:lang w:eastAsia="en-IE"/>
        </w:rPr>
        <w:t xml:space="preserve"> </w:t>
      </w:r>
      <w:r w:rsidR="001A278D" w:rsidRPr="009E4ABD">
        <w:rPr>
          <w:szCs w:val="26"/>
          <w:lang w:eastAsia="en-IE"/>
        </w:rPr>
        <w:t>They partly attribute this to the</w:t>
      </w:r>
      <w:r w:rsidRPr="009E4ABD">
        <w:rPr>
          <w:szCs w:val="26"/>
          <w:lang w:eastAsia="en-IE"/>
        </w:rPr>
        <w:t xml:space="preserve"> significant promotional work</w:t>
      </w:r>
      <w:r w:rsidR="001A278D" w:rsidRPr="009E4ABD">
        <w:rPr>
          <w:szCs w:val="26"/>
          <w:lang w:eastAsia="en-IE"/>
        </w:rPr>
        <w:t xml:space="preserve"> they have </w:t>
      </w:r>
      <w:r w:rsidR="00387756">
        <w:rPr>
          <w:szCs w:val="26"/>
          <w:lang w:eastAsia="en-IE"/>
        </w:rPr>
        <w:t>conducted about</w:t>
      </w:r>
      <w:r w:rsidRPr="009E4ABD">
        <w:rPr>
          <w:szCs w:val="26"/>
          <w:lang w:eastAsia="en-IE"/>
        </w:rPr>
        <w:t xml:space="preserve"> its services nationally through disability services. The</w:t>
      </w:r>
      <w:r w:rsidR="001A278D" w:rsidRPr="009E4ABD">
        <w:rPr>
          <w:szCs w:val="26"/>
          <w:lang w:eastAsia="en-IE"/>
        </w:rPr>
        <w:t>y believe the</w:t>
      </w:r>
      <w:r w:rsidRPr="009E4ABD">
        <w:rPr>
          <w:szCs w:val="26"/>
          <w:lang w:eastAsia="en-IE"/>
        </w:rPr>
        <w:t xml:space="preserve"> national housing crisis accounts for some of the increase and certainly for the emphasis </w:t>
      </w:r>
      <w:r w:rsidR="001A278D" w:rsidRPr="009E4ABD">
        <w:rPr>
          <w:szCs w:val="26"/>
          <w:lang w:eastAsia="en-IE"/>
        </w:rPr>
        <w:t>in 2018 on housing and</w:t>
      </w:r>
      <w:r w:rsidRPr="009E4ABD">
        <w:rPr>
          <w:szCs w:val="26"/>
          <w:lang w:eastAsia="en-IE"/>
        </w:rPr>
        <w:t xml:space="preserve"> accommodation issues. The Assisted Decision Making (Capacity) Act 2015 has yet to be commenced and therefore there are </w:t>
      </w:r>
      <w:r w:rsidR="009B095B">
        <w:rPr>
          <w:szCs w:val="26"/>
          <w:lang w:eastAsia="en-IE"/>
        </w:rPr>
        <w:t xml:space="preserve">continuing advocacy </w:t>
      </w:r>
      <w:r w:rsidRPr="009E4ABD">
        <w:rPr>
          <w:szCs w:val="26"/>
          <w:lang w:eastAsia="en-IE"/>
        </w:rPr>
        <w:t>issues arising around Ward of Court cases.</w:t>
      </w:r>
      <w:r w:rsidR="009B095B">
        <w:rPr>
          <w:szCs w:val="26"/>
          <w:lang w:eastAsia="en-IE"/>
        </w:rPr>
        <w:t xml:space="preserve"> Once the Act has commenced the Ward of Court system will be </w:t>
      </w:r>
      <w:r w:rsidR="002B4412">
        <w:rPr>
          <w:szCs w:val="26"/>
          <w:lang w:eastAsia="en-IE"/>
        </w:rPr>
        <w:t>abolished but it is likely that there will be an increased need for independent advocates</w:t>
      </w:r>
      <w:r w:rsidR="00467DE7">
        <w:rPr>
          <w:szCs w:val="26"/>
          <w:lang w:eastAsia="en-IE"/>
        </w:rPr>
        <w:t>.</w:t>
      </w:r>
    </w:p>
    <w:p w14:paraId="73D4CA7F" w14:textId="77777777" w:rsidR="00CF5BEB" w:rsidRPr="009E4ABD" w:rsidRDefault="00CF5BEB" w:rsidP="009E4ABD">
      <w:pPr>
        <w:autoSpaceDE w:val="0"/>
        <w:autoSpaceDN w:val="0"/>
        <w:adjustRightInd w:val="0"/>
        <w:rPr>
          <w:szCs w:val="26"/>
        </w:rPr>
      </w:pPr>
      <w:r w:rsidRPr="009E4ABD">
        <w:rPr>
          <w:szCs w:val="26"/>
          <w:lang w:eastAsia="en-IE"/>
        </w:rPr>
        <w:t xml:space="preserve">Safeguarding referrals to NAS </w:t>
      </w:r>
      <w:r w:rsidR="000E7CCF">
        <w:rPr>
          <w:szCs w:val="26"/>
          <w:lang w:eastAsia="en-IE"/>
        </w:rPr>
        <w:t>have</w:t>
      </w:r>
      <w:r w:rsidR="000E7CCF" w:rsidRPr="009E4ABD">
        <w:rPr>
          <w:szCs w:val="26"/>
          <w:lang w:eastAsia="en-IE"/>
        </w:rPr>
        <w:t xml:space="preserve"> </w:t>
      </w:r>
      <w:r w:rsidRPr="009E4ABD">
        <w:rPr>
          <w:szCs w:val="26"/>
          <w:lang w:eastAsia="en-IE"/>
        </w:rPr>
        <w:t xml:space="preserve">increased due to the ongoing development of adult safeguarding policies and standards. It is likely that cases will continue to increase in the coming years particularly as the housing shortage persists. </w:t>
      </w:r>
      <w:r w:rsidR="00723626" w:rsidRPr="009E4ABD">
        <w:rPr>
          <w:szCs w:val="26"/>
          <w:lang w:eastAsia="en-IE"/>
        </w:rPr>
        <w:t xml:space="preserve">While </w:t>
      </w:r>
      <w:r w:rsidR="00723626" w:rsidRPr="009E4ABD">
        <w:rPr>
          <w:szCs w:val="26"/>
        </w:rPr>
        <w:t>an increase</w:t>
      </w:r>
      <w:r w:rsidR="002B4412">
        <w:rPr>
          <w:szCs w:val="26"/>
        </w:rPr>
        <w:t xml:space="preserve"> in safeguarding referrals</w:t>
      </w:r>
      <w:r w:rsidR="00723626" w:rsidRPr="009E4ABD">
        <w:rPr>
          <w:szCs w:val="26"/>
        </w:rPr>
        <w:t xml:space="preserve"> would indicate that persons with disabilities were not enjoying full choice and control over their own lives, it would nevertheless show that awareness and access to NAS was improving.</w:t>
      </w:r>
    </w:p>
    <w:p w14:paraId="45696FBC" w14:textId="1BE4EDD5" w:rsidR="00BE7B33" w:rsidRDefault="008A064B" w:rsidP="00BE7B33">
      <w:pPr>
        <w:autoSpaceDE w:val="0"/>
        <w:autoSpaceDN w:val="0"/>
        <w:adjustRightInd w:val="0"/>
        <w:rPr>
          <w:szCs w:val="26"/>
          <w:lang w:eastAsia="en-IE"/>
        </w:rPr>
      </w:pPr>
      <w:r w:rsidRPr="009E4ABD">
        <w:rPr>
          <w:b/>
          <w:lang w:eastAsia="en-IE"/>
        </w:rPr>
        <w:t>Indicator 1.3a.</w:t>
      </w:r>
      <w:r w:rsidR="00CF5BEB" w:rsidRPr="009E4ABD">
        <w:rPr>
          <w:b/>
          <w:lang w:eastAsia="en-IE"/>
        </w:rPr>
        <w:t xml:space="preserve"> Percentage of people assessed by the HSE Safeguarding and Protection Teams with an outcome of reasonable grounds for concern</w:t>
      </w:r>
      <w:r w:rsidR="006C4D04">
        <w:rPr>
          <w:b/>
          <w:lang w:eastAsia="en-IE"/>
        </w:rPr>
        <w:t xml:space="preserve"> (Process)</w:t>
      </w:r>
      <w:r w:rsidR="00CF5BEB" w:rsidRPr="009E4ABD">
        <w:rPr>
          <w:b/>
          <w:lang w:eastAsia="en-IE"/>
        </w:rPr>
        <w:t>:</w:t>
      </w:r>
      <w:r w:rsidR="00BA03A5">
        <w:rPr>
          <w:lang w:eastAsia="en-IE"/>
        </w:rPr>
        <w:t xml:space="preserve"> </w:t>
      </w:r>
      <w:r w:rsidR="00BE7B33" w:rsidRPr="00174020">
        <w:rPr>
          <w:szCs w:val="26"/>
          <w:lang w:eastAsia="en-IE"/>
        </w:rPr>
        <w:t xml:space="preserve">2016 was the first year in which national data </w:t>
      </w:r>
      <w:r w:rsidR="00E36869">
        <w:rPr>
          <w:szCs w:val="26"/>
          <w:lang w:eastAsia="en-IE"/>
        </w:rPr>
        <w:t>were</w:t>
      </w:r>
      <w:r w:rsidR="00BE7B33" w:rsidRPr="00174020">
        <w:rPr>
          <w:szCs w:val="26"/>
          <w:lang w:eastAsia="en-IE"/>
        </w:rPr>
        <w:t xml:space="preserve"> collated on safeguarding concerns reported to HSE </w:t>
      </w:r>
      <w:r w:rsidR="00BE7B33" w:rsidRPr="00174020">
        <w:rPr>
          <w:szCs w:val="26"/>
        </w:rPr>
        <w:t xml:space="preserve">Safeguarding and Protection Teams (SPTs) </w:t>
      </w:r>
      <w:r w:rsidR="00BE7B33">
        <w:rPr>
          <w:szCs w:val="26"/>
          <w:lang w:eastAsia="en-IE"/>
        </w:rPr>
        <w:t>in</w:t>
      </w:r>
      <w:r w:rsidR="00BE7B33" w:rsidRPr="00174020">
        <w:rPr>
          <w:szCs w:val="26"/>
          <w:lang w:eastAsia="en-IE"/>
        </w:rPr>
        <w:t xml:space="preserve"> relation to those with disabilities. These teams primarily deal with safeguarding reports relating to persons with a disability and/or persons 65+ years who are deemed vulnerable</w:t>
      </w:r>
      <w:r w:rsidR="00BE7B33">
        <w:rPr>
          <w:szCs w:val="26"/>
          <w:lang w:eastAsia="en-IE"/>
        </w:rPr>
        <w:t xml:space="preserve"> (reported figures include both groups)</w:t>
      </w:r>
      <w:r w:rsidR="00BE7B33" w:rsidRPr="00174020">
        <w:rPr>
          <w:szCs w:val="26"/>
          <w:lang w:eastAsia="en-IE"/>
        </w:rPr>
        <w:t>.</w:t>
      </w:r>
      <w:r w:rsidR="00BE7B33">
        <w:rPr>
          <w:szCs w:val="26"/>
          <w:lang w:eastAsia="en-IE"/>
        </w:rPr>
        <w:t xml:space="preserve"> </w:t>
      </w:r>
      <w:r w:rsidR="00BE7B33" w:rsidRPr="00783EF0">
        <w:rPr>
          <w:szCs w:val="26"/>
          <w:lang w:eastAsia="en-IE"/>
        </w:rPr>
        <w:t xml:space="preserve">There has been an increase in both the number of safeguarding concerns reported to HSE </w:t>
      </w:r>
      <w:r w:rsidR="00BE7B33">
        <w:rPr>
          <w:szCs w:val="26"/>
          <w:lang w:eastAsia="en-IE"/>
        </w:rPr>
        <w:t>SPTs</w:t>
      </w:r>
      <w:r w:rsidR="00BE7B33" w:rsidRPr="00783EF0">
        <w:rPr>
          <w:szCs w:val="26"/>
          <w:lang w:eastAsia="en-IE"/>
        </w:rPr>
        <w:t xml:space="preserve"> and in the proportion of these concerns which were found to have reasonable grounds</w:t>
      </w:r>
      <w:r w:rsidR="00BE7B33">
        <w:rPr>
          <w:szCs w:val="26"/>
          <w:lang w:eastAsia="en-IE"/>
        </w:rPr>
        <w:t>. In 2016,</w:t>
      </w:r>
      <w:r w:rsidR="00BE7B33" w:rsidRPr="00783EF0">
        <w:rPr>
          <w:szCs w:val="26"/>
          <w:lang w:eastAsia="en-IE"/>
        </w:rPr>
        <w:t xml:space="preserve"> 8,033 concerns were</w:t>
      </w:r>
      <w:r w:rsidR="00E36869">
        <w:rPr>
          <w:szCs w:val="26"/>
          <w:lang w:eastAsia="en-IE"/>
        </w:rPr>
        <w:t xml:space="preserve"> reported</w:t>
      </w:r>
      <w:r w:rsidR="00BE7B33" w:rsidRPr="00783EF0">
        <w:rPr>
          <w:szCs w:val="26"/>
          <w:lang w:eastAsia="en-IE"/>
        </w:rPr>
        <w:t>,</w:t>
      </w:r>
      <w:r w:rsidR="00BE7B33">
        <w:rPr>
          <w:szCs w:val="26"/>
          <w:lang w:eastAsia="en-IE"/>
        </w:rPr>
        <w:t xml:space="preserve"> </w:t>
      </w:r>
      <w:r w:rsidR="00BE7B33" w:rsidRPr="00783EF0">
        <w:rPr>
          <w:szCs w:val="26"/>
          <w:lang w:eastAsia="en-IE"/>
        </w:rPr>
        <w:t>47% of which were found to have reasonable ground</w:t>
      </w:r>
      <w:r w:rsidR="00BE7B33">
        <w:rPr>
          <w:szCs w:val="26"/>
          <w:lang w:eastAsia="en-IE"/>
        </w:rPr>
        <w:t>s</w:t>
      </w:r>
      <w:r w:rsidR="003D1788">
        <w:rPr>
          <w:rStyle w:val="FootnoteReference"/>
          <w:szCs w:val="26"/>
          <w:lang w:eastAsia="en-IE"/>
        </w:rPr>
        <w:footnoteReference w:id="37"/>
      </w:r>
      <w:r w:rsidR="00BE7B33">
        <w:rPr>
          <w:szCs w:val="26"/>
          <w:lang w:eastAsia="en-IE"/>
        </w:rPr>
        <w:t xml:space="preserve"> and in 2018,</w:t>
      </w:r>
      <w:r w:rsidR="00BE7B33" w:rsidRPr="00783EF0">
        <w:rPr>
          <w:szCs w:val="26"/>
          <w:lang w:eastAsia="en-IE"/>
        </w:rPr>
        <w:t xml:space="preserve"> 11,780 concerns were raised of which 62% of which were found to have reasonable grounds</w:t>
      </w:r>
      <w:r w:rsidR="003D1788">
        <w:rPr>
          <w:rStyle w:val="FootnoteReference"/>
          <w:szCs w:val="26"/>
          <w:lang w:eastAsia="en-IE"/>
        </w:rPr>
        <w:footnoteReference w:id="38"/>
      </w:r>
      <w:r w:rsidR="00BE7B33" w:rsidRPr="00783EF0">
        <w:rPr>
          <w:szCs w:val="26"/>
          <w:lang w:eastAsia="en-IE"/>
        </w:rPr>
        <w:t xml:space="preserve">. </w:t>
      </w:r>
      <w:r w:rsidR="00E36869">
        <w:rPr>
          <w:szCs w:val="26"/>
          <w:lang w:eastAsia="en-IE"/>
        </w:rPr>
        <w:t>There was significant variation by Community Health Organisations (CHOs)</w:t>
      </w:r>
      <w:r w:rsidR="00BE7B33">
        <w:rPr>
          <w:szCs w:val="26"/>
          <w:lang w:eastAsia="en-IE"/>
        </w:rPr>
        <w:t xml:space="preserve">. In both years, concerns were largely raised by voluntary </w:t>
      </w:r>
      <w:r w:rsidR="00387756">
        <w:rPr>
          <w:szCs w:val="26"/>
          <w:lang w:eastAsia="en-IE"/>
        </w:rPr>
        <w:t>agencies, public health nurses</w:t>
      </w:r>
      <w:r w:rsidR="00BE7B33">
        <w:rPr>
          <w:szCs w:val="26"/>
          <w:lang w:eastAsia="en-IE"/>
        </w:rPr>
        <w:t>/registered general nurses and p</w:t>
      </w:r>
      <w:r w:rsidR="00BE7B33" w:rsidRPr="00B869D1">
        <w:rPr>
          <w:szCs w:val="26"/>
          <w:lang w:eastAsia="en-IE"/>
        </w:rPr>
        <w:t xml:space="preserve">rimary </w:t>
      </w:r>
      <w:r w:rsidR="00BE7B33">
        <w:rPr>
          <w:szCs w:val="26"/>
          <w:lang w:eastAsia="en-IE"/>
        </w:rPr>
        <w:t>c</w:t>
      </w:r>
      <w:r w:rsidR="00BE7B33" w:rsidRPr="00B869D1">
        <w:rPr>
          <w:szCs w:val="26"/>
          <w:lang w:eastAsia="en-IE"/>
        </w:rPr>
        <w:t xml:space="preserve">ommunity and </w:t>
      </w:r>
      <w:r w:rsidR="00BE7B33">
        <w:rPr>
          <w:szCs w:val="26"/>
          <w:lang w:eastAsia="en-IE"/>
        </w:rPr>
        <w:t>c</w:t>
      </w:r>
      <w:r w:rsidR="00BE7B33" w:rsidRPr="00B869D1">
        <w:rPr>
          <w:szCs w:val="26"/>
          <w:lang w:eastAsia="en-IE"/>
        </w:rPr>
        <w:t xml:space="preserve">ontinuing </w:t>
      </w:r>
      <w:r w:rsidR="00BE7B33">
        <w:rPr>
          <w:szCs w:val="26"/>
          <w:lang w:eastAsia="en-IE"/>
        </w:rPr>
        <w:t>c</w:t>
      </w:r>
      <w:r w:rsidR="00BE7B33" w:rsidRPr="00B869D1">
        <w:rPr>
          <w:szCs w:val="26"/>
          <w:lang w:eastAsia="en-IE"/>
        </w:rPr>
        <w:t xml:space="preserve">are </w:t>
      </w:r>
      <w:r w:rsidR="00BE7B33">
        <w:rPr>
          <w:szCs w:val="26"/>
          <w:lang w:eastAsia="en-IE"/>
        </w:rPr>
        <w:t>s</w:t>
      </w:r>
      <w:r w:rsidR="00BE7B33" w:rsidRPr="00B869D1">
        <w:rPr>
          <w:szCs w:val="26"/>
          <w:lang w:eastAsia="en-IE"/>
        </w:rPr>
        <w:t>taff</w:t>
      </w:r>
      <w:r w:rsidR="00387756">
        <w:rPr>
          <w:szCs w:val="26"/>
          <w:lang w:eastAsia="en-IE"/>
        </w:rPr>
        <w:t>. Increases in reporting</w:t>
      </w:r>
      <w:r w:rsidR="00BE7B33">
        <w:rPr>
          <w:szCs w:val="26"/>
          <w:lang w:eastAsia="en-IE"/>
        </w:rPr>
        <w:t xml:space="preserve"> may be associated with large increases in staff attending safeguarding awareness training since 2015.</w:t>
      </w:r>
    </w:p>
    <w:p w14:paraId="78F0540A" w14:textId="202A0AB2" w:rsidR="00BE7B33" w:rsidRDefault="00BE7B33" w:rsidP="00BE7B33">
      <w:pPr>
        <w:autoSpaceDE w:val="0"/>
        <w:autoSpaceDN w:val="0"/>
        <w:adjustRightInd w:val="0"/>
        <w:rPr>
          <w:rFonts w:eastAsiaTheme="minorHAnsi" w:cs="Calibri"/>
          <w:szCs w:val="26"/>
        </w:rPr>
      </w:pPr>
      <w:r w:rsidRPr="00783EF0">
        <w:rPr>
          <w:rFonts w:eastAsiaTheme="minorHAnsi" w:cs="Calibri"/>
          <w:szCs w:val="26"/>
        </w:rPr>
        <w:t xml:space="preserve">The Office of the Confidential Recipient is </w:t>
      </w:r>
      <w:r w:rsidR="00811B35" w:rsidRPr="00783EF0">
        <w:rPr>
          <w:rFonts w:eastAsiaTheme="minorHAnsi" w:cs="Calibri"/>
          <w:szCs w:val="26"/>
        </w:rPr>
        <w:t>an</w:t>
      </w:r>
      <w:r w:rsidR="00387756">
        <w:rPr>
          <w:rFonts w:eastAsiaTheme="minorHAnsi" w:cs="Calibri"/>
          <w:szCs w:val="26"/>
        </w:rPr>
        <w:t xml:space="preserve"> independent national service which receives</w:t>
      </w:r>
      <w:r w:rsidRPr="00783EF0">
        <w:rPr>
          <w:rFonts w:eastAsiaTheme="minorHAnsi" w:cs="Calibri"/>
          <w:szCs w:val="26"/>
        </w:rPr>
        <w:t xml:space="preserve"> concerns and complaints</w:t>
      </w:r>
      <w:r>
        <w:rPr>
          <w:rFonts w:eastAsiaTheme="minorHAnsi" w:cs="Calibri"/>
          <w:szCs w:val="26"/>
        </w:rPr>
        <w:t xml:space="preserve"> </w:t>
      </w:r>
      <w:r w:rsidR="00387756">
        <w:rPr>
          <w:rFonts w:eastAsiaTheme="minorHAnsi" w:cs="Calibri"/>
          <w:szCs w:val="26"/>
        </w:rPr>
        <w:t>relating</w:t>
      </w:r>
      <w:r>
        <w:rPr>
          <w:rFonts w:eastAsiaTheme="minorHAnsi" w:cs="Calibri"/>
          <w:szCs w:val="26"/>
        </w:rPr>
        <w:t xml:space="preserve"> to vulnerable adults with disabilities or older persons</w:t>
      </w:r>
      <w:r w:rsidRPr="00783EF0">
        <w:rPr>
          <w:rFonts w:eastAsiaTheme="minorHAnsi" w:cs="Calibri"/>
          <w:szCs w:val="26"/>
        </w:rPr>
        <w:t xml:space="preserve"> and </w:t>
      </w:r>
      <w:r w:rsidR="00387756">
        <w:rPr>
          <w:rFonts w:eastAsiaTheme="minorHAnsi" w:cs="Calibri"/>
          <w:szCs w:val="26"/>
        </w:rPr>
        <w:t>brings these to</w:t>
      </w:r>
      <w:r w:rsidRPr="00783EF0">
        <w:rPr>
          <w:rFonts w:eastAsiaTheme="minorHAnsi" w:cs="Calibri"/>
          <w:szCs w:val="26"/>
        </w:rPr>
        <w:t xml:space="preserve"> HSE management for attention and action.</w:t>
      </w:r>
      <w:r w:rsidR="00387756">
        <w:rPr>
          <w:rFonts w:eastAsiaTheme="minorHAnsi" w:cs="Calibri"/>
          <w:szCs w:val="26"/>
        </w:rPr>
        <w:t xml:space="preserve"> In 2018, </w:t>
      </w:r>
      <w:r w:rsidRPr="00783EF0">
        <w:rPr>
          <w:rFonts w:eastAsiaTheme="minorHAnsi" w:cs="Calibri"/>
          <w:szCs w:val="26"/>
        </w:rPr>
        <w:t>206 concerns were received.</w:t>
      </w:r>
      <w:r w:rsidR="004168BA" w:rsidRPr="004168BA">
        <w:rPr>
          <w:rStyle w:val="FootnoteReference"/>
          <w:rFonts w:eastAsiaTheme="minorHAnsi" w:cs="Calibri"/>
          <w:szCs w:val="26"/>
        </w:rPr>
        <w:t xml:space="preserve"> </w:t>
      </w:r>
      <w:r w:rsidR="004168BA">
        <w:rPr>
          <w:rStyle w:val="FootnoteReference"/>
          <w:rFonts w:eastAsiaTheme="minorHAnsi" w:cs="Calibri"/>
          <w:szCs w:val="26"/>
        </w:rPr>
        <w:footnoteReference w:id="39"/>
      </w:r>
      <w:r w:rsidRPr="00783EF0">
        <w:rPr>
          <w:rFonts w:eastAsiaTheme="minorHAnsi" w:cs="Calibri"/>
          <w:szCs w:val="26"/>
        </w:rPr>
        <w:t xml:space="preserve"> Of these</w:t>
      </w:r>
      <w:r w:rsidR="00387756">
        <w:rPr>
          <w:rFonts w:eastAsiaTheme="minorHAnsi" w:cs="Calibri"/>
          <w:szCs w:val="26"/>
        </w:rPr>
        <w:t>,</w:t>
      </w:r>
      <w:r w:rsidRPr="00783EF0">
        <w:rPr>
          <w:rFonts w:eastAsiaTheme="minorHAnsi" w:cs="Calibri"/>
          <w:szCs w:val="26"/>
        </w:rPr>
        <w:t xml:space="preserve"> 63% related to care issues, and 37% to safeguarding. Most of the safeguarding concerns or </w:t>
      </w:r>
      <w:r>
        <w:rPr>
          <w:rFonts w:eastAsiaTheme="minorHAnsi" w:cs="Calibri"/>
          <w:szCs w:val="26"/>
        </w:rPr>
        <w:t>complaints</w:t>
      </w:r>
      <w:r w:rsidRPr="00783EF0">
        <w:rPr>
          <w:rFonts w:eastAsiaTheme="minorHAnsi" w:cs="Calibri"/>
          <w:szCs w:val="26"/>
        </w:rPr>
        <w:t xml:space="preserve"> related to </w:t>
      </w:r>
      <w:r>
        <w:rPr>
          <w:rFonts w:eastAsiaTheme="minorHAnsi" w:cs="Calibri"/>
          <w:szCs w:val="26"/>
        </w:rPr>
        <w:t>concerns about family abuse or neglect</w:t>
      </w:r>
      <w:r w:rsidR="00467DE7">
        <w:rPr>
          <w:rFonts w:eastAsiaTheme="minorHAnsi" w:cs="Calibri"/>
          <w:szCs w:val="26"/>
        </w:rPr>
        <w:t>.</w:t>
      </w:r>
    </w:p>
    <w:p w14:paraId="36D4EE2F" w14:textId="3C952489" w:rsidR="00CC4544" w:rsidRPr="00783EF0" w:rsidRDefault="00BE7B33" w:rsidP="00BE7B33">
      <w:pPr>
        <w:autoSpaceDE w:val="0"/>
        <w:autoSpaceDN w:val="0"/>
        <w:adjustRightInd w:val="0"/>
        <w:rPr>
          <w:szCs w:val="26"/>
          <w:lang w:eastAsia="en-IE"/>
        </w:rPr>
      </w:pPr>
      <w:r w:rsidRPr="00783EF0">
        <w:rPr>
          <w:szCs w:val="26"/>
          <w:lang w:eastAsia="en-IE"/>
        </w:rPr>
        <w:t xml:space="preserve">The Law Reform Commission recently published an Issues Paper on </w:t>
      </w:r>
      <w:r w:rsidR="00387756">
        <w:rPr>
          <w:szCs w:val="26"/>
          <w:lang w:eastAsia="en-IE"/>
        </w:rPr>
        <w:t>a</w:t>
      </w:r>
      <w:r w:rsidRPr="00783EF0">
        <w:rPr>
          <w:szCs w:val="26"/>
          <w:lang w:eastAsia="en-IE"/>
        </w:rPr>
        <w:t xml:space="preserve"> Regulatory Framework for Adult Safeguarding</w:t>
      </w:r>
      <w:r>
        <w:rPr>
          <w:szCs w:val="26"/>
          <w:lang w:eastAsia="en-IE"/>
        </w:rPr>
        <w:t>.</w:t>
      </w:r>
      <w:r w:rsidR="006C06FC">
        <w:rPr>
          <w:rStyle w:val="FootnoteReference"/>
          <w:szCs w:val="26"/>
          <w:lang w:eastAsia="en-IE"/>
        </w:rPr>
        <w:footnoteReference w:id="40"/>
      </w:r>
      <w:r>
        <w:rPr>
          <w:szCs w:val="26"/>
          <w:lang w:eastAsia="en-IE"/>
        </w:rPr>
        <w:t xml:space="preserve"> </w:t>
      </w:r>
      <w:r w:rsidRPr="00783EF0">
        <w:rPr>
          <w:rFonts w:eastAsiaTheme="minorHAnsi" w:cs="Arial"/>
          <w:color w:val="000000"/>
          <w:szCs w:val="26"/>
        </w:rPr>
        <w:t xml:space="preserve">The </w:t>
      </w:r>
      <w:r w:rsidRPr="00783EF0">
        <w:rPr>
          <w:rFonts w:eastAsiaTheme="minorHAnsi" w:cs="Arial"/>
          <w:iCs/>
          <w:color w:val="000000"/>
          <w:szCs w:val="26"/>
        </w:rPr>
        <w:t>Issues Paper considers a range of possible regulatory models for adult safeguarding, such as the body or bodies who should regulate adult safeguarding, which could include existing regulatory bodies</w:t>
      </w:r>
      <w:r w:rsidRPr="00783EF0">
        <w:rPr>
          <w:szCs w:val="26"/>
          <w:lang w:eastAsia="en-IE"/>
        </w:rPr>
        <w:t xml:space="preserve">. They are currently accepting submissions from interested parties and the NDA </w:t>
      </w:r>
      <w:r>
        <w:rPr>
          <w:szCs w:val="26"/>
          <w:lang w:eastAsia="en-IE"/>
        </w:rPr>
        <w:t>will input in this regard.</w:t>
      </w:r>
    </w:p>
    <w:p w14:paraId="21C23FF1" w14:textId="77777777" w:rsidR="009D59CB" w:rsidRPr="00723626" w:rsidRDefault="009D59CB" w:rsidP="00723626">
      <w:pPr>
        <w:rPr>
          <w:szCs w:val="26"/>
          <w:lang w:eastAsia="en-IE"/>
        </w:rPr>
      </w:pPr>
      <w:r w:rsidRPr="009E4ABD">
        <w:rPr>
          <w:b/>
          <w:lang w:eastAsia="en-IE"/>
        </w:rPr>
        <w:t>Indicator 1.4a. Percentage of public sector bodies who are fully compliant with the EU Web Accessibility Directive</w:t>
      </w:r>
      <w:r w:rsidR="006C4D04">
        <w:rPr>
          <w:b/>
          <w:lang w:eastAsia="en-IE"/>
        </w:rPr>
        <w:t xml:space="preserve"> (Process)</w:t>
      </w:r>
      <w:r w:rsidRPr="009E4ABD">
        <w:rPr>
          <w:b/>
          <w:lang w:eastAsia="en-IE"/>
        </w:rPr>
        <w:t>:</w:t>
      </w:r>
      <w:r>
        <w:rPr>
          <w:lang w:eastAsia="en-IE"/>
        </w:rPr>
        <w:t xml:space="preserve"> </w:t>
      </w:r>
      <w:r w:rsidR="00364A0E">
        <w:rPr>
          <w:lang w:eastAsia="en-IE"/>
        </w:rPr>
        <w:t xml:space="preserve">This </w:t>
      </w:r>
      <w:r>
        <w:rPr>
          <w:lang w:eastAsia="en-IE"/>
        </w:rPr>
        <w:t xml:space="preserve">indicator relating to compliance with the EU Web Accessibility Directive cannot yet be measured </w:t>
      </w:r>
      <w:r w:rsidRPr="009E4ABD">
        <w:rPr>
          <w:szCs w:val="26"/>
          <w:lang w:eastAsia="en-IE"/>
        </w:rPr>
        <w:t xml:space="preserve">as </w:t>
      </w:r>
      <w:r w:rsidR="00723626" w:rsidRPr="009E4ABD">
        <w:rPr>
          <w:szCs w:val="26"/>
        </w:rPr>
        <w:t xml:space="preserve">transposition of the Directive through </w:t>
      </w:r>
      <w:r w:rsidR="001D53D2" w:rsidRPr="009E4ABD">
        <w:rPr>
          <w:szCs w:val="26"/>
        </w:rPr>
        <w:t>the Department of Communications</w:t>
      </w:r>
      <w:r w:rsidR="00387756">
        <w:rPr>
          <w:szCs w:val="26"/>
        </w:rPr>
        <w:t>,</w:t>
      </w:r>
      <w:r w:rsidR="001D53D2" w:rsidRPr="009E4ABD">
        <w:rPr>
          <w:szCs w:val="26"/>
        </w:rPr>
        <w:t xml:space="preserve"> Climate Action and Environment ha</w:t>
      </w:r>
      <w:r w:rsidR="00723626" w:rsidRPr="009E4ABD">
        <w:rPr>
          <w:szCs w:val="26"/>
        </w:rPr>
        <w:t>s</w:t>
      </w:r>
      <w:r w:rsidR="001D53D2" w:rsidRPr="009E4ABD">
        <w:rPr>
          <w:szCs w:val="26"/>
        </w:rPr>
        <w:t xml:space="preserve"> not </w:t>
      </w:r>
      <w:r w:rsidR="00723626" w:rsidRPr="009E4ABD">
        <w:rPr>
          <w:szCs w:val="26"/>
        </w:rPr>
        <w:t xml:space="preserve">yet been completed. Similarly, </w:t>
      </w:r>
      <w:r w:rsidRPr="009E4ABD">
        <w:rPr>
          <w:szCs w:val="26"/>
          <w:lang w:eastAsia="en-IE"/>
        </w:rPr>
        <w:t>a monitoring</w:t>
      </w:r>
      <w:r>
        <w:rPr>
          <w:lang w:eastAsia="en-IE"/>
        </w:rPr>
        <w:t xml:space="preserve"> body has yet to be appointed and resourced. The first monitoring period for websites is January 2020 to December 2021 with a report due to be submitted to the </w:t>
      </w:r>
      <w:r w:rsidR="002D5FAA">
        <w:rPr>
          <w:lang w:eastAsia="en-IE"/>
        </w:rPr>
        <w:t>European C</w:t>
      </w:r>
      <w:r>
        <w:rPr>
          <w:lang w:eastAsia="en-IE"/>
        </w:rPr>
        <w:t xml:space="preserve">ommission by December 2021. Therefore it is hoped that by </w:t>
      </w:r>
      <w:r w:rsidR="001D53D2">
        <w:rPr>
          <w:lang w:eastAsia="en-IE"/>
        </w:rPr>
        <w:t xml:space="preserve">the end of this strategy in </w:t>
      </w:r>
      <w:r w:rsidR="00F95148">
        <w:rPr>
          <w:lang w:eastAsia="en-IE"/>
        </w:rPr>
        <w:t>2021</w:t>
      </w:r>
      <w:r w:rsidR="00364A0E">
        <w:rPr>
          <w:lang w:eastAsia="en-IE"/>
        </w:rPr>
        <w:t>,</w:t>
      </w:r>
      <w:r>
        <w:rPr>
          <w:lang w:eastAsia="en-IE"/>
        </w:rPr>
        <w:t xml:space="preserve"> a monitoring body will be in place </w:t>
      </w:r>
      <w:r w:rsidR="00364A0E">
        <w:rPr>
          <w:lang w:eastAsia="en-IE"/>
        </w:rPr>
        <w:t>and</w:t>
      </w:r>
      <w:r>
        <w:rPr>
          <w:lang w:eastAsia="en-IE"/>
        </w:rPr>
        <w:t xml:space="preserve"> reporting </w:t>
      </w:r>
      <w:r w:rsidR="00364A0E">
        <w:rPr>
          <w:lang w:eastAsia="en-IE"/>
        </w:rPr>
        <w:t xml:space="preserve">on </w:t>
      </w:r>
      <w:r>
        <w:rPr>
          <w:lang w:eastAsia="en-IE"/>
        </w:rPr>
        <w:t>compliance.</w:t>
      </w:r>
      <w:r w:rsidR="00723626">
        <w:rPr>
          <w:lang w:eastAsia="en-IE"/>
        </w:rPr>
        <w:t xml:space="preserve"> In the meantime, NDA advises the importance of all public bodies </w:t>
      </w:r>
      <w:r w:rsidR="00F41D3E">
        <w:rPr>
          <w:lang w:eastAsia="en-IE"/>
        </w:rPr>
        <w:t xml:space="preserve">becoming aware </w:t>
      </w:r>
      <w:r w:rsidR="00723626">
        <w:rPr>
          <w:lang w:eastAsia="en-IE"/>
        </w:rPr>
        <w:t xml:space="preserve">of their obligations under the Directive, and considering measures </w:t>
      </w:r>
      <w:r w:rsidR="00F41D3E">
        <w:rPr>
          <w:lang w:eastAsia="en-IE"/>
        </w:rPr>
        <w:t>necessary</w:t>
      </w:r>
      <w:r w:rsidR="00723626">
        <w:rPr>
          <w:lang w:eastAsia="en-IE"/>
        </w:rPr>
        <w:t xml:space="preserve"> to achieve compliance.</w:t>
      </w:r>
    </w:p>
    <w:p w14:paraId="341BC33D" w14:textId="42BA9A99" w:rsidR="009D59CB" w:rsidRDefault="009D59CB" w:rsidP="009E4ABD">
      <w:pPr>
        <w:rPr>
          <w:lang w:eastAsia="en-IE"/>
        </w:rPr>
      </w:pPr>
      <w:r w:rsidRPr="009E4ABD">
        <w:rPr>
          <w:b/>
          <w:lang w:eastAsia="en-IE"/>
        </w:rPr>
        <w:t>Indicator 1.4b. The number of requests for the Irish Remote Interpreting Service and Sign</w:t>
      </w:r>
      <w:r w:rsidR="00811B35">
        <w:rPr>
          <w:b/>
          <w:lang w:eastAsia="en-IE"/>
        </w:rPr>
        <w:t xml:space="preserve"> Language Interpreting Service </w:t>
      </w:r>
      <w:r w:rsidRPr="009E4ABD">
        <w:rPr>
          <w:b/>
          <w:lang w:eastAsia="en-IE"/>
        </w:rPr>
        <w:t>that were facilitated</w:t>
      </w:r>
      <w:r w:rsidR="00587F09">
        <w:rPr>
          <w:b/>
          <w:lang w:eastAsia="en-IE"/>
        </w:rPr>
        <w:t xml:space="preserve"> </w:t>
      </w:r>
      <w:r w:rsidR="006C4D04">
        <w:rPr>
          <w:b/>
          <w:lang w:eastAsia="en-IE"/>
        </w:rPr>
        <w:t>(Process)</w:t>
      </w:r>
      <w:r w:rsidRPr="009E4ABD">
        <w:rPr>
          <w:b/>
          <w:lang w:eastAsia="en-IE"/>
        </w:rPr>
        <w:t xml:space="preserve">: </w:t>
      </w:r>
      <w:r w:rsidR="00811B35" w:rsidRPr="00811B35">
        <w:rPr>
          <w:lang w:eastAsia="en-IE"/>
        </w:rPr>
        <w:t>The Sign Language Interpreting Service (</w:t>
      </w:r>
      <w:r w:rsidR="00A925C3" w:rsidRPr="00811B35">
        <w:rPr>
          <w:lang w:eastAsia="en-IE"/>
        </w:rPr>
        <w:t>SLIS</w:t>
      </w:r>
      <w:r w:rsidR="00811B35" w:rsidRPr="00811B35">
        <w:rPr>
          <w:lang w:eastAsia="en-IE"/>
        </w:rPr>
        <w:t>)</w:t>
      </w:r>
      <w:r w:rsidR="00A925C3" w:rsidRPr="00811B35">
        <w:rPr>
          <w:lang w:eastAsia="en-IE"/>
        </w:rPr>
        <w:t xml:space="preserve"> provides in-person interpretation and is the national interpreting service for the</w:t>
      </w:r>
      <w:r w:rsidR="00A925C3">
        <w:rPr>
          <w:lang w:eastAsia="en-IE"/>
        </w:rPr>
        <w:t xml:space="preserve"> Deaf community. SLIS</w:t>
      </w:r>
      <w:r>
        <w:rPr>
          <w:lang w:eastAsia="en-IE"/>
        </w:rPr>
        <w:t xml:space="preserve"> received 1</w:t>
      </w:r>
      <w:r w:rsidR="001A278D">
        <w:rPr>
          <w:lang w:eastAsia="en-IE"/>
        </w:rPr>
        <w:t>,</w:t>
      </w:r>
      <w:r>
        <w:rPr>
          <w:lang w:eastAsia="en-IE"/>
        </w:rPr>
        <w:t xml:space="preserve">355 requests in 2016 of which </w:t>
      </w:r>
      <w:r w:rsidR="001A278D">
        <w:rPr>
          <w:lang w:eastAsia="en-IE"/>
        </w:rPr>
        <w:t>610 (45%) were filled, leaving 55%</w:t>
      </w:r>
      <w:r>
        <w:rPr>
          <w:lang w:eastAsia="en-IE"/>
        </w:rPr>
        <w:t xml:space="preserve"> unfilled.</w:t>
      </w:r>
      <w:r w:rsidR="00552E61">
        <w:rPr>
          <w:rStyle w:val="FootnoteReference"/>
          <w:lang w:eastAsia="en-IE"/>
        </w:rPr>
        <w:footnoteReference w:id="41"/>
      </w:r>
      <w:r>
        <w:rPr>
          <w:lang w:eastAsia="en-IE"/>
        </w:rPr>
        <w:t xml:space="preserve"> In 2018</w:t>
      </w:r>
      <w:r w:rsidR="001A278D">
        <w:rPr>
          <w:lang w:eastAsia="en-IE"/>
        </w:rPr>
        <w:t>,</w:t>
      </w:r>
      <w:r>
        <w:rPr>
          <w:lang w:eastAsia="en-IE"/>
        </w:rPr>
        <w:t xml:space="preserve"> 2</w:t>
      </w:r>
      <w:r w:rsidR="001A278D">
        <w:rPr>
          <w:lang w:eastAsia="en-IE"/>
        </w:rPr>
        <w:t>,</w:t>
      </w:r>
      <w:r>
        <w:rPr>
          <w:lang w:eastAsia="en-IE"/>
        </w:rPr>
        <w:t>368 requests were received and 58% were fi</w:t>
      </w:r>
      <w:r w:rsidR="001D53D2">
        <w:rPr>
          <w:lang w:eastAsia="en-IE"/>
        </w:rPr>
        <w:t xml:space="preserve">lled with an estimated further </w:t>
      </w:r>
      <w:r>
        <w:rPr>
          <w:lang w:eastAsia="en-IE"/>
        </w:rPr>
        <w:t>19% facilitated after referral to ot</w:t>
      </w:r>
      <w:r w:rsidR="00A925C3">
        <w:rPr>
          <w:lang w:eastAsia="en-IE"/>
        </w:rPr>
        <w:t xml:space="preserve">her agencies </w:t>
      </w:r>
      <w:r w:rsidR="00C736B5">
        <w:rPr>
          <w:lang w:eastAsia="en-IE"/>
        </w:rPr>
        <w:t xml:space="preserve">leaving </w:t>
      </w:r>
      <w:r w:rsidR="00A925C3">
        <w:rPr>
          <w:lang w:eastAsia="en-IE"/>
        </w:rPr>
        <w:t>a total of</w:t>
      </w:r>
      <w:r>
        <w:rPr>
          <w:lang w:eastAsia="en-IE"/>
        </w:rPr>
        <w:t xml:space="preserve"> </w:t>
      </w:r>
      <w:r w:rsidR="00A925C3">
        <w:rPr>
          <w:lang w:eastAsia="en-IE"/>
        </w:rPr>
        <w:t>23%</w:t>
      </w:r>
      <w:r>
        <w:rPr>
          <w:lang w:eastAsia="en-IE"/>
        </w:rPr>
        <w:t xml:space="preserve"> not filled.</w:t>
      </w:r>
      <w:r w:rsidR="00552E61">
        <w:rPr>
          <w:rStyle w:val="FootnoteReference"/>
          <w:lang w:eastAsia="en-IE"/>
        </w:rPr>
        <w:footnoteReference w:id="42"/>
      </w:r>
      <w:r>
        <w:rPr>
          <w:lang w:eastAsia="en-IE"/>
        </w:rPr>
        <w:t xml:space="preserve"> </w:t>
      </w:r>
      <w:r w:rsidR="00A925C3">
        <w:rPr>
          <w:lang w:eastAsia="en-IE"/>
        </w:rPr>
        <w:t>The I</w:t>
      </w:r>
      <w:r w:rsidR="00811B35">
        <w:rPr>
          <w:lang w:eastAsia="en-IE"/>
        </w:rPr>
        <w:t>rish Remote Interpreting Service (I</w:t>
      </w:r>
      <w:r w:rsidR="00A925C3">
        <w:rPr>
          <w:lang w:eastAsia="en-IE"/>
        </w:rPr>
        <w:t>RIS</w:t>
      </w:r>
      <w:r w:rsidR="00811B35">
        <w:rPr>
          <w:lang w:eastAsia="en-IE"/>
        </w:rPr>
        <w:t>)</w:t>
      </w:r>
      <w:r>
        <w:rPr>
          <w:lang w:eastAsia="en-IE"/>
        </w:rPr>
        <w:t xml:space="preserve"> provides a live video-link to an Irish Sign Language interpreter. This service does not record unmet need although figures using its service increased from 3</w:t>
      </w:r>
      <w:r w:rsidR="00A925C3">
        <w:rPr>
          <w:lang w:eastAsia="en-IE"/>
        </w:rPr>
        <w:t>,</w:t>
      </w:r>
      <w:r>
        <w:rPr>
          <w:lang w:eastAsia="en-IE"/>
        </w:rPr>
        <w:t>127 in 2016</w:t>
      </w:r>
      <w:r w:rsidR="00552E61">
        <w:rPr>
          <w:rStyle w:val="FootnoteReference"/>
          <w:lang w:eastAsia="en-IE"/>
        </w:rPr>
        <w:footnoteReference w:id="43"/>
      </w:r>
      <w:r>
        <w:rPr>
          <w:lang w:eastAsia="en-IE"/>
        </w:rPr>
        <w:t xml:space="preserve"> to 6</w:t>
      </w:r>
      <w:r w:rsidR="00A925C3">
        <w:rPr>
          <w:lang w:eastAsia="en-IE"/>
        </w:rPr>
        <w:t>,</w:t>
      </w:r>
      <w:r>
        <w:rPr>
          <w:lang w:eastAsia="en-IE"/>
        </w:rPr>
        <w:t>412 in 2018.</w:t>
      </w:r>
      <w:r w:rsidR="00552E61">
        <w:rPr>
          <w:rStyle w:val="FootnoteReference"/>
          <w:lang w:eastAsia="en-IE"/>
        </w:rPr>
        <w:footnoteReference w:id="44"/>
      </w:r>
      <w:r>
        <w:rPr>
          <w:lang w:eastAsia="en-IE"/>
        </w:rPr>
        <w:t xml:space="preserve"> These figures reflect the expansion of the IRIS service</w:t>
      </w:r>
      <w:r w:rsidR="00723626">
        <w:rPr>
          <w:lang w:eastAsia="en-IE"/>
        </w:rPr>
        <w:t xml:space="preserve"> in accordance with commitments</w:t>
      </w:r>
      <w:r w:rsidR="009E4ABD">
        <w:rPr>
          <w:lang w:eastAsia="en-IE"/>
        </w:rPr>
        <w:t xml:space="preserve"> </w:t>
      </w:r>
      <w:r>
        <w:rPr>
          <w:lang w:eastAsia="en-IE"/>
        </w:rPr>
        <w:t>in the NDIS</w:t>
      </w:r>
      <w:r w:rsidR="00F41D3E">
        <w:rPr>
          <w:lang w:eastAsia="en-IE"/>
        </w:rPr>
        <w:t>,</w:t>
      </w:r>
      <w:r w:rsidR="00D9183D">
        <w:rPr>
          <w:lang w:eastAsia="en-IE"/>
        </w:rPr>
        <w:t xml:space="preserve"> although the NDA recommends that if possible unmet need be measured</w:t>
      </w:r>
      <w:r>
        <w:rPr>
          <w:lang w:eastAsia="en-IE"/>
        </w:rPr>
        <w:t>.</w:t>
      </w:r>
      <w:r w:rsidR="00F41D3E">
        <w:rPr>
          <w:lang w:eastAsia="en-IE"/>
        </w:rPr>
        <w:t xml:space="preserve"> T</w:t>
      </w:r>
      <w:r w:rsidR="00A925C3">
        <w:rPr>
          <w:lang w:eastAsia="en-IE"/>
        </w:rPr>
        <w:t xml:space="preserve">he Irish Sign Language </w:t>
      </w:r>
      <w:r w:rsidR="009D2028">
        <w:rPr>
          <w:lang w:eastAsia="en-IE"/>
        </w:rPr>
        <w:t xml:space="preserve">Act 2017 </w:t>
      </w:r>
      <w:r w:rsidR="00A925C3">
        <w:rPr>
          <w:lang w:eastAsia="en-IE"/>
        </w:rPr>
        <w:t xml:space="preserve">has not fully commenced and the demand for these services is likely to increase </w:t>
      </w:r>
      <w:r w:rsidR="00C736B5">
        <w:rPr>
          <w:lang w:eastAsia="en-IE"/>
        </w:rPr>
        <w:t xml:space="preserve">significantly </w:t>
      </w:r>
      <w:r w:rsidR="00A925C3">
        <w:rPr>
          <w:lang w:eastAsia="en-IE"/>
        </w:rPr>
        <w:t>(see next indicator)</w:t>
      </w:r>
      <w:r w:rsidR="00723626">
        <w:rPr>
          <w:lang w:eastAsia="en-IE"/>
        </w:rPr>
        <w:t>.</w:t>
      </w:r>
      <w:r w:rsidR="0086222B">
        <w:rPr>
          <w:lang w:eastAsia="en-IE"/>
        </w:rPr>
        <w:t xml:space="preserve"> There are no figures available on the number of</w:t>
      </w:r>
      <w:r w:rsidR="00AE5BBD">
        <w:rPr>
          <w:lang w:eastAsia="en-IE"/>
        </w:rPr>
        <w:t xml:space="preserve"> ISL interpreters trained or in-</w:t>
      </w:r>
      <w:r w:rsidR="00467DE7">
        <w:rPr>
          <w:lang w:eastAsia="en-IE"/>
        </w:rPr>
        <w:t>training.</w:t>
      </w:r>
    </w:p>
    <w:p w14:paraId="281DC7F7" w14:textId="4E7DD85A" w:rsidR="00DF7CA2" w:rsidRDefault="00CF5BEB" w:rsidP="009E4ABD">
      <w:r w:rsidRPr="009E4ABD">
        <w:rPr>
          <w:b/>
          <w:lang w:eastAsia="en-IE"/>
        </w:rPr>
        <w:t>Indicator 1.4c. Irish Sig</w:t>
      </w:r>
      <w:r w:rsidR="00C56AC7">
        <w:rPr>
          <w:b/>
          <w:lang w:eastAsia="en-IE"/>
        </w:rPr>
        <w:t>n</w:t>
      </w:r>
      <w:r w:rsidRPr="009E4ABD">
        <w:rPr>
          <w:b/>
          <w:lang w:eastAsia="en-IE"/>
        </w:rPr>
        <w:t xml:space="preserve"> Language Bill is passed</w:t>
      </w:r>
      <w:r w:rsidR="006C4D04">
        <w:rPr>
          <w:b/>
          <w:lang w:eastAsia="en-IE"/>
        </w:rPr>
        <w:t xml:space="preserve"> (Structural)</w:t>
      </w:r>
      <w:r w:rsidRPr="009E4ABD">
        <w:rPr>
          <w:b/>
          <w:lang w:eastAsia="en-IE"/>
        </w:rPr>
        <w:t>:</w:t>
      </w:r>
      <w:r>
        <w:rPr>
          <w:lang w:eastAsia="en-IE"/>
        </w:rPr>
        <w:t xml:space="preserve"> The Irish Sign Language Bill was signed into law in December 2017.</w:t>
      </w:r>
      <w:r w:rsidR="004176A3">
        <w:rPr>
          <w:rStyle w:val="FootnoteReference"/>
          <w:lang w:eastAsia="en-IE"/>
        </w:rPr>
        <w:footnoteReference w:id="45"/>
      </w:r>
      <w:r>
        <w:rPr>
          <w:lang w:eastAsia="en-IE"/>
        </w:rPr>
        <w:t xml:space="preserve"> The NDA notes that the timeline for commencement is at the end of 2020 and has some concerns about implementation in light of available numbers of</w:t>
      </w:r>
      <w:r w:rsidR="00A925C3">
        <w:rPr>
          <w:lang w:eastAsia="en-IE"/>
        </w:rPr>
        <w:t xml:space="preserve"> trained</w:t>
      </w:r>
      <w:r w:rsidR="009D2028">
        <w:rPr>
          <w:lang w:eastAsia="en-IE"/>
        </w:rPr>
        <w:t>,</w:t>
      </w:r>
      <w:r w:rsidR="00A925C3">
        <w:rPr>
          <w:lang w:eastAsia="en-IE"/>
        </w:rPr>
        <w:t xml:space="preserve"> and in-training</w:t>
      </w:r>
      <w:r w:rsidR="009D2028">
        <w:rPr>
          <w:lang w:eastAsia="en-IE"/>
        </w:rPr>
        <w:t>,</w:t>
      </w:r>
      <w:r>
        <w:rPr>
          <w:lang w:eastAsia="en-IE"/>
        </w:rPr>
        <w:t xml:space="preserve"> interpreters</w:t>
      </w:r>
      <w:r w:rsidR="00F41D3E">
        <w:rPr>
          <w:lang w:eastAsia="en-IE"/>
        </w:rPr>
        <w:t>.</w:t>
      </w:r>
      <w:r w:rsidR="00AE5BBD">
        <w:rPr>
          <w:lang w:eastAsia="en-IE"/>
        </w:rPr>
        <w:t xml:space="preserve"> </w:t>
      </w:r>
      <w:r w:rsidR="00AE5BBD" w:rsidRPr="007525EF">
        <w:rPr>
          <w:lang w:eastAsia="en-IE"/>
        </w:rPr>
        <w:t>Although figures are not available these are thought to be insufficient to meet demand</w:t>
      </w:r>
      <w:r w:rsidRPr="007525EF">
        <w:rPr>
          <w:lang w:eastAsia="en-IE"/>
        </w:rPr>
        <w:t>.</w:t>
      </w:r>
      <w:r w:rsidR="009D2028" w:rsidRPr="007525EF">
        <w:rPr>
          <w:lang w:eastAsia="en-IE"/>
        </w:rPr>
        <w:t xml:space="preserve"> </w:t>
      </w:r>
      <w:r w:rsidR="00DF7CA2" w:rsidRPr="007525EF">
        <w:t>During</w:t>
      </w:r>
      <w:r w:rsidR="00DF7CA2">
        <w:t xml:space="preserve"> 2020 the </w:t>
      </w:r>
      <w:r w:rsidR="00DF7CA2" w:rsidRPr="00DF7CA2">
        <w:rPr>
          <w:szCs w:val="26"/>
        </w:rPr>
        <w:t>NDA will be advising government departments through policy advice papers on considerations for implementation of ISL legislation including quantification of resource needs and analysis of data and development of projections</w:t>
      </w:r>
      <w:r w:rsidR="00F41D3E">
        <w:rPr>
          <w:szCs w:val="26"/>
        </w:rPr>
        <w:t xml:space="preserve"> relevant to the provision of Irish Sign Language</w:t>
      </w:r>
      <w:r w:rsidR="00DF7CA2" w:rsidRPr="00DF7CA2">
        <w:rPr>
          <w:szCs w:val="26"/>
        </w:rPr>
        <w:t xml:space="preserve"> services</w:t>
      </w:r>
      <w:r w:rsidR="00F41D3E">
        <w:rPr>
          <w:sz w:val="28"/>
          <w:szCs w:val="28"/>
        </w:rPr>
        <w:t>.</w:t>
      </w:r>
    </w:p>
    <w:p w14:paraId="198D092D" w14:textId="02B59745" w:rsidR="002B4412" w:rsidRDefault="003E439C" w:rsidP="002B4412">
      <w:pPr>
        <w:rPr>
          <w:lang w:eastAsia="en-IE"/>
        </w:rPr>
      </w:pPr>
      <w:r w:rsidRPr="00926B30">
        <w:rPr>
          <w:rFonts w:eastAsiaTheme="majorEastAsia"/>
          <w:b/>
        </w:rPr>
        <w:t>Indicator</w:t>
      </w:r>
      <w:r w:rsidR="002B4412" w:rsidRPr="00926B30">
        <w:rPr>
          <w:rFonts w:eastAsiaTheme="majorEastAsia"/>
          <w:b/>
        </w:rPr>
        <w:t>1.5a. Level of rating of the quality of public services by people with disabilities compared to people without disabilities</w:t>
      </w:r>
      <w:r w:rsidR="006C4D04" w:rsidRPr="00926B30">
        <w:rPr>
          <w:rFonts w:eastAsiaTheme="majorEastAsia"/>
          <w:b/>
        </w:rPr>
        <w:t xml:space="preserve"> </w:t>
      </w:r>
      <w:r w:rsidR="006C4D04" w:rsidRPr="00926B30">
        <w:rPr>
          <w:b/>
        </w:rPr>
        <w:t>(Process)</w:t>
      </w:r>
      <w:r w:rsidR="002B4412" w:rsidRPr="00926B30">
        <w:rPr>
          <w:rFonts w:eastAsiaTheme="majorEastAsia"/>
          <w:b/>
        </w:rPr>
        <w:t>:</w:t>
      </w:r>
      <w:r w:rsidR="002B4412">
        <w:rPr>
          <w:lang w:eastAsia="en-IE"/>
        </w:rPr>
        <w:t xml:space="preserve"> The</w:t>
      </w:r>
      <w:r w:rsidR="00F06CC0">
        <w:rPr>
          <w:lang w:eastAsia="en-IE"/>
        </w:rPr>
        <w:t xml:space="preserve"> 2017</w:t>
      </w:r>
      <w:r w:rsidR="002B4412">
        <w:rPr>
          <w:lang w:eastAsia="en-IE"/>
        </w:rPr>
        <w:t xml:space="preserve"> European Quality of Life Survey </w:t>
      </w:r>
      <w:r w:rsidR="00D900EA">
        <w:rPr>
          <w:lang w:eastAsia="en-IE"/>
        </w:rPr>
        <w:t xml:space="preserve">published </w:t>
      </w:r>
      <w:r w:rsidR="002B4412">
        <w:rPr>
          <w:lang w:eastAsia="en-IE"/>
        </w:rPr>
        <w:t>data on satisfaction with public services but this is not country specific. For the EU, the level of satisfaction with health services for persons with disabilities was 6.5 (on scale of 1-10) compared to 6.7 for those without a disability.</w:t>
      </w:r>
      <w:r w:rsidR="00057DF9">
        <w:rPr>
          <w:rStyle w:val="FootnoteReference"/>
          <w:lang w:eastAsia="en-IE"/>
        </w:rPr>
        <w:footnoteReference w:id="46"/>
      </w:r>
      <w:r w:rsidR="002B4412">
        <w:rPr>
          <w:lang w:eastAsia="en-IE"/>
        </w:rPr>
        <w:t xml:space="preserve"> </w:t>
      </w:r>
      <w:r w:rsidR="00F06CC0">
        <w:rPr>
          <w:lang w:eastAsia="en-IE"/>
        </w:rPr>
        <w:t>Satisfaction with hospitals/specialist services was 6.7 and 6.9 respectively and for primary care was 7</w:t>
      </w:r>
      <w:r w:rsidR="002904CB">
        <w:rPr>
          <w:lang w:eastAsia="en-IE"/>
        </w:rPr>
        <w:t>.</w:t>
      </w:r>
      <w:r w:rsidR="00F06CC0">
        <w:rPr>
          <w:lang w:eastAsia="en-IE"/>
        </w:rPr>
        <w:t xml:space="preserve">3 for both groups. There are no readily available Irish data on satisfaction with public services that is disaggregated by disability status. It may be possible to include a disability variable in some surveys such as </w:t>
      </w:r>
      <w:r w:rsidR="00ED28A9">
        <w:rPr>
          <w:lang w:eastAsia="en-IE"/>
        </w:rPr>
        <w:t>Health Information and Quality Authority’s (</w:t>
      </w:r>
      <w:r w:rsidR="00F06CC0">
        <w:rPr>
          <w:lang w:eastAsia="en-IE"/>
        </w:rPr>
        <w:t>HIQA’s</w:t>
      </w:r>
      <w:r w:rsidR="00ED28A9">
        <w:rPr>
          <w:lang w:eastAsia="en-IE"/>
        </w:rPr>
        <w:t>)</w:t>
      </w:r>
      <w:r w:rsidR="00F06CC0">
        <w:rPr>
          <w:lang w:eastAsia="en-IE"/>
        </w:rPr>
        <w:t xml:space="preserve"> National Inpatient Experience Survey and other relevant surveys.</w:t>
      </w:r>
      <w:r w:rsidR="00E168B5">
        <w:rPr>
          <w:lang w:eastAsia="en-IE"/>
        </w:rPr>
        <w:t xml:space="preserve"> The NDA plans to hold discussion</w:t>
      </w:r>
      <w:r w:rsidR="0055485D">
        <w:rPr>
          <w:lang w:eastAsia="en-IE"/>
        </w:rPr>
        <w:t>s</w:t>
      </w:r>
      <w:r w:rsidR="00E168B5">
        <w:rPr>
          <w:lang w:eastAsia="en-IE"/>
        </w:rPr>
        <w:t xml:space="preserve"> with HIQA in this regard in the future.</w:t>
      </w:r>
    </w:p>
    <w:p w14:paraId="52A5D0E6" w14:textId="7252AD92" w:rsidR="001269E6" w:rsidRDefault="009D59CB" w:rsidP="00E22F03">
      <w:pPr>
        <w:rPr>
          <w:szCs w:val="26"/>
          <w:lang w:eastAsia="en-IE"/>
        </w:rPr>
      </w:pPr>
      <w:r w:rsidRPr="007525EF">
        <w:rPr>
          <w:b/>
          <w:szCs w:val="26"/>
          <w:lang w:eastAsia="en-IE"/>
        </w:rPr>
        <w:t>Indicator 1.5b.</w:t>
      </w:r>
      <w:r w:rsidR="00011E3E" w:rsidRPr="007525EF">
        <w:rPr>
          <w:b/>
          <w:szCs w:val="26"/>
          <w:lang w:eastAsia="en-IE"/>
        </w:rPr>
        <w:t xml:space="preserve"> Level of accessibility of public building</w:t>
      </w:r>
      <w:r w:rsidR="00723626" w:rsidRPr="007525EF">
        <w:rPr>
          <w:b/>
          <w:szCs w:val="26"/>
          <w:lang w:eastAsia="en-IE"/>
        </w:rPr>
        <w:t>s</w:t>
      </w:r>
      <w:r w:rsidR="006C4D04" w:rsidRPr="007525EF">
        <w:rPr>
          <w:b/>
          <w:szCs w:val="26"/>
          <w:lang w:eastAsia="en-IE"/>
        </w:rPr>
        <w:t xml:space="preserve"> </w:t>
      </w:r>
      <w:r w:rsidR="006C4D04" w:rsidRPr="007525EF">
        <w:rPr>
          <w:b/>
          <w:lang w:eastAsia="en-IE"/>
        </w:rPr>
        <w:t>(Process)</w:t>
      </w:r>
      <w:r w:rsidR="00011E3E" w:rsidRPr="007525EF">
        <w:rPr>
          <w:b/>
          <w:szCs w:val="26"/>
          <w:lang w:eastAsia="en-IE"/>
        </w:rPr>
        <w:t>:</w:t>
      </w:r>
      <w:r w:rsidR="00011E3E" w:rsidRPr="007525EF">
        <w:rPr>
          <w:szCs w:val="26"/>
          <w:lang w:eastAsia="en-IE"/>
        </w:rPr>
        <w:t xml:space="preserve"> </w:t>
      </w:r>
      <w:r w:rsidR="001269E6" w:rsidRPr="00012297">
        <w:rPr>
          <w:color w:val="000000" w:themeColor="text1"/>
          <w:szCs w:val="26"/>
          <w:lang w:eastAsia="en-IE"/>
        </w:rPr>
        <w:t xml:space="preserve">At present there is a register of public building properties, but this register does not include information on accessibility. </w:t>
      </w:r>
      <w:r w:rsidR="00011E3E" w:rsidRPr="00012297">
        <w:rPr>
          <w:color w:val="000000" w:themeColor="text1"/>
          <w:szCs w:val="26"/>
          <w:lang w:eastAsia="en-IE"/>
        </w:rPr>
        <w:t>The NDA in partnership with the Office of Pu</w:t>
      </w:r>
      <w:r w:rsidR="00011E3E" w:rsidRPr="007525EF">
        <w:rPr>
          <w:szCs w:val="26"/>
          <w:lang w:eastAsia="en-IE"/>
        </w:rPr>
        <w:t>blic Works (OPW) published a report in 2019 entitled ‘An Operational Review of the Effectiveness of Section 25 of the Disability Act 2005’.</w:t>
      </w:r>
      <w:r w:rsidR="002A37CC" w:rsidRPr="007525EF">
        <w:rPr>
          <w:rStyle w:val="FootnoteReference"/>
          <w:szCs w:val="26"/>
          <w:lang w:eastAsia="en-IE"/>
        </w:rPr>
        <w:footnoteReference w:id="47"/>
      </w:r>
      <w:r w:rsidR="00011E3E" w:rsidRPr="007525EF">
        <w:rPr>
          <w:szCs w:val="26"/>
          <w:lang w:eastAsia="en-IE"/>
        </w:rPr>
        <w:t xml:space="preserve"> This review was carried out under Action 26 of the National Disability Inclusion Strategy. The review makes recommendations to facilitate public bodies to make their public buildings accessible, by bringing them into compliance with Part M 2010 of</w:t>
      </w:r>
      <w:r w:rsidR="00011E3E" w:rsidRPr="00E168B5">
        <w:rPr>
          <w:szCs w:val="26"/>
          <w:lang w:eastAsia="en-IE"/>
        </w:rPr>
        <w:t xml:space="preserve"> the building regulations by 2022, as required under Section 25</w:t>
      </w:r>
      <w:r w:rsidR="00CA2122" w:rsidRPr="00E168B5">
        <w:rPr>
          <w:szCs w:val="26"/>
          <w:lang w:eastAsia="en-IE"/>
        </w:rPr>
        <w:t xml:space="preserve"> of the Disability Act</w:t>
      </w:r>
      <w:r w:rsidR="00011E3E" w:rsidRPr="00E168B5">
        <w:rPr>
          <w:szCs w:val="26"/>
          <w:lang w:eastAsia="en-IE"/>
        </w:rPr>
        <w:t>.</w:t>
      </w:r>
      <w:r w:rsidR="009A3533">
        <w:rPr>
          <w:rStyle w:val="FootnoteReference"/>
          <w:szCs w:val="26"/>
          <w:lang w:eastAsia="en-IE"/>
        </w:rPr>
        <w:footnoteReference w:id="48"/>
      </w:r>
    </w:p>
    <w:p w14:paraId="720E5868" w14:textId="10E2A5E9" w:rsidR="00CA2122" w:rsidRPr="00E168B5" w:rsidRDefault="00011E3E" w:rsidP="00E22F03">
      <w:pPr>
        <w:rPr>
          <w:szCs w:val="26"/>
          <w:lang w:eastAsia="en-IE"/>
        </w:rPr>
      </w:pPr>
      <w:r w:rsidRPr="00012297">
        <w:rPr>
          <w:color w:val="000000" w:themeColor="text1"/>
          <w:szCs w:val="26"/>
          <w:lang w:eastAsia="en-IE"/>
        </w:rPr>
        <w:t>The review</w:t>
      </w:r>
      <w:r w:rsidR="001269E6" w:rsidRPr="00012297">
        <w:rPr>
          <w:color w:val="000000" w:themeColor="text1"/>
          <w:szCs w:val="26"/>
          <w:lang w:eastAsia="en-IE"/>
        </w:rPr>
        <w:t>, although based on engagement with a small number of public bodies,</w:t>
      </w:r>
      <w:r w:rsidRPr="00012297">
        <w:rPr>
          <w:color w:val="000000" w:themeColor="text1"/>
          <w:szCs w:val="26"/>
          <w:lang w:eastAsia="en-IE"/>
        </w:rPr>
        <w:t xml:space="preserve"> found that currently, there appears to be low awareness, enforcement and </w:t>
      </w:r>
      <w:r w:rsidRPr="00E168B5">
        <w:rPr>
          <w:szCs w:val="26"/>
          <w:lang w:eastAsia="en-IE"/>
        </w:rPr>
        <w:t xml:space="preserve">understanding among </w:t>
      </w:r>
      <w:r w:rsidR="001269E6">
        <w:rPr>
          <w:szCs w:val="26"/>
          <w:lang w:eastAsia="en-IE"/>
        </w:rPr>
        <w:t xml:space="preserve">these </w:t>
      </w:r>
      <w:r w:rsidRPr="00E168B5">
        <w:rPr>
          <w:szCs w:val="26"/>
          <w:lang w:eastAsia="en-IE"/>
        </w:rPr>
        <w:t xml:space="preserve">public bodies of their obligations under Section 25 of the Disability Act, particularly of the obligation to bring public buildings into compliance with </w:t>
      </w:r>
      <w:r w:rsidR="00A8550A" w:rsidRPr="00E168B5">
        <w:rPr>
          <w:szCs w:val="26"/>
          <w:lang w:eastAsia="en-IE"/>
        </w:rPr>
        <w:t xml:space="preserve">the Building Regulations, </w:t>
      </w:r>
      <w:r w:rsidRPr="00E168B5">
        <w:rPr>
          <w:szCs w:val="26"/>
          <w:lang w:eastAsia="en-IE"/>
        </w:rPr>
        <w:t xml:space="preserve">Part M 2010 by 2022. </w:t>
      </w:r>
      <w:r w:rsidR="00CE6DE7" w:rsidRPr="00E168B5">
        <w:rPr>
          <w:szCs w:val="26"/>
        </w:rPr>
        <w:t>There was a general consensus among the public bodies interviewed</w:t>
      </w:r>
      <w:r w:rsidR="00CA2122" w:rsidRPr="00E168B5">
        <w:rPr>
          <w:szCs w:val="26"/>
        </w:rPr>
        <w:t>, as part of the review,</w:t>
      </w:r>
      <w:r w:rsidR="00CE6DE7" w:rsidRPr="00E168B5">
        <w:rPr>
          <w:szCs w:val="26"/>
        </w:rPr>
        <w:t xml:space="preserve"> that the 2022 deadline</w:t>
      </w:r>
      <w:r w:rsidR="00811B61" w:rsidRPr="00E168B5">
        <w:rPr>
          <w:szCs w:val="26"/>
        </w:rPr>
        <w:t xml:space="preserve"> </w:t>
      </w:r>
      <w:r w:rsidR="00A8550A" w:rsidRPr="00E168B5">
        <w:rPr>
          <w:szCs w:val="26"/>
        </w:rPr>
        <w:t>would be very challenging to achieve</w:t>
      </w:r>
      <w:r w:rsidR="00E168B5" w:rsidRPr="00E168B5">
        <w:rPr>
          <w:szCs w:val="26"/>
        </w:rPr>
        <w:t xml:space="preserve"> It should be noted that only a small number of public bodies participated in the review.</w:t>
      </w:r>
    </w:p>
    <w:p w14:paraId="3E4BE152" w14:textId="77777777" w:rsidR="00CA2122" w:rsidRPr="00E168B5" w:rsidRDefault="00CA2122" w:rsidP="00E22F03">
      <w:pPr>
        <w:rPr>
          <w:szCs w:val="26"/>
          <w:lang w:eastAsia="en-IE"/>
        </w:rPr>
      </w:pPr>
      <w:r w:rsidRPr="00E168B5">
        <w:rPr>
          <w:szCs w:val="26"/>
          <w:lang w:eastAsia="en-IE"/>
        </w:rPr>
        <w:t>The review recommends that public bodies should prioritise buildings that are open to the public for improvement and take a targeted approach to carrying out access audits and improvement works, based on a building’s use and existing levels of accessibility. It also states that embedding and integrating Universal Design principles and accessibility into building design, alterations, leasing, management and maintenance processes is central to achieving compliance with Section 25 of the Disability Act.</w:t>
      </w:r>
    </w:p>
    <w:p w14:paraId="000FD17F" w14:textId="58C18E8E" w:rsidR="00CF39AC" w:rsidRPr="00467DE7" w:rsidRDefault="00011E3E" w:rsidP="00467DE7">
      <w:r w:rsidRPr="00E168B5">
        <w:rPr>
          <w:lang w:eastAsia="en-IE"/>
        </w:rPr>
        <w:t xml:space="preserve">Action 25 of the </w:t>
      </w:r>
      <w:r w:rsidR="00964EFC">
        <w:rPr>
          <w:lang w:eastAsia="en-IE"/>
        </w:rPr>
        <w:t>NDIS</w:t>
      </w:r>
      <w:r w:rsidRPr="00E168B5">
        <w:rPr>
          <w:lang w:eastAsia="en-IE"/>
        </w:rPr>
        <w:t xml:space="preserve"> states that the </w:t>
      </w:r>
      <w:r w:rsidR="00D11E4F" w:rsidRPr="00E168B5">
        <w:rPr>
          <w:lang w:eastAsia="en-IE"/>
        </w:rPr>
        <w:t>OPW</w:t>
      </w:r>
      <w:r w:rsidRPr="00E168B5">
        <w:rPr>
          <w:lang w:eastAsia="en-IE"/>
        </w:rPr>
        <w:t xml:space="preserve">, and all departments and public bodies will bring all public sector buildings into compliance with the revised (2010) Part M accessibility standards by 2022. </w:t>
      </w:r>
      <w:r w:rsidR="00C971CF" w:rsidRPr="00E168B5">
        <w:rPr>
          <w:lang w:eastAsia="en-IE"/>
        </w:rPr>
        <w:t xml:space="preserve">This will require each Department and body to identify what works are required and to have an action plan with specific timeframes to progress compliance and </w:t>
      </w:r>
      <w:r w:rsidR="00C971CF" w:rsidRPr="00012297">
        <w:rPr>
          <w:color w:val="000000" w:themeColor="text1"/>
          <w:lang w:eastAsia="en-IE"/>
        </w:rPr>
        <w:t>budget for same.</w:t>
      </w:r>
      <w:r w:rsidR="00587F09" w:rsidRPr="00012297">
        <w:rPr>
          <w:color w:val="000000" w:themeColor="text1"/>
          <w:lang w:eastAsia="en-IE"/>
        </w:rPr>
        <w:t xml:space="preserve"> </w:t>
      </w:r>
      <w:r w:rsidR="00E168B5" w:rsidRPr="00012297">
        <w:rPr>
          <w:color w:val="000000" w:themeColor="text1"/>
          <w:lang w:eastAsia="en-IE"/>
        </w:rPr>
        <w:t>The NDA will continue to engage with the OPW and others with a view to establishing</w:t>
      </w:r>
      <w:r w:rsidR="001269E6" w:rsidRPr="00012297">
        <w:rPr>
          <w:color w:val="000000" w:themeColor="text1"/>
          <w:lang w:eastAsia="en-IE"/>
        </w:rPr>
        <w:t xml:space="preserve"> mechanisms to monitor progress, noting that effective monitoring would benefit from information setting out how many public buildings there are, how many are accessible new builds, and how many have accessibility works completed or planned. A register established and updated by OPW would be useful in this regard.</w:t>
      </w:r>
    </w:p>
    <w:p w14:paraId="79E4AC48" w14:textId="52234B24" w:rsidR="00E22F03" w:rsidRDefault="00E22F03" w:rsidP="00E22F03">
      <w:pPr>
        <w:pStyle w:val="Heading1"/>
        <w:rPr>
          <w:rFonts w:ascii="MS Mincho" w:eastAsia="MS Mincho" w:hAnsi="MS Mincho" w:cs="MS Mincho"/>
          <w:lang w:eastAsia="en-IE"/>
        </w:rPr>
      </w:pPr>
      <w:r>
        <w:rPr>
          <w:lang w:eastAsia="en-IE"/>
        </w:rPr>
        <w:t xml:space="preserve">Theme 2: </w:t>
      </w:r>
      <w:r w:rsidRPr="00E22F03">
        <w:rPr>
          <w:lang w:eastAsia="en-IE"/>
        </w:rPr>
        <w:t>Joined</w:t>
      </w:r>
      <w:r w:rsidR="00945278">
        <w:rPr>
          <w:lang w:eastAsia="en-IE"/>
        </w:rPr>
        <w:t>-</w:t>
      </w:r>
      <w:r w:rsidRPr="00E22F03">
        <w:rPr>
          <w:lang w:eastAsia="en-IE"/>
        </w:rPr>
        <w:t xml:space="preserve">up </w:t>
      </w:r>
      <w:r w:rsidR="00517B67">
        <w:rPr>
          <w:lang w:eastAsia="en-IE"/>
        </w:rPr>
        <w:t>P</w:t>
      </w:r>
      <w:r w:rsidRPr="00E22F03">
        <w:rPr>
          <w:lang w:eastAsia="en-IE"/>
        </w:rPr>
        <w:t xml:space="preserve">olicies and </w:t>
      </w:r>
      <w:r w:rsidR="00517B67">
        <w:rPr>
          <w:lang w:eastAsia="en-IE"/>
        </w:rPr>
        <w:t>P</w:t>
      </w:r>
      <w:r w:rsidRPr="00E22F03">
        <w:rPr>
          <w:lang w:eastAsia="en-IE"/>
        </w:rPr>
        <w:t xml:space="preserve">ublic </w:t>
      </w:r>
      <w:r w:rsidR="00517B67">
        <w:rPr>
          <w:lang w:eastAsia="en-IE"/>
        </w:rPr>
        <w:t>S</w:t>
      </w:r>
      <w:r w:rsidRPr="00E22F03">
        <w:rPr>
          <w:lang w:eastAsia="en-IE"/>
        </w:rPr>
        <w:t>ervices</w:t>
      </w:r>
      <w:r w:rsidRPr="00E22F03">
        <w:rPr>
          <w:rFonts w:ascii="MS Mincho" w:eastAsia="MS Mincho" w:hAnsi="MS Mincho" w:cs="MS Mincho" w:hint="eastAsia"/>
          <w:lang w:eastAsia="en-IE"/>
        </w:rPr>
        <w:t xml:space="preserve">　</w:t>
      </w:r>
    </w:p>
    <w:p w14:paraId="54B23A5F" w14:textId="41FA1D13" w:rsidR="005F3492" w:rsidRDefault="00963FD8" w:rsidP="00AE26A4">
      <w:pPr>
        <w:autoSpaceDE w:val="0"/>
        <w:autoSpaceDN w:val="0"/>
        <w:adjustRightInd w:val="0"/>
        <w:spacing w:line="241" w:lineRule="atLeast"/>
        <w:rPr>
          <w:rFonts w:eastAsiaTheme="minorHAnsi" w:cs="Arial"/>
          <w:color w:val="000000"/>
          <w:szCs w:val="26"/>
        </w:rPr>
      </w:pPr>
      <w:r w:rsidRPr="00963FD8">
        <w:rPr>
          <w:rFonts w:eastAsiaTheme="minorHAnsi" w:cs="YFEWFP+ArialMT"/>
          <w:color w:val="000000"/>
          <w:szCs w:val="26"/>
        </w:rPr>
        <w:t>This theme commits government</w:t>
      </w:r>
      <w:r w:rsidR="002D5FAA">
        <w:rPr>
          <w:rFonts w:eastAsiaTheme="minorHAnsi" w:cs="YFEWFP+ArialMT"/>
          <w:color w:val="000000"/>
          <w:szCs w:val="26"/>
        </w:rPr>
        <w:t xml:space="preserve"> bodies</w:t>
      </w:r>
      <w:r w:rsidRPr="00963FD8">
        <w:rPr>
          <w:rFonts w:eastAsiaTheme="minorHAnsi" w:cs="YFEWFP+ArialMT"/>
          <w:color w:val="000000"/>
          <w:szCs w:val="26"/>
        </w:rPr>
        <w:t xml:space="preserve"> to</w:t>
      </w:r>
      <w:r w:rsidR="005F3492" w:rsidRPr="00963FD8">
        <w:rPr>
          <w:rFonts w:eastAsiaTheme="minorHAnsi" w:cs="YFEWFP+ArialMT"/>
          <w:color w:val="000000"/>
          <w:szCs w:val="26"/>
        </w:rPr>
        <w:t xml:space="preserve"> work together to ensure joined-up public </w:t>
      </w:r>
      <w:r w:rsidR="005F3492" w:rsidRPr="00963FD8">
        <w:rPr>
          <w:rFonts w:eastAsiaTheme="minorHAnsi" w:cs="Arial"/>
          <w:color w:val="000000"/>
          <w:szCs w:val="26"/>
        </w:rPr>
        <w:t xml:space="preserve">services for persons </w:t>
      </w:r>
      <w:r w:rsidR="005F3492" w:rsidRPr="00963FD8">
        <w:rPr>
          <w:rFonts w:eastAsiaTheme="minorHAnsi" w:cs="YFEWFP+ArialMT"/>
          <w:color w:val="000000"/>
          <w:szCs w:val="26"/>
        </w:rPr>
        <w:t>with disabilities.</w:t>
      </w:r>
      <w:r w:rsidR="006C4D04">
        <w:rPr>
          <w:rFonts w:eastAsiaTheme="minorHAnsi" w:cs="YFEWFP+ArialMT"/>
          <w:color w:val="000000"/>
          <w:szCs w:val="26"/>
        </w:rPr>
        <w:t xml:space="preserve"> There are six indicators for this theme consisting of four structural and two process indicators. This theme</w:t>
      </w:r>
      <w:r w:rsidRPr="00963FD8">
        <w:rPr>
          <w:rFonts w:eastAsiaTheme="minorHAnsi" w:cs="YFEWFP+ArialMT"/>
          <w:color w:val="000000"/>
          <w:szCs w:val="26"/>
        </w:rPr>
        <w:t xml:space="preserve"> specifically mentions children with disabilities and also focuses on transitions of children and you</w:t>
      </w:r>
      <w:r w:rsidR="00A96EE4">
        <w:rPr>
          <w:rFonts w:eastAsiaTheme="minorHAnsi" w:cs="YFEWFP+ArialMT"/>
          <w:color w:val="000000"/>
          <w:szCs w:val="26"/>
        </w:rPr>
        <w:t>ng</w:t>
      </w:r>
      <w:r w:rsidRPr="00963FD8">
        <w:rPr>
          <w:rFonts w:eastAsiaTheme="minorHAnsi" w:cs="YFEWFP+ArialMT"/>
          <w:color w:val="000000"/>
          <w:szCs w:val="26"/>
        </w:rPr>
        <w:t xml:space="preserve"> people </w:t>
      </w:r>
      <w:r w:rsidR="005F3492" w:rsidRPr="00963FD8">
        <w:rPr>
          <w:rFonts w:eastAsiaTheme="minorHAnsi" w:cs="Arial"/>
          <w:color w:val="000000"/>
          <w:szCs w:val="26"/>
        </w:rPr>
        <w:t>from one stage of life to the next.</w:t>
      </w:r>
      <w:r w:rsidRPr="00963FD8">
        <w:rPr>
          <w:rFonts w:eastAsiaTheme="minorHAnsi" w:cs="Arial"/>
          <w:color w:val="000000"/>
          <w:szCs w:val="26"/>
        </w:rPr>
        <w:t xml:space="preserve"> This theme also commits p</w:t>
      </w:r>
      <w:r w:rsidR="00A96EE4">
        <w:rPr>
          <w:rFonts w:eastAsiaTheme="minorHAnsi" w:cs="YFEWFP+ArialMT"/>
          <w:color w:val="000000"/>
          <w:szCs w:val="26"/>
        </w:rPr>
        <w:t>ublic services</w:t>
      </w:r>
      <w:r w:rsidR="00E30F3F">
        <w:rPr>
          <w:rFonts w:eastAsiaTheme="minorHAnsi" w:cs="YFEWFP+ArialMT"/>
          <w:color w:val="000000"/>
          <w:szCs w:val="26"/>
        </w:rPr>
        <w:t xml:space="preserve"> to</w:t>
      </w:r>
      <w:r w:rsidR="00A96EE4">
        <w:rPr>
          <w:rFonts w:eastAsiaTheme="minorHAnsi" w:cs="YFEWFP+ArialMT"/>
          <w:color w:val="000000"/>
          <w:szCs w:val="26"/>
        </w:rPr>
        <w:t xml:space="preserve"> actively engag</w:t>
      </w:r>
      <w:r w:rsidR="00E30F3F">
        <w:rPr>
          <w:rFonts w:eastAsiaTheme="minorHAnsi" w:cs="YFEWFP+ArialMT"/>
          <w:color w:val="000000"/>
          <w:szCs w:val="26"/>
        </w:rPr>
        <w:t>e</w:t>
      </w:r>
      <w:r w:rsidR="005F3492" w:rsidRPr="00963FD8">
        <w:rPr>
          <w:rFonts w:eastAsiaTheme="minorHAnsi" w:cs="YFEWFP+ArialMT"/>
          <w:color w:val="000000"/>
          <w:szCs w:val="26"/>
        </w:rPr>
        <w:t xml:space="preserve"> with </w:t>
      </w:r>
      <w:r w:rsidR="004B469A">
        <w:rPr>
          <w:rFonts w:eastAsiaTheme="minorHAnsi" w:cs="YFEWFP+ArialMT"/>
          <w:color w:val="000000"/>
          <w:szCs w:val="26"/>
        </w:rPr>
        <w:t>persons with disabilities</w:t>
      </w:r>
      <w:r w:rsidR="005F3492" w:rsidRPr="00963FD8">
        <w:rPr>
          <w:rFonts w:eastAsiaTheme="minorHAnsi" w:cs="YFEWFP+ArialMT"/>
          <w:color w:val="000000"/>
          <w:szCs w:val="26"/>
        </w:rPr>
        <w:t xml:space="preserve"> and their </w:t>
      </w:r>
      <w:r w:rsidR="005F3492" w:rsidRPr="00963FD8">
        <w:rPr>
          <w:rFonts w:eastAsiaTheme="minorHAnsi" w:cs="Arial"/>
          <w:color w:val="000000"/>
          <w:szCs w:val="26"/>
        </w:rPr>
        <w:t>representatives in the planning, design, delivery and evaluation of public services.</w:t>
      </w:r>
      <w:r>
        <w:rPr>
          <w:rFonts w:eastAsiaTheme="minorHAnsi" w:cs="Arial"/>
          <w:color w:val="000000"/>
          <w:szCs w:val="26"/>
        </w:rPr>
        <w:t xml:space="preserve"> This is a challenging theme to </w:t>
      </w:r>
      <w:r w:rsidR="00E30F3F">
        <w:rPr>
          <w:rFonts w:eastAsiaTheme="minorHAnsi" w:cs="Arial"/>
          <w:color w:val="000000"/>
          <w:szCs w:val="26"/>
        </w:rPr>
        <w:t>report on as</w:t>
      </w:r>
      <w:r w:rsidR="00A96EE4">
        <w:rPr>
          <w:rFonts w:eastAsiaTheme="minorHAnsi" w:cs="Arial"/>
          <w:color w:val="000000"/>
          <w:szCs w:val="26"/>
        </w:rPr>
        <w:t xml:space="preserve"> </w:t>
      </w:r>
      <w:r w:rsidR="00E30F3F">
        <w:rPr>
          <w:rFonts w:eastAsiaTheme="minorHAnsi" w:cs="Arial"/>
          <w:color w:val="000000"/>
          <w:szCs w:val="26"/>
        </w:rPr>
        <w:t xml:space="preserve">quantitative </w:t>
      </w:r>
      <w:r w:rsidR="00A96EE4">
        <w:rPr>
          <w:rFonts w:eastAsiaTheme="minorHAnsi" w:cs="Arial"/>
          <w:color w:val="000000"/>
          <w:szCs w:val="26"/>
        </w:rPr>
        <w:t>data are not routinely collected</w:t>
      </w:r>
      <w:r w:rsidR="00E30F3F">
        <w:rPr>
          <w:rFonts w:eastAsiaTheme="minorHAnsi" w:cs="Arial"/>
          <w:color w:val="000000"/>
          <w:szCs w:val="26"/>
        </w:rPr>
        <w:t xml:space="preserve"> on the indicators</w:t>
      </w:r>
      <w:r w:rsidR="00A96EE4">
        <w:rPr>
          <w:rFonts w:eastAsiaTheme="minorHAnsi" w:cs="Arial"/>
          <w:color w:val="000000"/>
          <w:szCs w:val="26"/>
        </w:rPr>
        <w:t xml:space="preserve"> and there is a subjective element to some indicators.</w:t>
      </w:r>
    </w:p>
    <w:p w14:paraId="54762B7F" w14:textId="27D1646F" w:rsidR="00AF5E98" w:rsidRPr="002904CB" w:rsidRDefault="001D53D2" w:rsidP="009E4ABD">
      <w:pPr>
        <w:rPr>
          <w:lang w:eastAsia="en-IE"/>
        </w:rPr>
      </w:pPr>
      <w:r w:rsidRPr="009E4ABD">
        <w:rPr>
          <w:b/>
          <w:lang w:eastAsia="en-IE"/>
        </w:rPr>
        <w:t>Indicator 2.1a. Initiatives</w:t>
      </w:r>
      <w:r w:rsidR="006576C0">
        <w:rPr>
          <w:b/>
          <w:lang w:eastAsia="en-IE"/>
        </w:rPr>
        <w:t>,</w:t>
      </w:r>
      <w:r w:rsidRPr="009E4ABD">
        <w:rPr>
          <w:b/>
          <w:lang w:eastAsia="en-IE"/>
        </w:rPr>
        <w:t xml:space="preserve"> policies and processes developed and implemented to support smooth transitions for children and young </w:t>
      </w:r>
      <w:r w:rsidR="00194BEB">
        <w:rPr>
          <w:b/>
          <w:lang w:eastAsia="en-IE"/>
        </w:rPr>
        <w:t>persons with a disability</w:t>
      </w:r>
      <w:r w:rsidR="006C4D04">
        <w:rPr>
          <w:b/>
          <w:lang w:eastAsia="en-IE"/>
        </w:rPr>
        <w:t xml:space="preserve"> (Structural)</w:t>
      </w:r>
      <w:r w:rsidRPr="009E4ABD">
        <w:rPr>
          <w:b/>
          <w:lang w:eastAsia="en-IE"/>
        </w:rPr>
        <w:t>:</w:t>
      </w:r>
      <w:r>
        <w:rPr>
          <w:lang w:eastAsia="en-IE"/>
        </w:rPr>
        <w:t xml:space="preserve"> </w:t>
      </w:r>
      <w:r w:rsidR="00111CC9">
        <w:rPr>
          <w:lang w:eastAsia="en-IE"/>
        </w:rPr>
        <w:t>A number of initiatives and process</w:t>
      </w:r>
      <w:r w:rsidR="00757C0A">
        <w:rPr>
          <w:lang w:eastAsia="en-IE"/>
        </w:rPr>
        <w:t>es</w:t>
      </w:r>
      <w:r w:rsidR="00111CC9">
        <w:rPr>
          <w:lang w:eastAsia="en-IE"/>
        </w:rPr>
        <w:t xml:space="preserve"> </w:t>
      </w:r>
      <w:r w:rsidR="006576C0">
        <w:rPr>
          <w:lang w:eastAsia="en-IE"/>
        </w:rPr>
        <w:t>have been</w:t>
      </w:r>
      <w:r w:rsidR="00111CC9">
        <w:rPr>
          <w:lang w:eastAsia="en-IE"/>
        </w:rPr>
        <w:t xml:space="preserve"> developed and implemented to support smooth transitions of children and young people</w:t>
      </w:r>
      <w:r w:rsidR="008A1698">
        <w:rPr>
          <w:lang w:eastAsia="en-IE"/>
        </w:rPr>
        <w:t xml:space="preserve"> between settings</w:t>
      </w:r>
      <w:r w:rsidR="0093798C">
        <w:rPr>
          <w:lang w:eastAsia="en-IE"/>
        </w:rPr>
        <w:t>. These mostly focused on transition from pre-school to primary school</w:t>
      </w:r>
      <w:r w:rsidR="002904CB">
        <w:rPr>
          <w:lang w:eastAsia="en-IE"/>
        </w:rPr>
        <w:t>.</w:t>
      </w:r>
      <w:r w:rsidR="009D2028">
        <w:rPr>
          <w:lang w:eastAsia="en-IE"/>
        </w:rPr>
        <w:t xml:space="preserve"> F</w:t>
      </w:r>
      <w:r w:rsidR="0093798C">
        <w:rPr>
          <w:lang w:eastAsia="en-IE"/>
        </w:rPr>
        <w:t>or example,</w:t>
      </w:r>
      <w:r w:rsidR="00111CC9">
        <w:rPr>
          <w:lang w:eastAsia="en-IE"/>
        </w:rPr>
        <w:t xml:space="preserve"> </w:t>
      </w:r>
      <w:r w:rsidR="004A0651">
        <w:rPr>
          <w:lang w:eastAsia="en-IE"/>
        </w:rPr>
        <w:t xml:space="preserve">in 2018 </w:t>
      </w:r>
      <w:r w:rsidR="00A96EE4">
        <w:rPr>
          <w:lang w:eastAsia="en-IE"/>
        </w:rPr>
        <w:t>the</w:t>
      </w:r>
      <w:r w:rsidR="00111CC9">
        <w:rPr>
          <w:lang w:eastAsia="en-IE"/>
        </w:rPr>
        <w:t xml:space="preserve"> National Council for Curriculum Assessment </w:t>
      </w:r>
      <w:r w:rsidR="000865A8">
        <w:rPr>
          <w:lang w:eastAsia="en-IE"/>
        </w:rPr>
        <w:t xml:space="preserve">(NCCA) </w:t>
      </w:r>
      <w:r w:rsidR="00AD29EE">
        <w:rPr>
          <w:lang w:eastAsia="en-IE"/>
        </w:rPr>
        <w:t xml:space="preserve">developed a suite of supports </w:t>
      </w:r>
      <w:r w:rsidR="00111CC9">
        <w:rPr>
          <w:lang w:eastAsia="en-IE"/>
        </w:rPr>
        <w:t>fo</w:t>
      </w:r>
      <w:r w:rsidR="0093798C">
        <w:rPr>
          <w:lang w:eastAsia="en-IE"/>
        </w:rPr>
        <w:t>r transition to primary school</w:t>
      </w:r>
      <w:r w:rsidR="009D2028">
        <w:rPr>
          <w:lang w:eastAsia="en-IE"/>
        </w:rPr>
        <w:t>.</w:t>
      </w:r>
      <w:r w:rsidR="00A04B91">
        <w:rPr>
          <w:rStyle w:val="FootnoteReference"/>
          <w:lang w:eastAsia="en-IE"/>
        </w:rPr>
        <w:footnoteReference w:id="49"/>
      </w:r>
      <w:r w:rsidR="002904CB">
        <w:rPr>
          <w:lang w:eastAsia="en-IE"/>
        </w:rPr>
        <w:t xml:space="preserve"> </w:t>
      </w:r>
      <w:r w:rsidR="009D2028">
        <w:rPr>
          <w:lang w:eastAsia="en-IE"/>
        </w:rPr>
        <w:t>I</w:t>
      </w:r>
      <w:r w:rsidR="00AD29EE">
        <w:rPr>
          <w:lang w:eastAsia="en-IE"/>
        </w:rPr>
        <w:t xml:space="preserve">n 2019 a working group was established in </w:t>
      </w:r>
      <w:r w:rsidR="00AD29EE" w:rsidRPr="00AF5E98">
        <w:rPr>
          <w:lang w:eastAsia="en-IE"/>
        </w:rPr>
        <w:t>the Department of Children and Youth Affairs</w:t>
      </w:r>
      <w:r w:rsidR="000865A8">
        <w:rPr>
          <w:lang w:eastAsia="en-IE"/>
        </w:rPr>
        <w:t xml:space="preserve"> (DCYA) </w:t>
      </w:r>
      <w:r w:rsidR="00AD29EE" w:rsidRPr="00AF5E98">
        <w:rPr>
          <w:lang w:eastAsia="en-IE"/>
        </w:rPr>
        <w:t>to address the issue of overage exemptions and transitions for children with disability in Early Childhood Care and Education</w:t>
      </w:r>
      <w:r w:rsidR="000865A8">
        <w:rPr>
          <w:lang w:eastAsia="en-IE"/>
        </w:rPr>
        <w:t xml:space="preserve"> (ECCE)</w:t>
      </w:r>
      <w:r w:rsidR="00AD29EE" w:rsidRPr="00AF5E98">
        <w:rPr>
          <w:lang w:eastAsia="en-IE"/>
        </w:rPr>
        <w:t>. The NDA</w:t>
      </w:r>
      <w:r w:rsidR="00757C0A" w:rsidRPr="00AF5E98">
        <w:rPr>
          <w:lang w:eastAsia="en-IE"/>
        </w:rPr>
        <w:t xml:space="preserve"> welcomes this work and</w:t>
      </w:r>
      <w:r w:rsidR="00AD29EE" w:rsidRPr="00AF5E98">
        <w:rPr>
          <w:lang w:eastAsia="en-IE"/>
        </w:rPr>
        <w:t xml:space="preserve"> recommends </w:t>
      </w:r>
      <w:r w:rsidR="00BD1538" w:rsidRPr="00AF5E98">
        <w:rPr>
          <w:lang w:eastAsia="en-IE"/>
        </w:rPr>
        <w:t xml:space="preserve">that </w:t>
      </w:r>
      <w:r w:rsidR="003F4F03" w:rsidRPr="00AF5E98">
        <w:rPr>
          <w:lang w:eastAsia="en-IE"/>
        </w:rPr>
        <w:t>this working group reconvene and finalise the report on their work/recommendations.</w:t>
      </w:r>
      <w:r w:rsidR="00CF5D5C" w:rsidRPr="00AF5E98">
        <w:rPr>
          <w:lang w:eastAsia="en-IE"/>
        </w:rPr>
        <w:t xml:space="preserve"> </w:t>
      </w:r>
      <w:r w:rsidR="000865A8">
        <w:rPr>
          <w:lang w:eastAsia="en-IE"/>
        </w:rPr>
        <w:t>DCYA</w:t>
      </w:r>
      <w:r w:rsidR="00723626" w:rsidRPr="00AF5E98">
        <w:rPr>
          <w:lang w:eastAsia="en-IE"/>
        </w:rPr>
        <w:t xml:space="preserve"> has also committed to establishing an inter-</w:t>
      </w:r>
      <w:r w:rsidR="00723626" w:rsidRPr="002904CB">
        <w:rPr>
          <w:lang w:eastAsia="en-IE"/>
        </w:rPr>
        <w:t>departmental group to develop a policy model for transition actions in the First 5 Strategy</w:t>
      </w:r>
      <w:r w:rsidR="00CF5D5C" w:rsidRPr="002904CB">
        <w:rPr>
          <w:lang w:eastAsia="en-IE"/>
        </w:rPr>
        <w:t>.</w:t>
      </w:r>
      <w:r w:rsidR="00A04B91">
        <w:rPr>
          <w:rStyle w:val="FootnoteReference"/>
          <w:lang w:eastAsia="en-IE"/>
        </w:rPr>
        <w:footnoteReference w:id="50"/>
      </w:r>
      <w:r w:rsidR="00CF5D5C" w:rsidRPr="002904CB">
        <w:rPr>
          <w:lang w:eastAsia="en-IE"/>
        </w:rPr>
        <w:t xml:space="preserve"> </w:t>
      </w:r>
      <w:r w:rsidR="009D2028" w:rsidRPr="00E35078">
        <w:rPr>
          <w:rFonts w:cs="Arial"/>
          <w:bCs/>
          <w:shd w:val="clear" w:color="auto" w:fill="FFFFFF"/>
        </w:rPr>
        <w:t>This strategy</w:t>
      </w:r>
      <w:r w:rsidR="00AF5E98" w:rsidRPr="00E35078">
        <w:rPr>
          <w:rFonts w:cs="Arial"/>
          <w:shd w:val="clear" w:color="auto" w:fill="FFFFFF"/>
        </w:rPr>
        <w:t xml:space="preserve"> </w:t>
      </w:r>
      <w:r w:rsidR="009D2028" w:rsidRPr="00E35078">
        <w:rPr>
          <w:rFonts w:cs="Arial"/>
          <w:shd w:val="clear" w:color="auto" w:fill="FFFFFF"/>
        </w:rPr>
        <w:t>is a whole-of-Government approach to improve the lives of babies, young children and their families. It is a ten-year plan</w:t>
      </w:r>
      <w:r w:rsidR="0055485D">
        <w:rPr>
          <w:rFonts w:cs="Arial"/>
          <w:shd w:val="clear" w:color="auto" w:fill="FFFFFF"/>
        </w:rPr>
        <w:t xml:space="preserve"> (2019-2028</w:t>
      </w:r>
      <w:r w:rsidR="0041357C">
        <w:rPr>
          <w:rFonts w:cs="Arial"/>
          <w:shd w:val="clear" w:color="auto" w:fill="FFFFFF"/>
        </w:rPr>
        <w:t xml:space="preserve">) </w:t>
      </w:r>
      <w:r w:rsidR="0041357C" w:rsidRPr="00E35078">
        <w:rPr>
          <w:rFonts w:cs="Arial"/>
          <w:shd w:val="clear" w:color="auto" w:fill="FFFFFF"/>
        </w:rPr>
        <w:t>to</w:t>
      </w:r>
      <w:r w:rsidR="009D2028" w:rsidRPr="00E35078">
        <w:rPr>
          <w:rFonts w:cs="Arial"/>
          <w:shd w:val="clear" w:color="auto" w:fill="FFFFFF"/>
        </w:rPr>
        <w:t xml:space="preserve"> help make sure all children have positive early experiences and get a great start in life.</w:t>
      </w:r>
    </w:p>
    <w:p w14:paraId="546F90EF" w14:textId="23F10CF2" w:rsidR="00B41777" w:rsidRDefault="00494F34" w:rsidP="009E4ABD">
      <w:pPr>
        <w:rPr>
          <w:lang w:eastAsia="en-IE"/>
        </w:rPr>
      </w:pPr>
      <w:r>
        <w:rPr>
          <w:lang w:eastAsia="en-IE"/>
        </w:rPr>
        <w:t xml:space="preserve">Career guidance can also </w:t>
      </w:r>
      <w:r w:rsidRPr="00494F34">
        <w:rPr>
          <w:lang w:eastAsia="en-IE"/>
        </w:rPr>
        <w:t>facilitate students to make</w:t>
      </w:r>
      <w:r w:rsidR="00757C0A">
        <w:rPr>
          <w:lang w:eastAsia="en-IE"/>
        </w:rPr>
        <w:t xml:space="preserve"> </w:t>
      </w:r>
      <w:r w:rsidRPr="009E4ABD">
        <w:rPr>
          <w:bCs/>
          <w:lang w:eastAsia="en-IE"/>
        </w:rPr>
        <w:t>successful transitions from school to their chosen post-school option.</w:t>
      </w:r>
      <w:r w:rsidR="0075723E" w:rsidRPr="009E4ABD">
        <w:rPr>
          <w:bCs/>
          <w:lang w:eastAsia="en-IE"/>
        </w:rPr>
        <w:t xml:space="preserve"> </w:t>
      </w:r>
      <w:r w:rsidR="00DC5FA2" w:rsidRPr="009E4ABD">
        <w:rPr>
          <w:bCs/>
          <w:lang w:eastAsia="en-IE"/>
        </w:rPr>
        <w:t>In 2019 t</w:t>
      </w:r>
      <w:r w:rsidR="0075723E" w:rsidRPr="009E4ABD">
        <w:rPr>
          <w:bCs/>
          <w:lang w:eastAsia="en-IE"/>
        </w:rPr>
        <w:t xml:space="preserve">he Department of Education and Skills </w:t>
      </w:r>
      <w:r w:rsidR="000865A8">
        <w:rPr>
          <w:bCs/>
          <w:lang w:eastAsia="en-IE"/>
        </w:rPr>
        <w:t xml:space="preserve">(DES) </w:t>
      </w:r>
      <w:r w:rsidR="0075723E" w:rsidRPr="009E4ABD">
        <w:rPr>
          <w:bCs/>
          <w:lang w:eastAsia="en-IE"/>
        </w:rPr>
        <w:t>commissioned a</w:t>
      </w:r>
      <w:r w:rsidR="00DC5FA2" w:rsidRPr="009E4ABD">
        <w:rPr>
          <w:bCs/>
          <w:lang w:eastAsia="en-IE"/>
        </w:rPr>
        <w:t xml:space="preserve"> </w:t>
      </w:r>
      <w:r w:rsidR="0075723E" w:rsidRPr="009E4ABD">
        <w:rPr>
          <w:bCs/>
          <w:lang w:eastAsia="en-IE"/>
        </w:rPr>
        <w:t>review</w:t>
      </w:r>
      <w:r w:rsidR="00DC5FA2" w:rsidRPr="009E4ABD">
        <w:rPr>
          <w:bCs/>
          <w:lang w:eastAsia="en-IE"/>
        </w:rPr>
        <w:t xml:space="preserve"> </w:t>
      </w:r>
      <w:r w:rsidR="0075723E" w:rsidRPr="009E4ABD">
        <w:rPr>
          <w:bCs/>
          <w:lang w:eastAsia="en-IE"/>
        </w:rPr>
        <w:t>of</w:t>
      </w:r>
      <w:r w:rsidR="00DC5FA2" w:rsidRPr="009E4ABD">
        <w:rPr>
          <w:bCs/>
          <w:lang w:eastAsia="en-IE"/>
        </w:rPr>
        <w:t xml:space="preserve"> </w:t>
      </w:r>
      <w:r w:rsidR="008A1698">
        <w:rPr>
          <w:bCs/>
          <w:lang w:eastAsia="en-IE"/>
        </w:rPr>
        <w:t xml:space="preserve">the </w:t>
      </w:r>
      <w:r w:rsidR="0075723E" w:rsidRPr="009E4ABD">
        <w:rPr>
          <w:bCs/>
          <w:lang w:eastAsia="en-IE"/>
        </w:rPr>
        <w:t>career guidance</w:t>
      </w:r>
      <w:r w:rsidR="00DC5FA2" w:rsidRPr="009E4ABD">
        <w:rPr>
          <w:bCs/>
          <w:lang w:eastAsia="en-IE"/>
        </w:rPr>
        <w:t xml:space="preserve"> </w:t>
      </w:r>
      <w:r w:rsidR="0075723E" w:rsidRPr="009E4ABD">
        <w:rPr>
          <w:bCs/>
          <w:lang w:eastAsia="en-IE"/>
        </w:rPr>
        <w:t xml:space="preserve">tools and information </w:t>
      </w:r>
      <w:r w:rsidR="008A1698">
        <w:rPr>
          <w:bCs/>
          <w:lang w:eastAsia="en-IE"/>
        </w:rPr>
        <w:t>provided</w:t>
      </w:r>
      <w:r w:rsidR="008A1698" w:rsidRPr="009E4ABD">
        <w:rPr>
          <w:bCs/>
          <w:lang w:eastAsia="en-IE"/>
        </w:rPr>
        <w:t xml:space="preserve"> </w:t>
      </w:r>
      <w:r w:rsidR="0075723E" w:rsidRPr="009E4ABD">
        <w:rPr>
          <w:bCs/>
          <w:lang w:eastAsia="en-IE"/>
        </w:rPr>
        <w:t xml:space="preserve">at post-primary level </w:t>
      </w:r>
      <w:r w:rsidR="008A1698">
        <w:rPr>
          <w:bCs/>
          <w:lang w:eastAsia="en-IE"/>
        </w:rPr>
        <w:t>and</w:t>
      </w:r>
      <w:r w:rsidR="0075723E" w:rsidRPr="009E4ABD">
        <w:rPr>
          <w:bCs/>
          <w:lang w:eastAsia="en-IE"/>
        </w:rPr>
        <w:t xml:space="preserve"> further and higher education</w:t>
      </w:r>
      <w:r w:rsidR="008A1698">
        <w:rPr>
          <w:bCs/>
          <w:lang w:eastAsia="en-IE"/>
        </w:rPr>
        <w:t xml:space="preserve"> levels</w:t>
      </w:r>
      <w:r w:rsidR="0075723E" w:rsidRPr="009E4ABD">
        <w:rPr>
          <w:bCs/>
          <w:lang w:eastAsia="en-IE"/>
        </w:rPr>
        <w:t>.</w:t>
      </w:r>
      <w:r w:rsidR="00A04B91">
        <w:rPr>
          <w:rStyle w:val="FootnoteReference"/>
          <w:bCs/>
          <w:lang w:eastAsia="en-IE"/>
        </w:rPr>
        <w:footnoteReference w:id="51"/>
      </w:r>
      <w:r w:rsidR="0075723E" w:rsidRPr="009E4ABD">
        <w:rPr>
          <w:bCs/>
          <w:lang w:eastAsia="en-IE"/>
        </w:rPr>
        <w:t xml:space="preserve"> </w:t>
      </w:r>
      <w:r w:rsidR="006576C0">
        <w:rPr>
          <w:bCs/>
          <w:lang w:eastAsia="en-IE"/>
        </w:rPr>
        <w:t xml:space="preserve">Findings from this review aligned </w:t>
      </w:r>
      <w:r w:rsidR="00A307AD">
        <w:rPr>
          <w:bCs/>
          <w:lang w:eastAsia="en-IE"/>
        </w:rPr>
        <w:t>with NDA advice</w:t>
      </w:r>
      <w:r w:rsidR="0075723E" w:rsidRPr="009E4ABD">
        <w:rPr>
          <w:bCs/>
          <w:lang w:eastAsia="en-IE"/>
        </w:rPr>
        <w:t xml:space="preserve"> </w:t>
      </w:r>
      <w:r w:rsidR="0055485D">
        <w:rPr>
          <w:bCs/>
          <w:lang w:eastAsia="en-IE"/>
        </w:rPr>
        <w:t xml:space="preserve">and </w:t>
      </w:r>
      <w:r w:rsidR="0075723E" w:rsidRPr="009E4ABD">
        <w:rPr>
          <w:bCs/>
          <w:lang w:eastAsia="en-IE"/>
        </w:rPr>
        <w:t xml:space="preserve">identified the absence of career guidance provision in special schools as an issue. </w:t>
      </w:r>
      <w:r w:rsidR="000865A8">
        <w:rPr>
          <w:bCs/>
          <w:lang w:eastAsia="en-IE"/>
        </w:rPr>
        <w:t>DES</w:t>
      </w:r>
      <w:r w:rsidR="0075723E" w:rsidRPr="009E4ABD">
        <w:rPr>
          <w:bCs/>
          <w:lang w:eastAsia="en-IE"/>
        </w:rPr>
        <w:t xml:space="preserve"> has established an internal taskforce</w:t>
      </w:r>
      <w:r w:rsidR="00DC5FA2" w:rsidRPr="009E4ABD">
        <w:rPr>
          <w:bCs/>
          <w:lang w:eastAsia="en-IE"/>
        </w:rPr>
        <w:t xml:space="preserve"> </w:t>
      </w:r>
      <w:r w:rsidR="0075723E" w:rsidRPr="009E4ABD">
        <w:rPr>
          <w:bCs/>
          <w:lang w:eastAsia="en-IE"/>
        </w:rPr>
        <w:t>to examine each recommendation and develop a prioritised implementation plan. It is anticipated that a subgroup of this taskforce will be convened in 2020 to focus specifically on the issue of career guidance for those with special educational needs</w:t>
      </w:r>
      <w:r w:rsidR="00CF5D5C">
        <w:rPr>
          <w:bCs/>
          <w:lang w:eastAsia="en-IE"/>
        </w:rPr>
        <w:t xml:space="preserve">. </w:t>
      </w:r>
      <w:r w:rsidR="00DC5FA2">
        <w:rPr>
          <w:lang w:eastAsia="en-IE"/>
        </w:rPr>
        <w:t xml:space="preserve">Publication of guidance on post-school options by the </w:t>
      </w:r>
      <w:r w:rsidR="009607AB">
        <w:rPr>
          <w:lang w:eastAsia="en-IE"/>
        </w:rPr>
        <w:t>National Council for Special Education (</w:t>
      </w:r>
      <w:r w:rsidR="00DC5FA2">
        <w:rPr>
          <w:lang w:eastAsia="en-IE"/>
        </w:rPr>
        <w:t>NCSE</w:t>
      </w:r>
      <w:r w:rsidR="009607AB">
        <w:rPr>
          <w:lang w:eastAsia="en-IE"/>
        </w:rPr>
        <w:t>)</w:t>
      </w:r>
      <w:r w:rsidR="00833FED">
        <w:rPr>
          <w:rStyle w:val="FootnoteReference"/>
          <w:lang w:eastAsia="en-IE"/>
        </w:rPr>
        <w:footnoteReference w:id="52"/>
      </w:r>
      <w:r w:rsidR="00DC5FA2">
        <w:rPr>
          <w:lang w:eastAsia="en-IE"/>
        </w:rPr>
        <w:t xml:space="preserve"> is also relevant in terms of supporting the transition process, and </w:t>
      </w:r>
      <w:r w:rsidR="00757C0A">
        <w:rPr>
          <w:lang w:eastAsia="en-IE"/>
        </w:rPr>
        <w:t xml:space="preserve">the </w:t>
      </w:r>
      <w:r w:rsidR="00DC5FA2">
        <w:rPr>
          <w:lang w:eastAsia="en-IE"/>
        </w:rPr>
        <w:t xml:space="preserve">NDA advises it may be timely to review the impact of </w:t>
      </w:r>
      <w:r w:rsidR="00467DE7">
        <w:rPr>
          <w:lang w:eastAsia="en-IE"/>
        </w:rPr>
        <w:t>having such guidance available.</w:t>
      </w:r>
    </w:p>
    <w:p w14:paraId="57180CF2" w14:textId="5D12DA80" w:rsidR="00AF5E98" w:rsidRPr="009E4ABD" w:rsidRDefault="00AF5E98" w:rsidP="009E4ABD">
      <w:pPr>
        <w:rPr>
          <w:b/>
          <w:lang w:eastAsia="en-IE"/>
        </w:rPr>
      </w:pPr>
      <w:r>
        <w:rPr>
          <w:lang w:eastAsia="en-IE"/>
        </w:rPr>
        <w:t xml:space="preserve">Over the past number of years a more systematic and streamlined system has been introduced by the HSE with the </w:t>
      </w:r>
      <w:r w:rsidR="002904CB">
        <w:rPr>
          <w:lang w:eastAsia="en-IE"/>
        </w:rPr>
        <w:t xml:space="preserve">independent guidance </w:t>
      </w:r>
      <w:r>
        <w:rPr>
          <w:lang w:eastAsia="en-IE"/>
        </w:rPr>
        <w:t xml:space="preserve">of the NDA to assess the needs of school leavers and to allocate them </w:t>
      </w:r>
      <w:r w:rsidR="001269E6">
        <w:rPr>
          <w:lang w:eastAsia="en-IE"/>
        </w:rPr>
        <w:t>funding for a</w:t>
      </w:r>
      <w:r>
        <w:rPr>
          <w:lang w:eastAsia="en-IE"/>
        </w:rPr>
        <w:t xml:space="preserve"> post school </w:t>
      </w:r>
      <w:r w:rsidR="00B23A4A">
        <w:rPr>
          <w:lang w:eastAsia="en-IE"/>
        </w:rPr>
        <w:t xml:space="preserve">day service </w:t>
      </w:r>
      <w:r>
        <w:rPr>
          <w:lang w:eastAsia="en-IE"/>
        </w:rPr>
        <w:t xml:space="preserve">placement. This has made the approach more person-centred and more transparent. </w:t>
      </w:r>
    </w:p>
    <w:p w14:paraId="50B57DE0" w14:textId="61C1FA6E" w:rsidR="00E22D35" w:rsidRDefault="009E4ABD" w:rsidP="009E4ABD">
      <w:pPr>
        <w:rPr>
          <w:szCs w:val="26"/>
          <w:lang w:eastAsia="en-IE"/>
        </w:rPr>
      </w:pPr>
      <w:r w:rsidRPr="009E4ABD">
        <w:rPr>
          <w:b/>
          <w:lang w:eastAsia="en-IE"/>
        </w:rPr>
        <w:t xml:space="preserve">Indicator </w:t>
      </w:r>
      <w:r w:rsidR="005C749E" w:rsidRPr="009E4ABD">
        <w:rPr>
          <w:b/>
          <w:szCs w:val="26"/>
          <w:lang w:eastAsia="en-IE"/>
        </w:rPr>
        <w:t>2.1b. Percentage of HIQA</w:t>
      </w:r>
      <w:r w:rsidR="005E195B">
        <w:rPr>
          <w:b/>
          <w:szCs w:val="26"/>
          <w:lang w:eastAsia="en-IE"/>
        </w:rPr>
        <w:t xml:space="preserve"> </w:t>
      </w:r>
      <w:r w:rsidR="005C749E" w:rsidRPr="009E4ABD">
        <w:rPr>
          <w:b/>
          <w:szCs w:val="26"/>
          <w:lang w:eastAsia="en-IE"/>
        </w:rPr>
        <w:t>inspection reports where there is compliance with the regulations relating to transitions for children and young people</w:t>
      </w:r>
      <w:r w:rsidR="006C4D04">
        <w:rPr>
          <w:b/>
          <w:szCs w:val="26"/>
          <w:lang w:eastAsia="en-IE"/>
        </w:rPr>
        <w:t xml:space="preserve"> </w:t>
      </w:r>
      <w:r w:rsidR="006C4D04">
        <w:rPr>
          <w:b/>
          <w:lang w:eastAsia="en-IE"/>
        </w:rPr>
        <w:t>(Process):</w:t>
      </w:r>
      <w:r w:rsidR="00B41777" w:rsidRPr="009E4ABD">
        <w:rPr>
          <w:b/>
          <w:szCs w:val="26"/>
          <w:lang w:eastAsia="en-IE"/>
        </w:rPr>
        <w:t xml:space="preserve"> </w:t>
      </w:r>
      <w:r w:rsidR="00B41777" w:rsidRPr="009E4ABD">
        <w:rPr>
          <w:szCs w:val="26"/>
          <w:lang w:eastAsia="en-IE"/>
        </w:rPr>
        <w:t>In 2019 HIQA inspected three residential services for children with disabilities (this excludes respite centres and inspections for a specific purpose).</w:t>
      </w:r>
      <w:r w:rsidR="00340C92">
        <w:rPr>
          <w:rStyle w:val="FootnoteReference"/>
          <w:szCs w:val="26"/>
          <w:lang w:eastAsia="en-IE"/>
        </w:rPr>
        <w:footnoteReference w:id="53"/>
      </w:r>
      <w:r w:rsidR="00B41777" w:rsidRPr="009E4ABD">
        <w:rPr>
          <w:szCs w:val="26"/>
          <w:lang w:eastAsia="en-IE"/>
        </w:rPr>
        <w:t xml:space="preserve"> None of these inspections reported on regulation 25 which correlates with Standard 2.4 ‘Children are actively supported in the transition from childhood to adulthood and are sufficiently prepared for an</w:t>
      </w:r>
      <w:r w:rsidR="008E6D8F">
        <w:rPr>
          <w:szCs w:val="26"/>
          <w:lang w:eastAsia="en-IE"/>
        </w:rPr>
        <w:t>d</w:t>
      </w:r>
      <w:r w:rsidR="00B41777" w:rsidRPr="009E4ABD">
        <w:rPr>
          <w:szCs w:val="26"/>
          <w:lang w:eastAsia="en-IE"/>
        </w:rPr>
        <w:t xml:space="preserve"> involved in the transfer to adult services or independent living’. In 2018, </w:t>
      </w:r>
      <w:r w:rsidR="00C56AC7" w:rsidRPr="009E4ABD">
        <w:rPr>
          <w:szCs w:val="26"/>
          <w:lang w:eastAsia="en-IE"/>
        </w:rPr>
        <w:t>based on HIQA</w:t>
      </w:r>
      <w:r w:rsidR="002904CB">
        <w:rPr>
          <w:szCs w:val="26"/>
          <w:lang w:eastAsia="en-IE"/>
        </w:rPr>
        <w:t>’</w:t>
      </w:r>
      <w:r w:rsidR="00C56AC7" w:rsidRPr="009E4ABD">
        <w:rPr>
          <w:szCs w:val="26"/>
          <w:lang w:eastAsia="en-IE"/>
        </w:rPr>
        <w:t>s published inspection reports</w:t>
      </w:r>
      <w:r w:rsidR="00C56AC7">
        <w:rPr>
          <w:szCs w:val="26"/>
          <w:lang w:eastAsia="en-IE"/>
        </w:rPr>
        <w:t>,</w:t>
      </w:r>
      <w:r w:rsidR="00C56AC7" w:rsidRPr="009E4ABD">
        <w:rPr>
          <w:szCs w:val="26"/>
          <w:lang w:eastAsia="en-IE"/>
        </w:rPr>
        <w:t xml:space="preserve"> </w:t>
      </w:r>
      <w:r w:rsidR="00B41777" w:rsidRPr="009E4ABD">
        <w:rPr>
          <w:szCs w:val="26"/>
          <w:lang w:eastAsia="en-IE"/>
        </w:rPr>
        <w:t>no children’s disability services were inspected</w:t>
      </w:r>
      <w:r w:rsidR="002F167A">
        <w:rPr>
          <w:szCs w:val="26"/>
          <w:lang w:eastAsia="en-IE"/>
        </w:rPr>
        <w:t>.</w:t>
      </w:r>
    </w:p>
    <w:p w14:paraId="5DAACBAC" w14:textId="25D5053D" w:rsidR="009460BD" w:rsidRPr="00FE3004" w:rsidRDefault="00B41777" w:rsidP="009E4ABD">
      <w:pPr>
        <w:rPr>
          <w:b/>
          <w:lang w:eastAsia="en-IE"/>
        </w:rPr>
      </w:pPr>
      <w:r w:rsidRPr="00FE3004">
        <w:rPr>
          <w:szCs w:val="26"/>
          <w:lang w:eastAsia="en-IE"/>
        </w:rPr>
        <w:t xml:space="preserve">Standard 2.4 as applied to adult disability services states that </w:t>
      </w:r>
      <w:r w:rsidR="00A307AD" w:rsidRPr="00FE3004">
        <w:rPr>
          <w:szCs w:val="26"/>
          <w:lang w:eastAsia="en-IE"/>
        </w:rPr>
        <w:t xml:space="preserve">individuals </w:t>
      </w:r>
      <w:r w:rsidRPr="00FE3004">
        <w:rPr>
          <w:rFonts w:cs="Tahoma"/>
          <w:szCs w:val="26"/>
        </w:rPr>
        <w:t>are supported throughout the transition from children’s services to adults’ services</w:t>
      </w:r>
      <w:r w:rsidR="008E6D8F" w:rsidRPr="00FE3004">
        <w:rPr>
          <w:rFonts w:cs="Tahoma"/>
          <w:szCs w:val="26"/>
        </w:rPr>
        <w:t>’</w:t>
      </w:r>
      <w:r w:rsidRPr="00FE3004">
        <w:rPr>
          <w:rFonts w:cs="Tahoma"/>
          <w:szCs w:val="26"/>
        </w:rPr>
        <w:t xml:space="preserve">. </w:t>
      </w:r>
      <w:r w:rsidR="008E6D8F" w:rsidRPr="00FE3004">
        <w:rPr>
          <w:rFonts w:cs="Tahoma"/>
          <w:szCs w:val="26"/>
        </w:rPr>
        <w:t xml:space="preserve">In a small sample of </w:t>
      </w:r>
      <w:r w:rsidR="00E35078" w:rsidRPr="00FE3004">
        <w:rPr>
          <w:rFonts w:cs="Tahoma"/>
          <w:szCs w:val="26"/>
        </w:rPr>
        <w:t xml:space="preserve">2019 </w:t>
      </w:r>
      <w:r w:rsidR="006576C0" w:rsidRPr="00FE3004">
        <w:rPr>
          <w:rFonts w:cs="Tahoma"/>
          <w:szCs w:val="26"/>
        </w:rPr>
        <w:t xml:space="preserve">and early 2020 </w:t>
      </w:r>
      <w:r w:rsidR="008E6D8F" w:rsidRPr="00FE3004">
        <w:rPr>
          <w:rFonts w:cs="Tahoma"/>
          <w:szCs w:val="26"/>
        </w:rPr>
        <w:t>adult inspection</w:t>
      </w:r>
      <w:r w:rsidR="00AF5E98" w:rsidRPr="00FE3004">
        <w:rPr>
          <w:rFonts w:cs="Tahoma"/>
          <w:szCs w:val="26"/>
        </w:rPr>
        <w:t xml:space="preserve"> report</w:t>
      </w:r>
      <w:r w:rsidR="002904CB" w:rsidRPr="00FE3004">
        <w:rPr>
          <w:rFonts w:cs="Tahoma"/>
          <w:szCs w:val="26"/>
        </w:rPr>
        <w:t>s</w:t>
      </w:r>
      <w:r w:rsidR="008E6D8F" w:rsidRPr="00FE3004">
        <w:rPr>
          <w:rFonts w:cs="Tahoma"/>
          <w:szCs w:val="26"/>
        </w:rPr>
        <w:t xml:space="preserve"> reviewed</w:t>
      </w:r>
      <w:r w:rsidR="00AF5E98" w:rsidRPr="00FE3004">
        <w:rPr>
          <w:rFonts w:cs="Tahoma"/>
          <w:szCs w:val="26"/>
        </w:rPr>
        <w:t xml:space="preserve"> by the NDA</w:t>
      </w:r>
      <w:r w:rsidR="008E6D8F" w:rsidRPr="00FE3004">
        <w:rPr>
          <w:rFonts w:cs="Tahoma"/>
          <w:szCs w:val="26"/>
        </w:rPr>
        <w:t xml:space="preserve"> </w:t>
      </w:r>
      <w:r w:rsidR="00AF5E98" w:rsidRPr="00FE3004">
        <w:rPr>
          <w:rFonts w:cs="Tahoma"/>
          <w:szCs w:val="26"/>
        </w:rPr>
        <w:t>the associated regulation</w:t>
      </w:r>
      <w:r w:rsidR="003A4F7E" w:rsidRPr="00FE3004">
        <w:rPr>
          <w:rFonts w:cs="Tahoma"/>
          <w:szCs w:val="26"/>
        </w:rPr>
        <w:t xml:space="preserve"> was not </w:t>
      </w:r>
      <w:r w:rsidR="00AF5E98" w:rsidRPr="00FE3004">
        <w:rPr>
          <w:rFonts w:cs="Tahoma"/>
          <w:szCs w:val="26"/>
        </w:rPr>
        <w:t>reported on</w:t>
      </w:r>
      <w:r w:rsidR="003A4F7E" w:rsidRPr="00FE3004">
        <w:rPr>
          <w:rFonts w:cs="Tahoma"/>
          <w:szCs w:val="26"/>
        </w:rPr>
        <w:t xml:space="preserve"> The numbers moving from child to adult residential services are likely to be quite small and therefore it is not surprising that the standards relating to transitions are not</w:t>
      </w:r>
      <w:r w:rsidR="00AF5E98" w:rsidRPr="00FE3004">
        <w:rPr>
          <w:rFonts w:cs="Tahoma"/>
          <w:szCs w:val="26"/>
        </w:rPr>
        <w:t xml:space="preserve"> reported. </w:t>
      </w:r>
      <w:r w:rsidR="00A307AD" w:rsidRPr="00FE3004">
        <w:rPr>
          <w:rFonts w:cs="Tahoma"/>
          <w:szCs w:val="26"/>
        </w:rPr>
        <w:t>The NDA advises that it would be helpful if HIQA could indicate in reports</w:t>
      </w:r>
      <w:r w:rsidR="00AF5E98" w:rsidRPr="00FE3004">
        <w:rPr>
          <w:rFonts w:cs="Tahoma"/>
          <w:szCs w:val="26"/>
        </w:rPr>
        <w:t xml:space="preserve"> where regulations are not applicable</w:t>
      </w:r>
      <w:r w:rsidR="00A307AD" w:rsidRPr="00FE3004">
        <w:rPr>
          <w:rFonts w:cs="Tahoma"/>
          <w:szCs w:val="26"/>
        </w:rPr>
        <w:t xml:space="preserve"> in a particular service inspected</w:t>
      </w:r>
      <w:r w:rsidR="00AF5E98" w:rsidRPr="00FE3004">
        <w:rPr>
          <w:rFonts w:cs="Tahoma"/>
          <w:szCs w:val="26"/>
        </w:rPr>
        <w:t xml:space="preserve"> or where they have not been inspected</w:t>
      </w:r>
      <w:r w:rsidR="00A307AD" w:rsidRPr="00FE3004">
        <w:rPr>
          <w:rFonts w:cs="Tahoma"/>
          <w:szCs w:val="26"/>
        </w:rPr>
        <w:t xml:space="preserve"> </w:t>
      </w:r>
      <w:r w:rsidR="00FE3004" w:rsidRPr="00FE3004">
        <w:rPr>
          <w:rFonts w:cs="Tahoma"/>
          <w:szCs w:val="26"/>
        </w:rPr>
        <w:t>against same</w:t>
      </w:r>
      <w:r w:rsidR="00467DE7">
        <w:rPr>
          <w:rFonts w:cs="Tahoma"/>
          <w:szCs w:val="26"/>
        </w:rPr>
        <w:t>.</w:t>
      </w:r>
    </w:p>
    <w:p w14:paraId="7C546264" w14:textId="7219D395" w:rsidR="00027507" w:rsidRPr="009E4ABD" w:rsidRDefault="009E4ABD" w:rsidP="009E4ABD">
      <w:pPr>
        <w:rPr>
          <w:b/>
          <w:lang w:eastAsia="en-IE"/>
        </w:rPr>
      </w:pPr>
      <w:r w:rsidRPr="004E0CFF">
        <w:rPr>
          <w:b/>
          <w:lang w:eastAsia="en-IE"/>
        </w:rPr>
        <w:t xml:space="preserve">Indicator </w:t>
      </w:r>
      <w:r w:rsidR="005C749E" w:rsidRPr="004E0CFF">
        <w:rPr>
          <w:b/>
          <w:lang w:eastAsia="en-IE"/>
        </w:rPr>
        <w:t>2.1c.</w:t>
      </w:r>
      <w:r w:rsidR="0093798C" w:rsidRPr="004E0CFF">
        <w:rPr>
          <w:b/>
          <w:lang w:eastAsia="en-IE"/>
        </w:rPr>
        <w:t xml:space="preserve"> </w:t>
      </w:r>
      <w:r w:rsidR="005C749E" w:rsidRPr="004E0CFF">
        <w:rPr>
          <w:b/>
          <w:lang w:eastAsia="en-IE"/>
        </w:rPr>
        <w:t>Evidence of a continuous quality improvement process in New Directions Services self-assessment process with regard to Standard 1.8 on transiti</w:t>
      </w:r>
      <w:r w:rsidR="006C4D04" w:rsidRPr="004E0CFF">
        <w:rPr>
          <w:b/>
          <w:lang w:eastAsia="en-IE"/>
        </w:rPr>
        <w:t>ons of adults with a disability (Process):</w:t>
      </w:r>
      <w:r w:rsidR="005C749E" w:rsidRPr="004E0CFF">
        <w:rPr>
          <w:lang w:eastAsia="en-IE"/>
        </w:rPr>
        <w:t xml:space="preserve"> </w:t>
      </w:r>
      <w:r w:rsidR="00E35078" w:rsidRPr="004E0CFF">
        <w:rPr>
          <w:bCs/>
          <w:szCs w:val="26"/>
        </w:rPr>
        <w:t>The New Directions Interim Standard 1.8</w:t>
      </w:r>
      <w:r w:rsidR="00E35078" w:rsidRPr="004E0CFF">
        <w:rPr>
          <w:szCs w:val="26"/>
        </w:rPr>
        <w:t xml:space="preserve"> states that ‘Each person is supported to make transitions between services and supports provided by disability and mainstream services, in line with their choices, needs and</w:t>
      </w:r>
      <w:r w:rsidR="00E35078" w:rsidRPr="00E35078">
        <w:rPr>
          <w:szCs w:val="26"/>
        </w:rPr>
        <w:t xml:space="preserve"> abilities.</w:t>
      </w:r>
      <w:r w:rsidR="00E35078">
        <w:rPr>
          <w:szCs w:val="26"/>
        </w:rPr>
        <w:t>’</w:t>
      </w:r>
      <w:r w:rsidR="00F32BA8">
        <w:rPr>
          <w:rStyle w:val="FootnoteReference"/>
          <w:szCs w:val="26"/>
        </w:rPr>
        <w:footnoteReference w:id="54"/>
      </w:r>
      <w:r w:rsidR="00E35078">
        <w:rPr>
          <w:szCs w:val="26"/>
        </w:rPr>
        <w:t xml:space="preserve"> </w:t>
      </w:r>
      <w:r w:rsidR="005C749E" w:rsidRPr="00E35078">
        <w:rPr>
          <w:szCs w:val="26"/>
          <w:lang w:eastAsia="en-IE"/>
        </w:rPr>
        <w:t>New Directions are due to publish a rep</w:t>
      </w:r>
      <w:r w:rsidR="00B41777" w:rsidRPr="00E35078">
        <w:rPr>
          <w:szCs w:val="26"/>
          <w:lang w:eastAsia="en-IE"/>
        </w:rPr>
        <w:t xml:space="preserve">ort in the near future on </w:t>
      </w:r>
      <w:r w:rsidR="003A4F7E" w:rsidRPr="00E35078">
        <w:rPr>
          <w:szCs w:val="26"/>
          <w:lang w:eastAsia="en-IE"/>
        </w:rPr>
        <w:t>Theme</w:t>
      </w:r>
      <w:r w:rsidR="003A4F7E">
        <w:rPr>
          <w:lang w:eastAsia="en-IE"/>
        </w:rPr>
        <w:t xml:space="preserve"> one</w:t>
      </w:r>
      <w:r w:rsidR="004C05A5">
        <w:rPr>
          <w:lang w:eastAsia="en-IE"/>
        </w:rPr>
        <w:t xml:space="preserve"> (Individualised Services and Supports)</w:t>
      </w:r>
      <w:r w:rsidR="009460BD">
        <w:rPr>
          <w:lang w:eastAsia="en-IE"/>
        </w:rPr>
        <w:t xml:space="preserve"> under which Standard 1.8 is included. They are using an</w:t>
      </w:r>
      <w:r w:rsidR="00B41777">
        <w:rPr>
          <w:lang w:eastAsia="en-IE"/>
        </w:rPr>
        <w:t xml:space="preserve"> </w:t>
      </w:r>
      <w:r w:rsidR="00B41777" w:rsidRPr="00811B35">
        <w:rPr>
          <w:rFonts w:eastAsiaTheme="minorHAnsi" w:cs="Gill Sans MT,Bold"/>
          <w:bCs/>
          <w:szCs w:val="26"/>
        </w:rPr>
        <w:t>E</w:t>
      </w:r>
      <w:r w:rsidR="00B41777" w:rsidRPr="00811B35">
        <w:rPr>
          <w:rFonts w:eastAsiaTheme="minorHAnsi" w:cs="Gill Sans MT"/>
          <w:szCs w:val="26"/>
        </w:rPr>
        <w:t xml:space="preserve">valuation, </w:t>
      </w:r>
      <w:r w:rsidR="00B41777" w:rsidRPr="00811B35">
        <w:rPr>
          <w:rFonts w:eastAsiaTheme="minorHAnsi" w:cs="Gill Sans MT,Bold"/>
          <w:bCs/>
          <w:szCs w:val="26"/>
        </w:rPr>
        <w:t>A</w:t>
      </w:r>
      <w:r w:rsidR="00B41777" w:rsidRPr="00811B35">
        <w:rPr>
          <w:rFonts w:eastAsiaTheme="minorHAnsi" w:cs="Gill Sans MT"/>
          <w:szCs w:val="26"/>
        </w:rPr>
        <w:t xml:space="preserve">ction and </w:t>
      </w:r>
      <w:r w:rsidR="00B41777" w:rsidRPr="00811B35">
        <w:rPr>
          <w:rFonts w:eastAsiaTheme="minorHAnsi" w:cs="Gill Sans MT,Bold"/>
          <w:bCs/>
          <w:szCs w:val="26"/>
        </w:rPr>
        <w:t>S</w:t>
      </w:r>
      <w:r w:rsidR="00B41777" w:rsidRPr="00811B35">
        <w:rPr>
          <w:rFonts w:eastAsiaTheme="minorHAnsi" w:cs="Gill Sans MT"/>
          <w:szCs w:val="26"/>
        </w:rPr>
        <w:t xml:space="preserve">ervice </w:t>
      </w:r>
      <w:r w:rsidR="00B41777" w:rsidRPr="00811B35">
        <w:rPr>
          <w:rFonts w:eastAsiaTheme="minorHAnsi" w:cs="Gill Sans MT,Bold"/>
          <w:bCs/>
          <w:szCs w:val="26"/>
        </w:rPr>
        <w:t>I</w:t>
      </w:r>
      <w:r w:rsidR="009460BD" w:rsidRPr="00811B35">
        <w:rPr>
          <w:rFonts w:eastAsiaTheme="minorHAnsi" w:cs="Gill Sans MT"/>
          <w:szCs w:val="26"/>
        </w:rPr>
        <w:t>mprovement (EASI) p</w:t>
      </w:r>
      <w:r w:rsidR="009460BD" w:rsidRPr="006576C0">
        <w:rPr>
          <w:rFonts w:eastAsiaTheme="minorHAnsi" w:cs="Gill Sans MT"/>
          <w:szCs w:val="26"/>
        </w:rPr>
        <w:t>rocess</w:t>
      </w:r>
      <w:r w:rsidR="00B41777" w:rsidRPr="009E4ABD">
        <w:rPr>
          <w:rFonts w:eastAsiaTheme="minorHAnsi" w:cs="Gill Sans MT"/>
          <w:szCs w:val="26"/>
        </w:rPr>
        <w:t xml:space="preserve"> which aims to support the implementation of the Interim Standards for New Directions. All 84 </w:t>
      </w:r>
      <w:r w:rsidR="006576C0">
        <w:rPr>
          <w:rFonts w:eastAsiaTheme="minorHAnsi" w:cs="Gill Sans MT"/>
          <w:szCs w:val="26"/>
        </w:rPr>
        <w:t>d</w:t>
      </w:r>
      <w:r w:rsidR="00B41777" w:rsidRPr="009E4ABD">
        <w:rPr>
          <w:rFonts w:eastAsiaTheme="minorHAnsi" w:cs="Gill Sans MT"/>
          <w:szCs w:val="26"/>
        </w:rPr>
        <w:t xml:space="preserve">ay </w:t>
      </w:r>
      <w:r w:rsidR="006576C0">
        <w:rPr>
          <w:rFonts w:eastAsiaTheme="minorHAnsi" w:cs="Gill Sans MT"/>
          <w:szCs w:val="26"/>
        </w:rPr>
        <w:t>s</w:t>
      </w:r>
      <w:r w:rsidR="00B41777" w:rsidRPr="009E4ABD">
        <w:rPr>
          <w:rFonts w:eastAsiaTheme="minorHAnsi" w:cs="Gill Sans MT"/>
          <w:szCs w:val="26"/>
        </w:rPr>
        <w:t xml:space="preserve">ervice </w:t>
      </w:r>
      <w:r w:rsidR="006576C0">
        <w:rPr>
          <w:rFonts w:eastAsiaTheme="minorHAnsi" w:cs="Gill Sans MT"/>
          <w:szCs w:val="26"/>
        </w:rPr>
        <w:t>p</w:t>
      </w:r>
      <w:r w:rsidR="00B41777" w:rsidRPr="009E4ABD">
        <w:rPr>
          <w:rFonts w:eastAsiaTheme="minorHAnsi" w:cs="Gill Sans MT"/>
          <w:szCs w:val="26"/>
        </w:rPr>
        <w:t xml:space="preserve">rovider </w:t>
      </w:r>
      <w:r w:rsidR="006576C0">
        <w:rPr>
          <w:rFonts w:eastAsiaTheme="minorHAnsi" w:cs="Gill Sans MT"/>
          <w:szCs w:val="26"/>
        </w:rPr>
        <w:t>o</w:t>
      </w:r>
      <w:r w:rsidR="00B41777" w:rsidRPr="009E4ABD">
        <w:rPr>
          <w:rFonts w:eastAsiaTheme="minorHAnsi" w:cs="Gill Sans MT"/>
          <w:szCs w:val="26"/>
        </w:rPr>
        <w:t xml:space="preserve">rganisations nationally are involved in the EASI process </w:t>
      </w:r>
      <w:r w:rsidR="005C749E">
        <w:rPr>
          <w:lang w:eastAsia="en-IE"/>
        </w:rPr>
        <w:t xml:space="preserve">and the self-assessments. </w:t>
      </w:r>
      <w:r w:rsidR="003F4F03" w:rsidRPr="003F4F03">
        <w:rPr>
          <w:lang w:eastAsia="en-IE"/>
        </w:rPr>
        <w:t>In 2020 the New Directions National</w:t>
      </w:r>
      <w:r w:rsidR="006904F9">
        <w:rPr>
          <w:lang w:eastAsia="en-IE"/>
        </w:rPr>
        <w:t xml:space="preserve"> Steering Group has committed to </w:t>
      </w:r>
      <w:r w:rsidR="004406B3">
        <w:rPr>
          <w:lang w:eastAsia="en-IE"/>
        </w:rPr>
        <w:t>working on moving</w:t>
      </w:r>
      <w:r w:rsidR="006904F9">
        <w:rPr>
          <w:lang w:eastAsia="en-IE"/>
        </w:rPr>
        <w:t xml:space="preserve"> from self-assessment to a </w:t>
      </w:r>
      <w:r w:rsidR="003F4F03">
        <w:rPr>
          <w:lang w:eastAsia="en-IE"/>
        </w:rPr>
        <w:t>national m</w:t>
      </w:r>
      <w:r w:rsidR="003F4F03" w:rsidRPr="003F4F03">
        <w:rPr>
          <w:lang w:eastAsia="en-IE"/>
        </w:rPr>
        <w:t>onitoring process</w:t>
      </w:r>
      <w:r w:rsidR="00215960">
        <w:rPr>
          <w:lang w:eastAsia="en-IE"/>
        </w:rPr>
        <w:t xml:space="preserve"> so more data should become available at this point</w:t>
      </w:r>
      <w:r w:rsidR="002904CB">
        <w:rPr>
          <w:lang w:eastAsia="en-IE"/>
        </w:rPr>
        <w:t>.</w:t>
      </w:r>
    </w:p>
    <w:p w14:paraId="4C4F9F85" w14:textId="77777777" w:rsidR="009460BD" w:rsidRDefault="005C749E" w:rsidP="009E4ABD">
      <w:pPr>
        <w:rPr>
          <w:lang w:eastAsia="en-IE"/>
        </w:rPr>
      </w:pPr>
      <w:r w:rsidRPr="009E4ABD">
        <w:rPr>
          <w:b/>
          <w:lang w:eastAsia="en-IE"/>
        </w:rPr>
        <w:t>Indicator 2.1d:</w:t>
      </w:r>
      <w:r w:rsidR="001D53D2" w:rsidRPr="009E4ABD">
        <w:rPr>
          <w:b/>
          <w:lang w:eastAsia="en-IE"/>
        </w:rPr>
        <w:t xml:space="preserve"> Different government departments work together to achieve better outcomes for adults with disabilities</w:t>
      </w:r>
      <w:r w:rsidR="006C4D04">
        <w:rPr>
          <w:b/>
          <w:lang w:eastAsia="en-IE"/>
        </w:rPr>
        <w:t xml:space="preserve"> (Structural):</w:t>
      </w:r>
      <w:r w:rsidR="001D53D2">
        <w:rPr>
          <w:lang w:eastAsia="en-IE"/>
        </w:rPr>
        <w:t xml:space="preserve"> </w:t>
      </w:r>
      <w:r w:rsidR="00690712">
        <w:rPr>
          <w:lang w:eastAsia="en-IE"/>
        </w:rPr>
        <w:t>There are several examples of government departments working together</w:t>
      </w:r>
      <w:r w:rsidR="008A66C8">
        <w:rPr>
          <w:lang w:eastAsia="en-IE"/>
        </w:rPr>
        <w:t xml:space="preserve"> to a greater or lesser extent with the aim of achieving</w:t>
      </w:r>
      <w:r w:rsidR="00690712">
        <w:rPr>
          <w:lang w:eastAsia="en-IE"/>
        </w:rPr>
        <w:t xml:space="preserve"> better outcomes for adults with disabilities</w:t>
      </w:r>
      <w:r w:rsidR="009460BD">
        <w:rPr>
          <w:lang w:eastAsia="en-IE"/>
        </w:rPr>
        <w:t xml:space="preserve">. </w:t>
      </w:r>
      <w:r w:rsidR="008A66C8">
        <w:rPr>
          <w:lang w:eastAsia="en-IE"/>
        </w:rPr>
        <w:t>However, it is not possible to directly measure whether outcomes have changed for people with disabilities from the examples listed below.</w:t>
      </w:r>
      <w:r w:rsidR="00C361B0">
        <w:rPr>
          <w:lang w:eastAsia="en-IE"/>
        </w:rPr>
        <w:t xml:space="preserve"> The NDA intends to give further consideration as to how to strengthen this indicator.</w:t>
      </w:r>
      <w:r w:rsidR="008A66C8">
        <w:rPr>
          <w:lang w:eastAsia="en-IE"/>
        </w:rPr>
        <w:t xml:space="preserve"> Some exa</w:t>
      </w:r>
      <w:r w:rsidR="00141ADD">
        <w:rPr>
          <w:lang w:eastAsia="en-IE"/>
        </w:rPr>
        <w:t>mples of government departments work</w:t>
      </w:r>
      <w:r w:rsidR="00260FAF">
        <w:rPr>
          <w:lang w:eastAsia="en-IE"/>
        </w:rPr>
        <w:t>ing together are included below</w:t>
      </w:r>
      <w:r w:rsidR="004406B3">
        <w:rPr>
          <w:lang w:eastAsia="en-IE"/>
        </w:rPr>
        <w:t>:</w:t>
      </w:r>
    </w:p>
    <w:p w14:paraId="25A7A1A3" w14:textId="414DB5FF" w:rsidR="00D702A1" w:rsidRPr="00D702A1" w:rsidRDefault="009460BD" w:rsidP="009E4ABD">
      <w:pPr>
        <w:pStyle w:val="ListParagraph"/>
        <w:numPr>
          <w:ilvl w:val="0"/>
          <w:numId w:val="9"/>
        </w:numPr>
        <w:rPr>
          <w:rFonts w:cs="Calibri"/>
          <w:szCs w:val="26"/>
        </w:rPr>
      </w:pPr>
      <w:r>
        <w:rPr>
          <w:lang w:eastAsia="en-IE"/>
        </w:rPr>
        <w:t>T</w:t>
      </w:r>
      <w:r w:rsidR="00690712">
        <w:rPr>
          <w:lang w:eastAsia="en-IE"/>
        </w:rPr>
        <w:t xml:space="preserve">he </w:t>
      </w:r>
      <w:r w:rsidR="00700CF4">
        <w:rPr>
          <w:lang w:eastAsia="en-IE"/>
        </w:rPr>
        <w:t>NDIS</w:t>
      </w:r>
      <w:r w:rsidR="00F57518">
        <w:rPr>
          <w:lang w:eastAsia="en-IE"/>
        </w:rPr>
        <w:t xml:space="preserve"> S</w:t>
      </w:r>
      <w:r w:rsidR="00592F67">
        <w:rPr>
          <w:lang w:eastAsia="en-IE"/>
        </w:rPr>
        <w:t xml:space="preserve">teering </w:t>
      </w:r>
      <w:r w:rsidR="00F57518">
        <w:rPr>
          <w:lang w:eastAsia="en-IE"/>
        </w:rPr>
        <w:t>G</w:t>
      </w:r>
      <w:r w:rsidR="00592F67">
        <w:rPr>
          <w:lang w:eastAsia="en-IE"/>
        </w:rPr>
        <w:t xml:space="preserve">roup is comprised of officials from several government departments and members of the </w:t>
      </w:r>
      <w:r w:rsidR="000E7CCF">
        <w:rPr>
          <w:lang w:eastAsia="en-IE"/>
        </w:rPr>
        <w:t>Disability Stakeholders Group</w:t>
      </w:r>
      <w:r w:rsidR="00592F67">
        <w:rPr>
          <w:lang w:eastAsia="en-IE"/>
        </w:rPr>
        <w:t xml:space="preserve">. It </w:t>
      </w:r>
      <w:r w:rsidR="004B469A">
        <w:rPr>
          <w:lang w:eastAsia="en-IE"/>
        </w:rPr>
        <w:t xml:space="preserve">has been </w:t>
      </w:r>
      <w:r w:rsidR="00592F67">
        <w:rPr>
          <w:lang w:eastAsia="en-IE"/>
        </w:rPr>
        <w:t>chaired by the Minister</w:t>
      </w:r>
      <w:r w:rsidR="000E7CCF">
        <w:rPr>
          <w:lang w:eastAsia="en-IE"/>
        </w:rPr>
        <w:t xml:space="preserve"> of State</w:t>
      </w:r>
      <w:r w:rsidR="00592F67">
        <w:rPr>
          <w:lang w:eastAsia="en-IE"/>
        </w:rPr>
        <w:t xml:space="preserve"> for Disabilit</w:t>
      </w:r>
      <w:r w:rsidR="000E7CCF">
        <w:rPr>
          <w:lang w:eastAsia="en-IE"/>
        </w:rPr>
        <w:t>y Issues</w:t>
      </w:r>
      <w:r w:rsidR="00592F67">
        <w:rPr>
          <w:lang w:eastAsia="en-IE"/>
        </w:rPr>
        <w:t xml:space="preserve"> and meets quarterly. It has oversight of the NDIS and took part in a recent mid-term review of the Strategy</w:t>
      </w:r>
      <w:r w:rsidR="00D702A1">
        <w:rPr>
          <w:lang w:eastAsia="en-IE"/>
        </w:rPr>
        <w:t>.</w:t>
      </w:r>
      <w:r w:rsidR="00BC4775">
        <w:rPr>
          <w:rStyle w:val="FootnoteReference"/>
          <w:lang w:eastAsia="en-IE"/>
        </w:rPr>
        <w:footnoteReference w:id="55"/>
      </w:r>
      <w:r w:rsidR="00D702A1">
        <w:rPr>
          <w:lang w:eastAsia="en-IE"/>
        </w:rPr>
        <w:t xml:space="preserve"> This led to a refreshed strategy with </w:t>
      </w:r>
      <w:r w:rsidR="004406B3">
        <w:rPr>
          <w:lang w:eastAsia="en-IE"/>
        </w:rPr>
        <w:t xml:space="preserve">the addition of </w:t>
      </w:r>
      <w:r w:rsidR="00D702A1">
        <w:rPr>
          <w:lang w:eastAsia="en-IE"/>
        </w:rPr>
        <w:t>new actions</w:t>
      </w:r>
      <w:r w:rsidR="000A27D5">
        <w:rPr>
          <w:lang w:eastAsia="en-IE"/>
        </w:rPr>
        <w:t>,</w:t>
      </w:r>
      <w:r w:rsidR="00D702A1">
        <w:rPr>
          <w:lang w:eastAsia="en-IE"/>
        </w:rPr>
        <w:t xml:space="preserve"> </w:t>
      </w:r>
      <w:r w:rsidR="00215960">
        <w:rPr>
          <w:lang w:eastAsia="en-IE"/>
        </w:rPr>
        <w:t xml:space="preserve">one of which is </w:t>
      </w:r>
      <w:r w:rsidR="00D702A1">
        <w:rPr>
          <w:lang w:eastAsia="en-IE"/>
        </w:rPr>
        <w:t>the development of a UNCRPD implementation plan</w:t>
      </w:r>
      <w:r w:rsidR="00467DE7">
        <w:rPr>
          <w:lang w:eastAsia="en-IE"/>
        </w:rPr>
        <w:t>.</w:t>
      </w:r>
    </w:p>
    <w:p w14:paraId="2AF0A868" w14:textId="3D14B3CD" w:rsidR="002B0F37" w:rsidRPr="002B0F37" w:rsidRDefault="00D702A1" w:rsidP="009E4ABD">
      <w:pPr>
        <w:pStyle w:val="ListParagraph"/>
        <w:numPr>
          <w:ilvl w:val="0"/>
          <w:numId w:val="9"/>
        </w:numPr>
        <w:rPr>
          <w:rFonts w:cs="Calibri"/>
          <w:szCs w:val="26"/>
        </w:rPr>
      </w:pPr>
      <w:r w:rsidRPr="00D702A1">
        <w:rPr>
          <w:szCs w:val="26"/>
        </w:rPr>
        <w:t>The</w:t>
      </w:r>
      <w:r w:rsidR="00134810">
        <w:rPr>
          <w:szCs w:val="26"/>
        </w:rPr>
        <w:t xml:space="preserve"> CES</w:t>
      </w:r>
      <w:r w:rsidR="00EA7A6F">
        <w:rPr>
          <w:rStyle w:val="FootnoteReference"/>
          <w:szCs w:val="26"/>
        </w:rPr>
        <w:footnoteReference w:id="56"/>
      </w:r>
      <w:r w:rsidRPr="00D702A1">
        <w:rPr>
          <w:szCs w:val="26"/>
        </w:rPr>
        <w:t xml:space="preserve"> is a ten-year cross-government approach that brings together actions by different Departments and State agencies in a concerted effort to address the barriers and challenges that impact on employment of </w:t>
      </w:r>
      <w:r w:rsidR="004B469A">
        <w:rPr>
          <w:szCs w:val="26"/>
        </w:rPr>
        <w:t>persons with disabilities</w:t>
      </w:r>
      <w:r w:rsidRPr="00D702A1">
        <w:rPr>
          <w:szCs w:val="26"/>
        </w:rPr>
        <w:t xml:space="preserve">. </w:t>
      </w:r>
      <w:r w:rsidRPr="00D702A1">
        <w:rPr>
          <w:szCs w:val="26"/>
          <w:lang w:eastAsia="en-IE"/>
        </w:rPr>
        <w:t>The implementation group oversees the Strategy. The NDA in its independent p</w:t>
      </w:r>
      <w:r w:rsidR="00592F67" w:rsidRPr="00D702A1">
        <w:rPr>
          <w:szCs w:val="26"/>
          <w:lang w:eastAsia="en-IE"/>
        </w:rPr>
        <w:t>rogress</w:t>
      </w:r>
      <w:r w:rsidRPr="00D702A1">
        <w:rPr>
          <w:szCs w:val="26"/>
          <w:lang w:eastAsia="en-IE"/>
        </w:rPr>
        <w:t xml:space="preserve"> report</w:t>
      </w:r>
      <w:r w:rsidR="00122723">
        <w:rPr>
          <w:rStyle w:val="FootnoteReference"/>
          <w:szCs w:val="26"/>
          <w:lang w:eastAsia="en-IE"/>
        </w:rPr>
        <w:footnoteReference w:id="57"/>
      </w:r>
      <w:r w:rsidRPr="00D702A1">
        <w:rPr>
          <w:szCs w:val="26"/>
          <w:lang w:eastAsia="en-IE"/>
        </w:rPr>
        <w:t xml:space="preserve"> identified good </w:t>
      </w:r>
      <w:r w:rsidR="004B469A">
        <w:rPr>
          <w:szCs w:val="26"/>
          <w:lang w:eastAsia="en-IE"/>
        </w:rPr>
        <w:t>improvement</w:t>
      </w:r>
      <w:r w:rsidR="004B469A" w:rsidRPr="00D702A1">
        <w:rPr>
          <w:szCs w:val="26"/>
          <w:lang w:eastAsia="en-IE"/>
        </w:rPr>
        <w:t xml:space="preserve"> </w:t>
      </w:r>
      <w:r w:rsidRPr="00D702A1">
        <w:rPr>
          <w:szCs w:val="26"/>
          <w:lang w:eastAsia="en-IE"/>
        </w:rPr>
        <w:t>in some areas including</w:t>
      </w:r>
      <w:r w:rsidR="00592F67" w:rsidRPr="00D702A1">
        <w:rPr>
          <w:szCs w:val="26"/>
          <w:lang w:eastAsia="en-IE"/>
        </w:rPr>
        <w:t xml:space="preserve"> increasing the earnings disregards </w:t>
      </w:r>
      <w:r w:rsidR="0055485D">
        <w:rPr>
          <w:szCs w:val="26"/>
          <w:lang w:eastAsia="en-IE"/>
        </w:rPr>
        <w:t xml:space="preserve">in 2018 </w:t>
      </w:r>
      <w:r w:rsidR="00592F67" w:rsidRPr="00D702A1">
        <w:rPr>
          <w:szCs w:val="26"/>
          <w:lang w:eastAsia="en-IE"/>
        </w:rPr>
        <w:t>as direct consequence of the ‘Make Work Pay’ Report</w:t>
      </w:r>
      <w:r w:rsidR="00F90315">
        <w:rPr>
          <w:rStyle w:val="FootnoteReference"/>
          <w:szCs w:val="26"/>
          <w:lang w:eastAsia="en-IE"/>
        </w:rPr>
        <w:footnoteReference w:id="58"/>
      </w:r>
      <w:r w:rsidR="00592F67" w:rsidRPr="00D702A1">
        <w:rPr>
          <w:szCs w:val="26"/>
          <w:lang w:eastAsia="en-IE"/>
        </w:rPr>
        <w:t>, the</w:t>
      </w:r>
      <w:r w:rsidR="006D3575">
        <w:rPr>
          <w:szCs w:val="26"/>
          <w:lang w:eastAsia="en-IE"/>
        </w:rPr>
        <w:t xml:space="preserve"> current</w:t>
      </w:r>
      <w:r w:rsidR="00592F67" w:rsidRPr="00D702A1">
        <w:rPr>
          <w:szCs w:val="26"/>
          <w:lang w:eastAsia="en-IE"/>
        </w:rPr>
        <w:t xml:space="preserve"> roll out of the Individual Placement and Support Model (see </w:t>
      </w:r>
      <w:r w:rsidR="007E0A4E">
        <w:rPr>
          <w:szCs w:val="26"/>
          <w:lang w:eastAsia="en-IE"/>
        </w:rPr>
        <w:t>next point belo</w:t>
      </w:r>
      <w:r w:rsidR="00592F67" w:rsidRPr="00D702A1">
        <w:rPr>
          <w:szCs w:val="26"/>
          <w:lang w:eastAsia="en-IE"/>
        </w:rPr>
        <w:t xml:space="preserve">w), and </w:t>
      </w:r>
      <w:r w:rsidR="00141ADD">
        <w:rPr>
          <w:szCs w:val="26"/>
          <w:lang w:eastAsia="en-IE"/>
        </w:rPr>
        <w:t xml:space="preserve">the </w:t>
      </w:r>
      <w:r w:rsidR="00592F67" w:rsidRPr="00D702A1">
        <w:rPr>
          <w:szCs w:val="26"/>
          <w:lang w:eastAsia="en-IE"/>
        </w:rPr>
        <w:t>roll-out of the ‘Ability Programmes</w:t>
      </w:r>
      <w:r w:rsidR="006906FC">
        <w:rPr>
          <w:szCs w:val="26"/>
          <w:lang w:eastAsia="en-IE"/>
        </w:rPr>
        <w:t>’</w:t>
      </w:r>
      <w:r w:rsidR="00592F67" w:rsidRPr="00D702A1">
        <w:rPr>
          <w:szCs w:val="26"/>
          <w:lang w:eastAsia="en-IE"/>
        </w:rPr>
        <w:t xml:space="preserve"> </w:t>
      </w:r>
      <w:r w:rsidR="00D25551">
        <w:rPr>
          <w:szCs w:val="26"/>
          <w:lang w:eastAsia="en-IE"/>
        </w:rPr>
        <w:t xml:space="preserve">since 2018 </w:t>
      </w:r>
      <w:r w:rsidR="00592F67" w:rsidRPr="00D702A1">
        <w:rPr>
          <w:szCs w:val="26"/>
          <w:lang w:eastAsia="en-IE"/>
        </w:rPr>
        <w:t xml:space="preserve">which assist young </w:t>
      </w:r>
      <w:r w:rsidR="004B469A">
        <w:rPr>
          <w:szCs w:val="26"/>
          <w:lang w:eastAsia="en-IE"/>
        </w:rPr>
        <w:t>persons</w:t>
      </w:r>
      <w:r w:rsidR="004B469A" w:rsidRPr="00D702A1">
        <w:rPr>
          <w:szCs w:val="26"/>
          <w:lang w:eastAsia="en-IE"/>
        </w:rPr>
        <w:t xml:space="preserve"> </w:t>
      </w:r>
      <w:r w:rsidR="00592F67" w:rsidRPr="00D702A1">
        <w:rPr>
          <w:szCs w:val="26"/>
          <w:lang w:eastAsia="en-IE"/>
        </w:rPr>
        <w:t xml:space="preserve">with disabilities </w:t>
      </w:r>
      <w:r w:rsidR="004B469A">
        <w:rPr>
          <w:szCs w:val="26"/>
          <w:lang w:eastAsia="en-IE"/>
        </w:rPr>
        <w:t xml:space="preserve">to </w:t>
      </w:r>
      <w:r w:rsidR="00592F67" w:rsidRPr="00D702A1">
        <w:rPr>
          <w:szCs w:val="26"/>
          <w:lang w:eastAsia="en-IE"/>
        </w:rPr>
        <w:t xml:space="preserve">make the transition from school to further education, training and employment. </w:t>
      </w:r>
      <w:r w:rsidR="00215960">
        <w:rPr>
          <w:szCs w:val="26"/>
          <w:lang w:eastAsia="en-IE"/>
        </w:rPr>
        <w:t>Re</w:t>
      </w:r>
      <w:r w:rsidR="00215960" w:rsidRPr="00D702A1">
        <w:rPr>
          <w:szCs w:val="26"/>
          <w:lang w:eastAsia="en-IE"/>
        </w:rPr>
        <w:t xml:space="preserve">maining </w:t>
      </w:r>
      <w:r w:rsidR="00215960">
        <w:rPr>
          <w:szCs w:val="26"/>
          <w:lang w:eastAsia="en-IE"/>
        </w:rPr>
        <w:t>g</w:t>
      </w:r>
      <w:r w:rsidRPr="00D702A1">
        <w:rPr>
          <w:szCs w:val="26"/>
          <w:lang w:eastAsia="en-IE"/>
        </w:rPr>
        <w:t xml:space="preserve">aps have been identified </w:t>
      </w:r>
      <w:r w:rsidR="00D1543B">
        <w:rPr>
          <w:szCs w:val="26"/>
          <w:lang w:eastAsia="en-IE"/>
        </w:rPr>
        <w:t xml:space="preserve">such </w:t>
      </w:r>
      <w:r w:rsidRPr="00D702A1">
        <w:rPr>
          <w:szCs w:val="26"/>
          <w:lang w:eastAsia="en-IE"/>
        </w:rPr>
        <w:t xml:space="preserve">as the need for a sustainable model for </w:t>
      </w:r>
      <w:r w:rsidR="006906FC">
        <w:rPr>
          <w:szCs w:val="26"/>
          <w:lang w:eastAsia="en-IE"/>
        </w:rPr>
        <w:t>e</w:t>
      </w:r>
      <w:r w:rsidR="006906FC" w:rsidRPr="00D702A1">
        <w:rPr>
          <w:szCs w:val="26"/>
          <w:lang w:eastAsia="en-IE"/>
        </w:rPr>
        <w:t xml:space="preserve">mployer </w:t>
      </w:r>
      <w:r w:rsidR="00141ADD">
        <w:rPr>
          <w:szCs w:val="26"/>
          <w:lang w:eastAsia="en-IE"/>
        </w:rPr>
        <w:t>advice in relation to</w:t>
      </w:r>
      <w:r w:rsidRPr="00D702A1">
        <w:rPr>
          <w:szCs w:val="26"/>
          <w:lang w:eastAsia="en-IE"/>
        </w:rPr>
        <w:t xml:space="preserve"> hiring </w:t>
      </w:r>
      <w:r w:rsidR="00194BEB">
        <w:rPr>
          <w:szCs w:val="26"/>
          <w:lang w:eastAsia="en-IE"/>
        </w:rPr>
        <w:t>persons with a disability</w:t>
      </w:r>
      <w:r w:rsidRPr="00D702A1">
        <w:rPr>
          <w:szCs w:val="26"/>
          <w:lang w:eastAsia="en-IE"/>
        </w:rPr>
        <w:t xml:space="preserve"> and in transitions for young people, particularly around career guidance. A new 3-year action plan was </w:t>
      </w:r>
      <w:r w:rsidR="000A27D5">
        <w:rPr>
          <w:szCs w:val="26"/>
          <w:lang w:eastAsia="en-IE"/>
        </w:rPr>
        <w:t>published</w:t>
      </w:r>
      <w:r w:rsidR="000A27D5" w:rsidRPr="00D702A1">
        <w:rPr>
          <w:szCs w:val="26"/>
          <w:lang w:eastAsia="en-IE"/>
        </w:rPr>
        <w:t xml:space="preserve"> </w:t>
      </w:r>
      <w:r w:rsidRPr="00D702A1">
        <w:rPr>
          <w:szCs w:val="26"/>
          <w:lang w:eastAsia="en-IE"/>
        </w:rPr>
        <w:t xml:space="preserve">in 2019 that will aim </w:t>
      </w:r>
      <w:r w:rsidRPr="002B0F37">
        <w:rPr>
          <w:szCs w:val="26"/>
          <w:lang w:eastAsia="en-IE"/>
        </w:rPr>
        <w:t>to address some of these issues.</w:t>
      </w:r>
      <w:r w:rsidR="00F90315">
        <w:rPr>
          <w:rStyle w:val="FootnoteReference"/>
          <w:szCs w:val="26"/>
          <w:lang w:eastAsia="en-IE"/>
        </w:rPr>
        <w:footnoteReference w:id="59"/>
      </w:r>
      <w:r w:rsidR="00141ADD">
        <w:rPr>
          <w:szCs w:val="26"/>
          <w:lang w:eastAsia="en-IE"/>
        </w:rPr>
        <w:t xml:space="preserve"> The CES also has its own indicator suite that will be reported on </w:t>
      </w:r>
      <w:r w:rsidR="00467DE7">
        <w:rPr>
          <w:szCs w:val="26"/>
          <w:lang w:eastAsia="en-IE"/>
        </w:rPr>
        <w:t>separately.</w:t>
      </w:r>
    </w:p>
    <w:p w14:paraId="6D796E7A" w14:textId="2622D8FE" w:rsidR="009460BD" w:rsidRPr="002B0F37" w:rsidRDefault="00D702A1" w:rsidP="009E4ABD">
      <w:pPr>
        <w:pStyle w:val="ListParagraph"/>
        <w:numPr>
          <w:ilvl w:val="0"/>
          <w:numId w:val="9"/>
        </w:numPr>
        <w:autoSpaceDE w:val="0"/>
        <w:autoSpaceDN w:val="0"/>
        <w:adjustRightInd w:val="0"/>
        <w:spacing w:after="0"/>
        <w:rPr>
          <w:szCs w:val="26"/>
          <w:lang w:eastAsia="en-IE"/>
        </w:rPr>
      </w:pPr>
      <w:r w:rsidRPr="002B0F37">
        <w:rPr>
          <w:rFonts w:eastAsiaTheme="minorHAnsi" w:cs="HelveticaNeue"/>
          <w:szCs w:val="26"/>
        </w:rPr>
        <w:t xml:space="preserve">Individual Placement and Support (IPS), </w:t>
      </w:r>
      <w:r w:rsidR="006D3575">
        <w:rPr>
          <w:rFonts w:eastAsiaTheme="minorHAnsi" w:cs="HelveticaNeue"/>
          <w:szCs w:val="26"/>
        </w:rPr>
        <w:t>is</w:t>
      </w:r>
      <w:r w:rsidR="003A15C3">
        <w:rPr>
          <w:rFonts w:eastAsiaTheme="minorHAnsi" w:cs="HelveticaNeue"/>
          <w:szCs w:val="26"/>
        </w:rPr>
        <w:t xml:space="preserve"> a peer reviewed</w:t>
      </w:r>
      <w:r w:rsidRPr="002B0F37">
        <w:rPr>
          <w:rFonts w:eastAsiaTheme="minorHAnsi" w:cs="HelveticaNeue"/>
          <w:szCs w:val="26"/>
        </w:rPr>
        <w:t xml:space="preserve"> ‘evide</w:t>
      </w:r>
      <w:r w:rsidR="002B0F37">
        <w:rPr>
          <w:rFonts w:eastAsiaTheme="minorHAnsi" w:cs="HelveticaNeue"/>
          <w:szCs w:val="26"/>
        </w:rPr>
        <w:t>nce-based</w:t>
      </w:r>
      <w:r w:rsidR="003A15C3">
        <w:rPr>
          <w:rFonts w:eastAsiaTheme="minorHAnsi" w:cs="HelveticaNeue"/>
          <w:szCs w:val="26"/>
        </w:rPr>
        <w:t xml:space="preserve"> model of</w:t>
      </w:r>
      <w:r w:rsidR="002B0F37">
        <w:rPr>
          <w:rFonts w:eastAsiaTheme="minorHAnsi" w:cs="HelveticaNeue"/>
          <w:szCs w:val="26"/>
        </w:rPr>
        <w:t xml:space="preserve"> supported employment’ </w:t>
      </w:r>
      <w:r w:rsidRPr="002B0F37">
        <w:rPr>
          <w:rFonts w:eastAsiaTheme="minorHAnsi" w:cs="HelveticaNeue"/>
          <w:szCs w:val="26"/>
        </w:rPr>
        <w:t>that facilitates people with mental health difficulties to move into mainstream competitive</w:t>
      </w:r>
      <w:r w:rsidR="003A15C3">
        <w:rPr>
          <w:rFonts w:eastAsiaTheme="minorHAnsi" w:cs="HelveticaNeue"/>
          <w:szCs w:val="26"/>
        </w:rPr>
        <w:t xml:space="preserve"> </w:t>
      </w:r>
      <w:r w:rsidR="00BF2135">
        <w:rPr>
          <w:rFonts w:eastAsiaTheme="minorHAnsi" w:cs="HelveticaNeue"/>
          <w:szCs w:val="26"/>
        </w:rPr>
        <w:t>employment</w:t>
      </w:r>
      <w:r w:rsidRPr="002B0F37">
        <w:rPr>
          <w:rFonts w:eastAsiaTheme="minorHAnsi" w:cs="HelveticaNeue"/>
          <w:szCs w:val="26"/>
        </w:rPr>
        <w:t xml:space="preserve">. </w:t>
      </w:r>
      <w:r w:rsidR="002B0F37" w:rsidRPr="002B0F37">
        <w:rPr>
          <w:rFonts w:eastAsiaTheme="minorHAnsi" w:cs="HelveticaNeue"/>
          <w:szCs w:val="26"/>
        </w:rPr>
        <w:t xml:space="preserve">It works </w:t>
      </w:r>
      <w:r w:rsidRPr="002B0F37">
        <w:rPr>
          <w:rFonts w:eastAsiaTheme="minorHAnsi" w:cs="HelveticaNeue"/>
          <w:szCs w:val="26"/>
        </w:rPr>
        <w:t>by</w:t>
      </w:r>
      <w:r w:rsidR="002B0F37" w:rsidRPr="002B0F37">
        <w:rPr>
          <w:rFonts w:eastAsiaTheme="minorHAnsi" w:cs="HelveticaNeue"/>
          <w:szCs w:val="26"/>
        </w:rPr>
        <w:t xml:space="preserve"> </w:t>
      </w:r>
      <w:r w:rsidRPr="002B0F37">
        <w:rPr>
          <w:rFonts w:eastAsiaTheme="minorHAnsi" w:cs="HelveticaNeue"/>
          <w:szCs w:val="26"/>
        </w:rPr>
        <w:t xml:space="preserve">integrating an Employment Specialist into </w:t>
      </w:r>
      <w:r w:rsidR="003A15C3">
        <w:rPr>
          <w:rFonts w:eastAsiaTheme="minorHAnsi" w:cs="HelveticaNeue"/>
          <w:szCs w:val="26"/>
        </w:rPr>
        <w:t xml:space="preserve">participating CHO area </w:t>
      </w:r>
      <w:r w:rsidRPr="002B0F37">
        <w:rPr>
          <w:rFonts w:eastAsiaTheme="minorHAnsi" w:cs="HelveticaNeue"/>
          <w:szCs w:val="26"/>
        </w:rPr>
        <w:t>HSE Multidisciplinary Mental</w:t>
      </w:r>
      <w:r w:rsidR="002B0F37" w:rsidRPr="002B0F37">
        <w:rPr>
          <w:rFonts w:eastAsiaTheme="minorHAnsi" w:cs="HelveticaNeue"/>
          <w:szCs w:val="26"/>
        </w:rPr>
        <w:t xml:space="preserve"> </w:t>
      </w:r>
      <w:r w:rsidR="00811B35">
        <w:rPr>
          <w:rFonts w:eastAsiaTheme="minorHAnsi" w:cs="HelveticaNeue"/>
          <w:szCs w:val="26"/>
        </w:rPr>
        <w:t>Health Teams</w:t>
      </w:r>
      <w:r w:rsidR="002B0F37" w:rsidRPr="002B0F37">
        <w:rPr>
          <w:rFonts w:eastAsiaTheme="minorHAnsi" w:cs="HelveticaNeue"/>
          <w:szCs w:val="26"/>
        </w:rPr>
        <w:t xml:space="preserve">. Following a pilot project called </w:t>
      </w:r>
      <w:r w:rsidR="00690712" w:rsidRPr="002B0F37">
        <w:rPr>
          <w:szCs w:val="26"/>
          <w:lang w:eastAsia="en-IE"/>
        </w:rPr>
        <w:t>‘Steps into Work’</w:t>
      </w:r>
      <w:r w:rsidR="00FF1D2F">
        <w:rPr>
          <w:rStyle w:val="FootnoteReference"/>
          <w:szCs w:val="26"/>
          <w:lang w:eastAsia="en-IE"/>
        </w:rPr>
        <w:footnoteReference w:id="60"/>
      </w:r>
      <w:r w:rsidR="007E0A4E">
        <w:rPr>
          <w:szCs w:val="26"/>
          <w:lang w:eastAsia="en-IE"/>
        </w:rPr>
        <w:t>,</w:t>
      </w:r>
      <w:r w:rsidR="00690712" w:rsidRPr="002B0F37">
        <w:rPr>
          <w:szCs w:val="26"/>
          <w:lang w:eastAsia="en-IE"/>
        </w:rPr>
        <w:t xml:space="preserve"> </w:t>
      </w:r>
      <w:r w:rsidR="00811B35">
        <w:rPr>
          <w:szCs w:val="26"/>
          <w:lang w:eastAsia="en-IE"/>
        </w:rPr>
        <w:t>the Department for Employment Affairs and Social Protection (</w:t>
      </w:r>
      <w:r w:rsidR="00690712" w:rsidRPr="002B0F37">
        <w:rPr>
          <w:szCs w:val="26"/>
          <w:lang w:eastAsia="en-IE"/>
        </w:rPr>
        <w:t>DEASP</w:t>
      </w:r>
      <w:r w:rsidR="00811B35">
        <w:rPr>
          <w:szCs w:val="26"/>
          <w:lang w:eastAsia="en-IE"/>
        </w:rPr>
        <w:t>)</w:t>
      </w:r>
      <w:r w:rsidR="00690712" w:rsidRPr="002B0F37">
        <w:rPr>
          <w:szCs w:val="26"/>
          <w:lang w:eastAsia="en-IE"/>
        </w:rPr>
        <w:t xml:space="preserve"> and the HSE</w:t>
      </w:r>
      <w:r w:rsidR="002B0F37" w:rsidRPr="002B0F37">
        <w:rPr>
          <w:szCs w:val="26"/>
          <w:lang w:eastAsia="en-IE"/>
        </w:rPr>
        <w:t xml:space="preserve"> are collaborating to </w:t>
      </w:r>
      <w:r w:rsidR="003A15C3" w:rsidRPr="002B0F37">
        <w:rPr>
          <w:szCs w:val="26"/>
          <w:lang w:eastAsia="en-IE"/>
        </w:rPr>
        <w:t>roll</w:t>
      </w:r>
      <w:r w:rsidR="002B0F37" w:rsidRPr="002B0F37">
        <w:rPr>
          <w:szCs w:val="26"/>
          <w:lang w:eastAsia="en-IE"/>
        </w:rPr>
        <w:t xml:space="preserve"> out the IPS model. However, </w:t>
      </w:r>
      <w:r w:rsidR="00BF2135">
        <w:rPr>
          <w:szCs w:val="26"/>
          <w:lang w:eastAsia="en-IE"/>
        </w:rPr>
        <w:t xml:space="preserve">as yet sustainability is to be established as </w:t>
      </w:r>
      <w:r w:rsidR="002B0F37" w:rsidRPr="002B0F37">
        <w:rPr>
          <w:szCs w:val="26"/>
          <w:lang w:eastAsia="en-IE"/>
        </w:rPr>
        <w:t>there is no sustainable funding model for this project</w:t>
      </w:r>
      <w:r w:rsidR="00BF2135">
        <w:rPr>
          <w:szCs w:val="26"/>
          <w:lang w:eastAsia="en-IE"/>
        </w:rPr>
        <w:t>, therefore</w:t>
      </w:r>
      <w:r w:rsidR="002B0F37" w:rsidRPr="002B0F37">
        <w:rPr>
          <w:szCs w:val="26"/>
          <w:lang w:eastAsia="en-IE"/>
        </w:rPr>
        <w:t xml:space="preserve"> </w:t>
      </w:r>
      <w:r w:rsidR="006906FC" w:rsidRPr="002B0F37">
        <w:rPr>
          <w:szCs w:val="26"/>
          <w:lang w:eastAsia="en-IE"/>
        </w:rPr>
        <w:t>its</w:t>
      </w:r>
      <w:r w:rsidR="002B0F37" w:rsidRPr="002B0F37">
        <w:rPr>
          <w:szCs w:val="26"/>
          <w:lang w:eastAsia="en-IE"/>
        </w:rPr>
        <w:t xml:space="preserve"> future remains uncertain. The NDA </w:t>
      </w:r>
      <w:r w:rsidR="003A15C3">
        <w:rPr>
          <w:szCs w:val="26"/>
          <w:lang w:eastAsia="en-IE"/>
        </w:rPr>
        <w:t>recommend</w:t>
      </w:r>
      <w:r w:rsidR="00215960">
        <w:rPr>
          <w:szCs w:val="26"/>
          <w:lang w:eastAsia="en-IE"/>
        </w:rPr>
        <w:t>s</w:t>
      </w:r>
      <w:r w:rsidR="002B0F37" w:rsidRPr="002B0F37">
        <w:rPr>
          <w:szCs w:val="26"/>
          <w:lang w:eastAsia="en-IE"/>
        </w:rPr>
        <w:t xml:space="preserve"> a concrete long term plan for the continuation of this model. </w:t>
      </w:r>
    </w:p>
    <w:p w14:paraId="66903036" w14:textId="41ADDED1" w:rsidR="00690712" w:rsidRPr="00592F67" w:rsidRDefault="003A4F7E" w:rsidP="009E4ABD">
      <w:pPr>
        <w:pStyle w:val="ListParagraph"/>
        <w:numPr>
          <w:ilvl w:val="0"/>
          <w:numId w:val="9"/>
        </w:numPr>
        <w:rPr>
          <w:szCs w:val="26"/>
          <w:lang w:eastAsia="en-IE"/>
        </w:rPr>
      </w:pPr>
      <w:r>
        <w:rPr>
          <w:lang w:eastAsia="en-IE"/>
        </w:rPr>
        <w:t>T</w:t>
      </w:r>
      <w:r w:rsidR="00690712">
        <w:rPr>
          <w:lang w:eastAsia="en-IE"/>
        </w:rPr>
        <w:t xml:space="preserve">he Implementation Monitoring Group of the National Housing Strategy for </w:t>
      </w:r>
      <w:r w:rsidR="00FC3508">
        <w:rPr>
          <w:szCs w:val="26"/>
          <w:lang w:eastAsia="en-IE"/>
        </w:rPr>
        <w:t>Persons with D</w:t>
      </w:r>
      <w:r w:rsidR="004B469A">
        <w:rPr>
          <w:szCs w:val="26"/>
          <w:lang w:eastAsia="en-IE"/>
        </w:rPr>
        <w:t>isabilities</w:t>
      </w:r>
      <w:r>
        <w:rPr>
          <w:szCs w:val="26"/>
          <w:lang w:eastAsia="en-IE"/>
        </w:rPr>
        <w:t xml:space="preserve"> is led by the Department of Housing, Planning and Local Government</w:t>
      </w:r>
      <w:r w:rsidR="00041A71">
        <w:rPr>
          <w:szCs w:val="26"/>
          <w:lang w:eastAsia="en-IE"/>
        </w:rPr>
        <w:t xml:space="preserve"> (DHPLG)</w:t>
      </w:r>
      <w:r>
        <w:rPr>
          <w:szCs w:val="26"/>
          <w:lang w:eastAsia="en-IE"/>
        </w:rPr>
        <w:t xml:space="preserve"> and meets twice yearly with representatives from the HSE</w:t>
      </w:r>
      <w:r w:rsidR="00215960">
        <w:rPr>
          <w:szCs w:val="26"/>
          <w:lang w:eastAsia="en-IE"/>
        </w:rPr>
        <w:t>, the Housing Agency, the NDA, members of the Disability Stakeholders Group, local authority officials and representatives of approved housing bodies.</w:t>
      </w:r>
      <w:r>
        <w:rPr>
          <w:szCs w:val="26"/>
          <w:lang w:eastAsia="en-IE"/>
        </w:rPr>
        <w:t xml:space="preserve"> </w:t>
      </w:r>
      <w:r w:rsidR="00956EBF">
        <w:rPr>
          <w:szCs w:val="26"/>
          <w:lang w:eastAsia="en-IE"/>
        </w:rPr>
        <w:t>This group works to progress the implementation of the National Housing Strategy for People with Disabilities.</w:t>
      </w:r>
      <w:r w:rsidR="00DD0383">
        <w:rPr>
          <w:rStyle w:val="FootnoteReference"/>
          <w:szCs w:val="26"/>
          <w:lang w:eastAsia="en-IE"/>
        </w:rPr>
        <w:footnoteReference w:id="61"/>
      </w:r>
    </w:p>
    <w:p w14:paraId="4496650E" w14:textId="77777777" w:rsidR="009460BD" w:rsidRPr="002B0F37" w:rsidRDefault="00592F67" w:rsidP="00215960">
      <w:pPr>
        <w:pStyle w:val="CommentText"/>
        <w:rPr>
          <w:sz w:val="26"/>
          <w:szCs w:val="26"/>
        </w:rPr>
      </w:pPr>
      <w:r w:rsidRPr="00592F67">
        <w:rPr>
          <w:sz w:val="26"/>
          <w:szCs w:val="26"/>
        </w:rPr>
        <w:t xml:space="preserve">Department officials have indicated that they would like to see more involvement from </w:t>
      </w:r>
      <w:r w:rsidR="00D571CE">
        <w:rPr>
          <w:sz w:val="26"/>
          <w:szCs w:val="26"/>
        </w:rPr>
        <w:t>Local Authorities</w:t>
      </w:r>
      <w:r w:rsidRPr="00592F67">
        <w:rPr>
          <w:sz w:val="26"/>
          <w:szCs w:val="26"/>
        </w:rPr>
        <w:t xml:space="preserve"> at the NDIS Steering Group meetings. </w:t>
      </w:r>
    </w:p>
    <w:p w14:paraId="58AF90F8" w14:textId="67B1C2B9" w:rsidR="00956EBF" w:rsidRPr="008F67B0" w:rsidRDefault="006B6045" w:rsidP="009E4ABD">
      <w:pPr>
        <w:rPr>
          <w:b/>
          <w:szCs w:val="26"/>
        </w:rPr>
      </w:pPr>
      <w:r w:rsidRPr="009E4ABD">
        <w:rPr>
          <w:b/>
          <w:lang w:eastAsia="en-IE"/>
        </w:rPr>
        <w:t>Indicator 2.2a</w:t>
      </w:r>
      <w:r w:rsidR="004B3B42">
        <w:rPr>
          <w:b/>
          <w:lang w:eastAsia="en-IE"/>
        </w:rPr>
        <w:t>.</w:t>
      </w:r>
      <w:r w:rsidRPr="009E4ABD">
        <w:rPr>
          <w:b/>
          <w:lang w:eastAsia="en-IE"/>
        </w:rPr>
        <w:t xml:space="preserve"> Departmental Consultative Committees in place and meeting regularly across all departments</w:t>
      </w:r>
      <w:r w:rsidR="006C4D04">
        <w:rPr>
          <w:b/>
          <w:lang w:eastAsia="en-IE"/>
        </w:rPr>
        <w:t xml:space="preserve"> (Structural)</w:t>
      </w:r>
      <w:r w:rsidRPr="009E4ABD">
        <w:rPr>
          <w:b/>
          <w:lang w:eastAsia="en-IE"/>
        </w:rPr>
        <w:t>:</w:t>
      </w:r>
      <w:r>
        <w:rPr>
          <w:lang w:eastAsia="en-IE"/>
        </w:rPr>
        <w:t xml:space="preserve"> Of the 17 government departments, just over half, nine, have </w:t>
      </w:r>
      <w:r w:rsidR="008F67B0">
        <w:rPr>
          <w:lang w:eastAsia="en-IE"/>
        </w:rPr>
        <w:t>Departmental Consultative Committees (DCCs)</w:t>
      </w:r>
      <w:r w:rsidR="00027507">
        <w:rPr>
          <w:lang w:eastAsia="en-IE"/>
        </w:rPr>
        <w:t xml:space="preserve"> </w:t>
      </w:r>
      <w:r>
        <w:rPr>
          <w:lang w:eastAsia="en-IE"/>
        </w:rPr>
        <w:t>that meet</w:t>
      </w:r>
      <w:r w:rsidR="00027507">
        <w:rPr>
          <w:lang w:eastAsia="en-IE"/>
        </w:rPr>
        <w:t xml:space="preserve"> regularly </w:t>
      </w:r>
      <w:r>
        <w:rPr>
          <w:lang w:eastAsia="en-IE"/>
        </w:rPr>
        <w:t>and</w:t>
      </w:r>
      <w:r w:rsidR="00027507">
        <w:rPr>
          <w:lang w:eastAsia="en-IE"/>
        </w:rPr>
        <w:t xml:space="preserve"> </w:t>
      </w:r>
      <w:r w:rsidR="00DC5FA2">
        <w:rPr>
          <w:lang w:eastAsia="en-IE"/>
        </w:rPr>
        <w:t xml:space="preserve">include </w:t>
      </w:r>
      <w:r w:rsidR="00027507">
        <w:rPr>
          <w:lang w:eastAsia="en-IE"/>
        </w:rPr>
        <w:t>membership from the Disability Stakeholders Group</w:t>
      </w:r>
      <w:r w:rsidR="00DC5FA2">
        <w:rPr>
          <w:lang w:eastAsia="en-IE"/>
        </w:rPr>
        <w:t xml:space="preserve"> as well as other stakeholders</w:t>
      </w:r>
      <w:r w:rsidR="00027507">
        <w:rPr>
          <w:lang w:eastAsia="en-IE"/>
        </w:rPr>
        <w:t>.</w:t>
      </w:r>
      <w:r w:rsidR="00666822">
        <w:rPr>
          <w:lang w:eastAsia="en-IE"/>
        </w:rPr>
        <w:t xml:space="preserve"> The NDA advises </w:t>
      </w:r>
      <w:r>
        <w:rPr>
          <w:lang w:eastAsia="en-IE"/>
        </w:rPr>
        <w:t xml:space="preserve">that additional DCCs should </w:t>
      </w:r>
      <w:r w:rsidRPr="00FE3004">
        <w:rPr>
          <w:lang w:eastAsia="en-IE"/>
        </w:rPr>
        <w:t>be formed</w:t>
      </w:r>
      <w:r w:rsidR="004E0CFF" w:rsidRPr="00FE3004">
        <w:rPr>
          <w:lang w:eastAsia="en-IE"/>
        </w:rPr>
        <w:t>, for example in the</w:t>
      </w:r>
      <w:r w:rsidR="004E0CFF" w:rsidRPr="00FE3004">
        <w:rPr>
          <w:szCs w:val="26"/>
        </w:rPr>
        <w:t xml:space="preserve"> Department of Culture, Heritage and the Gaeltacht and the Department of Rural and Community Development.</w:t>
      </w:r>
      <w:r w:rsidR="00A307AD" w:rsidRPr="00FE3004">
        <w:rPr>
          <w:szCs w:val="26"/>
        </w:rPr>
        <w:t xml:space="preserve"> It will be important to ensure that the Disability Stakeholder Group can participate in the wider number of Committees, and that each Committee also enables other disability stakeholders to participate as appropriate</w:t>
      </w:r>
      <w:r w:rsidR="00FE3004" w:rsidRPr="00FE3004">
        <w:rPr>
          <w:szCs w:val="26"/>
        </w:rPr>
        <w:t xml:space="preserve">. </w:t>
      </w:r>
      <w:r w:rsidR="00A307AD" w:rsidRPr="00FE3004">
        <w:rPr>
          <w:szCs w:val="26"/>
        </w:rPr>
        <w:t xml:space="preserve">It is also important that the relevant agencies participate in those committees e.g. </w:t>
      </w:r>
      <w:r w:rsidR="008F67B0" w:rsidRPr="00FE3004">
        <w:rPr>
          <w:szCs w:val="26"/>
        </w:rPr>
        <w:t>Department officials have indicated that they would like to see more involvement from Local Authorities at DCC meetings.</w:t>
      </w:r>
    </w:p>
    <w:p w14:paraId="62594D7D" w14:textId="425F1BDE" w:rsidR="00362360" w:rsidRPr="00027507" w:rsidRDefault="006B6045" w:rsidP="009E4ABD">
      <w:pPr>
        <w:rPr>
          <w:lang w:eastAsia="en-IE"/>
        </w:rPr>
      </w:pPr>
      <w:r w:rsidRPr="00CE0562">
        <w:rPr>
          <w:b/>
          <w:lang w:eastAsia="en-IE"/>
        </w:rPr>
        <w:t>Indicator 2.2b. Establishment of mental health local forum</w:t>
      </w:r>
      <w:r w:rsidR="006C4D04" w:rsidRPr="00CE0562">
        <w:rPr>
          <w:b/>
          <w:lang w:eastAsia="en-IE"/>
        </w:rPr>
        <w:t>s in HSE mental health services (Structural):</w:t>
      </w:r>
      <w:r w:rsidR="00587F09" w:rsidRPr="00CE0562">
        <w:rPr>
          <w:lang w:eastAsia="en-IE"/>
        </w:rPr>
        <w:t xml:space="preserve"> </w:t>
      </w:r>
      <w:r w:rsidR="00362360" w:rsidRPr="00CE0562">
        <w:rPr>
          <w:szCs w:val="26"/>
          <w:lang w:eastAsia="en-IE"/>
        </w:rPr>
        <w:t>By January 2019 there were 35 local</w:t>
      </w:r>
      <w:r w:rsidR="00027507" w:rsidRPr="00CE0562">
        <w:rPr>
          <w:szCs w:val="26"/>
          <w:lang w:eastAsia="en-IE"/>
        </w:rPr>
        <w:t xml:space="preserve"> Mental </w:t>
      </w:r>
      <w:r w:rsidR="009551A1" w:rsidRPr="00CE0562">
        <w:rPr>
          <w:szCs w:val="26"/>
          <w:lang w:eastAsia="en-IE"/>
        </w:rPr>
        <w:t>Health</w:t>
      </w:r>
      <w:r w:rsidR="00027507" w:rsidRPr="00CE0562">
        <w:rPr>
          <w:szCs w:val="26"/>
          <w:lang w:eastAsia="en-IE"/>
        </w:rPr>
        <w:t xml:space="preserve"> forums </w:t>
      </w:r>
      <w:r w:rsidR="00362360" w:rsidRPr="00CE0562">
        <w:rPr>
          <w:szCs w:val="26"/>
          <w:lang w:eastAsia="en-IE"/>
        </w:rPr>
        <w:t>across 9 CHO areas.</w:t>
      </w:r>
      <w:r w:rsidR="00A737D5">
        <w:rPr>
          <w:rStyle w:val="FootnoteReference"/>
          <w:szCs w:val="26"/>
          <w:lang w:eastAsia="en-IE"/>
        </w:rPr>
        <w:footnoteReference w:id="62"/>
      </w:r>
      <w:r w:rsidR="009C1E63">
        <w:rPr>
          <w:szCs w:val="26"/>
          <w:lang w:eastAsia="en-IE"/>
        </w:rPr>
        <w:t xml:space="preserve"> </w:t>
      </w:r>
      <w:r w:rsidR="00362360" w:rsidRPr="00CE0562">
        <w:rPr>
          <w:szCs w:val="26"/>
          <w:lang w:eastAsia="en-IE"/>
        </w:rPr>
        <w:t xml:space="preserve">These took 2.5 years to establish. </w:t>
      </w:r>
      <w:r w:rsidR="00DC5FA2" w:rsidRPr="00CE0562">
        <w:rPr>
          <w:rFonts w:cs="Open Sans"/>
          <w:color w:val="000000"/>
          <w:szCs w:val="26"/>
          <w:lang w:val="en"/>
        </w:rPr>
        <w:t>The</w:t>
      </w:r>
      <w:r w:rsidR="008A53DE" w:rsidRPr="00CE0562">
        <w:rPr>
          <w:rFonts w:cs="Open Sans"/>
          <w:color w:val="000000"/>
          <w:szCs w:val="26"/>
          <w:lang w:val="en"/>
        </w:rPr>
        <w:t>se</w:t>
      </w:r>
      <w:r w:rsidR="00DC5FA2" w:rsidRPr="00CE0562">
        <w:rPr>
          <w:rFonts w:cs="Open Sans"/>
          <w:color w:val="000000"/>
          <w:szCs w:val="26"/>
          <w:lang w:val="en"/>
        </w:rPr>
        <w:t xml:space="preserve"> fora act as a resource for service users and family members, carers and supporters to voice their experiences, raise issues and be consulted and involved in mental health services developments in their area.</w:t>
      </w:r>
      <w:r w:rsidR="00DC5FA2" w:rsidRPr="00CE0562">
        <w:rPr>
          <w:szCs w:val="26"/>
          <w:lang w:eastAsia="en-IE"/>
        </w:rPr>
        <w:t xml:space="preserve"> Many of the themes arising out of the fora have been worked on through national service improvement projects supported by the </w:t>
      </w:r>
      <w:r w:rsidR="00956EBF" w:rsidRPr="00CE0562">
        <w:rPr>
          <w:szCs w:val="26"/>
          <w:lang w:eastAsia="en-IE"/>
        </w:rPr>
        <w:t>HSE’s Mental H</w:t>
      </w:r>
      <w:r w:rsidR="00DC5FA2" w:rsidRPr="00CE0562">
        <w:rPr>
          <w:szCs w:val="26"/>
          <w:lang w:eastAsia="en-IE"/>
        </w:rPr>
        <w:t xml:space="preserve">ealth National Project Management Office. </w:t>
      </w:r>
      <w:r w:rsidR="00362360" w:rsidRPr="00CE0562">
        <w:rPr>
          <w:szCs w:val="26"/>
          <w:lang w:eastAsia="en-IE"/>
        </w:rPr>
        <w:t>The initial target was to have</w:t>
      </w:r>
      <w:r w:rsidR="005C749E" w:rsidRPr="00CE0562">
        <w:rPr>
          <w:szCs w:val="26"/>
          <w:lang w:eastAsia="en-IE"/>
        </w:rPr>
        <w:t xml:space="preserve"> one</w:t>
      </w:r>
      <w:r w:rsidR="00362360" w:rsidRPr="00CE0562">
        <w:rPr>
          <w:szCs w:val="26"/>
          <w:lang w:eastAsia="en-IE"/>
        </w:rPr>
        <w:t xml:space="preserve"> mental health forum per 100,000 population but this was dependent on needs and geographical location. Based on the 2016 </w:t>
      </w:r>
      <w:r w:rsidR="00BD025B">
        <w:rPr>
          <w:szCs w:val="26"/>
          <w:lang w:eastAsia="en-IE"/>
        </w:rPr>
        <w:t>census</w:t>
      </w:r>
      <w:r w:rsidR="00362360" w:rsidRPr="00CE0562">
        <w:rPr>
          <w:szCs w:val="26"/>
          <w:lang w:eastAsia="en-IE"/>
        </w:rPr>
        <w:t xml:space="preserve"> population</w:t>
      </w:r>
      <w:r w:rsidR="005654A2" w:rsidRPr="00CE0562">
        <w:rPr>
          <w:szCs w:val="26"/>
          <w:lang w:eastAsia="en-IE"/>
        </w:rPr>
        <w:t xml:space="preserve"> these 35 fora equate to one</w:t>
      </w:r>
      <w:r w:rsidR="00362360" w:rsidRPr="00CE0562">
        <w:rPr>
          <w:szCs w:val="26"/>
          <w:lang w:eastAsia="en-IE"/>
        </w:rPr>
        <w:t xml:space="preserve"> local mental health forum for every 136,000 population. The fora are </w:t>
      </w:r>
      <w:r w:rsidR="00027507" w:rsidRPr="00CE0562">
        <w:rPr>
          <w:szCs w:val="26"/>
          <w:lang w:eastAsia="en-IE"/>
        </w:rPr>
        <w:t>reported to be meeting regularly throughout the country</w:t>
      </w:r>
      <w:r w:rsidR="001D53D2" w:rsidRPr="00CE0562">
        <w:rPr>
          <w:szCs w:val="26"/>
          <w:lang w:eastAsia="en-IE"/>
        </w:rPr>
        <w:t>.</w:t>
      </w:r>
      <w:r w:rsidR="00362360" w:rsidRPr="00CE0562">
        <w:rPr>
          <w:szCs w:val="26"/>
          <w:lang w:eastAsia="en-IE"/>
        </w:rPr>
        <w:t xml:space="preserve"> Attendance is reported to range from 5 to 20 people</w:t>
      </w:r>
      <w:r w:rsidR="005654A2" w:rsidRPr="00CE0562">
        <w:rPr>
          <w:szCs w:val="26"/>
          <w:lang w:eastAsia="en-IE"/>
        </w:rPr>
        <w:t xml:space="preserve"> and the meetings are facilitated by the Area Lead for Mental Health Engagement</w:t>
      </w:r>
      <w:r w:rsidR="00362360" w:rsidRPr="00CE0562">
        <w:rPr>
          <w:szCs w:val="26"/>
          <w:lang w:eastAsia="en-IE"/>
        </w:rPr>
        <w:t>. The HSE do not currently plan to develop any more unless the need arises</w:t>
      </w:r>
      <w:r w:rsidR="00CF5D5C" w:rsidRPr="00CE0562">
        <w:rPr>
          <w:szCs w:val="26"/>
          <w:lang w:eastAsia="en-IE"/>
        </w:rPr>
        <w:t xml:space="preserve">. </w:t>
      </w:r>
      <w:r w:rsidR="00A737D5">
        <w:rPr>
          <w:szCs w:val="26"/>
          <w:lang w:eastAsia="en-IE"/>
        </w:rPr>
        <w:t xml:space="preserve">There are also </w:t>
      </w:r>
      <w:r w:rsidR="00A737D5" w:rsidRPr="00A737D5">
        <w:rPr>
          <w:szCs w:val="26"/>
          <w:lang w:eastAsia="en-IE"/>
        </w:rPr>
        <w:t xml:space="preserve">9 Area Forums that work with the local mental health NGOs for that area. </w:t>
      </w:r>
      <w:r w:rsidR="00362360" w:rsidRPr="00CE0562">
        <w:rPr>
          <w:szCs w:val="26"/>
          <w:lang w:eastAsia="en-IE"/>
        </w:rPr>
        <w:t xml:space="preserve">An evaluation of Mental Health engagement is </w:t>
      </w:r>
      <w:r w:rsidR="00250235" w:rsidRPr="00CE0562">
        <w:rPr>
          <w:szCs w:val="26"/>
          <w:lang w:eastAsia="en-IE"/>
        </w:rPr>
        <w:t>being</w:t>
      </w:r>
      <w:r w:rsidR="00250235">
        <w:rPr>
          <w:szCs w:val="26"/>
          <w:lang w:eastAsia="en-IE"/>
        </w:rPr>
        <w:t xml:space="preserve"> conducted by the Mental Health Engagement and Recovery Office.</w:t>
      </w:r>
      <w:r w:rsidR="005654A2" w:rsidRPr="009E4ABD">
        <w:rPr>
          <w:szCs w:val="26"/>
          <w:lang w:eastAsia="en-IE"/>
        </w:rPr>
        <w:t xml:space="preserve"> This evaluation will be important in establishing if the structures are useful and effective in delivering better services for people with mental health difficulties</w:t>
      </w:r>
      <w:r w:rsidR="00467DE7">
        <w:rPr>
          <w:szCs w:val="26"/>
          <w:lang w:eastAsia="en-IE"/>
        </w:rPr>
        <w:t>.</w:t>
      </w:r>
    </w:p>
    <w:p w14:paraId="16FE949F" w14:textId="77777777" w:rsidR="00E22F03" w:rsidRDefault="00E22F03" w:rsidP="00027507">
      <w:pPr>
        <w:pStyle w:val="Heading1"/>
        <w:rPr>
          <w:rFonts w:ascii="MS Mincho" w:eastAsia="MS Mincho" w:hAnsi="MS Mincho" w:cs="MS Mincho"/>
          <w:lang w:eastAsia="en-IE"/>
        </w:rPr>
      </w:pPr>
      <w:r>
        <w:rPr>
          <w:lang w:eastAsia="en-IE"/>
        </w:rPr>
        <w:t xml:space="preserve">Theme 3: </w:t>
      </w:r>
      <w:r w:rsidRPr="00E22F03">
        <w:rPr>
          <w:lang w:eastAsia="en-IE"/>
        </w:rPr>
        <w:t>Education</w:t>
      </w:r>
    </w:p>
    <w:p w14:paraId="3F9853EE" w14:textId="5C932D2F" w:rsidR="005F3492" w:rsidRPr="001D5250" w:rsidRDefault="005A6D3D" w:rsidP="005A6D3D">
      <w:pPr>
        <w:rPr>
          <w:rStyle w:val="A01"/>
          <w:sz w:val="26"/>
          <w:szCs w:val="26"/>
        </w:rPr>
      </w:pPr>
      <w:r w:rsidRPr="00A3224F">
        <w:rPr>
          <w:rStyle w:val="A01"/>
          <w:sz w:val="26"/>
          <w:szCs w:val="26"/>
        </w:rPr>
        <w:t xml:space="preserve">This theme is concerned with how </w:t>
      </w:r>
      <w:r w:rsidR="004B469A">
        <w:rPr>
          <w:rStyle w:val="A01"/>
          <w:sz w:val="26"/>
          <w:szCs w:val="26"/>
        </w:rPr>
        <w:t>persons with disabilities</w:t>
      </w:r>
      <w:r w:rsidR="005F3492" w:rsidRPr="00A3224F">
        <w:rPr>
          <w:rStyle w:val="A01"/>
          <w:sz w:val="26"/>
          <w:szCs w:val="26"/>
        </w:rPr>
        <w:t xml:space="preserve"> are supported </w:t>
      </w:r>
      <w:r w:rsidR="00FD0219">
        <w:rPr>
          <w:rStyle w:val="A01"/>
          <w:sz w:val="26"/>
          <w:szCs w:val="26"/>
        </w:rPr>
        <w:t xml:space="preserve">through education </w:t>
      </w:r>
      <w:r w:rsidR="005F3492" w:rsidRPr="00A3224F">
        <w:rPr>
          <w:rStyle w:val="A01"/>
          <w:sz w:val="26"/>
          <w:szCs w:val="26"/>
        </w:rPr>
        <w:t>to reach their full potential.</w:t>
      </w:r>
      <w:r w:rsidR="006C4D04">
        <w:rPr>
          <w:rStyle w:val="A01"/>
          <w:sz w:val="26"/>
          <w:szCs w:val="26"/>
        </w:rPr>
        <w:t xml:space="preserve"> There are five education indicators of which one is an outcome indicator and four are process indicators.</w:t>
      </w:r>
      <w:r w:rsidR="00A3224F" w:rsidRPr="00A3224F">
        <w:rPr>
          <w:rStyle w:val="A01"/>
          <w:sz w:val="26"/>
          <w:szCs w:val="26"/>
        </w:rPr>
        <w:t xml:space="preserve"> Some of the indicators are reliant on data from the next </w:t>
      </w:r>
      <w:r w:rsidR="00BD025B">
        <w:rPr>
          <w:rStyle w:val="A01"/>
          <w:sz w:val="26"/>
          <w:szCs w:val="26"/>
        </w:rPr>
        <w:t>census</w:t>
      </w:r>
      <w:r w:rsidR="00A3224F" w:rsidRPr="00A3224F">
        <w:rPr>
          <w:rStyle w:val="A01"/>
          <w:sz w:val="26"/>
          <w:szCs w:val="26"/>
        </w:rPr>
        <w:t xml:space="preserve"> and it is proving difficult to get data on mental health promotion and well-being supports for young people. </w:t>
      </w:r>
      <w:r w:rsidR="008F4EF2">
        <w:rPr>
          <w:rStyle w:val="A01"/>
          <w:sz w:val="26"/>
          <w:szCs w:val="26"/>
        </w:rPr>
        <w:t xml:space="preserve">Further discussion is required </w:t>
      </w:r>
      <w:r w:rsidR="00215960">
        <w:rPr>
          <w:rStyle w:val="A01"/>
          <w:sz w:val="26"/>
          <w:szCs w:val="26"/>
        </w:rPr>
        <w:t xml:space="preserve">between the NDA </w:t>
      </w:r>
      <w:r w:rsidR="008A53DE">
        <w:rPr>
          <w:rStyle w:val="A01"/>
          <w:sz w:val="26"/>
          <w:szCs w:val="26"/>
        </w:rPr>
        <w:t>and the</w:t>
      </w:r>
      <w:r w:rsidR="008F4EF2">
        <w:rPr>
          <w:rStyle w:val="A01"/>
          <w:sz w:val="26"/>
          <w:szCs w:val="26"/>
        </w:rPr>
        <w:t xml:space="preserve"> Department of Education and Skills and mental health </w:t>
      </w:r>
      <w:r w:rsidR="00A2245F">
        <w:rPr>
          <w:rStyle w:val="A01"/>
          <w:sz w:val="26"/>
          <w:szCs w:val="26"/>
        </w:rPr>
        <w:t>organisations</w:t>
      </w:r>
      <w:r w:rsidR="008F4EF2">
        <w:rPr>
          <w:rStyle w:val="A01"/>
          <w:sz w:val="26"/>
          <w:szCs w:val="26"/>
        </w:rPr>
        <w:t xml:space="preserve"> to examine </w:t>
      </w:r>
      <w:r w:rsidR="008F4EF2" w:rsidRPr="001D5250">
        <w:rPr>
          <w:rStyle w:val="A01"/>
          <w:sz w:val="26"/>
          <w:szCs w:val="26"/>
        </w:rPr>
        <w:t>da</w:t>
      </w:r>
      <w:r w:rsidR="00467DE7">
        <w:rPr>
          <w:rStyle w:val="A01"/>
          <w:sz w:val="26"/>
          <w:szCs w:val="26"/>
        </w:rPr>
        <w:t>ta possibilities in the future.</w:t>
      </w:r>
    </w:p>
    <w:p w14:paraId="51D8A5D4" w14:textId="07CB4E65" w:rsidR="001D5250" w:rsidRPr="001D5250" w:rsidRDefault="00E2555B" w:rsidP="001D5250">
      <w:pPr>
        <w:pStyle w:val="CommentText"/>
        <w:rPr>
          <w:sz w:val="26"/>
          <w:szCs w:val="26"/>
        </w:rPr>
      </w:pPr>
      <w:r w:rsidRPr="008D6B8E">
        <w:rPr>
          <w:b/>
          <w:sz w:val="26"/>
          <w:szCs w:val="26"/>
          <w:lang w:eastAsia="en-IE"/>
        </w:rPr>
        <w:t xml:space="preserve">Indicator 3.1a. </w:t>
      </w:r>
      <w:r w:rsidRPr="001D5250">
        <w:rPr>
          <w:b/>
          <w:sz w:val="26"/>
          <w:szCs w:val="26"/>
          <w:lang w:eastAsia="en-IE"/>
        </w:rPr>
        <w:t>Number of children receiving targeted pre-school</w:t>
      </w:r>
      <w:r w:rsidR="00331C1F" w:rsidRPr="001D5250">
        <w:rPr>
          <w:b/>
          <w:sz w:val="26"/>
          <w:szCs w:val="26"/>
          <w:lang w:eastAsia="en-IE"/>
        </w:rPr>
        <w:t xml:space="preserve"> support (levels 4-7 of the AIM</w:t>
      </w:r>
      <w:r w:rsidRPr="001D5250">
        <w:rPr>
          <w:b/>
          <w:sz w:val="26"/>
          <w:szCs w:val="26"/>
          <w:lang w:eastAsia="en-IE"/>
        </w:rPr>
        <w:t xml:space="preserve"> model)</w:t>
      </w:r>
      <w:r w:rsidR="006C4D04">
        <w:rPr>
          <w:b/>
          <w:sz w:val="26"/>
          <w:szCs w:val="26"/>
          <w:lang w:eastAsia="en-IE"/>
        </w:rPr>
        <w:t xml:space="preserve"> (Process)</w:t>
      </w:r>
      <w:r w:rsidRPr="001D5250">
        <w:rPr>
          <w:b/>
          <w:sz w:val="26"/>
          <w:szCs w:val="26"/>
          <w:lang w:eastAsia="en-IE"/>
        </w:rPr>
        <w:t>:</w:t>
      </w:r>
      <w:r w:rsidRPr="001D5250">
        <w:rPr>
          <w:sz w:val="26"/>
          <w:szCs w:val="26"/>
          <w:lang w:eastAsia="en-IE"/>
        </w:rPr>
        <w:t xml:space="preserve"> </w:t>
      </w:r>
      <w:r w:rsidRPr="001D5250">
        <w:rPr>
          <w:rFonts w:cs="Arial"/>
          <w:sz w:val="26"/>
          <w:szCs w:val="26"/>
        </w:rPr>
        <w:t>The</w:t>
      </w:r>
      <w:r w:rsidR="00A3224F" w:rsidRPr="001D5250">
        <w:rPr>
          <w:rFonts w:cs="Arial"/>
          <w:sz w:val="26"/>
          <w:szCs w:val="26"/>
        </w:rPr>
        <w:t xml:space="preserve"> </w:t>
      </w:r>
      <w:r w:rsidRPr="001D5250">
        <w:rPr>
          <w:rStyle w:val="Strong"/>
          <w:rFonts w:cs="Arial"/>
          <w:b w:val="0"/>
          <w:sz w:val="26"/>
          <w:szCs w:val="26"/>
        </w:rPr>
        <w:t>Access and Inclusion Model</w:t>
      </w:r>
      <w:r w:rsidR="00331C1F" w:rsidRPr="001D5250">
        <w:rPr>
          <w:rFonts w:cs="Arial"/>
          <w:sz w:val="26"/>
          <w:szCs w:val="26"/>
        </w:rPr>
        <w:t xml:space="preserve"> </w:t>
      </w:r>
      <w:r w:rsidRPr="001D5250">
        <w:rPr>
          <w:rFonts w:cs="Arial"/>
          <w:sz w:val="26"/>
          <w:szCs w:val="26"/>
        </w:rPr>
        <w:t xml:space="preserve">(AIM) is a model of supports designed to ensure that children with disabilities can access the </w:t>
      </w:r>
      <w:r w:rsidR="008653C6">
        <w:rPr>
          <w:rFonts w:cs="Arial"/>
          <w:sz w:val="26"/>
          <w:szCs w:val="26"/>
        </w:rPr>
        <w:t>ECCE</w:t>
      </w:r>
      <w:r w:rsidRPr="001D5250">
        <w:rPr>
          <w:rFonts w:cs="Arial"/>
          <w:sz w:val="26"/>
          <w:szCs w:val="26"/>
        </w:rPr>
        <w:t xml:space="preserve"> Programme.</w:t>
      </w:r>
      <w:r w:rsidR="00331C1F" w:rsidRPr="001D5250">
        <w:rPr>
          <w:rFonts w:cs="Arial"/>
          <w:sz w:val="26"/>
          <w:szCs w:val="26"/>
        </w:rPr>
        <w:t xml:space="preserve"> </w:t>
      </w:r>
      <w:r w:rsidR="005F3492" w:rsidRPr="001D5250">
        <w:rPr>
          <w:sz w:val="26"/>
          <w:szCs w:val="26"/>
          <w:lang w:eastAsia="en-IE"/>
        </w:rPr>
        <w:t>The number of children receiving targeted pre-school support at levels 4, 5</w:t>
      </w:r>
      <w:r w:rsidR="00A95355">
        <w:rPr>
          <w:sz w:val="26"/>
          <w:szCs w:val="26"/>
          <w:lang w:eastAsia="en-IE"/>
        </w:rPr>
        <w:t>, 6</w:t>
      </w:r>
      <w:r w:rsidR="005F3492" w:rsidRPr="001D5250">
        <w:rPr>
          <w:sz w:val="26"/>
          <w:szCs w:val="26"/>
          <w:lang w:eastAsia="en-IE"/>
        </w:rPr>
        <w:t xml:space="preserve"> and 7 of the AIM model increased from</w:t>
      </w:r>
      <w:r w:rsidRPr="001D5250">
        <w:rPr>
          <w:sz w:val="26"/>
          <w:szCs w:val="26"/>
          <w:lang w:eastAsia="en-IE"/>
        </w:rPr>
        <w:t xml:space="preserve"> </w:t>
      </w:r>
      <w:r w:rsidR="005F3492" w:rsidRPr="001D5250">
        <w:rPr>
          <w:sz w:val="26"/>
          <w:szCs w:val="26"/>
          <w:lang w:eastAsia="en-IE"/>
        </w:rPr>
        <w:t>4</w:t>
      </w:r>
      <w:r w:rsidR="008A1698" w:rsidRPr="001D5250">
        <w:rPr>
          <w:sz w:val="26"/>
          <w:szCs w:val="26"/>
          <w:lang w:eastAsia="en-IE"/>
        </w:rPr>
        <w:t>,</w:t>
      </w:r>
      <w:r w:rsidR="005F3492" w:rsidRPr="001D5250">
        <w:rPr>
          <w:sz w:val="26"/>
          <w:szCs w:val="26"/>
          <w:lang w:eastAsia="en-IE"/>
        </w:rPr>
        <w:t>760 in 2016 to 7</w:t>
      </w:r>
      <w:r w:rsidR="008A1698" w:rsidRPr="001D5250">
        <w:rPr>
          <w:sz w:val="26"/>
          <w:szCs w:val="26"/>
          <w:lang w:eastAsia="en-IE"/>
        </w:rPr>
        <w:t>,</w:t>
      </w:r>
      <w:r w:rsidR="005F3492" w:rsidRPr="001D5250">
        <w:rPr>
          <w:sz w:val="26"/>
          <w:szCs w:val="26"/>
          <w:lang w:eastAsia="en-IE"/>
        </w:rPr>
        <w:t>969 in 2018</w:t>
      </w:r>
      <w:r w:rsidRPr="001D5250">
        <w:rPr>
          <w:sz w:val="26"/>
          <w:szCs w:val="26"/>
          <w:lang w:eastAsia="en-IE"/>
        </w:rPr>
        <w:t xml:space="preserve"> (a 67% increase)</w:t>
      </w:r>
      <w:r w:rsidR="005F3492" w:rsidRPr="001D5250">
        <w:rPr>
          <w:sz w:val="26"/>
          <w:szCs w:val="26"/>
          <w:lang w:eastAsia="en-IE"/>
        </w:rPr>
        <w:t>.</w:t>
      </w:r>
      <w:r w:rsidR="00833D0A">
        <w:rPr>
          <w:rStyle w:val="FootnoteReference"/>
          <w:sz w:val="26"/>
          <w:szCs w:val="26"/>
          <w:lang w:eastAsia="en-IE"/>
        </w:rPr>
        <w:footnoteReference w:id="63"/>
      </w:r>
      <w:r w:rsidR="005F3492" w:rsidRPr="001D5250">
        <w:rPr>
          <w:sz w:val="26"/>
          <w:szCs w:val="26"/>
          <w:lang w:eastAsia="en-IE"/>
        </w:rPr>
        <w:t xml:space="preserve"> </w:t>
      </w:r>
      <w:r w:rsidR="001D5250" w:rsidRPr="001D5250">
        <w:rPr>
          <w:sz w:val="26"/>
          <w:szCs w:val="26"/>
        </w:rPr>
        <w:t>There has been a considerable year-on-year increase in the number of AIM Level 7 supports provided to children with disabilities.</w:t>
      </w:r>
      <w:r w:rsidR="001D5250">
        <w:rPr>
          <w:sz w:val="26"/>
          <w:szCs w:val="26"/>
        </w:rPr>
        <w:t xml:space="preserve"> Level 7 supports involves additional assistance in the pre-school room.</w:t>
      </w:r>
      <w:r w:rsidR="00587F09">
        <w:rPr>
          <w:sz w:val="26"/>
          <w:szCs w:val="26"/>
        </w:rPr>
        <w:t xml:space="preserve"> </w:t>
      </w:r>
      <w:r w:rsidR="001D5250" w:rsidRPr="00EA6B30">
        <w:rPr>
          <w:sz w:val="26"/>
          <w:szCs w:val="26"/>
        </w:rPr>
        <w:t xml:space="preserve">Possible reasons </w:t>
      </w:r>
      <w:r w:rsidR="001D5250">
        <w:rPr>
          <w:sz w:val="26"/>
          <w:szCs w:val="26"/>
        </w:rPr>
        <w:t xml:space="preserve">for this </w:t>
      </w:r>
      <w:r w:rsidR="001D5250" w:rsidRPr="00EA6B30">
        <w:rPr>
          <w:sz w:val="26"/>
          <w:szCs w:val="26"/>
        </w:rPr>
        <w:t>may include an increased awareness of AIM or parents increasingly choosing mainstream preschool over specialist provision.</w:t>
      </w:r>
      <w:r w:rsidR="001D5250">
        <w:rPr>
          <w:sz w:val="26"/>
          <w:szCs w:val="26"/>
        </w:rPr>
        <w:t xml:space="preserve"> </w:t>
      </w:r>
      <w:r w:rsidR="008653C6">
        <w:rPr>
          <w:sz w:val="26"/>
          <w:szCs w:val="26"/>
        </w:rPr>
        <w:t>DCYA</w:t>
      </w:r>
      <w:r w:rsidR="001D5250">
        <w:rPr>
          <w:sz w:val="26"/>
          <w:szCs w:val="26"/>
        </w:rPr>
        <w:t xml:space="preserve"> </w:t>
      </w:r>
      <w:r w:rsidR="001D5250" w:rsidRPr="001D5250">
        <w:rPr>
          <w:sz w:val="26"/>
          <w:szCs w:val="26"/>
        </w:rPr>
        <w:t>has established a working group to examine possible reasons for this increase</w:t>
      </w:r>
      <w:r w:rsidR="00250235">
        <w:rPr>
          <w:sz w:val="26"/>
          <w:szCs w:val="26"/>
        </w:rPr>
        <w:t>. The NDA participates in this working group.</w:t>
      </w:r>
    </w:p>
    <w:p w14:paraId="7F5EA415" w14:textId="77777777" w:rsidR="005F3492" w:rsidRPr="009E4ABD" w:rsidRDefault="00331C1F" w:rsidP="009E4ABD">
      <w:pPr>
        <w:rPr>
          <w:szCs w:val="26"/>
          <w:lang w:eastAsia="en-IE"/>
        </w:rPr>
      </w:pPr>
      <w:r w:rsidRPr="009E4ABD">
        <w:rPr>
          <w:szCs w:val="26"/>
          <w:lang w:eastAsia="en-IE"/>
        </w:rPr>
        <w:t>An</w:t>
      </w:r>
      <w:r w:rsidR="00E2555B" w:rsidRPr="009E4ABD">
        <w:rPr>
          <w:szCs w:val="26"/>
          <w:lang w:eastAsia="en-IE"/>
        </w:rPr>
        <w:t xml:space="preserve"> end of year 1 review</w:t>
      </w:r>
      <w:r w:rsidR="00D3623F">
        <w:rPr>
          <w:szCs w:val="26"/>
          <w:lang w:eastAsia="en-IE"/>
        </w:rPr>
        <w:t xml:space="preserve"> commissioned by DCYA</w:t>
      </w:r>
      <w:r w:rsidRPr="00331C1F">
        <w:rPr>
          <w:rStyle w:val="FootnoteReference"/>
          <w:szCs w:val="26"/>
          <w:lang w:eastAsia="en-IE"/>
        </w:rPr>
        <w:footnoteReference w:id="64"/>
      </w:r>
      <w:r w:rsidR="00E2555B" w:rsidRPr="009E4ABD">
        <w:rPr>
          <w:szCs w:val="26"/>
          <w:lang w:eastAsia="en-IE"/>
        </w:rPr>
        <w:t xml:space="preserve">, published in 2019, found </w:t>
      </w:r>
      <w:r w:rsidRPr="009E4ABD">
        <w:rPr>
          <w:szCs w:val="26"/>
          <w:lang w:eastAsia="en-IE"/>
        </w:rPr>
        <w:t xml:space="preserve">that the AIM programme has been ‘broadly welcomed and well received’ and has had positive impacts for children. The review found the model was accessible and equitable. A further evaluation will be carried out which will shed more light on the success of the model as it becomes more embedded into services. Recommendations for improvements in areas such as communication, coverage and scope were included in the review. </w:t>
      </w:r>
      <w:r w:rsidR="00C361B0">
        <w:rPr>
          <w:szCs w:val="26"/>
        </w:rPr>
        <w:t>The NDA advises that it would be useful to be able to monitor unmet need, waiting lists, any impact of overage exemptions and general satisfaction with the programme by parents and carers of children with a disability and that data should be collected on these where possible.</w:t>
      </w:r>
    </w:p>
    <w:p w14:paraId="6CC9B34F" w14:textId="60F24471" w:rsidR="00C361B0" w:rsidRDefault="00AE26A4" w:rsidP="00B95056">
      <w:pPr>
        <w:autoSpaceDE w:val="0"/>
        <w:autoSpaceDN w:val="0"/>
        <w:adjustRightInd w:val="0"/>
        <w:rPr>
          <w:szCs w:val="26"/>
          <w:lang w:eastAsia="en-IE"/>
        </w:rPr>
      </w:pPr>
      <w:r>
        <w:rPr>
          <w:b/>
          <w:lang w:eastAsia="en-IE"/>
        </w:rPr>
        <w:t xml:space="preserve">Indicator </w:t>
      </w:r>
      <w:r w:rsidR="005C749E" w:rsidRPr="009528E4">
        <w:rPr>
          <w:b/>
          <w:szCs w:val="26"/>
          <w:lang w:eastAsia="en-IE"/>
        </w:rPr>
        <w:t>3.1b. Numbers of primary and post primary schools delivering mental health pr</w:t>
      </w:r>
      <w:r w:rsidR="009528E4" w:rsidRPr="009528E4">
        <w:rPr>
          <w:b/>
          <w:szCs w:val="26"/>
          <w:lang w:eastAsia="en-IE"/>
        </w:rPr>
        <w:t>omotion and well-being supports</w:t>
      </w:r>
      <w:r w:rsidR="006C4D04">
        <w:rPr>
          <w:b/>
          <w:szCs w:val="26"/>
          <w:lang w:eastAsia="en-IE"/>
        </w:rPr>
        <w:t xml:space="preserve"> (Process)</w:t>
      </w:r>
      <w:r w:rsidR="009528E4" w:rsidRPr="009528E4">
        <w:rPr>
          <w:b/>
          <w:szCs w:val="26"/>
          <w:lang w:eastAsia="en-IE"/>
        </w:rPr>
        <w:t>:</w:t>
      </w:r>
      <w:r w:rsidR="00250235">
        <w:rPr>
          <w:szCs w:val="26"/>
          <w:lang w:eastAsia="en-IE"/>
        </w:rPr>
        <w:t xml:space="preserve"> T</w:t>
      </w:r>
      <w:r w:rsidR="009528E4">
        <w:rPr>
          <w:szCs w:val="26"/>
          <w:lang w:eastAsia="en-IE"/>
        </w:rPr>
        <w:t xml:space="preserve">here have been a number of developments in this area such as </w:t>
      </w:r>
      <w:r w:rsidR="00A44E4A">
        <w:rPr>
          <w:szCs w:val="26"/>
          <w:lang w:eastAsia="en-IE"/>
        </w:rPr>
        <w:t xml:space="preserve">DES </w:t>
      </w:r>
      <w:r w:rsidR="009528E4">
        <w:rPr>
          <w:szCs w:val="26"/>
          <w:lang w:eastAsia="en-IE"/>
        </w:rPr>
        <w:t xml:space="preserve">developing a </w:t>
      </w:r>
      <w:r w:rsidR="009528E4" w:rsidRPr="009528E4">
        <w:rPr>
          <w:szCs w:val="26"/>
          <w:lang w:eastAsia="en-IE"/>
        </w:rPr>
        <w:t xml:space="preserve">Wellbeing </w:t>
      </w:r>
      <w:r w:rsidR="000103E5">
        <w:rPr>
          <w:szCs w:val="26"/>
          <w:lang w:eastAsia="en-IE"/>
        </w:rPr>
        <w:t xml:space="preserve">Policy Statement and </w:t>
      </w:r>
      <w:r w:rsidR="009528E4" w:rsidRPr="009528E4">
        <w:rPr>
          <w:szCs w:val="26"/>
          <w:lang w:eastAsia="en-IE"/>
        </w:rPr>
        <w:t>Framework for Practice</w:t>
      </w:r>
      <w:r w:rsidR="00EF040B">
        <w:rPr>
          <w:rStyle w:val="FootnoteReference"/>
          <w:szCs w:val="26"/>
          <w:lang w:eastAsia="en-IE"/>
        </w:rPr>
        <w:footnoteReference w:id="65"/>
      </w:r>
      <w:r w:rsidR="009528E4">
        <w:rPr>
          <w:szCs w:val="26"/>
          <w:lang w:eastAsia="en-IE"/>
        </w:rPr>
        <w:t xml:space="preserve"> </w:t>
      </w:r>
      <w:r w:rsidR="006B122D">
        <w:rPr>
          <w:szCs w:val="26"/>
          <w:lang w:eastAsia="en-IE"/>
        </w:rPr>
        <w:t xml:space="preserve">in </w:t>
      </w:r>
      <w:r w:rsidR="004C20A7">
        <w:rPr>
          <w:szCs w:val="26"/>
          <w:lang w:eastAsia="en-IE"/>
        </w:rPr>
        <w:t xml:space="preserve">2019 </w:t>
      </w:r>
      <w:r w:rsidR="009528E4" w:rsidRPr="009528E4">
        <w:rPr>
          <w:szCs w:val="26"/>
          <w:lang w:eastAsia="en-IE"/>
        </w:rPr>
        <w:t xml:space="preserve">with mental health topics as part of the </w:t>
      </w:r>
      <w:r w:rsidR="009528E4">
        <w:rPr>
          <w:szCs w:val="26"/>
          <w:lang w:eastAsia="en-IE"/>
        </w:rPr>
        <w:t xml:space="preserve">Social, Personal and Health Education </w:t>
      </w:r>
      <w:r w:rsidR="009528E4" w:rsidRPr="009528E4">
        <w:rPr>
          <w:szCs w:val="26"/>
          <w:lang w:eastAsia="en-IE"/>
        </w:rPr>
        <w:t>curriculum</w:t>
      </w:r>
      <w:r w:rsidR="00250235">
        <w:rPr>
          <w:szCs w:val="26"/>
          <w:lang w:eastAsia="en-IE"/>
        </w:rPr>
        <w:t xml:space="preserve"> for all schools. However</w:t>
      </w:r>
      <w:r w:rsidR="009528E4">
        <w:rPr>
          <w:szCs w:val="26"/>
          <w:lang w:eastAsia="en-IE"/>
        </w:rPr>
        <w:t xml:space="preserve">, there are no data to measure the effectiveness or impact of this. </w:t>
      </w:r>
      <w:r w:rsidR="001D5250">
        <w:rPr>
          <w:szCs w:val="26"/>
          <w:lang w:eastAsia="en-IE"/>
        </w:rPr>
        <w:t xml:space="preserve">There is also no information as to whether this initiative has been modified for persons with a disability. </w:t>
      </w:r>
      <w:r w:rsidR="008F4EF2">
        <w:rPr>
          <w:szCs w:val="26"/>
          <w:lang w:eastAsia="en-IE"/>
        </w:rPr>
        <w:t xml:space="preserve">The NDA </w:t>
      </w:r>
      <w:r w:rsidR="00250235">
        <w:rPr>
          <w:szCs w:val="26"/>
          <w:lang w:eastAsia="en-IE"/>
        </w:rPr>
        <w:t>will undertake</w:t>
      </w:r>
      <w:r w:rsidR="008F4EF2">
        <w:rPr>
          <w:szCs w:val="26"/>
          <w:lang w:eastAsia="en-IE"/>
        </w:rPr>
        <w:t xml:space="preserve"> further consultation with </w:t>
      </w:r>
      <w:r w:rsidR="00A44E4A">
        <w:rPr>
          <w:szCs w:val="26"/>
          <w:lang w:eastAsia="en-IE"/>
        </w:rPr>
        <w:t>DES</w:t>
      </w:r>
      <w:r w:rsidR="008F4EF2">
        <w:rPr>
          <w:szCs w:val="26"/>
          <w:lang w:eastAsia="en-IE"/>
        </w:rPr>
        <w:t xml:space="preserve"> and Mental Health organisations </w:t>
      </w:r>
      <w:r w:rsidR="001659F4">
        <w:rPr>
          <w:szCs w:val="26"/>
          <w:lang w:eastAsia="en-IE"/>
        </w:rPr>
        <w:t>who work with</w:t>
      </w:r>
      <w:r w:rsidR="008F4EF2">
        <w:rPr>
          <w:szCs w:val="26"/>
          <w:lang w:eastAsia="en-IE"/>
        </w:rPr>
        <w:t xml:space="preserve"> young people to examine the possibilities of </w:t>
      </w:r>
      <w:r w:rsidR="00C23519">
        <w:rPr>
          <w:szCs w:val="26"/>
          <w:lang w:eastAsia="en-IE"/>
        </w:rPr>
        <w:t>accessing</w:t>
      </w:r>
      <w:r w:rsidR="008F4EF2">
        <w:rPr>
          <w:szCs w:val="26"/>
          <w:lang w:eastAsia="en-IE"/>
        </w:rPr>
        <w:t xml:space="preserve"> quantitative or qualitative data </w:t>
      </w:r>
      <w:r w:rsidR="008F4EF2" w:rsidRPr="009F2A46">
        <w:rPr>
          <w:szCs w:val="26"/>
          <w:lang w:eastAsia="en-IE"/>
        </w:rPr>
        <w:t>to measure and track the trends in mental wellbeing of</w:t>
      </w:r>
      <w:r w:rsidR="00467DE7">
        <w:rPr>
          <w:szCs w:val="26"/>
          <w:lang w:eastAsia="en-IE"/>
        </w:rPr>
        <w:t xml:space="preserve"> young people.</w:t>
      </w:r>
    </w:p>
    <w:p w14:paraId="0980F998" w14:textId="2DC59AB7" w:rsidR="000D441F" w:rsidRDefault="007475E3" w:rsidP="007475E3">
      <w:pPr>
        <w:rPr>
          <w:color w:val="000000" w:themeColor="text1"/>
          <w:szCs w:val="26"/>
        </w:rPr>
      </w:pPr>
      <w:r>
        <w:t xml:space="preserve">Some national data on the mental wellbeing of samples of children is available. </w:t>
      </w:r>
      <w:r w:rsidR="00EB32DC" w:rsidRPr="006C4D04">
        <w:t>In 2015/16, the Growing up in Ireland</w:t>
      </w:r>
      <w:r w:rsidR="00B95056">
        <w:t xml:space="preserve"> (GUI)</w:t>
      </w:r>
      <w:r w:rsidR="00EB32DC" w:rsidRPr="006C4D04">
        <w:t xml:space="preserve"> national longitudinal study of children measured </w:t>
      </w:r>
      <w:r>
        <w:t xml:space="preserve">the </w:t>
      </w:r>
      <w:r w:rsidR="00EB32DC" w:rsidRPr="006C4D04">
        <w:t>depressive symptoms reported by 17/18 year olds using the Short Mood and Feelings Questionnaire</w:t>
      </w:r>
      <w:r w:rsidR="00B95056">
        <w:rPr>
          <w:rStyle w:val="FootnoteReference"/>
        </w:rPr>
        <w:footnoteReference w:id="66"/>
      </w:r>
      <w:r w:rsidR="00EB32DC" w:rsidRPr="006C4D04">
        <w:t xml:space="preserve">. The study found that 25% of females scored high </w:t>
      </w:r>
      <w:r w:rsidR="00EB32DC" w:rsidRPr="007448F7">
        <w:rPr>
          <w:color w:val="000000" w:themeColor="text1"/>
          <w:szCs w:val="26"/>
        </w:rPr>
        <w:t>for depressive symptoms on this scale compared to 16% of males.</w:t>
      </w:r>
      <w:r w:rsidR="0001098C">
        <w:rPr>
          <w:rStyle w:val="FootnoteReference"/>
          <w:color w:val="000000" w:themeColor="text1"/>
          <w:szCs w:val="26"/>
        </w:rPr>
        <w:footnoteReference w:id="67"/>
      </w:r>
    </w:p>
    <w:p w14:paraId="52B95478" w14:textId="6D3ED869" w:rsidR="000D441F" w:rsidRDefault="00EB32DC" w:rsidP="007475E3">
      <w:pPr>
        <w:rPr>
          <w:color w:val="000000" w:themeColor="text1"/>
          <w:szCs w:val="26"/>
        </w:rPr>
      </w:pPr>
      <w:r w:rsidRPr="007448F7">
        <w:rPr>
          <w:color w:val="000000" w:themeColor="text1"/>
          <w:szCs w:val="26"/>
        </w:rPr>
        <w:t xml:space="preserve">In 2017, </w:t>
      </w:r>
      <w:r w:rsidR="00B95056" w:rsidRPr="007448F7">
        <w:rPr>
          <w:color w:val="000000" w:themeColor="text1"/>
          <w:szCs w:val="26"/>
        </w:rPr>
        <w:t>the GUI study</w:t>
      </w:r>
      <w:r w:rsidRPr="007448F7">
        <w:rPr>
          <w:color w:val="000000" w:themeColor="text1"/>
          <w:szCs w:val="26"/>
        </w:rPr>
        <w:t xml:space="preserve"> measured the socio-emotional and behavioural difficulties of 9 year olds using the Strengths and Difficulties Questionnaire (SDQ)</w:t>
      </w:r>
      <w:r w:rsidR="00B95056" w:rsidRPr="007448F7">
        <w:rPr>
          <w:rStyle w:val="FootnoteReference"/>
          <w:color w:val="000000" w:themeColor="text1"/>
          <w:szCs w:val="26"/>
        </w:rPr>
        <w:footnoteReference w:id="68"/>
      </w:r>
      <w:r w:rsidR="00B95056" w:rsidRPr="007448F7">
        <w:rPr>
          <w:color w:val="000000" w:themeColor="text1"/>
          <w:szCs w:val="26"/>
        </w:rPr>
        <w:t xml:space="preserve"> which</w:t>
      </w:r>
      <w:r w:rsidRPr="007448F7">
        <w:rPr>
          <w:color w:val="000000" w:themeColor="text1"/>
          <w:szCs w:val="26"/>
        </w:rPr>
        <w:t xml:space="preserve"> measures behaviours associated with conduct problems, hyperactivity, emotionality and peer </w:t>
      </w:r>
      <w:r w:rsidRPr="00CE0562">
        <w:rPr>
          <w:color w:val="000000" w:themeColor="text1"/>
          <w:szCs w:val="26"/>
        </w:rPr>
        <w:t>relationship problems. This study found that 14% of 9 year old boys were rated as having socio-emotional and behavioural difficulties compared to 9%</w:t>
      </w:r>
      <w:r w:rsidR="00B95056" w:rsidRPr="00CE0562">
        <w:rPr>
          <w:color w:val="000000" w:themeColor="text1"/>
          <w:szCs w:val="26"/>
        </w:rPr>
        <w:t xml:space="preserve"> of</w:t>
      </w:r>
      <w:r w:rsidRPr="00CE0562">
        <w:rPr>
          <w:color w:val="000000" w:themeColor="text1"/>
          <w:szCs w:val="26"/>
        </w:rPr>
        <w:t xml:space="preserve"> 9 year old girls</w:t>
      </w:r>
      <w:r w:rsidR="0001098C">
        <w:rPr>
          <w:rStyle w:val="FootnoteReference"/>
          <w:color w:val="000000" w:themeColor="text1"/>
          <w:szCs w:val="26"/>
        </w:rPr>
        <w:footnoteReference w:id="69"/>
      </w:r>
      <w:r w:rsidRPr="00CE0562">
        <w:rPr>
          <w:color w:val="000000" w:themeColor="text1"/>
          <w:szCs w:val="26"/>
        </w:rPr>
        <w:t>.</w:t>
      </w:r>
    </w:p>
    <w:p w14:paraId="10F0DD4E" w14:textId="562AB0C2" w:rsidR="009F2A46" w:rsidRPr="006C4D04" w:rsidRDefault="00511243" w:rsidP="007475E3">
      <w:pPr>
        <w:rPr>
          <w:rFonts w:ascii="ArnoPro-Regular" w:eastAsiaTheme="minorHAnsi" w:hAnsi="ArnoPro-Regular" w:cs="ArnoPro-Regular"/>
          <w:sz w:val="24"/>
        </w:rPr>
      </w:pPr>
      <w:r w:rsidRPr="00CE0562">
        <w:rPr>
          <w:color w:val="000000" w:themeColor="text1"/>
          <w:szCs w:val="26"/>
          <w:lang w:eastAsia="en-IE"/>
        </w:rPr>
        <w:t>In 2018, t</w:t>
      </w:r>
      <w:r w:rsidR="00B95056" w:rsidRPr="00CE0562">
        <w:rPr>
          <w:color w:val="000000" w:themeColor="text1"/>
          <w:szCs w:val="26"/>
          <w:lang w:eastAsia="en-IE"/>
        </w:rPr>
        <w:t>he Health Behaviour in School-</w:t>
      </w:r>
      <w:r w:rsidR="00665984" w:rsidRPr="00CE0562">
        <w:rPr>
          <w:color w:val="000000" w:themeColor="text1"/>
          <w:szCs w:val="26"/>
          <w:lang w:eastAsia="en-IE"/>
        </w:rPr>
        <w:t xml:space="preserve">Aged Children </w:t>
      </w:r>
      <w:r w:rsidR="00B95056" w:rsidRPr="00CE0562">
        <w:rPr>
          <w:color w:val="000000" w:themeColor="text1"/>
          <w:szCs w:val="26"/>
          <w:lang w:eastAsia="en-IE"/>
        </w:rPr>
        <w:t>(HBSC) s</w:t>
      </w:r>
      <w:r w:rsidR="00665984" w:rsidRPr="00CE0562">
        <w:rPr>
          <w:color w:val="000000" w:themeColor="text1"/>
          <w:szCs w:val="26"/>
          <w:lang w:eastAsia="en-IE"/>
        </w:rPr>
        <w:t>urvey</w:t>
      </w:r>
      <w:r w:rsidR="00F34856" w:rsidRPr="00CE0562">
        <w:rPr>
          <w:rStyle w:val="FootnoteReference"/>
          <w:color w:val="000000" w:themeColor="text1"/>
          <w:szCs w:val="26"/>
          <w:lang w:eastAsia="en-IE"/>
        </w:rPr>
        <w:footnoteReference w:id="70"/>
      </w:r>
      <w:r w:rsidR="00665984" w:rsidRPr="00CE0562">
        <w:rPr>
          <w:color w:val="000000" w:themeColor="text1"/>
          <w:szCs w:val="26"/>
          <w:lang w:eastAsia="en-IE"/>
        </w:rPr>
        <w:t xml:space="preserve"> use</w:t>
      </w:r>
      <w:r w:rsidRPr="00CE0562">
        <w:rPr>
          <w:color w:val="000000" w:themeColor="text1"/>
          <w:szCs w:val="26"/>
          <w:lang w:eastAsia="en-IE"/>
        </w:rPr>
        <w:t>d</w:t>
      </w:r>
      <w:r w:rsidR="00665984" w:rsidRPr="00CE0562">
        <w:rPr>
          <w:color w:val="000000" w:themeColor="text1"/>
          <w:szCs w:val="26"/>
          <w:lang w:eastAsia="en-IE"/>
        </w:rPr>
        <w:t xml:space="preserve"> two </w:t>
      </w:r>
      <w:r w:rsidR="009F2A46" w:rsidRPr="00CE0562">
        <w:rPr>
          <w:color w:val="000000" w:themeColor="text1"/>
          <w:szCs w:val="26"/>
          <w:lang w:eastAsia="en-IE"/>
        </w:rPr>
        <w:t>tools</w:t>
      </w:r>
      <w:r w:rsidR="00C361B0" w:rsidRPr="007448F7">
        <w:rPr>
          <w:color w:val="000000" w:themeColor="text1"/>
          <w:szCs w:val="26"/>
          <w:lang w:eastAsia="en-IE"/>
        </w:rPr>
        <w:t xml:space="preserve"> (the Mental Health Inventory</w:t>
      </w:r>
      <w:r w:rsidR="00CF1F22" w:rsidRPr="007448F7">
        <w:rPr>
          <w:rStyle w:val="FootnoteReference"/>
          <w:color w:val="000000" w:themeColor="text1"/>
          <w:szCs w:val="26"/>
          <w:lang w:eastAsia="en-IE"/>
        </w:rPr>
        <w:footnoteReference w:id="71"/>
      </w:r>
      <w:r w:rsidR="00C361B0" w:rsidRPr="007448F7">
        <w:rPr>
          <w:color w:val="000000" w:themeColor="text1"/>
          <w:szCs w:val="26"/>
          <w:lang w:eastAsia="en-IE"/>
        </w:rPr>
        <w:t xml:space="preserve"> and The WHO Well-Being Index</w:t>
      </w:r>
      <w:r w:rsidR="00CF1F22" w:rsidRPr="007448F7">
        <w:rPr>
          <w:rStyle w:val="FootnoteReference"/>
          <w:color w:val="000000" w:themeColor="text1"/>
          <w:szCs w:val="26"/>
          <w:lang w:eastAsia="en-IE"/>
        </w:rPr>
        <w:footnoteReference w:id="72"/>
      </w:r>
      <w:r w:rsidR="00C361B0" w:rsidRPr="007448F7">
        <w:rPr>
          <w:color w:val="000000" w:themeColor="text1"/>
          <w:szCs w:val="26"/>
          <w:lang w:eastAsia="en-IE"/>
        </w:rPr>
        <w:t>)</w:t>
      </w:r>
      <w:r w:rsidR="009F2A46" w:rsidRPr="007448F7">
        <w:rPr>
          <w:color w:val="000000" w:themeColor="text1"/>
          <w:szCs w:val="26"/>
          <w:lang w:eastAsia="en-IE"/>
        </w:rPr>
        <w:t xml:space="preserve"> to </w:t>
      </w:r>
      <w:r w:rsidR="009C3B8B" w:rsidRPr="007448F7">
        <w:rPr>
          <w:color w:val="000000" w:themeColor="text1"/>
          <w:szCs w:val="26"/>
          <w:lang w:eastAsia="en-IE"/>
        </w:rPr>
        <w:t>measure</w:t>
      </w:r>
      <w:r w:rsidR="009F2A46" w:rsidRPr="007448F7">
        <w:rPr>
          <w:color w:val="000000" w:themeColor="text1"/>
          <w:szCs w:val="26"/>
          <w:lang w:eastAsia="en-IE"/>
        </w:rPr>
        <w:t xml:space="preserve"> the mental health of young students aged 15 to 17 years. </w:t>
      </w:r>
      <w:r w:rsidR="00C361B0" w:rsidRPr="007448F7">
        <w:rPr>
          <w:rFonts w:eastAsiaTheme="minorHAnsi" w:cs="ArnoPro-Regular"/>
          <w:color w:val="000000" w:themeColor="text1"/>
          <w:szCs w:val="26"/>
        </w:rPr>
        <w:t>On the</w:t>
      </w:r>
      <w:r w:rsidR="009F2A46" w:rsidRPr="007448F7">
        <w:rPr>
          <w:rFonts w:eastAsiaTheme="minorHAnsi" w:cs="ArnoPro-Regular"/>
          <w:color w:val="000000" w:themeColor="text1"/>
          <w:szCs w:val="26"/>
        </w:rPr>
        <w:t xml:space="preserve"> </w:t>
      </w:r>
      <w:r w:rsidR="00C361B0" w:rsidRPr="007448F7">
        <w:rPr>
          <w:rFonts w:eastAsiaTheme="minorHAnsi" w:cs="ArnoPro-Regular"/>
          <w:color w:val="000000" w:themeColor="text1"/>
          <w:szCs w:val="26"/>
        </w:rPr>
        <w:t xml:space="preserve">Mental Health Inventory scale </w:t>
      </w:r>
      <w:r w:rsidR="009F2A46" w:rsidRPr="007448F7">
        <w:rPr>
          <w:rFonts w:eastAsiaTheme="minorHAnsi" w:cs="ArnoPro-Regular"/>
          <w:color w:val="000000" w:themeColor="text1"/>
          <w:szCs w:val="26"/>
        </w:rPr>
        <w:t xml:space="preserve">between 0 and 100 (the higher the score the greater the mental health problems) the students </w:t>
      </w:r>
      <w:r w:rsidR="009F2A46" w:rsidRPr="009F2A46">
        <w:rPr>
          <w:rFonts w:eastAsiaTheme="minorHAnsi" w:cs="ArnoPro-Regular"/>
          <w:szCs w:val="26"/>
        </w:rPr>
        <w:t>scored 34.</w:t>
      </w:r>
      <w:r w:rsidR="00337C19">
        <w:rPr>
          <w:rFonts w:eastAsiaTheme="minorHAnsi" w:cs="ArnoPro-Regular"/>
          <w:szCs w:val="26"/>
        </w:rPr>
        <w:t>7</w:t>
      </w:r>
      <w:r w:rsidR="00337C19" w:rsidRPr="009F2A46">
        <w:rPr>
          <w:rFonts w:eastAsiaTheme="minorHAnsi" w:cs="ArnoPro-Regular"/>
          <w:szCs w:val="26"/>
        </w:rPr>
        <w:t xml:space="preserve"> </w:t>
      </w:r>
      <w:r w:rsidR="009F2A46" w:rsidRPr="009F2A46">
        <w:rPr>
          <w:rFonts w:eastAsiaTheme="minorHAnsi" w:cs="ArnoPro-Regular"/>
          <w:szCs w:val="26"/>
        </w:rPr>
        <w:t>(SD = 20.</w:t>
      </w:r>
      <w:r w:rsidR="00337C19">
        <w:rPr>
          <w:rFonts w:eastAsiaTheme="minorHAnsi" w:cs="ArnoPro-Regular"/>
          <w:szCs w:val="26"/>
        </w:rPr>
        <w:t>1</w:t>
      </w:r>
      <w:r w:rsidR="009F2A46" w:rsidRPr="009F2A46">
        <w:rPr>
          <w:rFonts w:eastAsiaTheme="minorHAnsi" w:cs="ArnoPro-Regular"/>
          <w:szCs w:val="26"/>
        </w:rPr>
        <w:t>)</w:t>
      </w:r>
      <w:r w:rsidR="00C361B0">
        <w:rPr>
          <w:rFonts w:eastAsiaTheme="minorHAnsi" w:cs="ArnoPro-Regular"/>
          <w:szCs w:val="26"/>
        </w:rPr>
        <w:t xml:space="preserve"> and on the WHO Well-Being Index with a</w:t>
      </w:r>
      <w:r w:rsidR="00665984" w:rsidRPr="009F2A46">
        <w:rPr>
          <w:rFonts w:eastAsiaTheme="minorHAnsi" w:cs="ArnoPro-Regular"/>
          <w:szCs w:val="26"/>
        </w:rPr>
        <w:t xml:space="preserve"> scale between 0 and 100 (where </w:t>
      </w:r>
      <w:r w:rsidR="009F2A46" w:rsidRPr="009F2A46">
        <w:rPr>
          <w:rFonts w:eastAsiaTheme="minorHAnsi" w:cs="ArnoPro-Regular"/>
          <w:szCs w:val="26"/>
        </w:rPr>
        <w:t xml:space="preserve">the lower the score the </w:t>
      </w:r>
      <w:r w:rsidR="009F40D4">
        <w:rPr>
          <w:rFonts w:eastAsiaTheme="minorHAnsi" w:cs="ArnoPro-Regular"/>
          <w:szCs w:val="26"/>
        </w:rPr>
        <w:t>poorer</w:t>
      </w:r>
      <w:r w:rsidR="009F40D4" w:rsidRPr="009F2A46">
        <w:rPr>
          <w:rFonts w:eastAsiaTheme="minorHAnsi" w:cs="ArnoPro-Regular"/>
          <w:szCs w:val="26"/>
        </w:rPr>
        <w:t xml:space="preserve"> </w:t>
      </w:r>
      <w:r w:rsidR="009F2A46" w:rsidRPr="009F2A46">
        <w:rPr>
          <w:rFonts w:eastAsiaTheme="minorHAnsi" w:cs="ArnoPro-Regular"/>
          <w:szCs w:val="26"/>
        </w:rPr>
        <w:t>the wellbeing</w:t>
      </w:r>
      <w:r w:rsidR="00665984" w:rsidRPr="009F2A46">
        <w:rPr>
          <w:rFonts w:eastAsiaTheme="minorHAnsi" w:cs="ArnoPro-Regular"/>
          <w:szCs w:val="26"/>
        </w:rPr>
        <w:t xml:space="preserve">), </w:t>
      </w:r>
      <w:r w:rsidR="009F2A46" w:rsidRPr="009F2A46">
        <w:rPr>
          <w:rFonts w:eastAsiaTheme="minorHAnsi" w:cs="ArnoPro-Regular"/>
          <w:szCs w:val="26"/>
        </w:rPr>
        <w:t>the students</w:t>
      </w:r>
      <w:r w:rsidR="00665984" w:rsidRPr="009F2A46">
        <w:rPr>
          <w:rFonts w:eastAsiaTheme="minorHAnsi" w:cs="ArnoPro-Regular"/>
          <w:szCs w:val="26"/>
        </w:rPr>
        <w:t xml:space="preserve"> scored 50.5 (SD =</w:t>
      </w:r>
      <w:r w:rsidR="009F2A46" w:rsidRPr="009F2A46">
        <w:rPr>
          <w:rFonts w:eastAsiaTheme="minorHAnsi" w:cs="ArnoPro-Regular"/>
          <w:szCs w:val="26"/>
        </w:rPr>
        <w:t xml:space="preserve"> </w:t>
      </w:r>
      <w:r w:rsidR="00665984" w:rsidRPr="009F2A46">
        <w:rPr>
          <w:rFonts w:eastAsiaTheme="minorHAnsi" w:cs="ArnoPro-Regular"/>
          <w:szCs w:val="26"/>
        </w:rPr>
        <w:t xml:space="preserve">22.2). </w:t>
      </w:r>
      <w:r w:rsidR="009F2A46" w:rsidRPr="009F2A46">
        <w:rPr>
          <w:rFonts w:eastAsiaTheme="minorHAnsi" w:cs="ArnoPro-Regular"/>
          <w:szCs w:val="26"/>
        </w:rPr>
        <w:t>Unfortunately these data were not disaggregated by disability status</w:t>
      </w:r>
      <w:r w:rsidR="00A06979">
        <w:rPr>
          <w:rFonts w:eastAsiaTheme="minorHAnsi" w:cs="ArnoPro-Regular"/>
          <w:szCs w:val="26"/>
        </w:rPr>
        <w:t>, nor were they available for younger children</w:t>
      </w:r>
      <w:r w:rsidR="00467DE7">
        <w:rPr>
          <w:rFonts w:eastAsiaTheme="minorHAnsi" w:cs="ArnoPro-Regular"/>
          <w:szCs w:val="26"/>
        </w:rPr>
        <w:t>.</w:t>
      </w:r>
    </w:p>
    <w:p w14:paraId="0366B9B4" w14:textId="5946D329" w:rsidR="00923ED9" w:rsidRDefault="00923ED9" w:rsidP="00923ED9">
      <w:pPr>
        <w:rPr>
          <w:color w:val="000000" w:themeColor="text1"/>
        </w:rPr>
      </w:pPr>
      <w:r w:rsidRPr="00FA5B95">
        <w:rPr>
          <w:b/>
        </w:rPr>
        <w:t xml:space="preserve">Indicator 3.1c. Highest level of education attainment (primary, secondary, </w:t>
      </w:r>
      <w:r w:rsidR="00B355E9">
        <w:rPr>
          <w:b/>
        </w:rPr>
        <w:t>further education and training</w:t>
      </w:r>
      <w:r>
        <w:rPr>
          <w:b/>
        </w:rPr>
        <w:t>, tertiary</w:t>
      </w:r>
      <w:r w:rsidRPr="00FA5B95">
        <w:rPr>
          <w:b/>
        </w:rPr>
        <w:t>) among persons with disability by disability type</w:t>
      </w:r>
      <w:r w:rsidR="00350A82">
        <w:rPr>
          <w:b/>
        </w:rPr>
        <w:t xml:space="preserve"> (Outcome)</w:t>
      </w:r>
      <w:r w:rsidRPr="00FA5B95">
        <w:rPr>
          <w:b/>
        </w:rPr>
        <w:t>:</w:t>
      </w:r>
      <w:r w:rsidRPr="00FA5B95">
        <w:t xml:space="preserve"> The 2016 </w:t>
      </w:r>
      <w:r w:rsidR="00BD025B">
        <w:t>census</w:t>
      </w:r>
      <w:r w:rsidRPr="00FA5B95">
        <w:t xml:space="preserve"> found that 20.8% of persons </w:t>
      </w:r>
      <w:r>
        <w:t xml:space="preserve">aged fifteen and older </w:t>
      </w:r>
      <w:r w:rsidRPr="00FA5B95">
        <w:t xml:space="preserve">with a disability had primary education as their highest level of education compared to </w:t>
      </w:r>
      <w:r>
        <w:t>6.7</w:t>
      </w:r>
      <w:r w:rsidRPr="00FA5B95">
        <w:t xml:space="preserve">% of </w:t>
      </w:r>
      <w:r>
        <w:t xml:space="preserve">those aged fifteen and over without a disability (see Figure </w:t>
      </w:r>
      <w:r w:rsidR="00E95BF9">
        <w:t>2</w:t>
      </w:r>
      <w:r>
        <w:t>)</w:t>
      </w:r>
      <w:r w:rsidRPr="00FA5B95">
        <w:t>.</w:t>
      </w:r>
      <w:r w:rsidR="00FE771D">
        <w:rPr>
          <w:rStyle w:val="FootnoteReference"/>
        </w:rPr>
        <w:footnoteReference w:id="73"/>
      </w:r>
      <w:r w:rsidRPr="00FA5B95">
        <w:t xml:space="preserve"> The corresponding figures were 29.9% vs </w:t>
      </w:r>
      <w:r>
        <w:t>26.8</w:t>
      </w:r>
      <w:r w:rsidRPr="00FA5B95">
        <w:t>% for secondary level, 13.6% vs 16.</w:t>
      </w:r>
      <w:r>
        <w:t>7</w:t>
      </w:r>
      <w:r w:rsidRPr="00FA5B95">
        <w:t xml:space="preserve">% for </w:t>
      </w:r>
      <w:r w:rsidR="0065670E">
        <w:t>further education and training (FET)</w:t>
      </w:r>
      <w:r w:rsidRPr="00FA5B95">
        <w:t xml:space="preserve">, and 13.1% vs </w:t>
      </w:r>
      <w:r>
        <w:t>25.4</w:t>
      </w:r>
      <w:r w:rsidRPr="00FA5B95">
        <w:t>% for tertiary education</w:t>
      </w:r>
      <w:r>
        <w:t xml:space="preserve">. </w:t>
      </w:r>
      <w:r w:rsidRPr="00FA5B95">
        <w:t xml:space="preserve">These figures show that persons with a disability are more likely to have a primary level education and are less likely to go to third level or FET. </w:t>
      </w:r>
      <w:r>
        <w:t xml:space="preserve">However, it should be noted </w:t>
      </w:r>
      <w:r w:rsidRPr="00A73D61">
        <w:rPr>
          <w:color w:val="000000" w:themeColor="text1"/>
        </w:rPr>
        <w:t xml:space="preserve">that some of this difference may be accounted for by the older age profile of those with disabilities, as older </w:t>
      </w:r>
      <w:r w:rsidR="001E24E9" w:rsidRPr="00A73D61">
        <w:rPr>
          <w:color w:val="000000" w:themeColor="text1"/>
        </w:rPr>
        <w:t xml:space="preserve">persons with disabilities </w:t>
      </w:r>
      <w:r w:rsidRPr="00A73D61">
        <w:rPr>
          <w:color w:val="000000" w:themeColor="text1"/>
        </w:rPr>
        <w:t xml:space="preserve">are more likely to have lower levels of education than younger age groups. The proportions of those with a disability </w:t>
      </w:r>
      <w:r w:rsidR="00A73D61" w:rsidRPr="00A73D61">
        <w:rPr>
          <w:color w:val="000000" w:themeColor="text1"/>
        </w:rPr>
        <w:t>whose highest level of educational attainment was</w:t>
      </w:r>
      <w:r w:rsidRPr="00A73D61">
        <w:rPr>
          <w:color w:val="000000" w:themeColor="text1"/>
        </w:rPr>
        <w:t xml:space="preserve"> FET or tertiary education were slightly higher in 2016 than in the 2011 </w:t>
      </w:r>
      <w:r w:rsidR="00BD025B">
        <w:rPr>
          <w:color w:val="000000" w:themeColor="text1"/>
        </w:rPr>
        <w:t>census</w:t>
      </w:r>
      <w:r w:rsidRPr="00A73D61">
        <w:rPr>
          <w:color w:val="000000" w:themeColor="text1"/>
        </w:rPr>
        <w:t xml:space="preserve"> (in 2011, FET level was </w:t>
      </w:r>
      <w:r w:rsidRPr="00A73D61">
        <w:rPr>
          <w:rFonts w:cs="Calibri"/>
          <w:color w:val="000000" w:themeColor="text1"/>
          <w:lang w:eastAsia="en-IE"/>
        </w:rPr>
        <w:t>12.0%</w:t>
      </w:r>
      <w:r w:rsidR="00A73D61" w:rsidRPr="00A73D61">
        <w:rPr>
          <w:rFonts w:cs="Calibri"/>
          <w:color w:val="000000" w:themeColor="text1"/>
          <w:lang w:eastAsia="en-IE"/>
        </w:rPr>
        <w:t xml:space="preserve"> compared to 13.6% in 2016</w:t>
      </w:r>
      <w:r w:rsidRPr="00A73D61">
        <w:rPr>
          <w:rFonts w:cs="Calibri"/>
          <w:color w:val="000000" w:themeColor="text1"/>
          <w:lang w:eastAsia="en-IE"/>
        </w:rPr>
        <w:t xml:space="preserve"> and tertiary was 10.8%</w:t>
      </w:r>
      <w:r w:rsidR="00A73D61" w:rsidRPr="00A73D61">
        <w:rPr>
          <w:rFonts w:cs="Calibri"/>
          <w:color w:val="000000" w:themeColor="text1"/>
          <w:lang w:eastAsia="en-IE"/>
        </w:rPr>
        <w:t xml:space="preserve"> compared to 13.1% in 2016</w:t>
      </w:r>
      <w:r w:rsidRPr="00A73D61">
        <w:rPr>
          <w:rFonts w:cs="Calibri"/>
          <w:color w:val="000000" w:themeColor="text1"/>
          <w:lang w:eastAsia="en-IE"/>
        </w:rPr>
        <w:t>).</w:t>
      </w:r>
      <w:r w:rsidRPr="00A73D61">
        <w:rPr>
          <w:color w:val="000000" w:themeColor="text1"/>
        </w:rPr>
        <w:t xml:space="preserve"> </w:t>
      </w:r>
      <w:r w:rsidR="00A73D61" w:rsidRPr="00A73D61">
        <w:rPr>
          <w:color w:val="000000" w:themeColor="text1"/>
        </w:rPr>
        <w:t>It is expected that this increase will continue over time as access to education for persons with disabilit</w:t>
      </w:r>
      <w:r w:rsidR="00467DE7">
        <w:rPr>
          <w:color w:val="000000" w:themeColor="text1"/>
        </w:rPr>
        <w:t>ies increases.</w:t>
      </w:r>
    </w:p>
    <w:p w14:paraId="16EEE2FE" w14:textId="52FA38D3" w:rsidR="00923ED9" w:rsidRDefault="007849B5" w:rsidP="00923ED9">
      <w:r>
        <w:rPr>
          <w:noProof/>
          <w:lang w:eastAsia="en-IE"/>
        </w:rPr>
        <w:drawing>
          <wp:inline distT="0" distB="0" distL="0" distR="0" wp14:anchorId="220905B7" wp14:editId="7BC1E97B">
            <wp:extent cx="5657850" cy="2371725"/>
            <wp:effectExtent l="0" t="0" r="0" b="9525"/>
            <wp:docPr id="15" name="Picture 15" descr="Highest level of education completed by persons with and without a disability 2016" title="Figure 2. Highest level of education completed by persons with and without a disabilit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2371725"/>
                    </a:xfrm>
                    <a:prstGeom prst="rect">
                      <a:avLst/>
                    </a:prstGeom>
                    <a:noFill/>
                    <a:ln>
                      <a:noFill/>
                    </a:ln>
                  </pic:spPr>
                </pic:pic>
              </a:graphicData>
            </a:graphic>
          </wp:inline>
        </w:drawing>
      </w:r>
    </w:p>
    <w:p w14:paraId="04E6FE8B" w14:textId="4686C403" w:rsidR="00923ED9" w:rsidRDefault="00E95BF9" w:rsidP="00923ED9">
      <w:pPr>
        <w:rPr>
          <w:rFonts w:ascii="Calibri" w:hAnsi="Calibri" w:cs="Calibri"/>
          <w:color w:val="000000"/>
          <w:lang w:eastAsia="en-IE"/>
        </w:rPr>
      </w:pPr>
      <w:r>
        <w:t>Figure 3</w:t>
      </w:r>
      <w:r w:rsidR="00923ED9">
        <w:t xml:space="preserve"> below illustrates the percentage of people with different types of disabilities who had reached primary level compared to tertiary level using </w:t>
      </w:r>
      <w:r w:rsidR="00BD025B">
        <w:t>census</w:t>
      </w:r>
      <w:r w:rsidR="00923ED9">
        <w:t xml:space="preserve"> 2016 data.</w:t>
      </w:r>
      <w:r w:rsidR="00FE771D">
        <w:rPr>
          <w:rStyle w:val="FootnoteReference"/>
        </w:rPr>
        <w:footnoteReference w:id="74"/>
      </w:r>
      <w:r w:rsidR="00923ED9">
        <w:t xml:space="preserve"> With the exception of those with a psychological or emotional condition or </w:t>
      </w:r>
      <w:r w:rsidR="00D3623F">
        <w:t>another</w:t>
      </w:r>
      <w:r w:rsidR="00923ED9">
        <w:t xml:space="preserve"> </w:t>
      </w:r>
      <w:r w:rsidR="00923ED9" w:rsidRPr="00A73D61">
        <w:t>disability/illness not categorised, a higher proportion of persons with each type of disability had primary level</w:t>
      </w:r>
      <w:r w:rsidR="00A73D61" w:rsidRPr="00A73D61">
        <w:t xml:space="preserve"> education as their highest level of educational attainment</w:t>
      </w:r>
      <w:r w:rsidR="00923ED9" w:rsidRPr="00A73D61">
        <w:t>.</w:t>
      </w:r>
      <w:r w:rsidR="00A73D61" w:rsidRPr="00A73D61">
        <w:rPr>
          <w:rStyle w:val="FootnoteReference"/>
        </w:rPr>
        <w:footnoteReference w:id="75"/>
      </w:r>
      <w:r w:rsidR="00923ED9" w:rsidRPr="00A73D61">
        <w:t xml:space="preserve"> The largest gap can be seen in those with intellectual disability (43.2% primary levels vs 5.8% tertiary level), and the smallest gap was for those with b</w:t>
      </w:r>
      <w:r w:rsidR="00923ED9" w:rsidRPr="00A73D61">
        <w:rPr>
          <w:rFonts w:cs="Calibri"/>
          <w:color w:val="000000"/>
          <w:lang w:eastAsia="en-IE"/>
        </w:rPr>
        <w:t>lindness or a serious vision impairment (34.2% primary level vs 13.6% tertiary level).</w:t>
      </w:r>
      <w:r w:rsidR="00923ED9">
        <w:rPr>
          <w:rFonts w:ascii="Calibri" w:hAnsi="Calibri" w:cs="Calibri"/>
          <w:color w:val="000000"/>
          <w:lang w:eastAsia="en-IE"/>
        </w:rPr>
        <w:t xml:space="preserve"> </w:t>
      </w:r>
    </w:p>
    <w:p w14:paraId="3B1A77A3" w14:textId="5298E991" w:rsidR="007849B5" w:rsidRDefault="007849B5" w:rsidP="00923ED9">
      <w:r>
        <w:rPr>
          <w:noProof/>
          <w:lang w:eastAsia="en-IE"/>
        </w:rPr>
        <w:drawing>
          <wp:inline distT="0" distB="0" distL="0" distR="0" wp14:anchorId="0D05240F" wp14:editId="473D3D47">
            <wp:extent cx="5734050" cy="2790825"/>
            <wp:effectExtent l="0" t="0" r="0" b="9525"/>
            <wp:docPr id="16" name="Picture 16" descr="Highest level of education completed by persons with different disabilities in 2016: primary and tertiary." title="Figure 3. Highest level of education completed by persons with different disabilities in 2016: primary and tert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790825"/>
                    </a:xfrm>
                    <a:prstGeom prst="rect">
                      <a:avLst/>
                    </a:prstGeom>
                    <a:noFill/>
                    <a:ln>
                      <a:noFill/>
                    </a:ln>
                  </pic:spPr>
                </pic:pic>
              </a:graphicData>
            </a:graphic>
          </wp:inline>
        </w:drawing>
      </w:r>
    </w:p>
    <w:p w14:paraId="2CBFC7FB" w14:textId="5DB5E0E9" w:rsidR="00923ED9" w:rsidRDefault="00923ED9" w:rsidP="00923ED9">
      <w:r>
        <w:t>Higher</w:t>
      </w:r>
      <w:r w:rsidRPr="00FA5B95">
        <w:t xml:space="preserve"> than average early school leaving rates for persons with disabilities</w:t>
      </w:r>
      <w:r>
        <w:t xml:space="preserve"> also</w:t>
      </w:r>
      <w:r w:rsidRPr="00FA5B95">
        <w:t xml:space="preserve"> exist. </w:t>
      </w:r>
      <w:r>
        <w:t>Census 2016 figures showed that 18.1% of person with disabilities were early school leavers compared to 6.4% of those without disabilities.</w:t>
      </w:r>
      <w:r w:rsidR="00FE771D">
        <w:rPr>
          <w:rStyle w:val="FootnoteReference"/>
        </w:rPr>
        <w:footnoteReference w:id="76"/>
      </w:r>
      <w:r>
        <w:t xml:space="preserve"> The gap between those with and without disabilities had narrowed in 2016 compared to 2011 (in </w:t>
      </w:r>
      <w:r w:rsidR="00BD025B">
        <w:t>census</w:t>
      </w:r>
      <w:r>
        <w:t xml:space="preserve"> 2011, 22.9% of those with disabilities</w:t>
      </w:r>
      <w:r w:rsidR="0059697E">
        <w:t xml:space="preserve"> were early school leavers</w:t>
      </w:r>
      <w:r>
        <w:t xml:space="preserve"> compared to 8.7% of those without). </w:t>
      </w:r>
    </w:p>
    <w:p w14:paraId="5467A579" w14:textId="092F18BA" w:rsidR="00923ED9" w:rsidRDefault="00923ED9" w:rsidP="00923ED9">
      <w:r>
        <w:t>All of these</w:t>
      </w:r>
      <w:r w:rsidRPr="00FA5B95">
        <w:t xml:space="preserve"> figures will be updated after the 2021 </w:t>
      </w:r>
      <w:r w:rsidR="00BD025B">
        <w:t>census</w:t>
      </w:r>
      <w:r w:rsidRPr="00FA5B95">
        <w:t xml:space="preserve"> where it would be hoped that the gap between educational attainment of those with and without a disability</w:t>
      </w:r>
      <w:r>
        <w:t>, between those with different types of disabilities, and between the rate of early school leaving in those with and without a disability</w:t>
      </w:r>
      <w:r w:rsidRPr="00FA5B95">
        <w:t xml:space="preserve"> will</w:t>
      </w:r>
      <w:r>
        <w:t xml:space="preserve"> all</w:t>
      </w:r>
      <w:r w:rsidRPr="00FA5B95">
        <w:t xml:space="preserve"> have narrowed.</w:t>
      </w:r>
    </w:p>
    <w:p w14:paraId="27440320" w14:textId="2C2490D8" w:rsidR="00AE26A4" w:rsidRDefault="009E4ABD" w:rsidP="00AE26A4">
      <w:pPr>
        <w:rPr>
          <w:szCs w:val="26"/>
          <w:lang w:eastAsia="en-IE"/>
        </w:rPr>
      </w:pPr>
      <w:r w:rsidRPr="009E4ABD">
        <w:rPr>
          <w:b/>
          <w:lang w:eastAsia="en-IE"/>
        </w:rPr>
        <w:t xml:space="preserve">Indicator </w:t>
      </w:r>
      <w:r w:rsidR="005C749E" w:rsidRPr="009E4ABD">
        <w:rPr>
          <w:b/>
          <w:lang w:eastAsia="en-IE"/>
        </w:rPr>
        <w:t>3.</w:t>
      </w:r>
      <w:r w:rsidR="005C749E" w:rsidRPr="009E4ABD">
        <w:rPr>
          <w:b/>
          <w:szCs w:val="26"/>
          <w:lang w:eastAsia="en-IE"/>
        </w:rPr>
        <w:t>1d. Percentage of all people, whose highest level of educational attainment is furt</w:t>
      </w:r>
      <w:r w:rsidR="00591B8C" w:rsidRPr="009E4ABD">
        <w:rPr>
          <w:b/>
          <w:szCs w:val="26"/>
          <w:lang w:eastAsia="en-IE"/>
        </w:rPr>
        <w:t xml:space="preserve">her education and training </w:t>
      </w:r>
      <w:r w:rsidR="005C749E" w:rsidRPr="009E4ABD">
        <w:rPr>
          <w:b/>
          <w:szCs w:val="26"/>
          <w:lang w:eastAsia="en-IE"/>
        </w:rPr>
        <w:t>who have a disability</w:t>
      </w:r>
      <w:r w:rsidR="00350A82">
        <w:rPr>
          <w:b/>
          <w:szCs w:val="26"/>
          <w:lang w:eastAsia="en-IE"/>
        </w:rPr>
        <w:t xml:space="preserve"> (Process)</w:t>
      </w:r>
      <w:r w:rsidR="005C749E" w:rsidRPr="009E4ABD">
        <w:rPr>
          <w:b/>
          <w:szCs w:val="26"/>
          <w:lang w:eastAsia="en-IE"/>
        </w:rPr>
        <w:t>:</w:t>
      </w:r>
      <w:r w:rsidR="005C749E" w:rsidRPr="009E4ABD">
        <w:rPr>
          <w:szCs w:val="26"/>
          <w:lang w:eastAsia="en-IE"/>
        </w:rPr>
        <w:t xml:space="preserve"> </w:t>
      </w:r>
      <w:r w:rsidR="006253C6">
        <w:rPr>
          <w:szCs w:val="26"/>
          <w:lang w:eastAsia="en-IE"/>
        </w:rPr>
        <w:t xml:space="preserve">This indicator and 3.1e below serve to track </w:t>
      </w:r>
      <w:r w:rsidR="006253C6" w:rsidRPr="009E4ABD">
        <w:rPr>
          <w:szCs w:val="26"/>
          <w:lang w:eastAsia="en-IE"/>
        </w:rPr>
        <w:t xml:space="preserve">increased educational attainment for </w:t>
      </w:r>
      <w:r w:rsidR="004B469A">
        <w:rPr>
          <w:szCs w:val="26"/>
          <w:lang w:eastAsia="en-IE"/>
        </w:rPr>
        <w:t>persons with disabilities</w:t>
      </w:r>
      <w:r w:rsidR="006253C6" w:rsidRPr="009E4ABD">
        <w:rPr>
          <w:szCs w:val="26"/>
          <w:lang w:eastAsia="en-IE"/>
        </w:rPr>
        <w:t>.</w:t>
      </w:r>
      <w:r w:rsidR="006253C6">
        <w:rPr>
          <w:szCs w:val="26"/>
          <w:lang w:eastAsia="en-IE"/>
        </w:rPr>
        <w:t xml:space="preserve"> </w:t>
      </w:r>
      <w:r w:rsidR="005C749E" w:rsidRPr="009E4ABD">
        <w:rPr>
          <w:szCs w:val="26"/>
          <w:lang w:eastAsia="en-IE"/>
        </w:rPr>
        <w:t xml:space="preserve">The 2016 </w:t>
      </w:r>
      <w:r w:rsidR="00BD025B">
        <w:rPr>
          <w:szCs w:val="26"/>
          <w:lang w:eastAsia="en-IE"/>
        </w:rPr>
        <w:t>census</w:t>
      </w:r>
      <w:r w:rsidR="005C749E" w:rsidRPr="009E4ABD">
        <w:rPr>
          <w:szCs w:val="26"/>
          <w:lang w:eastAsia="en-IE"/>
        </w:rPr>
        <w:t xml:space="preserve"> found that of </w:t>
      </w:r>
      <w:r w:rsidR="00591B8C" w:rsidRPr="009E4ABD">
        <w:rPr>
          <w:szCs w:val="26"/>
          <w:lang w:eastAsia="en-IE"/>
        </w:rPr>
        <w:t xml:space="preserve">the 607,201 </w:t>
      </w:r>
      <w:r w:rsidR="00A27E66" w:rsidRPr="009E4ABD">
        <w:rPr>
          <w:szCs w:val="26"/>
          <w:lang w:eastAsia="en-IE"/>
        </w:rPr>
        <w:t xml:space="preserve">people whose highest level of educational attainment </w:t>
      </w:r>
      <w:r w:rsidR="00591B8C" w:rsidRPr="009E4ABD">
        <w:rPr>
          <w:szCs w:val="26"/>
          <w:lang w:eastAsia="en-IE"/>
        </w:rPr>
        <w:t xml:space="preserve">was FET, 79,144 or 13% </w:t>
      </w:r>
      <w:r w:rsidR="00FD4425">
        <w:rPr>
          <w:szCs w:val="26"/>
          <w:lang w:eastAsia="en-IE"/>
        </w:rPr>
        <w:t>had</w:t>
      </w:r>
      <w:r w:rsidR="00FD4425" w:rsidRPr="009E4ABD">
        <w:rPr>
          <w:szCs w:val="26"/>
          <w:lang w:eastAsia="en-IE"/>
        </w:rPr>
        <w:t xml:space="preserve"> </w:t>
      </w:r>
      <w:r w:rsidR="00A27E66" w:rsidRPr="009E4ABD">
        <w:rPr>
          <w:szCs w:val="26"/>
          <w:lang w:eastAsia="en-IE"/>
        </w:rPr>
        <w:t>a disability.</w:t>
      </w:r>
      <w:r w:rsidR="0046624C">
        <w:rPr>
          <w:rStyle w:val="FootnoteReference"/>
          <w:szCs w:val="26"/>
          <w:lang w:eastAsia="en-IE"/>
        </w:rPr>
        <w:footnoteReference w:id="77"/>
      </w:r>
      <w:r w:rsidR="005C749E" w:rsidRPr="009E4ABD">
        <w:rPr>
          <w:szCs w:val="26"/>
          <w:lang w:eastAsia="en-IE"/>
        </w:rPr>
        <w:t xml:space="preserve"> This</w:t>
      </w:r>
      <w:r w:rsidR="00591B8C" w:rsidRPr="009E4ABD">
        <w:rPr>
          <w:szCs w:val="26"/>
          <w:lang w:eastAsia="en-IE"/>
        </w:rPr>
        <w:t xml:space="preserve"> is an increase from 11.5% in the 2011 </w:t>
      </w:r>
      <w:r w:rsidR="00BD025B">
        <w:rPr>
          <w:szCs w:val="26"/>
          <w:lang w:eastAsia="en-IE"/>
        </w:rPr>
        <w:t>census</w:t>
      </w:r>
      <w:r w:rsidR="00591B8C" w:rsidRPr="009E4ABD">
        <w:rPr>
          <w:szCs w:val="26"/>
          <w:lang w:eastAsia="en-IE"/>
        </w:rPr>
        <w:t xml:space="preserve"> and this</w:t>
      </w:r>
      <w:r w:rsidR="005C749E" w:rsidRPr="009E4ABD">
        <w:rPr>
          <w:szCs w:val="26"/>
          <w:lang w:eastAsia="en-IE"/>
        </w:rPr>
        <w:t xml:space="preserve"> </w:t>
      </w:r>
      <w:r w:rsidR="00A27E66" w:rsidRPr="009E4ABD">
        <w:rPr>
          <w:szCs w:val="26"/>
          <w:lang w:eastAsia="en-IE"/>
        </w:rPr>
        <w:t xml:space="preserve">figure </w:t>
      </w:r>
      <w:r w:rsidR="005C749E" w:rsidRPr="009E4ABD">
        <w:rPr>
          <w:szCs w:val="26"/>
          <w:lang w:eastAsia="en-IE"/>
        </w:rPr>
        <w:t>will be upd</w:t>
      </w:r>
      <w:r w:rsidR="007849B5">
        <w:rPr>
          <w:szCs w:val="26"/>
          <w:lang w:eastAsia="en-IE"/>
        </w:rPr>
        <w:t>ated following the 2021 census.</w:t>
      </w:r>
    </w:p>
    <w:p w14:paraId="7738B93D" w14:textId="2E22F960" w:rsidR="005F3492" w:rsidRPr="00AE26A4" w:rsidRDefault="00331C1F" w:rsidP="00AE26A4">
      <w:pPr>
        <w:rPr>
          <w:szCs w:val="26"/>
          <w:lang w:eastAsia="en-IE"/>
        </w:rPr>
      </w:pPr>
      <w:r w:rsidRPr="009E4ABD">
        <w:rPr>
          <w:b/>
          <w:lang w:eastAsia="en-IE"/>
        </w:rPr>
        <w:t>Indicator 3.1e. Percentage of all people accessing higher education</w:t>
      </w:r>
      <w:r w:rsidR="000279A1">
        <w:rPr>
          <w:b/>
          <w:lang w:eastAsia="en-IE"/>
        </w:rPr>
        <w:t xml:space="preserve"> and</w:t>
      </w:r>
      <w:r w:rsidRPr="009E4ABD">
        <w:rPr>
          <w:b/>
          <w:lang w:eastAsia="en-IE"/>
        </w:rPr>
        <w:t xml:space="preserve"> further education and training who have a disability</w:t>
      </w:r>
      <w:r w:rsidR="00350A82">
        <w:rPr>
          <w:b/>
          <w:lang w:eastAsia="en-IE"/>
        </w:rPr>
        <w:t xml:space="preserve"> </w:t>
      </w:r>
      <w:r w:rsidR="00350A82">
        <w:rPr>
          <w:b/>
          <w:szCs w:val="26"/>
          <w:lang w:eastAsia="en-IE"/>
        </w:rPr>
        <w:t>(Process)</w:t>
      </w:r>
      <w:r w:rsidRPr="009E4ABD">
        <w:rPr>
          <w:b/>
          <w:lang w:eastAsia="en-IE"/>
        </w:rPr>
        <w:t>:</w:t>
      </w:r>
      <w:r>
        <w:rPr>
          <w:lang w:eastAsia="en-IE"/>
        </w:rPr>
        <w:t xml:space="preserve"> </w:t>
      </w:r>
      <w:r w:rsidR="005F3492">
        <w:rPr>
          <w:lang w:eastAsia="en-IE"/>
        </w:rPr>
        <w:t>The proportion of students with disabilities in higher education institutions increased from 5.7% in the 2016/17 academic year to 6.2% in the 2017/2018 academic year.</w:t>
      </w:r>
      <w:r w:rsidR="00D148FC">
        <w:rPr>
          <w:rStyle w:val="FootnoteReference"/>
          <w:lang w:eastAsia="en-IE"/>
        </w:rPr>
        <w:footnoteReference w:id="78"/>
      </w:r>
      <w:r w:rsidR="00946E88">
        <w:rPr>
          <w:lang w:eastAsia="en-IE"/>
        </w:rPr>
        <w:t xml:space="preserve"> </w:t>
      </w:r>
      <w:r w:rsidR="00D148FC">
        <w:rPr>
          <w:rStyle w:val="FootnoteReference"/>
          <w:lang w:eastAsia="en-IE"/>
        </w:rPr>
        <w:footnoteReference w:id="79"/>
      </w:r>
      <w:r w:rsidR="005F3492">
        <w:rPr>
          <w:lang w:eastAsia="en-IE"/>
        </w:rPr>
        <w:t xml:space="preserve"> In addition, </w:t>
      </w:r>
      <w:r w:rsidR="004B469A">
        <w:rPr>
          <w:lang w:eastAsia="en-IE"/>
        </w:rPr>
        <w:t>persons with disabilities</w:t>
      </w:r>
      <w:r w:rsidR="005F3492">
        <w:rPr>
          <w:lang w:eastAsia="en-IE"/>
        </w:rPr>
        <w:t xml:space="preserve"> represent 2.8% of the Irish apprentice population and 5% of the further education and training population.</w:t>
      </w:r>
      <w:r w:rsidR="001241FC">
        <w:rPr>
          <w:rStyle w:val="FootnoteReference"/>
          <w:lang w:eastAsia="en-IE"/>
        </w:rPr>
        <w:footnoteReference w:id="80"/>
      </w:r>
      <w:r w:rsidR="005F3492">
        <w:rPr>
          <w:lang w:eastAsia="en-IE"/>
        </w:rPr>
        <w:t xml:space="preserve"> </w:t>
      </w:r>
      <w:r w:rsidR="00A3224F">
        <w:rPr>
          <w:lang w:eastAsia="en-IE"/>
        </w:rPr>
        <w:t>This is a welcome development and it is anticipated that with the continuing</w:t>
      </w:r>
      <w:r w:rsidR="003056B0">
        <w:rPr>
          <w:lang w:eastAsia="en-IE"/>
        </w:rPr>
        <w:t xml:space="preserve"> Disability Access Route to Education (</w:t>
      </w:r>
      <w:r w:rsidR="00A3224F">
        <w:rPr>
          <w:lang w:eastAsia="en-IE"/>
        </w:rPr>
        <w:t>DARE</w:t>
      </w:r>
      <w:r w:rsidR="003056B0">
        <w:rPr>
          <w:lang w:eastAsia="en-IE"/>
        </w:rPr>
        <w:t>)</w:t>
      </w:r>
      <w:r w:rsidR="00A3224F">
        <w:rPr>
          <w:lang w:eastAsia="en-IE"/>
        </w:rPr>
        <w:t xml:space="preserve"> scheme and increased awareness in SOLAS about </w:t>
      </w:r>
      <w:r w:rsidR="001D5D59">
        <w:rPr>
          <w:lang w:eastAsia="en-IE"/>
        </w:rPr>
        <w:t xml:space="preserve">the importance of </w:t>
      </w:r>
      <w:r w:rsidR="00A3224F">
        <w:rPr>
          <w:lang w:eastAsia="en-IE"/>
        </w:rPr>
        <w:t>collecting data on students with disabilities</w:t>
      </w:r>
      <w:r w:rsidR="001D5D59">
        <w:rPr>
          <w:lang w:eastAsia="en-IE"/>
        </w:rPr>
        <w:t xml:space="preserve"> and </w:t>
      </w:r>
      <w:r w:rsidR="00D3623F">
        <w:rPr>
          <w:lang w:eastAsia="en-IE"/>
        </w:rPr>
        <w:t xml:space="preserve">addressing </w:t>
      </w:r>
      <w:r w:rsidR="001D5D59">
        <w:rPr>
          <w:lang w:eastAsia="en-IE"/>
        </w:rPr>
        <w:t>barriers to disclosure</w:t>
      </w:r>
      <w:r w:rsidR="00D3623F">
        <w:rPr>
          <w:lang w:eastAsia="en-IE"/>
        </w:rPr>
        <w:t>,</w:t>
      </w:r>
      <w:r w:rsidR="00A3224F">
        <w:rPr>
          <w:lang w:eastAsia="en-IE"/>
        </w:rPr>
        <w:t xml:space="preserve"> that these numbers will continue to rise. </w:t>
      </w:r>
      <w:r w:rsidR="00FB16D9">
        <w:rPr>
          <w:lang w:eastAsia="en-IE"/>
        </w:rPr>
        <w:t xml:space="preserve">The NDA has advised that targets are set for apprenticeships for </w:t>
      </w:r>
      <w:r w:rsidR="004B469A">
        <w:rPr>
          <w:lang w:eastAsia="en-IE"/>
        </w:rPr>
        <w:t>persons with disabilities</w:t>
      </w:r>
      <w:r w:rsidR="00FB16D9">
        <w:rPr>
          <w:lang w:eastAsia="en-IE"/>
        </w:rPr>
        <w:t xml:space="preserve"> and will be working with SOLAS to discuss this matter further. </w:t>
      </w:r>
    </w:p>
    <w:p w14:paraId="56275876" w14:textId="313801A8" w:rsidR="00E22F03" w:rsidRDefault="00E22F03" w:rsidP="00E22F03">
      <w:pPr>
        <w:pStyle w:val="Heading1"/>
        <w:rPr>
          <w:rFonts w:ascii="MS Mincho" w:eastAsia="MS Mincho" w:hAnsi="MS Mincho" w:cs="MS Mincho"/>
          <w:lang w:eastAsia="en-IE"/>
        </w:rPr>
      </w:pPr>
      <w:r>
        <w:rPr>
          <w:lang w:eastAsia="en-IE"/>
        </w:rPr>
        <w:t xml:space="preserve">Theme 4: </w:t>
      </w:r>
      <w:r w:rsidRPr="00E22F03">
        <w:rPr>
          <w:lang w:eastAsia="en-IE"/>
        </w:rPr>
        <w:t>Employment</w:t>
      </w:r>
    </w:p>
    <w:p w14:paraId="3E799816" w14:textId="62EEEFFE" w:rsidR="005F3492" w:rsidRPr="00794009" w:rsidRDefault="005A6D3D" w:rsidP="005A6D3D">
      <w:pPr>
        <w:autoSpaceDE w:val="0"/>
        <w:autoSpaceDN w:val="0"/>
        <w:adjustRightInd w:val="0"/>
        <w:spacing w:after="0" w:line="241" w:lineRule="atLeast"/>
        <w:rPr>
          <w:szCs w:val="26"/>
          <w:lang w:eastAsia="en-IE"/>
        </w:rPr>
      </w:pPr>
      <w:r w:rsidRPr="00794009">
        <w:rPr>
          <w:rFonts w:eastAsiaTheme="minorHAnsi" w:cs="YFEWFP+ArialMT"/>
          <w:color w:val="000000"/>
          <w:szCs w:val="26"/>
        </w:rPr>
        <w:t xml:space="preserve">This theme is concerned with ensuring </w:t>
      </w:r>
      <w:r w:rsidR="005F3492" w:rsidRPr="00794009">
        <w:rPr>
          <w:rFonts w:eastAsiaTheme="minorHAnsi" w:cs="YFEWFP+ArialMT"/>
          <w:color w:val="000000"/>
          <w:szCs w:val="26"/>
        </w:rPr>
        <w:t xml:space="preserve">that </w:t>
      </w:r>
      <w:r w:rsidR="004B469A">
        <w:rPr>
          <w:rFonts w:eastAsiaTheme="minorHAnsi" w:cs="YFEWFP+ArialMT"/>
          <w:color w:val="000000"/>
          <w:szCs w:val="26"/>
        </w:rPr>
        <w:t>persons with disabilities</w:t>
      </w:r>
      <w:r w:rsidR="005F3492" w:rsidRPr="00794009">
        <w:rPr>
          <w:rFonts w:eastAsiaTheme="minorHAnsi" w:cs="YFEWFP+ArialMT"/>
          <w:color w:val="000000"/>
          <w:szCs w:val="26"/>
        </w:rPr>
        <w:t xml:space="preserve"> are supported to achieve their employment ambitions.</w:t>
      </w:r>
      <w:r w:rsidR="00350A82">
        <w:rPr>
          <w:rFonts w:eastAsiaTheme="minorHAnsi" w:cs="YFEWFP+ArialMT"/>
          <w:color w:val="000000"/>
          <w:szCs w:val="26"/>
        </w:rPr>
        <w:t xml:space="preserve"> There are five indicators for this theme consisting of three outcome indicators and two process indicators.</w:t>
      </w:r>
      <w:r w:rsidRPr="00794009">
        <w:rPr>
          <w:rFonts w:eastAsiaTheme="minorHAnsi" w:cs="YFEWFP+ArialMT"/>
          <w:color w:val="000000"/>
          <w:szCs w:val="26"/>
        </w:rPr>
        <w:t xml:space="preserve"> </w:t>
      </w:r>
      <w:r w:rsidR="00350A82">
        <w:rPr>
          <w:rFonts w:eastAsiaTheme="minorHAnsi" w:cs="YFEWFP+ArialMT"/>
          <w:color w:val="000000"/>
          <w:szCs w:val="26"/>
        </w:rPr>
        <w:t>This theme is concerned with the</w:t>
      </w:r>
      <w:r w:rsidRPr="00794009">
        <w:rPr>
          <w:rFonts w:eastAsiaTheme="minorHAnsi" w:cs="YFEWFP+ArialMT"/>
          <w:color w:val="000000"/>
          <w:szCs w:val="26"/>
        </w:rPr>
        <w:t xml:space="preserve"> opportunities to pursue work and a career and to have the supports to remain in or return to work if they acquire a disability. This theme also focuses on ensuring that </w:t>
      </w:r>
      <w:r w:rsidR="004B469A">
        <w:rPr>
          <w:rFonts w:eastAsiaTheme="minorHAnsi" w:cs="YFEWFP+ArialMT"/>
          <w:color w:val="000000"/>
          <w:szCs w:val="26"/>
        </w:rPr>
        <w:t>persons with disabilities</w:t>
      </w:r>
      <w:r w:rsidRPr="00794009">
        <w:rPr>
          <w:rFonts w:eastAsiaTheme="minorHAnsi" w:cs="YFEWFP+ArialMT"/>
          <w:color w:val="000000"/>
          <w:szCs w:val="26"/>
        </w:rPr>
        <w:t xml:space="preserve"> are financially better off in work</w:t>
      </w:r>
      <w:r w:rsidR="00EC77FE">
        <w:rPr>
          <w:rFonts w:eastAsiaTheme="minorHAnsi" w:cs="YFEWFP+ArialMT"/>
          <w:color w:val="000000"/>
          <w:szCs w:val="26"/>
        </w:rPr>
        <w:t xml:space="preserve"> and that</w:t>
      </w:r>
      <w:r w:rsidRPr="00794009">
        <w:rPr>
          <w:rFonts w:eastAsiaTheme="minorHAnsi" w:cs="YFEWFP+ArialMT"/>
          <w:color w:val="000000"/>
          <w:szCs w:val="26"/>
        </w:rPr>
        <w:t xml:space="preserve"> employers </w:t>
      </w:r>
      <w:r w:rsidR="00EC77FE">
        <w:rPr>
          <w:rFonts w:eastAsiaTheme="minorHAnsi" w:cs="YFEWFP+ArialMT"/>
          <w:color w:val="000000"/>
          <w:szCs w:val="26"/>
        </w:rPr>
        <w:t xml:space="preserve">have </w:t>
      </w:r>
      <w:r w:rsidR="00EC77FE" w:rsidRPr="00794009">
        <w:rPr>
          <w:rFonts w:eastAsiaTheme="minorHAnsi" w:cs="YFEWFP+ArialMT"/>
          <w:color w:val="000000"/>
          <w:szCs w:val="26"/>
        </w:rPr>
        <w:t>easily accessible</w:t>
      </w:r>
      <w:r w:rsidR="00EC77FE">
        <w:rPr>
          <w:rFonts w:eastAsiaTheme="minorHAnsi" w:cs="YFEWFP+ArialMT"/>
          <w:color w:val="000000"/>
          <w:szCs w:val="26"/>
        </w:rPr>
        <w:t xml:space="preserve"> </w:t>
      </w:r>
      <w:r w:rsidR="00EC77FE" w:rsidRPr="00794009">
        <w:rPr>
          <w:rFonts w:eastAsiaTheme="minorHAnsi" w:cs="YFEWFP+ArialMT"/>
          <w:color w:val="000000"/>
          <w:szCs w:val="26"/>
        </w:rPr>
        <w:t>information</w:t>
      </w:r>
      <w:r w:rsidR="00EC77FE">
        <w:rPr>
          <w:rFonts w:eastAsiaTheme="minorHAnsi" w:cs="YFEWFP+ArialMT"/>
          <w:color w:val="000000"/>
          <w:szCs w:val="26"/>
        </w:rPr>
        <w:t xml:space="preserve"> </w:t>
      </w:r>
      <w:r w:rsidRPr="00794009">
        <w:rPr>
          <w:rFonts w:eastAsiaTheme="minorHAnsi" w:cs="YFEWFP+ArialMT"/>
          <w:color w:val="000000"/>
          <w:szCs w:val="26"/>
        </w:rPr>
        <w:t>about employ</w:t>
      </w:r>
      <w:r w:rsidR="007849B5">
        <w:rPr>
          <w:rFonts w:eastAsiaTheme="minorHAnsi" w:cs="YFEWFP+ArialMT"/>
          <w:color w:val="000000"/>
          <w:szCs w:val="26"/>
        </w:rPr>
        <w:t>ing a person with a disability.</w:t>
      </w:r>
    </w:p>
    <w:p w14:paraId="59CC4913" w14:textId="77777777" w:rsidR="005F3492" w:rsidRPr="00794009" w:rsidRDefault="005F3492" w:rsidP="005F3492">
      <w:pPr>
        <w:autoSpaceDE w:val="0"/>
        <w:autoSpaceDN w:val="0"/>
        <w:adjustRightInd w:val="0"/>
        <w:spacing w:after="0" w:line="241" w:lineRule="atLeast"/>
        <w:jc w:val="center"/>
        <w:rPr>
          <w:rFonts w:eastAsiaTheme="minorHAnsi" w:cs="YFEWFP+ArialMT"/>
          <w:color w:val="000000"/>
          <w:szCs w:val="26"/>
        </w:rPr>
      </w:pPr>
      <w:r w:rsidRPr="00794009">
        <w:rPr>
          <w:rFonts w:eastAsiaTheme="minorHAnsi" w:cs="YFEWFP+ArialMT"/>
          <w:color w:val="000000"/>
          <w:szCs w:val="26"/>
        </w:rPr>
        <w:t xml:space="preserve"> </w:t>
      </w:r>
    </w:p>
    <w:p w14:paraId="0D1C49E1" w14:textId="294D3E6F" w:rsidR="000E79EA" w:rsidRPr="00EA724F" w:rsidRDefault="000E79EA" w:rsidP="000E79EA">
      <w:pPr>
        <w:rPr>
          <w:szCs w:val="26"/>
          <w:lang w:eastAsia="en-IE"/>
        </w:rPr>
      </w:pPr>
      <w:r w:rsidRPr="009E4ABD">
        <w:rPr>
          <w:b/>
          <w:szCs w:val="26"/>
          <w:lang w:eastAsia="en-IE"/>
        </w:rPr>
        <w:t xml:space="preserve">Indicator 4.1a. Percentage of people aged </w:t>
      </w:r>
      <w:r>
        <w:rPr>
          <w:b/>
          <w:szCs w:val="26"/>
          <w:lang w:eastAsia="en-IE"/>
        </w:rPr>
        <w:t>20</w:t>
      </w:r>
      <w:r w:rsidRPr="009E4ABD">
        <w:rPr>
          <w:b/>
          <w:szCs w:val="26"/>
          <w:lang w:eastAsia="en-IE"/>
        </w:rPr>
        <w:t>-6</w:t>
      </w:r>
      <w:r>
        <w:rPr>
          <w:b/>
          <w:szCs w:val="26"/>
          <w:lang w:eastAsia="en-IE"/>
        </w:rPr>
        <w:t>4</w:t>
      </w:r>
      <w:r w:rsidRPr="009E4ABD">
        <w:rPr>
          <w:b/>
          <w:szCs w:val="26"/>
          <w:lang w:eastAsia="en-IE"/>
        </w:rPr>
        <w:t xml:space="preserve"> with and without a disability by princi</w:t>
      </w:r>
      <w:r>
        <w:rPr>
          <w:b/>
          <w:szCs w:val="26"/>
          <w:lang w:eastAsia="en-IE"/>
        </w:rPr>
        <w:t>pal</w:t>
      </w:r>
      <w:r w:rsidRPr="009E4ABD">
        <w:rPr>
          <w:b/>
          <w:szCs w:val="26"/>
          <w:lang w:eastAsia="en-IE"/>
        </w:rPr>
        <w:t xml:space="preserve"> economic status</w:t>
      </w:r>
      <w:r w:rsidR="00350A82">
        <w:rPr>
          <w:b/>
          <w:szCs w:val="26"/>
          <w:lang w:eastAsia="en-IE"/>
        </w:rPr>
        <w:t xml:space="preserve"> (Outcome)</w:t>
      </w:r>
      <w:r w:rsidRPr="009E4ABD">
        <w:rPr>
          <w:b/>
          <w:szCs w:val="26"/>
          <w:lang w:eastAsia="en-IE"/>
        </w:rPr>
        <w:t>:</w:t>
      </w:r>
      <w:r w:rsidRPr="009E4ABD">
        <w:rPr>
          <w:szCs w:val="26"/>
          <w:lang w:eastAsia="en-IE"/>
        </w:rPr>
        <w:t xml:space="preserve"> The 2016 </w:t>
      </w:r>
      <w:r w:rsidR="00BD025B">
        <w:rPr>
          <w:szCs w:val="26"/>
          <w:lang w:eastAsia="en-IE"/>
        </w:rPr>
        <w:t>census</w:t>
      </w:r>
      <w:r w:rsidRPr="009E4ABD">
        <w:rPr>
          <w:szCs w:val="26"/>
          <w:lang w:eastAsia="en-IE"/>
        </w:rPr>
        <w:t xml:space="preserve"> figures show that the </w:t>
      </w:r>
      <w:r w:rsidR="004143B6">
        <w:rPr>
          <w:szCs w:val="26"/>
          <w:lang w:eastAsia="en-IE"/>
        </w:rPr>
        <w:t>ratio</w:t>
      </w:r>
      <w:r w:rsidR="004143B6" w:rsidRPr="009E4ABD">
        <w:rPr>
          <w:szCs w:val="26"/>
          <w:lang w:eastAsia="en-IE"/>
        </w:rPr>
        <w:t xml:space="preserve"> </w:t>
      </w:r>
      <w:r w:rsidRPr="009E4ABD">
        <w:rPr>
          <w:szCs w:val="26"/>
          <w:lang w:eastAsia="en-IE"/>
        </w:rPr>
        <w:t xml:space="preserve">of employment among people with and without a disability aged </w:t>
      </w:r>
      <w:r>
        <w:rPr>
          <w:szCs w:val="26"/>
          <w:lang w:eastAsia="en-IE"/>
        </w:rPr>
        <w:t>20</w:t>
      </w:r>
      <w:r w:rsidRPr="009E4ABD">
        <w:rPr>
          <w:szCs w:val="26"/>
          <w:lang w:eastAsia="en-IE"/>
        </w:rPr>
        <w:t xml:space="preserve"> to 64 years was </w:t>
      </w:r>
      <w:r>
        <w:rPr>
          <w:szCs w:val="26"/>
          <w:lang w:eastAsia="en-IE"/>
        </w:rPr>
        <w:t xml:space="preserve">approximately </w:t>
      </w:r>
      <w:r w:rsidRPr="009E4ABD">
        <w:rPr>
          <w:szCs w:val="26"/>
          <w:lang w:eastAsia="en-IE"/>
        </w:rPr>
        <w:t>2 to 1</w:t>
      </w:r>
      <w:r>
        <w:rPr>
          <w:szCs w:val="26"/>
          <w:lang w:eastAsia="en-IE"/>
        </w:rPr>
        <w:t>.</w:t>
      </w:r>
      <w:r w:rsidR="00DB325D">
        <w:rPr>
          <w:rStyle w:val="FootnoteReference"/>
          <w:szCs w:val="26"/>
          <w:lang w:eastAsia="en-IE"/>
        </w:rPr>
        <w:footnoteReference w:id="81"/>
      </w:r>
      <w:r>
        <w:rPr>
          <w:szCs w:val="26"/>
          <w:lang w:eastAsia="en-IE"/>
        </w:rPr>
        <w:t xml:space="preserve"> Almost 73%</w:t>
      </w:r>
      <w:r w:rsidRPr="009E4ABD">
        <w:rPr>
          <w:szCs w:val="26"/>
          <w:lang w:eastAsia="en-IE"/>
        </w:rPr>
        <w:t xml:space="preserve"> of people </w:t>
      </w:r>
      <w:r>
        <w:rPr>
          <w:szCs w:val="26"/>
          <w:lang w:eastAsia="en-IE"/>
        </w:rPr>
        <w:t xml:space="preserve">aged 20-64 </w:t>
      </w:r>
      <w:r w:rsidRPr="009E4ABD">
        <w:rPr>
          <w:szCs w:val="26"/>
          <w:lang w:eastAsia="en-IE"/>
        </w:rPr>
        <w:t>with</w:t>
      </w:r>
      <w:r>
        <w:rPr>
          <w:szCs w:val="26"/>
          <w:lang w:eastAsia="en-IE"/>
        </w:rPr>
        <w:t>out</w:t>
      </w:r>
      <w:r w:rsidRPr="009E4ABD">
        <w:rPr>
          <w:szCs w:val="26"/>
          <w:lang w:eastAsia="en-IE"/>
        </w:rPr>
        <w:t xml:space="preserve"> a disability </w:t>
      </w:r>
      <w:r>
        <w:rPr>
          <w:szCs w:val="26"/>
          <w:lang w:eastAsia="en-IE"/>
        </w:rPr>
        <w:t xml:space="preserve">were </w:t>
      </w:r>
      <w:r w:rsidRPr="009E4ABD">
        <w:rPr>
          <w:szCs w:val="26"/>
          <w:lang w:eastAsia="en-IE"/>
        </w:rPr>
        <w:t>employed compared to 3</w:t>
      </w:r>
      <w:r>
        <w:rPr>
          <w:szCs w:val="26"/>
          <w:lang w:eastAsia="en-IE"/>
        </w:rPr>
        <w:t>6.5</w:t>
      </w:r>
      <w:r w:rsidRPr="009E4ABD">
        <w:rPr>
          <w:szCs w:val="26"/>
          <w:lang w:eastAsia="en-IE"/>
        </w:rPr>
        <w:t xml:space="preserve">% of </w:t>
      </w:r>
      <w:r>
        <w:rPr>
          <w:szCs w:val="26"/>
          <w:lang w:eastAsia="en-IE"/>
        </w:rPr>
        <w:t>persons without a disability</w:t>
      </w:r>
      <w:r w:rsidRPr="009E4ABD">
        <w:rPr>
          <w:szCs w:val="26"/>
          <w:lang w:eastAsia="en-IE"/>
        </w:rPr>
        <w:t xml:space="preserve"> </w:t>
      </w:r>
      <w:r>
        <w:rPr>
          <w:szCs w:val="26"/>
          <w:lang w:eastAsia="en-IE"/>
        </w:rPr>
        <w:t xml:space="preserve">aged 20-64 </w:t>
      </w:r>
      <w:r w:rsidRPr="00E95BF9">
        <w:rPr>
          <w:szCs w:val="26"/>
          <w:lang w:eastAsia="en-IE"/>
        </w:rPr>
        <w:t>(Figure 4).</w:t>
      </w:r>
      <w:r w:rsidRPr="009E4ABD">
        <w:rPr>
          <w:szCs w:val="26"/>
          <w:lang w:eastAsia="en-IE"/>
        </w:rPr>
        <w:t xml:space="preserve"> </w:t>
      </w:r>
      <w:r>
        <w:rPr>
          <w:szCs w:val="26"/>
          <w:lang w:eastAsia="en-IE"/>
        </w:rPr>
        <w:t>Just over 13% of those with a disability were unemployed, compared to 9.5% of those without a disability, and 4.7% of those with a disability were in education and training compared to 5.8% of those without a disability. Almost one third of those with a disability were unable to work due to permanent sickness or disability (32.4%) compared to 1.1% of those without a disability. Just over 13% of those without a disability had an ‘other’ principal economic status*, compared to 10</w:t>
      </w:r>
      <w:r w:rsidR="007849B5">
        <w:rPr>
          <w:szCs w:val="26"/>
          <w:lang w:eastAsia="en-IE"/>
        </w:rPr>
        <w:t>.8% of those with disabilities.</w:t>
      </w:r>
    </w:p>
    <w:p w14:paraId="114AE667" w14:textId="76CC98CA" w:rsidR="000E79EA" w:rsidRDefault="007849B5" w:rsidP="000E79EA">
      <w:pPr>
        <w:rPr>
          <w:szCs w:val="26"/>
          <w:lang w:eastAsia="en-IE"/>
        </w:rPr>
      </w:pPr>
      <w:r>
        <w:rPr>
          <w:noProof/>
          <w:szCs w:val="26"/>
          <w:lang w:eastAsia="en-IE"/>
        </w:rPr>
        <w:drawing>
          <wp:inline distT="0" distB="0" distL="0" distR="0" wp14:anchorId="0D712CC3" wp14:editId="3A158F7E">
            <wp:extent cx="5648325" cy="2952750"/>
            <wp:effectExtent l="0" t="0" r="9525" b="0"/>
            <wp:docPr id="17" name="Picture 17" descr="Percentage of people aged 20-64 with and without a disability by principal economic status in 2016. " title="Figure 4. Percentage of people aged 20-64 with and without a disability by principal economic status in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8325" cy="2952750"/>
                    </a:xfrm>
                    <a:prstGeom prst="rect">
                      <a:avLst/>
                    </a:prstGeom>
                    <a:noFill/>
                    <a:ln>
                      <a:noFill/>
                    </a:ln>
                  </pic:spPr>
                </pic:pic>
              </a:graphicData>
            </a:graphic>
          </wp:inline>
        </w:drawing>
      </w:r>
    </w:p>
    <w:p w14:paraId="0175B099" w14:textId="77777777" w:rsidR="000E79EA" w:rsidRPr="002C7AC4" w:rsidRDefault="000E79EA" w:rsidP="000E79EA">
      <w:pPr>
        <w:ind w:left="360"/>
        <w:rPr>
          <w:sz w:val="20"/>
          <w:szCs w:val="20"/>
          <w:lang w:eastAsia="en-IE"/>
        </w:rPr>
      </w:pPr>
      <w:r w:rsidRPr="002C7AC4">
        <w:rPr>
          <w:sz w:val="20"/>
          <w:szCs w:val="20"/>
          <w:lang w:eastAsia="en-IE"/>
        </w:rPr>
        <w:t xml:space="preserve">*Other refers to those who are looking after the home/family, retired, or are not in the labour force for another reason. </w:t>
      </w:r>
    </w:p>
    <w:p w14:paraId="1B049362" w14:textId="4779CB5C" w:rsidR="000E79EA" w:rsidRDefault="000E79EA" w:rsidP="000E79EA">
      <w:pPr>
        <w:rPr>
          <w:szCs w:val="26"/>
          <w:lang w:eastAsia="en-IE"/>
        </w:rPr>
      </w:pPr>
      <w:r>
        <w:rPr>
          <w:szCs w:val="26"/>
          <w:lang w:eastAsia="en-IE"/>
        </w:rPr>
        <w:t>An examination of the gender breakdown by principal economic status for people with and without a disability showed that the</w:t>
      </w:r>
      <w:r w:rsidR="002A49B9">
        <w:rPr>
          <w:szCs w:val="26"/>
          <w:lang w:eastAsia="en-IE"/>
        </w:rPr>
        <w:t xml:space="preserve"> percentage</w:t>
      </w:r>
      <w:r>
        <w:rPr>
          <w:szCs w:val="26"/>
          <w:lang w:eastAsia="en-IE"/>
        </w:rPr>
        <w:t xml:space="preserve"> differences between</w:t>
      </w:r>
      <w:r w:rsidR="002A49B9">
        <w:rPr>
          <w:szCs w:val="26"/>
          <w:lang w:eastAsia="en-IE"/>
        </w:rPr>
        <w:t xml:space="preserve"> employed</w:t>
      </w:r>
      <w:r>
        <w:rPr>
          <w:szCs w:val="26"/>
          <w:lang w:eastAsia="en-IE"/>
        </w:rPr>
        <w:t xml:space="preserve"> males and females without a disability is higher (11.1 percentage points) than that of </w:t>
      </w:r>
      <w:r w:rsidR="002A49B9">
        <w:rPr>
          <w:szCs w:val="26"/>
          <w:lang w:eastAsia="en-IE"/>
        </w:rPr>
        <w:t xml:space="preserve">employed </w:t>
      </w:r>
      <w:r>
        <w:rPr>
          <w:szCs w:val="26"/>
          <w:lang w:eastAsia="en-IE"/>
        </w:rPr>
        <w:t>males and females without a disability (5 percentage points)</w:t>
      </w:r>
      <w:r w:rsidR="00DB325D">
        <w:rPr>
          <w:rStyle w:val="FootnoteReference"/>
          <w:szCs w:val="26"/>
          <w:lang w:eastAsia="en-IE"/>
        </w:rPr>
        <w:footnoteReference w:id="82"/>
      </w:r>
      <w:r w:rsidR="00DA15E4">
        <w:rPr>
          <w:szCs w:val="26"/>
          <w:lang w:eastAsia="en-IE"/>
        </w:rPr>
        <w:t xml:space="preserve"> (Table 2)</w:t>
      </w:r>
      <w:r>
        <w:rPr>
          <w:szCs w:val="26"/>
          <w:lang w:eastAsia="en-IE"/>
        </w:rPr>
        <w:t xml:space="preserve">. There </w:t>
      </w:r>
      <w:r w:rsidR="002A49B9">
        <w:rPr>
          <w:szCs w:val="26"/>
          <w:lang w:eastAsia="en-IE"/>
        </w:rPr>
        <w:t>is</w:t>
      </w:r>
      <w:r>
        <w:rPr>
          <w:szCs w:val="26"/>
          <w:lang w:eastAsia="en-IE"/>
        </w:rPr>
        <w:t xml:space="preserve"> also a higher percentage of men with a disability in the ‘other’ category (7.1%) compared to m</w:t>
      </w:r>
      <w:r w:rsidR="007849B5">
        <w:rPr>
          <w:szCs w:val="26"/>
          <w:lang w:eastAsia="en-IE"/>
        </w:rPr>
        <w:t>en without a disability (3.9%).</w:t>
      </w:r>
    </w:p>
    <w:p w14:paraId="1996DA1E" w14:textId="77777777" w:rsidR="000E79EA" w:rsidRPr="00E95BF9" w:rsidRDefault="000E79EA" w:rsidP="000E79EA">
      <w:pPr>
        <w:spacing w:after="0"/>
        <w:rPr>
          <w:rFonts w:cs="Calibri"/>
          <w:b/>
          <w:color w:val="000000"/>
          <w:szCs w:val="26"/>
          <w:lang w:eastAsia="en-IE"/>
        </w:rPr>
      </w:pPr>
      <w:r w:rsidRPr="00E95BF9">
        <w:rPr>
          <w:rFonts w:cs="Calibri"/>
          <w:b/>
          <w:color w:val="000000"/>
          <w:szCs w:val="26"/>
          <w:lang w:eastAsia="en-IE"/>
        </w:rPr>
        <w:t xml:space="preserve">Table 2: Proportion of people aged </w:t>
      </w:r>
      <w:r>
        <w:rPr>
          <w:rFonts w:cs="Calibri"/>
          <w:b/>
          <w:color w:val="000000"/>
          <w:szCs w:val="26"/>
          <w:lang w:eastAsia="en-IE"/>
        </w:rPr>
        <w:t>20</w:t>
      </w:r>
      <w:r w:rsidRPr="00E95BF9">
        <w:rPr>
          <w:rFonts w:cs="Calibri"/>
          <w:b/>
          <w:color w:val="000000"/>
          <w:szCs w:val="26"/>
          <w:lang w:eastAsia="en-IE"/>
        </w:rPr>
        <w:t>-64 with and without a disability by principal economic status and gender.</w:t>
      </w: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Caption w:val="Table 2: Proportion of people aged 20-64 with and without a disability by principal economic status and gender."/>
        <w:tblDescription w:val="Table 2: Proportion of people aged 20-64 with and without a disability by principal economic status and gender."/>
      </w:tblPr>
      <w:tblGrid>
        <w:gridCol w:w="2972"/>
        <w:gridCol w:w="1559"/>
        <w:gridCol w:w="1560"/>
        <w:gridCol w:w="1645"/>
        <w:gridCol w:w="1049"/>
      </w:tblGrid>
      <w:tr w:rsidR="000E79EA" w:rsidRPr="00D66E2C" w14:paraId="20F4E50E" w14:textId="77777777" w:rsidTr="00E61358">
        <w:trPr>
          <w:cantSplit/>
          <w:trHeight w:val="315"/>
          <w:tblHeader/>
        </w:trPr>
        <w:tc>
          <w:tcPr>
            <w:tcW w:w="2972" w:type="dxa"/>
            <w:shd w:val="clear" w:color="auto" w:fill="auto"/>
            <w:noWrap/>
            <w:vAlign w:val="bottom"/>
            <w:hideMark/>
          </w:tcPr>
          <w:p w14:paraId="4B3A62C3" w14:textId="77777777" w:rsidR="000E79EA" w:rsidRPr="003E3CC7" w:rsidRDefault="000E79EA" w:rsidP="00000DDE">
            <w:pPr>
              <w:spacing w:after="0"/>
              <w:rPr>
                <w:rFonts w:cs="Calibri"/>
                <w:b/>
                <w:color w:val="000000"/>
                <w:sz w:val="24"/>
                <w:lang w:eastAsia="en-IE"/>
              </w:rPr>
            </w:pPr>
            <w:r w:rsidRPr="003E3CC7">
              <w:rPr>
                <w:rFonts w:cs="Calibri"/>
                <w:b/>
                <w:color w:val="000000"/>
                <w:sz w:val="24"/>
                <w:lang w:eastAsia="en-IE"/>
              </w:rPr>
              <w:t>Princip</w:t>
            </w:r>
            <w:r>
              <w:rPr>
                <w:rFonts w:cs="Calibri"/>
                <w:b/>
                <w:color w:val="000000"/>
                <w:sz w:val="24"/>
                <w:lang w:eastAsia="en-IE"/>
              </w:rPr>
              <w:t xml:space="preserve">al </w:t>
            </w:r>
            <w:r w:rsidRPr="003E3CC7">
              <w:rPr>
                <w:rFonts w:cs="Calibri"/>
                <w:b/>
                <w:color w:val="000000"/>
                <w:sz w:val="24"/>
                <w:lang w:eastAsia="en-IE"/>
              </w:rPr>
              <w:t>economic status</w:t>
            </w:r>
          </w:p>
        </w:tc>
        <w:tc>
          <w:tcPr>
            <w:tcW w:w="3119" w:type="dxa"/>
            <w:gridSpan w:val="2"/>
            <w:shd w:val="clear" w:color="auto" w:fill="auto"/>
            <w:noWrap/>
            <w:vAlign w:val="bottom"/>
            <w:hideMark/>
          </w:tcPr>
          <w:p w14:paraId="19EBBB54" w14:textId="77777777" w:rsidR="000E79EA" w:rsidRPr="003E3CC7" w:rsidRDefault="000E79EA" w:rsidP="007849B5">
            <w:pPr>
              <w:spacing w:after="0"/>
              <w:jc w:val="right"/>
              <w:rPr>
                <w:rFonts w:cs="Calibri"/>
                <w:b/>
                <w:color w:val="000000"/>
                <w:sz w:val="24"/>
                <w:lang w:eastAsia="en-IE"/>
              </w:rPr>
            </w:pPr>
            <w:r>
              <w:rPr>
                <w:rFonts w:cs="Calibri"/>
                <w:b/>
                <w:color w:val="000000"/>
                <w:sz w:val="24"/>
                <w:lang w:eastAsia="en-IE"/>
              </w:rPr>
              <w:t>Persons with</w:t>
            </w:r>
            <w:bookmarkStart w:id="2" w:name="Table_2"/>
            <w:bookmarkEnd w:id="2"/>
            <w:r>
              <w:rPr>
                <w:rFonts w:cs="Calibri"/>
                <w:b/>
                <w:color w:val="000000"/>
                <w:sz w:val="24"/>
                <w:lang w:eastAsia="en-IE"/>
              </w:rPr>
              <w:t xml:space="preserve"> a disability</w:t>
            </w:r>
          </w:p>
        </w:tc>
        <w:tc>
          <w:tcPr>
            <w:tcW w:w="2694" w:type="dxa"/>
            <w:gridSpan w:val="2"/>
            <w:shd w:val="clear" w:color="auto" w:fill="auto"/>
            <w:noWrap/>
            <w:vAlign w:val="bottom"/>
            <w:hideMark/>
          </w:tcPr>
          <w:p w14:paraId="037E57A4" w14:textId="77777777" w:rsidR="000E79EA" w:rsidRPr="003E3CC7" w:rsidRDefault="000E79EA" w:rsidP="007849B5">
            <w:pPr>
              <w:spacing w:after="0"/>
              <w:jc w:val="right"/>
              <w:rPr>
                <w:rFonts w:cs="Calibri"/>
                <w:b/>
                <w:color w:val="000000"/>
                <w:sz w:val="24"/>
                <w:lang w:eastAsia="en-IE"/>
              </w:rPr>
            </w:pPr>
            <w:r>
              <w:rPr>
                <w:rFonts w:cs="Calibri"/>
                <w:b/>
                <w:color w:val="000000"/>
                <w:sz w:val="24"/>
                <w:lang w:eastAsia="en-IE"/>
              </w:rPr>
              <w:t>Persons without a disability</w:t>
            </w:r>
          </w:p>
        </w:tc>
      </w:tr>
      <w:tr w:rsidR="000E79EA" w:rsidRPr="00D66E2C" w14:paraId="3338D1FF" w14:textId="77777777" w:rsidTr="00E61358">
        <w:trPr>
          <w:trHeight w:val="315"/>
        </w:trPr>
        <w:tc>
          <w:tcPr>
            <w:tcW w:w="2972" w:type="dxa"/>
            <w:shd w:val="clear" w:color="auto" w:fill="auto"/>
            <w:noWrap/>
            <w:vAlign w:val="bottom"/>
            <w:hideMark/>
          </w:tcPr>
          <w:p w14:paraId="6E03FF95" w14:textId="77777777" w:rsidR="000E79EA" w:rsidRPr="0006165F" w:rsidRDefault="000E79EA" w:rsidP="00000DDE">
            <w:pPr>
              <w:spacing w:after="0"/>
              <w:rPr>
                <w:rFonts w:cs="Calibri"/>
                <w:b/>
                <w:color w:val="000000"/>
                <w:szCs w:val="26"/>
                <w:lang w:eastAsia="en-IE"/>
              </w:rPr>
            </w:pPr>
          </w:p>
        </w:tc>
        <w:tc>
          <w:tcPr>
            <w:tcW w:w="1559" w:type="dxa"/>
            <w:shd w:val="clear" w:color="auto" w:fill="auto"/>
            <w:noWrap/>
            <w:vAlign w:val="bottom"/>
            <w:hideMark/>
          </w:tcPr>
          <w:p w14:paraId="2A70EB7F" w14:textId="77777777" w:rsidR="000E79EA" w:rsidRPr="003E3CC7" w:rsidRDefault="000E79EA" w:rsidP="007849B5">
            <w:pPr>
              <w:spacing w:after="0"/>
              <w:jc w:val="right"/>
              <w:rPr>
                <w:rFonts w:cs="Calibri"/>
                <w:b/>
                <w:color w:val="000000"/>
                <w:sz w:val="24"/>
                <w:lang w:eastAsia="en-IE"/>
              </w:rPr>
            </w:pPr>
            <w:r w:rsidRPr="003E3CC7">
              <w:rPr>
                <w:rFonts w:cs="Calibri"/>
                <w:b/>
                <w:color w:val="000000"/>
                <w:sz w:val="24"/>
                <w:lang w:eastAsia="en-IE"/>
              </w:rPr>
              <w:t>Male</w:t>
            </w:r>
          </w:p>
        </w:tc>
        <w:tc>
          <w:tcPr>
            <w:tcW w:w="1560" w:type="dxa"/>
            <w:shd w:val="clear" w:color="auto" w:fill="auto"/>
            <w:noWrap/>
            <w:vAlign w:val="bottom"/>
            <w:hideMark/>
          </w:tcPr>
          <w:p w14:paraId="49071E0F" w14:textId="77777777" w:rsidR="000E79EA" w:rsidRPr="003E3CC7" w:rsidRDefault="000E79EA" w:rsidP="007849B5">
            <w:pPr>
              <w:spacing w:after="0"/>
              <w:jc w:val="right"/>
              <w:rPr>
                <w:rFonts w:cs="Calibri"/>
                <w:b/>
                <w:color w:val="000000"/>
                <w:sz w:val="24"/>
                <w:lang w:eastAsia="en-IE"/>
              </w:rPr>
            </w:pPr>
            <w:r w:rsidRPr="003E3CC7">
              <w:rPr>
                <w:rFonts w:cs="Calibri"/>
                <w:b/>
                <w:color w:val="000000"/>
                <w:sz w:val="24"/>
                <w:lang w:eastAsia="en-IE"/>
              </w:rPr>
              <w:t>Female</w:t>
            </w:r>
          </w:p>
        </w:tc>
        <w:tc>
          <w:tcPr>
            <w:tcW w:w="1645" w:type="dxa"/>
            <w:shd w:val="clear" w:color="auto" w:fill="auto"/>
            <w:noWrap/>
            <w:vAlign w:val="bottom"/>
            <w:hideMark/>
          </w:tcPr>
          <w:p w14:paraId="311904C2" w14:textId="77777777" w:rsidR="000E79EA" w:rsidRPr="003E3CC7" w:rsidRDefault="000E79EA" w:rsidP="007849B5">
            <w:pPr>
              <w:spacing w:after="0"/>
              <w:jc w:val="right"/>
              <w:rPr>
                <w:rFonts w:cs="Calibri"/>
                <w:b/>
                <w:color w:val="000000"/>
                <w:sz w:val="24"/>
                <w:lang w:eastAsia="en-IE"/>
              </w:rPr>
            </w:pPr>
            <w:r w:rsidRPr="003E3CC7">
              <w:rPr>
                <w:rFonts w:cs="Calibri"/>
                <w:b/>
                <w:color w:val="000000"/>
                <w:sz w:val="24"/>
                <w:lang w:eastAsia="en-IE"/>
              </w:rPr>
              <w:t xml:space="preserve">Male </w:t>
            </w:r>
          </w:p>
        </w:tc>
        <w:tc>
          <w:tcPr>
            <w:tcW w:w="1049" w:type="dxa"/>
            <w:shd w:val="clear" w:color="auto" w:fill="auto"/>
            <w:noWrap/>
            <w:vAlign w:val="bottom"/>
            <w:hideMark/>
          </w:tcPr>
          <w:p w14:paraId="27D8621E" w14:textId="77777777" w:rsidR="000E79EA" w:rsidRPr="003E3CC7" w:rsidRDefault="000E79EA" w:rsidP="007849B5">
            <w:pPr>
              <w:spacing w:after="0"/>
              <w:jc w:val="right"/>
              <w:rPr>
                <w:rFonts w:cs="Calibri"/>
                <w:b/>
                <w:color w:val="000000"/>
                <w:sz w:val="24"/>
                <w:lang w:eastAsia="en-IE"/>
              </w:rPr>
            </w:pPr>
            <w:r w:rsidRPr="003E3CC7">
              <w:rPr>
                <w:rFonts w:cs="Calibri"/>
                <w:b/>
                <w:color w:val="000000"/>
                <w:sz w:val="24"/>
                <w:lang w:eastAsia="en-IE"/>
              </w:rPr>
              <w:t>Female</w:t>
            </w:r>
          </w:p>
        </w:tc>
      </w:tr>
      <w:tr w:rsidR="000E79EA" w:rsidRPr="00D66E2C" w14:paraId="0F614948" w14:textId="77777777" w:rsidTr="00E61358">
        <w:trPr>
          <w:trHeight w:val="315"/>
        </w:trPr>
        <w:tc>
          <w:tcPr>
            <w:tcW w:w="2972" w:type="dxa"/>
            <w:shd w:val="clear" w:color="auto" w:fill="auto"/>
            <w:noWrap/>
            <w:vAlign w:val="bottom"/>
            <w:hideMark/>
          </w:tcPr>
          <w:p w14:paraId="25DCE6D9" w14:textId="77777777" w:rsidR="000E79EA" w:rsidRPr="0006165F" w:rsidRDefault="000E79EA" w:rsidP="00000DDE">
            <w:pPr>
              <w:spacing w:after="0"/>
              <w:rPr>
                <w:rFonts w:cs="Calibri"/>
                <w:color w:val="000000"/>
                <w:szCs w:val="26"/>
                <w:lang w:eastAsia="en-IE"/>
              </w:rPr>
            </w:pPr>
            <w:r w:rsidRPr="0006165F">
              <w:rPr>
                <w:rFonts w:cs="Calibri"/>
                <w:color w:val="000000"/>
                <w:szCs w:val="26"/>
                <w:lang w:eastAsia="en-IE"/>
              </w:rPr>
              <w:t>Employed</w:t>
            </w:r>
          </w:p>
        </w:tc>
        <w:tc>
          <w:tcPr>
            <w:tcW w:w="1559" w:type="dxa"/>
            <w:shd w:val="clear" w:color="auto" w:fill="auto"/>
            <w:noWrap/>
            <w:vAlign w:val="center"/>
            <w:hideMark/>
          </w:tcPr>
          <w:p w14:paraId="2690EA0D"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39.0</w:t>
            </w:r>
          </w:p>
        </w:tc>
        <w:tc>
          <w:tcPr>
            <w:tcW w:w="1560" w:type="dxa"/>
            <w:shd w:val="clear" w:color="auto" w:fill="auto"/>
            <w:noWrap/>
            <w:vAlign w:val="center"/>
            <w:hideMark/>
          </w:tcPr>
          <w:p w14:paraId="206FB8AF"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34.0</w:t>
            </w:r>
          </w:p>
        </w:tc>
        <w:tc>
          <w:tcPr>
            <w:tcW w:w="1645" w:type="dxa"/>
            <w:shd w:val="clear" w:color="auto" w:fill="auto"/>
            <w:noWrap/>
            <w:vAlign w:val="center"/>
            <w:hideMark/>
          </w:tcPr>
          <w:p w14:paraId="790CE1BF"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78.4</w:t>
            </w:r>
          </w:p>
        </w:tc>
        <w:tc>
          <w:tcPr>
            <w:tcW w:w="1049" w:type="dxa"/>
            <w:shd w:val="clear" w:color="auto" w:fill="auto"/>
            <w:noWrap/>
            <w:vAlign w:val="center"/>
            <w:hideMark/>
          </w:tcPr>
          <w:p w14:paraId="7E3D43DC"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67.3</w:t>
            </w:r>
          </w:p>
        </w:tc>
      </w:tr>
      <w:tr w:rsidR="000E79EA" w:rsidRPr="00D66E2C" w14:paraId="2051793B" w14:textId="77777777" w:rsidTr="00E61358">
        <w:trPr>
          <w:trHeight w:val="405"/>
        </w:trPr>
        <w:tc>
          <w:tcPr>
            <w:tcW w:w="2972" w:type="dxa"/>
            <w:shd w:val="clear" w:color="auto" w:fill="auto"/>
            <w:noWrap/>
            <w:vAlign w:val="bottom"/>
            <w:hideMark/>
          </w:tcPr>
          <w:p w14:paraId="22451A76" w14:textId="77777777" w:rsidR="000E79EA" w:rsidRPr="0006165F" w:rsidRDefault="000E79EA" w:rsidP="00000DDE">
            <w:pPr>
              <w:spacing w:after="0"/>
              <w:rPr>
                <w:rFonts w:cs="Calibri"/>
                <w:color w:val="000000"/>
                <w:szCs w:val="26"/>
                <w:lang w:eastAsia="en-IE"/>
              </w:rPr>
            </w:pPr>
            <w:r w:rsidRPr="0006165F">
              <w:rPr>
                <w:rFonts w:cs="Calibri"/>
                <w:color w:val="000000"/>
                <w:szCs w:val="26"/>
                <w:lang w:eastAsia="en-IE"/>
              </w:rPr>
              <w:t>Unemployed</w:t>
            </w:r>
          </w:p>
        </w:tc>
        <w:tc>
          <w:tcPr>
            <w:tcW w:w="1559" w:type="dxa"/>
            <w:shd w:val="clear" w:color="auto" w:fill="auto"/>
            <w:noWrap/>
            <w:vAlign w:val="center"/>
            <w:hideMark/>
          </w:tcPr>
          <w:p w14:paraId="5014E966"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16.0</w:t>
            </w:r>
          </w:p>
        </w:tc>
        <w:tc>
          <w:tcPr>
            <w:tcW w:w="1560" w:type="dxa"/>
            <w:shd w:val="clear" w:color="auto" w:fill="auto"/>
            <w:noWrap/>
            <w:vAlign w:val="center"/>
            <w:hideMark/>
          </w:tcPr>
          <w:p w14:paraId="4D4AC14D"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10.6</w:t>
            </w:r>
          </w:p>
        </w:tc>
        <w:tc>
          <w:tcPr>
            <w:tcW w:w="1645" w:type="dxa"/>
            <w:shd w:val="clear" w:color="auto" w:fill="auto"/>
            <w:noWrap/>
            <w:vAlign w:val="center"/>
            <w:hideMark/>
          </w:tcPr>
          <w:p w14:paraId="47E6793E"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11.0</w:t>
            </w:r>
          </w:p>
        </w:tc>
        <w:tc>
          <w:tcPr>
            <w:tcW w:w="1049" w:type="dxa"/>
            <w:shd w:val="clear" w:color="auto" w:fill="auto"/>
            <w:noWrap/>
            <w:vAlign w:val="center"/>
            <w:hideMark/>
          </w:tcPr>
          <w:p w14:paraId="6FC62A4B"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8.0</w:t>
            </w:r>
          </w:p>
        </w:tc>
      </w:tr>
      <w:tr w:rsidR="000E79EA" w:rsidRPr="00D66E2C" w14:paraId="7339B373" w14:textId="77777777" w:rsidTr="00E61358">
        <w:trPr>
          <w:trHeight w:val="405"/>
        </w:trPr>
        <w:tc>
          <w:tcPr>
            <w:tcW w:w="2972" w:type="dxa"/>
            <w:shd w:val="clear" w:color="auto" w:fill="auto"/>
            <w:noWrap/>
            <w:vAlign w:val="bottom"/>
            <w:hideMark/>
          </w:tcPr>
          <w:p w14:paraId="70A49B2E" w14:textId="77777777" w:rsidR="000E79EA" w:rsidRPr="0006165F" w:rsidRDefault="000E79EA" w:rsidP="00000DDE">
            <w:pPr>
              <w:spacing w:after="0"/>
              <w:rPr>
                <w:rFonts w:cs="Calibri"/>
                <w:color w:val="000000"/>
                <w:szCs w:val="26"/>
                <w:lang w:eastAsia="en-IE"/>
              </w:rPr>
            </w:pPr>
            <w:r w:rsidRPr="0006165F">
              <w:rPr>
                <w:rFonts w:cs="Calibri"/>
                <w:color w:val="000000"/>
                <w:szCs w:val="26"/>
                <w:lang w:eastAsia="en-IE"/>
              </w:rPr>
              <w:t>In education</w:t>
            </w:r>
          </w:p>
        </w:tc>
        <w:tc>
          <w:tcPr>
            <w:tcW w:w="1559" w:type="dxa"/>
            <w:shd w:val="clear" w:color="auto" w:fill="auto"/>
            <w:noWrap/>
            <w:vAlign w:val="center"/>
            <w:hideMark/>
          </w:tcPr>
          <w:p w14:paraId="75E2303D"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4.5</w:t>
            </w:r>
          </w:p>
        </w:tc>
        <w:tc>
          <w:tcPr>
            <w:tcW w:w="1560" w:type="dxa"/>
            <w:shd w:val="clear" w:color="auto" w:fill="auto"/>
            <w:noWrap/>
            <w:vAlign w:val="center"/>
            <w:hideMark/>
          </w:tcPr>
          <w:p w14:paraId="0161902C"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4.9</w:t>
            </w:r>
          </w:p>
        </w:tc>
        <w:tc>
          <w:tcPr>
            <w:tcW w:w="1645" w:type="dxa"/>
            <w:shd w:val="clear" w:color="auto" w:fill="auto"/>
            <w:noWrap/>
            <w:vAlign w:val="center"/>
            <w:hideMark/>
          </w:tcPr>
          <w:p w14:paraId="16E48CC7"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5.7</w:t>
            </w:r>
          </w:p>
        </w:tc>
        <w:tc>
          <w:tcPr>
            <w:tcW w:w="1049" w:type="dxa"/>
            <w:shd w:val="clear" w:color="auto" w:fill="auto"/>
            <w:noWrap/>
            <w:vAlign w:val="center"/>
            <w:hideMark/>
          </w:tcPr>
          <w:p w14:paraId="58F968E3"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6.0</w:t>
            </w:r>
          </w:p>
        </w:tc>
      </w:tr>
      <w:tr w:rsidR="000E79EA" w:rsidRPr="00D66E2C" w14:paraId="5706826C" w14:textId="77777777" w:rsidTr="00E61358">
        <w:trPr>
          <w:trHeight w:val="405"/>
        </w:trPr>
        <w:tc>
          <w:tcPr>
            <w:tcW w:w="2972" w:type="dxa"/>
            <w:shd w:val="clear" w:color="auto" w:fill="auto"/>
            <w:noWrap/>
            <w:vAlign w:val="bottom"/>
            <w:hideMark/>
          </w:tcPr>
          <w:p w14:paraId="07A6495A" w14:textId="77777777" w:rsidR="000E79EA" w:rsidRPr="0006165F" w:rsidRDefault="000E79EA" w:rsidP="00000DDE">
            <w:pPr>
              <w:spacing w:after="0"/>
              <w:rPr>
                <w:rFonts w:cs="Calibri"/>
                <w:color w:val="000000"/>
                <w:szCs w:val="26"/>
                <w:lang w:eastAsia="en-IE"/>
              </w:rPr>
            </w:pPr>
            <w:r w:rsidRPr="0006165F">
              <w:rPr>
                <w:rFonts w:cs="Calibri"/>
                <w:color w:val="000000"/>
                <w:szCs w:val="26"/>
                <w:lang w:eastAsia="en-IE"/>
              </w:rPr>
              <w:t>Unable to work due to permanent illness or disability</w:t>
            </w:r>
          </w:p>
        </w:tc>
        <w:tc>
          <w:tcPr>
            <w:tcW w:w="1559" w:type="dxa"/>
            <w:shd w:val="clear" w:color="auto" w:fill="auto"/>
            <w:noWrap/>
            <w:vAlign w:val="center"/>
            <w:hideMark/>
          </w:tcPr>
          <w:p w14:paraId="1158BDDE"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33.4</w:t>
            </w:r>
          </w:p>
        </w:tc>
        <w:tc>
          <w:tcPr>
            <w:tcW w:w="1560" w:type="dxa"/>
            <w:shd w:val="clear" w:color="auto" w:fill="auto"/>
            <w:noWrap/>
            <w:vAlign w:val="center"/>
            <w:hideMark/>
          </w:tcPr>
          <w:p w14:paraId="14789BA8"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31.5</w:t>
            </w:r>
          </w:p>
        </w:tc>
        <w:tc>
          <w:tcPr>
            <w:tcW w:w="1645" w:type="dxa"/>
            <w:shd w:val="clear" w:color="auto" w:fill="auto"/>
            <w:noWrap/>
            <w:vAlign w:val="center"/>
            <w:hideMark/>
          </w:tcPr>
          <w:p w14:paraId="71F843BC"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1.1</w:t>
            </w:r>
          </w:p>
        </w:tc>
        <w:tc>
          <w:tcPr>
            <w:tcW w:w="1049" w:type="dxa"/>
            <w:shd w:val="clear" w:color="auto" w:fill="auto"/>
            <w:noWrap/>
            <w:vAlign w:val="center"/>
            <w:hideMark/>
          </w:tcPr>
          <w:p w14:paraId="5C4B7CFB"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1.0</w:t>
            </w:r>
          </w:p>
        </w:tc>
      </w:tr>
      <w:tr w:rsidR="000E79EA" w:rsidRPr="00D66E2C" w14:paraId="7762B298" w14:textId="77777777" w:rsidTr="00E61358">
        <w:trPr>
          <w:trHeight w:val="405"/>
        </w:trPr>
        <w:tc>
          <w:tcPr>
            <w:tcW w:w="2972" w:type="dxa"/>
            <w:shd w:val="clear" w:color="auto" w:fill="auto"/>
            <w:noWrap/>
            <w:vAlign w:val="bottom"/>
            <w:hideMark/>
          </w:tcPr>
          <w:p w14:paraId="2FC64FE3" w14:textId="77777777" w:rsidR="000E79EA" w:rsidRPr="0006165F" w:rsidRDefault="000E79EA" w:rsidP="00000DDE">
            <w:pPr>
              <w:spacing w:after="0"/>
              <w:rPr>
                <w:rFonts w:cs="Calibri"/>
                <w:color w:val="000000"/>
                <w:szCs w:val="26"/>
                <w:lang w:eastAsia="en-IE"/>
              </w:rPr>
            </w:pPr>
            <w:r w:rsidRPr="0006165F">
              <w:rPr>
                <w:rFonts w:cs="Calibri"/>
                <w:color w:val="000000"/>
                <w:szCs w:val="26"/>
                <w:lang w:eastAsia="en-IE"/>
              </w:rPr>
              <w:t>Other</w:t>
            </w:r>
          </w:p>
        </w:tc>
        <w:tc>
          <w:tcPr>
            <w:tcW w:w="1559" w:type="dxa"/>
            <w:shd w:val="clear" w:color="auto" w:fill="auto"/>
            <w:noWrap/>
            <w:vAlign w:val="center"/>
            <w:hideMark/>
          </w:tcPr>
          <w:p w14:paraId="65F38B75"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7.1</w:t>
            </w:r>
          </w:p>
        </w:tc>
        <w:tc>
          <w:tcPr>
            <w:tcW w:w="1560" w:type="dxa"/>
            <w:shd w:val="clear" w:color="auto" w:fill="auto"/>
            <w:noWrap/>
            <w:vAlign w:val="center"/>
            <w:hideMark/>
          </w:tcPr>
          <w:p w14:paraId="4B39F918"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19.0</w:t>
            </w:r>
          </w:p>
        </w:tc>
        <w:tc>
          <w:tcPr>
            <w:tcW w:w="1645" w:type="dxa"/>
            <w:shd w:val="clear" w:color="auto" w:fill="auto"/>
            <w:noWrap/>
            <w:vAlign w:val="center"/>
            <w:hideMark/>
          </w:tcPr>
          <w:p w14:paraId="0A15F5A6"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3.9</w:t>
            </w:r>
          </w:p>
        </w:tc>
        <w:tc>
          <w:tcPr>
            <w:tcW w:w="1049" w:type="dxa"/>
            <w:shd w:val="clear" w:color="auto" w:fill="auto"/>
            <w:noWrap/>
            <w:vAlign w:val="center"/>
            <w:hideMark/>
          </w:tcPr>
          <w:p w14:paraId="077D9250" w14:textId="77777777" w:rsidR="000E79EA" w:rsidRPr="00B66539" w:rsidRDefault="000E79EA" w:rsidP="007849B5">
            <w:pPr>
              <w:spacing w:after="0"/>
              <w:jc w:val="right"/>
              <w:rPr>
                <w:rFonts w:cs="Calibri"/>
                <w:color w:val="000000"/>
                <w:szCs w:val="26"/>
                <w:lang w:eastAsia="en-IE"/>
              </w:rPr>
            </w:pPr>
            <w:r w:rsidRPr="00B66539">
              <w:rPr>
                <w:rFonts w:cs="Calibri"/>
                <w:color w:val="000000"/>
                <w:szCs w:val="26"/>
              </w:rPr>
              <w:t>17.7</w:t>
            </w:r>
          </w:p>
        </w:tc>
      </w:tr>
    </w:tbl>
    <w:p w14:paraId="206A5F84" w14:textId="77777777" w:rsidR="00B273FA" w:rsidRDefault="006B5F2F" w:rsidP="007849B5">
      <w:pPr>
        <w:spacing w:before="240" w:after="150"/>
        <w:rPr>
          <w:rFonts w:eastAsiaTheme="minorHAnsi" w:cs="ArialMT"/>
          <w:szCs w:val="26"/>
        </w:rPr>
      </w:pPr>
      <w:r w:rsidRPr="00D66505">
        <w:rPr>
          <w:rFonts w:eastAsiaTheme="minorHAnsi" w:cs="ArialMT"/>
          <w:szCs w:val="26"/>
        </w:rPr>
        <w:t xml:space="preserve">A number of initiatives have been undertaken as part of the </w:t>
      </w:r>
      <w:r w:rsidR="0065670E">
        <w:rPr>
          <w:rFonts w:eastAsiaTheme="minorHAnsi" w:cs="ArialMT"/>
          <w:szCs w:val="26"/>
        </w:rPr>
        <w:t>CES</w:t>
      </w:r>
      <w:r w:rsidR="00EA7A6F">
        <w:rPr>
          <w:rStyle w:val="FootnoteReference"/>
          <w:rFonts w:eastAsiaTheme="minorHAnsi" w:cs="ArialMT"/>
          <w:szCs w:val="26"/>
        </w:rPr>
        <w:footnoteReference w:id="83"/>
      </w:r>
      <w:r w:rsidRPr="00D66505">
        <w:rPr>
          <w:rFonts w:eastAsiaTheme="minorHAnsi" w:cs="ArialMT"/>
          <w:szCs w:val="26"/>
        </w:rPr>
        <w:t xml:space="preserve"> to reduce barriers to work for </w:t>
      </w:r>
      <w:r w:rsidR="004B469A">
        <w:rPr>
          <w:rFonts w:eastAsiaTheme="minorHAnsi" w:cs="ArialMT"/>
          <w:szCs w:val="26"/>
        </w:rPr>
        <w:t>persons with disabilities</w:t>
      </w:r>
      <w:r w:rsidRPr="00D66505">
        <w:rPr>
          <w:rFonts w:eastAsiaTheme="minorHAnsi" w:cs="ArialMT"/>
          <w:szCs w:val="26"/>
        </w:rPr>
        <w:t>. These include</w:t>
      </w:r>
      <w:r w:rsidR="00B273FA">
        <w:rPr>
          <w:rFonts w:eastAsiaTheme="minorHAnsi" w:cs="ArialMT"/>
          <w:szCs w:val="26"/>
        </w:rPr>
        <w:t>:</w:t>
      </w:r>
    </w:p>
    <w:p w14:paraId="2BDF0CD1" w14:textId="5D953125" w:rsidR="00B273FA" w:rsidRPr="00595F1A" w:rsidRDefault="00514457" w:rsidP="00552685">
      <w:pPr>
        <w:pStyle w:val="ListParagraph"/>
        <w:numPr>
          <w:ilvl w:val="0"/>
          <w:numId w:val="26"/>
        </w:numPr>
        <w:spacing w:after="150"/>
        <w:rPr>
          <w:szCs w:val="26"/>
          <w:lang w:eastAsia="en-IE"/>
        </w:rPr>
      </w:pPr>
      <w:r>
        <w:rPr>
          <w:rFonts w:eastAsiaTheme="minorHAnsi" w:cs="ArialMT"/>
          <w:szCs w:val="26"/>
        </w:rPr>
        <w:t>T</w:t>
      </w:r>
      <w:r w:rsidRPr="00B273FA">
        <w:rPr>
          <w:rFonts w:eastAsiaTheme="minorHAnsi" w:cs="ArialMT"/>
          <w:szCs w:val="26"/>
        </w:rPr>
        <w:t xml:space="preserve">he </w:t>
      </w:r>
      <w:r w:rsidR="006B5F2F" w:rsidRPr="00B273FA">
        <w:rPr>
          <w:rFonts w:eastAsiaTheme="minorHAnsi" w:cs="ArialMT"/>
          <w:szCs w:val="26"/>
        </w:rPr>
        <w:t>retention of a free travel pass for people who move into work</w:t>
      </w:r>
      <w:r w:rsidR="001B297C">
        <w:rPr>
          <w:rFonts w:eastAsiaTheme="minorHAnsi" w:cs="ArialMT"/>
          <w:szCs w:val="26"/>
        </w:rPr>
        <w:t xml:space="preserve"> in 2017</w:t>
      </w:r>
      <w:r w:rsidR="001B297C">
        <w:rPr>
          <w:rStyle w:val="FootnoteReference"/>
          <w:rFonts w:eastAsiaTheme="minorHAnsi" w:cs="ArialMT"/>
          <w:szCs w:val="26"/>
        </w:rPr>
        <w:footnoteReference w:id="84"/>
      </w:r>
      <w:r w:rsidR="006B5F2F" w:rsidRPr="00B273FA">
        <w:rPr>
          <w:rFonts w:eastAsiaTheme="minorHAnsi" w:cs="ArialMT"/>
          <w:szCs w:val="26"/>
        </w:rPr>
        <w:t xml:space="preserve">; an increase in earnings thresholds for retention of the medical card for </w:t>
      </w:r>
      <w:r w:rsidR="004B469A">
        <w:rPr>
          <w:rFonts w:eastAsiaTheme="minorHAnsi" w:cs="ArialMT"/>
          <w:szCs w:val="26"/>
        </w:rPr>
        <w:t>persons with disabilities</w:t>
      </w:r>
      <w:r w:rsidR="001B297C">
        <w:rPr>
          <w:rFonts w:eastAsiaTheme="minorHAnsi" w:cs="ArialMT"/>
          <w:szCs w:val="26"/>
        </w:rPr>
        <w:t xml:space="preserve"> in 2018</w:t>
      </w:r>
      <w:r w:rsidR="006B5F2F" w:rsidRPr="00B273FA">
        <w:rPr>
          <w:rFonts w:eastAsiaTheme="minorHAnsi" w:cs="ArialMT"/>
          <w:szCs w:val="26"/>
        </w:rPr>
        <w:t xml:space="preserve">; and </w:t>
      </w:r>
      <w:r w:rsidR="001B297C">
        <w:rPr>
          <w:rFonts w:eastAsiaTheme="minorHAnsi" w:cs="ArialMT"/>
          <w:szCs w:val="26"/>
        </w:rPr>
        <w:t xml:space="preserve">also in 2018, </w:t>
      </w:r>
      <w:r w:rsidR="006B5F2F" w:rsidRPr="00B273FA">
        <w:rPr>
          <w:rFonts w:eastAsiaTheme="minorHAnsi" w:cs="ArialMT"/>
          <w:szCs w:val="26"/>
        </w:rPr>
        <w:t>dispensing with the requirement that work should be of a rehabilitative nature in order for employment earnings to be disregarded in means tests.</w:t>
      </w:r>
      <w:r w:rsidR="001B297C">
        <w:rPr>
          <w:rStyle w:val="FootnoteReference"/>
          <w:rFonts w:eastAsiaTheme="minorHAnsi" w:cs="ArialMT"/>
          <w:szCs w:val="26"/>
        </w:rPr>
        <w:footnoteReference w:id="85"/>
      </w:r>
      <w:r w:rsidR="006B5F2F" w:rsidRPr="00595F1A">
        <w:rPr>
          <w:szCs w:val="26"/>
          <w:lang w:eastAsia="en-IE"/>
        </w:rPr>
        <w:t xml:space="preserve"> </w:t>
      </w:r>
    </w:p>
    <w:p w14:paraId="26FB7ACE" w14:textId="0E83087F" w:rsidR="00382F98" w:rsidRPr="00595F1A" w:rsidRDefault="006B5F2F" w:rsidP="00552685">
      <w:pPr>
        <w:pStyle w:val="ListParagraph"/>
        <w:numPr>
          <w:ilvl w:val="0"/>
          <w:numId w:val="26"/>
        </w:numPr>
        <w:spacing w:after="150"/>
        <w:rPr>
          <w:szCs w:val="26"/>
          <w:lang w:eastAsia="en-IE"/>
        </w:rPr>
      </w:pPr>
      <w:r w:rsidRPr="00595F1A">
        <w:rPr>
          <w:szCs w:val="26"/>
          <w:lang w:eastAsia="en-IE"/>
        </w:rPr>
        <w:t xml:space="preserve">A new Youth Employment Support Scheme (YESS) </w:t>
      </w:r>
      <w:r w:rsidR="004C20A7">
        <w:rPr>
          <w:szCs w:val="26"/>
          <w:lang w:eastAsia="en-IE"/>
        </w:rPr>
        <w:t xml:space="preserve">was introduced in 2018 and </w:t>
      </w:r>
      <w:r w:rsidRPr="00595F1A">
        <w:rPr>
          <w:szCs w:val="26"/>
          <w:lang w:eastAsia="en-IE"/>
        </w:rPr>
        <w:t xml:space="preserve">provides a three month work experience programme for young people that is extendable to six months. There is no cost to employers as the participants are paid by Intreo. It targets young people </w:t>
      </w:r>
      <w:r w:rsidR="00382F98" w:rsidRPr="00595F1A">
        <w:rPr>
          <w:szCs w:val="26"/>
          <w:lang w:eastAsia="en-IE"/>
        </w:rPr>
        <w:t xml:space="preserve">aged </w:t>
      </w:r>
      <w:r w:rsidRPr="00595F1A">
        <w:rPr>
          <w:szCs w:val="26"/>
          <w:lang w:eastAsia="en-IE"/>
        </w:rPr>
        <w:t xml:space="preserve">18-24 years who are unemployed </w:t>
      </w:r>
      <w:r w:rsidR="00F017BC" w:rsidRPr="00595F1A">
        <w:rPr>
          <w:szCs w:val="26"/>
          <w:lang w:eastAsia="en-IE"/>
        </w:rPr>
        <w:t xml:space="preserve">for </w:t>
      </w:r>
      <w:r w:rsidRPr="00595F1A">
        <w:rPr>
          <w:szCs w:val="26"/>
          <w:lang w:eastAsia="en-IE"/>
        </w:rPr>
        <w:t>at least one year or facing barriers to employment</w:t>
      </w:r>
      <w:r w:rsidR="00645D7F">
        <w:rPr>
          <w:szCs w:val="26"/>
          <w:lang w:eastAsia="en-IE"/>
        </w:rPr>
        <w:t>, including</w:t>
      </w:r>
      <w:r w:rsidR="002C76C0">
        <w:rPr>
          <w:szCs w:val="26"/>
          <w:lang w:eastAsia="en-IE"/>
        </w:rPr>
        <w:t xml:space="preserve"> </w:t>
      </w:r>
      <w:r w:rsidRPr="00595F1A">
        <w:rPr>
          <w:szCs w:val="26"/>
          <w:lang w:eastAsia="en-IE"/>
        </w:rPr>
        <w:t xml:space="preserve">disability. While take up is low to date for </w:t>
      </w:r>
      <w:r w:rsidR="004B469A">
        <w:rPr>
          <w:szCs w:val="26"/>
          <w:lang w:eastAsia="en-IE"/>
        </w:rPr>
        <w:t>persons with disabilities</w:t>
      </w:r>
      <w:r w:rsidR="00F017BC" w:rsidRPr="00595F1A">
        <w:rPr>
          <w:szCs w:val="26"/>
          <w:lang w:eastAsia="en-IE"/>
        </w:rPr>
        <w:t>,</w:t>
      </w:r>
      <w:r w:rsidRPr="00595F1A">
        <w:rPr>
          <w:szCs w:val="26"/>
          <w:lang w:eastAsia="en-IE"/>
        </w:rPr>
        <w:t xml:space="preserve"> the scheme has potential. </w:t>
      </w:r>
      <w:r w:rsidR="00645D7F">
        <w:rPr>
          <w:szCs w:val="26"/>
          <w:lang w:eastAsia="en-IE"/>
        </w:rPr>
        <w:t>The NDA have advised the scheme on</w:t>
      </w:r>
      <w:r w:rsidR="00514457">
        <w:rPr>
          <w:szCs w:val="26"/>
          <w:lang w:eastAsia="en-IE"/>
        </w:rPr>
        <w:t xml:space="preserve"> potential barriers to uptake</w:t>
      </w:r>
      <w:r w:rsidR="00D363ED">
        <w:rPr>
          <w:szCs w:val="26"/>
          <w:lang w:eastAsia="en-IE"/>
        </w:rPr>
        <w:t xml:space="preserve"> for persons with disabilities</w:t>
      </w:r>
      <w:r w:rsidR="00514457">
        <w:rPr>
          <w:szCs w:val="26"/>
          <w:lang w:eastAsia="en-IE"/>
        </w:rPr>
        <w:t xml:space="preserve">, such as </w:t>
      </w:r>
      <w:r w:rsidR="00647F50">
        <w:rPr>
          <w:szCs w:val="26"/>
          <w:lang w:eastAsia="en-IE"/>
        </w:rPr>
        <w:t xml:space="preserve">working hours </w:t>
      </w:r>
      <w:r w:rsidR="00514457">
        <w:rPr>
          <w:szCs w:val="26"/>
          <w:lang w:eastAsia="en-IE"/>
        </w:rPr>
        <w:t>and the time it may take for young people to settle into the scheme.</w:t>
      </w:r>
    </w:p>
    <w:p w14:paraId="18A2F240" w14:textId="7872D755" w:rsidR="006B5F2F" w:rsidRPr="00B273FA" w:rsidRDefault="006B5F2F" w:rsidP="00552685">
      <w:pPr>
        <w:pStyle w:val="ListParagraph"/>
        <w:numPr>
          <w:ilvl w:val="0"/>
          <w:numId w:val="26"/>
        </w:numPr>
        <w:spacing w:after="150"/>
        <w:rPr>
          <w:rFonts w:cs="Arial"/>
          <w:color w:val="333333"/>
          <w:szCs w:val="26"/>
          <w:lang w:val="en" w:eastAsia="en-IE"/>
        </w:rPr>
      </w:pPr>
      <w:r w:rsidRPr="00552685">
        <w:rPr>
          <w:rFonts w:cs="Arial"/>
          <w:color w:val="000000" w:themeColor="text1"/>
          <w:szCs w:val="26"/>
          <w:lang w:val="en" w:eastAsia="en-IE"/>
        </w:rPr>
        <w:t>EmployAbility is a</w:t>
      </w:r>
      <w:r w:rsidR="00E1176E">
        <w:rPr>
          <w:rFonts w:cs="Arial"/>
          <w:color w:val="000000" w:themeColor="text1"/>
          <w:szCs w:val="26"/>
          <w:lang w:val="en" w:eastAsia="en-IE"/>
        </w:rPr>
        <w:t>n established</w:t>
      </w:r>
      <w:r w:rsidRPr="00552685">
        <w:rPr>
          <w:rFonts w:cs="Arial"/>
          <w:color w:val="000000" w:themeColor="text1"/>
          <w:szCs w:val="26"/>
          <w:lang w:val="en" w:eastAsia="en-IE"/>
        </w:rPr>
        <w:t xml:space="preserve"> nationwide service that provides an employment support service for people with a health condition, injury, illness or disability</w:t>
      </w:r>
      <w:r w:rsidR="00CF5D5C" w:rsidRPr="00B273FA">
        <w:rPr>
          <w:rFonts w:cs="Arial"/>
          <w:szCs w:val="26"/>
          <w:lang w:val="en" w:eastAsia="en-IE"/>
        </w:rPr>
        <w:t xml:space="preserve">. </w:t>
      </w:r>
      <w:r w:rsidRPr="00595F1A">
        <w:rPr>
          <w:rFonts w:cs="Arial"/>
          <w:szCs w:val="26"/>
        </w:rPr>
        <w:t xml:space="preserve">Twenty four </w:t>
      </w:r>
      <w:r w:rsidR="00793730" w:rsidRPr="00595F1A">
        <w:rPr>
          <w:rFonts w:cs="Arial"/>
          <w:szCs w:val="26"/>
        </w:rPr>
        <w:t>organisations</w:t>
      </w:r>
      <w:r w:rsidRPr="00595F1A">
        <w:rPr>
          <w:rFonts w:cs="Arial"/>
          <w:szCs w:val="26"/>
        </w:rPr>
        <w:t xml:space="preserve"> are contracted to provide the EmployAbility service with an average of 3,000 clients at any stage. The job placement rate is reported to be in the order of 40%.</w:t>
      </w:r>
      <w:r w:rsidR="00DD0935">
        <w:rPr>
          <w:rStyle w:val="FootnoteReference"/>
          <w:rFonts w:cs="Arial"/>
          <w:szCs w:val="26"/>
        </w:rPr>
        <w:footnoteReference w:id="86"/>
      </w:r>
    </w:p>
    <w:p w14:paraId="3E344AAE" w14:textId="47234981" w:rsidR="009C0FFC" w:rsidRDefault="002C7AC4" w:rsidP="006B5F2F">
      <w:pPr>
        <w:rPr>
          <w:szCs w:val="26"/>
        </w:rPr>
      </w:pPr>
      <w:r w:rsidRPr="00D66505">
        <w:rPr>
          <w:szCs w:val="26"/>
          <w:lang w:eastAsia="en-IE"/>
        </w:rPr>
        <w:t>A European Commission Report</w:t>
      </w:r>
      <w:r w:rsidR="00F5419E">
        <w:rPr>
          <w:szCs w:val="26"/>
          <w:lang w:eastAsia="en-IE"/>
        </w:rPr>
        <w:t xml:space="preserve"> </w:t>
      </w:r>
      <w:r w:rsidRPr="00D66505">
        <w:rPr>
          <w:szCs w:val="26"/>
          <w:lang w:eastAsia="en-IE"/>
        </w:rPr>
        <w:t xml:space="preserve">for Ireland in 2019 </w:t>
      </w:r>
      <w:r w:rsidR="00B273FA" w:rsidRPr="00D66505">
        <w:rPr>
          <w:szCs w:val="26"/>
          <w:lang w:eastAsia="en-IE"/>
        </w:rPr>
        <w:t>note</w:t>
      </w:r>
      <w:r w:rsidR="00B273FA">
        <w:rPr>
          <w:szCs w:val="26"/>
          <w:lang w:eastAsia="en-IE"/>
        </w:rPr>
        <w:t>d</w:t>
      </w:r>
      <w:r w:rsidR="00B273FA" w:rsidRPr="00D66505">
        <w:rPr>
          <w:szCs w:val="26"/>
          <w:lang w:eastAsia="en-IE"/>
        </w:rPr>
        <w:t xml:space="preserve"> </w:t>
      </w:r>
      <w:r w:rsidRPr="00D66505">
        <w:rPr>
          <w:szCs w:val="26"/>
          <w:lang w:eastAsia="en-IE"/>
        </w:rPr>
        <w:t xml:space="preserve">that the employment rate for </w:t>
      </w:r>
      <w:r w:rsidR="004B469A">
        <w:rPr>
          <w:szCs w:val="26"/>
          <w:lang w:eastAsia="en-IE"/>
        </w:rPr>
        <w:t>persons with disabilities</w:t>
      </w:r>
      <w:r w:rsidRPr="00D66505">
        <w:rPr>
          <w:szCs w:val="26"/>
          <w:lang w:eastAsia="en-IE"/>
        </w:rPr>
        <w:t xml:space="preserve"> in Ireland is the lowest in the EU at 26.2% versus an EU average of 48% (2017 figures).</w:t>
      </w:r>
      <w:r w:rsidR="00263490" w:rsidRPr="00D66505">
        <w:rPr>
          <w:rStyle w:val="FootnoteReference"/>
          <w:szCs w:val="26"/>
          <w:lang w:eastAsia="en-IE"/>
        </w:rPr>
        <w:footnoteReference w:id="87"/>
      </w:r>
      <w:r w:rsidR="00263490" w:rsidRPr="00D66505">
        <w:rPr>
          <w:szCs w:val="26"/>
          <w:lang w:eastAsia="en-IE"/>
        </w:rPr>
        <w:t xml:space="preserve"> </w:t>
      </w:r>
      <w:r w:rsidRPr="00D66505">
        <w:rPr>
          <w:szCs w:val="26"/>
          <w:lang w:eastAsia="en-IE"/>
        </w:rPr>
        <w:t xml:space="preserve"> It also reports that Ireland has </w:t>
      </w:r>
      <w:r w:rsidRPr="00D66505">
        <w:rPr>
          <w:szCs w:val="26"/>
        </w:rPr>
        <w:t xml:space="preserve">one of the highest gaps </w:t>
      </w:r>
      <w:r w:rsidR="00341472">
        <w:rPr>
          <w:szCs w:val="26"/>
        </w:rPr>
        <w:t xml:space="preserve">in employment </w:t>
      </w:r>
      <w:r w:rsidRPr="00D66505">
        <w:rPr>
          <w:szCs w:val="26"/>
        </w:rPr>
        <w:t xml:space="preserve">between </w:t>
      </w:r>
      <w:r w:rsidR="0090500D">
        <w:rPr>
          <w:szCs w:val="26"/>
        </w:rPr>
        <w:t>persons with and without disabilities</w:t>
      </w:r>
      <w:r w:rsidRPr="00D66505">
        <w:rPr>
          <w:szCs w:val="26"/>
        </w:rPr>
        <w:t xml:space="preserve"> (45.1 percentage points).</w:t>
      </w:r>
      <w:r w:rsidR="001D5D59">
        <w:rPr>
          <w:rStyle w:val="FootnoteReference"/>
          <w:szCs w:val="26"/>
        </w:rPr>
        <w:footnoteReference w:id="88"/>
      </w:r>
      <w:r w:rsidRPr="00D66505">
        <w:rPr>
          <w:szCs w:val="26"/>
        </w:rPr>
        <w:t xml:space="preserve"> </w:t>
      </w:r>
    </w:p>
    <w:p w14:paraId="7721CF59" w14:textId="17D9A431" w:rsidR="002C7AC4" w:rsidRPr="0065670E" w:rsidRDefault="002C7AC4" w:rsidP="006B5F2F">
      <w:pPr>
        <w:rPr>
          <w:color w:val="000000" w:themeColor="text1"/>
          <w:szCs w:val="26"/>
          <w:shd w:val="clear" w:color="auto" w:fill="FFFFFF"/>
        </w:rPr>
      </w:pPr>
      <w:r w:rsidRPr="0065670E">
        <w:rPr>
          <w:color w:val="000000" w:themeColor="text1"/>
          <w:szCs w:val="26"/>
          <w:shd w:val="clear" w:color="auto" w:fill="FFFFFF"/>
        </w:rPr>
        <w:t xml:space="preserve">A 2017 </w:t>
      </w:r>
      <w:r w:rsidR="0065670E">
        <w:rPr>
          <w:color w:val="000000" w:themeColor="text1"/>
          <w:szCs w:val="26"/>
          <w:shd w:val="clear" w:color="auto" w:fill="FFFFFF"/>
        </w:rPr>
        <w:t>ESRI</w:t>
      </w:r>
      <w:r w:rsidRPr="0065670E">
        <w:rPr>
          <w:color w:val="000000" w:themeColor="text1"/>
          <w:szCs w:val="26"/>
          <w:shd w:val="clear" w:color="auto" w:fill="FFFFFF"/>
        </w:rPr>
        <w:t xml:space="preserve"> report</w:t>
      </w:r>
      <w:r w:rsidR="00645D7F" w:rsidRPr="0065670E">
        <w:rPr>
          <w:color w:val="000000" w:themeColor="text1"/>
          <w:szCs w:val="26"/>
          <w:shd w:val="clear" w:color="auto" w:fill="FFFFFF"/>
        </w:rPr>
        <w:t xml:space="preserve"> commissioned by the NDA</w:t>
      </w:r>
      <w:r w:rsidRPr="0065670E">
        <w:rPr>
          <w:rStyle w:val="FootnoteReference"/>
          <w:color w:val="000000" w:themeColor="text1"/>
          <w:szCs w:val="26"/>
          <w:shd w:val="clear" w:color="auto" w:fill="FFFFFF"/>
        </w:rPr>
        <w:footnoteReference w:id="89"/>
      </w:r>
      <w:r w:rsidRPr="0065670E">
        <w:rPr>
          <w:color w:val="000000" w:themeColor="text1"/>
          <w:szCs w:val="26"/>
          <w:shd w:val="clear" w:color="auto" w:fill="FFFFFF"/>
        </w:rPr>
        <w:t xml:space="preserve"> examined the employment transitions of </w:t>
      </w:r>
      <w:r w:rsidR="00194BEB" w:rsidRPr="0065670E">
        <w:rPr>
          <w:color w:val="000000" w:themeColor="text1"/>
          <w:szCs w:val="26"/>
          <w:shd w:val="clear" w:color="auto" w:fill="FFFFFF"/>
        </w:rPr>
        <w:t>persons with a disability</w:t>
      </w:r>
      <w:r w:rsidRPr="0065670E">
        <w:rPr>
          <w:color w:val="000000" w:themeColor="text1"/>
          <w:szCs w:val="26"/>
          <w:shd w:val="clear" w:color="auto" w:fill="FFFFFF"/>
        </w:rPr>
        <w:t xml:space="preserve"> and found that among those of working age</w:t>
      </w:r>
      <w:r w:rsidR="009C0FFC" w:rsidRPr="0065670E">
        <w:rPr>
          <w:color w:val="000000" w:themeColor="text1"/>
          <w:szCs w:val="26"/>
          <w:shd w:val="clear" w:color="auto" w:fill="FFFFFF"/>
        </w:rPr>
        <w:t>,</w:t>
      </w:r>
      <w:r w:rsidRPr="0065670E">
        <w:rPr>
          <w:color w:val="000000" w:themeColor="text1"/>
          <w:szCs w:val="26"/>
          <w:shd w:val="clear" w:color="auto" w:fill="FFFFFF"/>
        </w:rPr>
        <w:t xml:space="preserve"> most (82%) had worked at some stage in their life but that 35% had been without work for more than four years. </w:t>
      </w:r>
      <w:r w:rsidR="00D66505" w:rsidRPr="0065670E">
        <w:rPr>
          <w:color w:val="000000" w:themeColor="text1"/>
          <w:szCs w:val="26"/>
          <w:lang w:eastAsia="en-IE"/>
        </w:rPr>
        <w:t>The recently published Roadmap for Social Inclusion 2020</w:t>
      </w:r>
      <w:r w:rsidR="00700CF4" w:rsidRPr="0065670E">
        <w:rPr>
          <w:color w:val="000000" w:themeColor="text1"/>
          <w:szCs w:val="26"/>
          <w:lang w:eastAsia="en-IE"/>
        </w:rPr>
        <w:t>-</w:t>
      </w:r>
      <w:r w:rsidR="00D66505" w:rsidRPr="0065670E">
        <w:rPr>
          <w:color w:val="000000" w:themeColor="text1"/>
          <w:szCs w:val="26"/>
          <w:lang w:eastAsia="en-IE"/>
        </w:rPr>
        <w:t>2025</w:t>
      </w:r>
      <w:r w:rsidR="00D66505" w:rsidRPr="0065670E">
        <w:rPr>
          <w:rStyle w:val="FootnoteReference"/>
          <w:color w:val="000000" w:themeColor="text1"/>
          <w:szCs w:val="26"/>
          <w:lang w:eastAsia="en-IE"/>
        </w:rPr>
        <w:footnoteReference w:id="90"/>
      </w:r>
      <w:r w:rsidR="00D66505" w:rsidRPr="0065670E">
        <w:rPr>
          <w:color w:val="000000" w:themeColor="text1"/>
          <w:szCs w:val="26"/>
          <w:lang w:eastAsia="en-IE"/>
        </w:rPr>
        <w:t xml:space="preserve"> has a target of increasing the </w:t>
      </w:r>
      <w:r w:rsidR="00D66505" w:rsidRPr="0065670E">
        <w:rPr>
          <w:rFonts w:eastAsiaTheme="minorHAnsi" w:cs="ArialMT"/>
          <w:color w:val="000000" w:themeColor="text1"/>
          <w:szCs w:val="26"/>
        </w:rPr>
        <w:t xml:space="preserve">employment rate of </w:t>
      </w:r>
      <w:r w:rsidR="00194BEB" w:rsidRPr="0065670E">
        <w:rPr>
          <w:rFonts w:eastAsiaTheme="minorHAnsi" w:cs="ArialMT"/>
          <w:color w:val="000000" w:themeColor="text1"/>
          <w:szCs w:val="26"/>
        </w:rPr>
        <w:t>persons with a disability</w:t>
      </w:r>
      <w:r w:rsidR="00552685" w:rsidRPr="0065670E">
        <w:rPr>
          <w:rFonts w:eastAsiaTheme="minorHAnsi" w:cs="ArialMT"/>
          <w:color w:val="000000" w:themeColor="text1"/>
          <w:szCs w:val="26"/>
        </w:rPr>
        <w:t xml:space="preserve"> (aged 15+)</w:t>
      </w:r>
      <w:r w:rsidR="00D66505" w:rsidRPr="0065670E">
        <w:rPr>
          <w:rFonts w:eastAsiaTheme="minorHAnsi" w:cs="ArialMT"/>
          <w:color w:val="000000" w:themeColor="text1"/>
          <w:szCs w:val="26"/>
        </w:rPr>
        <w:t xml:space="preserve"> from the current level of 22.3% (</w:t>
      </w:r>
      <w:r w:rsidR="00BD025B">
        <w:rPr>
          <w:rFonts w:eastAsiaTheme="minorHAnsi" w:cs="ArialMT"/>
          <w:color w:val="000000" w:themeColor="text1"/>
          <w:szCs w:val="26"/>
        </w:rPr>
        <w:t>census</w:t>
      </w:r>
      <w:r w:rsidR="00D66505" w:rsidRPr="0065670E">
        <w:rPr>
          <w:rFonts w:eastAsiaTheme="minorHAnsi" w:cs="ArialMT"/>
          <w:color w:val="000000" w:themeColor="text1"/>
          <w:szCs w:val="26"/>
        </w:rPr>
        <w:t xml:space="preserve"> 2016) to 25% by </w:t>
      </w:r>
      <w:r w:rsidR="00BD025B">
        <w:rPr>
          <w:rFonts w:eastAsiaTheme="minorHAnsi" w:cs="ArialMT"/>
          <w:color w:val="000000" w:themeColor="text1"/>
          <w:szCs w:val="26"/>
        </w:rPr>
        <w:t>census</w:t>
      </w:r>
      <w:r w:rsidR="00D66505" w:rsidRPr="0065670E">
        <w:rPr>
          <w:rFonts w:eastAsiaTheme="minorHAnsi" w:cs="ArialMT"/>
          <w:color w:val="000000" w:themeColor="text1"/>
          <w:szCs w:val="26"/>
        </w:rPr>
        <w:t xml:space="preserve"> 2021 and 33% by </w:t>
      </w:r>
      <w:r w:rsidR="00BD025B">
        <w:rPr>
          <w:rFonts w:eastAsiaTheme="minorHAnsi" w:cs="ArialMT"/>
          <w:color w:val="000000" w:themeColor="text1"/>
          <w:szCs w:val="26"/>
        </w:rPr>
        <w:t>census</w:t>
      </w:r>
      <w:r w:rsidR="00D66505" w:rsidRPr="0065670E">
        <w:rPr>
          <w:rFonts w:eastAsiaTheme="minorHAnsi" w:cs="ArialMT"/>
          <w:color w:val="000000" w:themeColor="text1"/>
          <w:szCs w:val="26"/>
        </w:rPr>
        <w:t xml:space="preserve"> 2026.</w:t>
      </w:r>
      <w:r w:rsidR="00793730" w:rsidRPr="0065670E">
        <w:rPr>
          <w:rFonts w:eastAsiaTheme="minorHAnsi" w:cs="ArialMT"/>
          <w:color w:val="000000" w:themeColor="text1"/>
          <w:szCs w:val="26"/>
        </w:rPr>
        <w:t xml:space="preserve"> The NDA welcomes </w:t>
      </w:r>
      <w:r w:rsidR="002C76C0" w:rsidRPr="0065670E">
        <w:rPr>
          <w:rFonts w:eastAsiaTheme="minorHAnsi" w:cs="ArialMT"/>
          <w:color w:val="000000" w:themeColor="text1"/>
          <w:szCs w:val="26"/>
        </w:rPr>
        <w:t xml:space="preserve">a commitment to a target </w:t>
      </w:r>
      <w:r w:rsidR="00793730" w:rsidRPr="0065670E">
        <w:rPr>
          <w:rFonts w:eastAsiaTheme="minorHAnsi" w:cs="ArialMT"/>
          <w:color w:val="000000" w:themeColor="text1"/>
          <w:szCs w:val="26"/>
        </w:rPr>
        <w:t xml:space="preserve">but remains concerned by the </w:t>
      </w:r>
      <w:r w:rsidRPr="0065670E">
        <w:rPr>
          <w:color w:val="000000" w:themeColor="text1"/>
          <w:szCs w:val="26"/>
          <w:shd w:val="clear" w:color="auto" w:fill="FFFFFF"/>
        </w:rPr>
        <w:t xml:space="preserve">low rate of employment among </w:t>
      </w:r>
      <w:r w:rsidR="00194BEB" w:rsidRPr="0065670E">
        <w:rPr>
          <w:color w:val="000000" w:themeColor="text1"/>
          <w:szCs w:val="26"/>
          <w:shd w:val="clear" w:color="auto" w:fill="FFFFFF"/>
        </w:rPr>
        <w:t>persons with a disability</w:t>
      </w:r>
      <w:r w:rsidRPr="0065670E">
        <w:rPr>
          <w:color w:val="000000" w:themeColor="text1"/>
          <w:szCs w:val="26"/>
          <w:shd w:val="clear" w:color="auto" w:fill="FFFFFF"/>
        </w:rPr>
        <w:t xml:space="preserve"> and advises renewed efforts across government to implement the </w:t>
      </w:r>
      <w:r w:rsidR="0065670E">
        <w:rPr>
          <w:color w:val="000000" w:themeColor="text1"/>
          <w:szCs w:val="26"/>
          <w:shd w:val="clear" w:color="auto" w:fill="FFFFFF"/>
        </w:rPr>
        <w:t>CES</w:t>
      </w:r>
      <w:r w:rsidRPr="0065670E">
        <w:rPr>
          <w:color w:val="000000" w:themeColor="text1"/>
          <w:szCs w:val="26"/>
          <w:shd w:val="clear" w:color="auto" w:fill="FFFFFF"/>
        </w:rPr>
        <w:t>.</w:t>
      </w:r>
    </w:p>
    <w:p w14:paraId="671C76E0" w14:textId="015767EE" w:rsidR="009E4ABD" w:rsidRPr="00BE13D4" w:rsidRDefault="005C6205" w:rsidP="009E4ABD">
      <w:pPr>
        <w:rPr>
          <w:szCs w:val="26"/>
          <w:lang w:eastAsia="en-IE"/>
        </w:rPr>
      </w:pPr>
      <w:r w:rsidRPr="009E4ABD">
        <w:rPr>
          <w:b/>
          <w:szCs w:val="26"/>
          <w:lang w:eastAsia="en-IE"/>
        </w:rPr>
        <w:t xml:space="preserve">Indicator 4.1b. Number of </w:t>
      </w:r>
      <w:r w:rsidR="00194BEB">
        <w:rPr>
          <w:b/>
          <w:szCs w:val="26"/>
          <w:lang w:eastAsia="en-IE"/>
        </w:rPr>
        <w:t>persons with a disability</w:t>
      </w:r>
      <w:r w:rsidRPr="009E4ABD">
        <w:rPr>
          <w:b/>
          <w:szCs w:val="26"/>
          <w:lang w:eastAsia="en-IE"/>
        </w:rPr>
        <w:t xml:space="preserve"> on disability payments/bene</w:t>
      </w:r>
      <w:r w:rsidR="003A34C4">
        <w:rPr>
          <w:b/>
          <w:szCs w:val="26"/>
          <w:lang w:eastAsia="en-IE"/>
        </w:rPr>
        <w:t>fits e.g. Disability Allowance</w:t>
      </w:r>
      <w:r w:rsidRPr="009E4ABD">
        <w:rPr>
          <w:b/>
          <w:szCs w:val="26"/>
          <w:lang w:eastAsia="en-IE"/>
        </w:rPr>
        <w:t>, Illness Benefit, or Domicil</w:t>
      </w:r>
      <w:r w:rsidR="00286743" w:rsidRPr="009E4ABD">
        <w:rPr>
          <w:b/>
          <w:szCs w:val="26"/>
          <w:lang w:eastAsia="en-IE"/>
        </w:rPr>
        <w:t>i</w:t>
      </w:r>
      <w:r w:rsidR="003A34C4">
        <w:rPr>
          <w:b/>
          <w:szCs w:val="26"/>
          <w:lang w:eastAsia="en-IE"/>
        </w:rPr>
        <w:t xml:space="preserve">ary Care Allowance </w:t>
      </w:r>
      <w:r w:rsidR="00350A82">
        <w:rPr>
          <w:b/>
          <w:szCs w:val="26"/>
          <w:lang w:eastAsia="en-IE"/>
        </w:rPr>
        <w:t>(Process)</w:t>
      </w:r>
      <w:r w:rsidRPr="009E4ABD">
        <w:rPr>
          <w:szCs w:val="26"/>
          <w:lang w:eastAsia="en-IE"/>
        </w:rPr>
        <w:t xml:space="preserve">: </w:t>
      </w:r>
      <w:r w:rsidR="009720C7" w:rsidRPr="009E4ABD">
        <w:rPr>
          <w:szCs w:val="26"/>
          <w:lang w:eastAsia="en-IE"/>
        </w:rPr>
        <w:t xml:space="preserve">The number of people in receipt of </w:t>
      </w:r>
      <w:r w:rsidR="0065670E">
        <w:rPr>
          <w:szCs w:val="26"/>
          <w:lang w:eastAsia="en-IE"/>
        </w:rPr>
        <w:t>Disability Allowance (</w:t>
      </w:r>
      <w:r w:rsidRPr="009E4ABD">
        <w:rPr>
          <w:szCs w:val="26"/>
          <w:lang w:eastAsia="en-IE"/>
        </w:rPr>
        <w:t>DA</w:t>
      </w:r>
      <w:r w:rsidR="0065670E">
        <w:rPr>
          <w:szCs w:val="26"/>
          <w:lang w:eastAsia="en-IE"/>
        </w:rPr>
        <w:t>)</w:t>
      </w:r>
      <w:r w:rsidRPr="009E4ABD">
        <w:rPr>
          <w:szCs w:val="26"/>
          <w:lang w:eastAsia="en-IE"/>
        </w:rPr>
        <w:t xml:space="preserve">, </w:t>
      </w:r>
      <w:r w:rsidR="0065670E">
        <w:rPr>
          <w:szCs w:val="26"/>
          <w:lang w:eastAsia="en-IE"/>
        </w:rPr>
        <w:t>Illness Benefit (</w:t>
      </w:r>
      <w:r w:rsidRPr="009E4ABD">
        <w:rPr>
          <w:szCs w:val="26"/>
          <w:lang w:eastAsia="en-IE"/>
        </w:rPr>
        <w:t>IB</w:t>
      </w:r>
      <w:r w:rsidR="0065670E">
        <w:rPr>
          <w:szCs w:val="26"/>
          <w:lang w:eastAsia="en-IE"/>
        </w:rPr>
        <w:t>)</w:t>
      </w:r>
      <w:r w:rsidRPr="009E4ABD">
        <w:rPr>
          <w:szCs w:val="26"/>
          <w:lang w:eastAsia="en-IE"/>
        </w:rPr>
        <w:t xml:space="preserve"> and </w:t>
      </w:r>
      <w:r w:rsidR="0065670E">
        <w:rPr>
          <w:szCs w:val="26"/>
          <w:lang w:eastAsia="en-IE"/>
        </w:rPr>
        <w:t>Domiciliary Care Allowance (</w:t>
      </w:r>
      <w:r w:rsidRPr="009E4ABD">
        <w:rPr>
          <w:szCs w:val="26"/>
          <w:lang w:eastAsia="en-IE"/>
        </w:rPr>
        <w:t>DCA</w:t>
      </w:r>
      <w:r w:rsidR="0065670E">
        <w:rPr>
          <w:szCs w:val="26"/>
          <w:lang w:eastAsia="en-IE"/>
        </w:rPr>
        <w:t>)</w:t>
      </w:r>
      <w:r w:rsidR="009720C7" w:rsidRPr="009E4ABD">
        <w:rPr>
          <w:szCs w:val="26"/>
          <w:lang w:eastAsia="en-IE"/>
        </w:rPr>
        <w:t xml:space="preserve"> all increased between 2016 and 2018.</w:t>
      </w:r>
      <w:r w:rsidR="009212EC">
        <w:rPr>
          <w:rStyle w:val="FootnoteReference"/>
          <w:szCs w:val="26"/>
          <w:lang w:eastAsia="en-IE"/>
        </w:rPr>
        <w:footnoteReference w:id="91"/>
      </w:r>
      <w:r w:rsidR="009720C7" w:rsidRPr="009E4ABD">
        <w:rPr>
          <w:szCs w:val="26"/>
          <w:lang w:eastAsia="en-IE"/>
        </w:rPr>
        <w:t xml:space="preserve"> </w:t>
      </w:r>
      <w:r w:rsidR="00BE13D4">
        <w:rPr>
          <w:szCs w:val="26"/>
          <w:lang w:eastAsia="en-IE"/>
        </w:rPr>
        <w:t xml:space="preserve">The number of those in receipt of DA increased 12% from 126,203 in 2016 to 140,835 in 2018, while those the number in receipt of IB increased 3% from </w:t>
      </w:r>
      <w:r w:rsidR="00BE13D4" w:rsidRPr="00BE13D4">
        <w:rPr>
          <w:szCs w:val="26"/>
          <w:lang w:eastAsia="en-IE"/>
        </w:rPr>
        <w:t>54492</w:t>
      </w:r>
      <w:r w:rsidR="00BE13D4">
        <w:rPr>
          <w:szCs w:val="26"/>
          <w:lang w:eastAsia="en-IE"/>
        </w:rPr>
        <w:t xml:space="preserve"> to </w:t>
      </w:r>
      <w:r w:rsidR="00BE13D4" w:rsidRPr="00BE13D4">
        <w:rPr>
          <w:szCs w:val="26"/>
          <w:lang w:eastAsia="en-IE"/>
        </w:rPr>
        <w:t>55995</w:t>
      </w:r>
      <w:r w:rsidR="00BE13D4">
        <w:rPr>
          <w:szCs w:val="26"/>
          <w:lang w:eastAsia="en-IE"/>
        </w:rPr>
        <w:t xml:space="preserve">. The largest increased was in the numbers receiving DCA, which increased 22% from 31,960 in 2016 to 39,007 in 2018. </w:t>
      </w:r>
      <w:r w:rsidR="005A6D3D" w:rsidRPr="009E4ABD">
        <w:rPr>
          <w:szCs w:val="26"/>
          <w:lang w:eastAsia="en-IE"/>
        </w:rPr>
        <w:t xml:space="preserve">In an analysis of </w:t>
      </w:r>
      <w:r w:rsidRPr="009E4ABD">
        <w:rPr>
          <w:szCs w:val="26"/>
          <w:lang w:eastAsia="en-IE"/>
        </w:rPr>
        <w:t>DA</w:t>
      </w:r>
      <w:r w:rsidR="005A6D3D" w:rsidRPr="009E4ABD">
        <w:rPr>
          <w:szCs w:val="26"/>
          <w:lang w:eastAsia="en-IE"/>
        </w:rPr>
        <w:t xml:space="preserve"> inflows and outflows conducted in 2018</w:t>
      </w:r>
      <w:r w:rsidR="00290F3D">
        <w:rPr>
          <w:szCs w:val="26"/>
          <w:lang w:eastAsia="en-IE"/>
        </w:rPr>
        <w:t>,</w:t>
      </w:r>
      <w:r w:rsidR="005A6D3D" w:rsidRPr="009E4ABD">
        <w:rPr>
          <w:szCs w:val="26"/>
          <w:lang w:eastAsia="en-IE"/>
        </w:rPr>
        <w:t xml:space="preserve"> the </w:t>
      </w:r>
      <w:r w:rsidR="00290F3D">
        <w:rPr>
          <w:szCs w:val="26"/>
          <w:lang w:eastAsia="en-IE"/>
        </w:rPr>
        <w:t>DEASP</w:t>
      </w:r>
      <w:r w:rsidR="00290F3D" w:rsidRPr="009E4ABD">
        <w:rPr>
          <w:szCs w:val="26"/>
          <w:lang w:eastAsia="en-IE"/>
        </w:rPr>
        <w:t xml:space="preserve"> </w:t>
      </w:r>
      <w:r w:rsidR="005A6D3D" w:rsidRPr="009E4ABD">
        <w:rPr>
          <w:szCs w:val="26"/>
          <w:lang w:eastAsia="en-IE"/>
        </w:rPr>
        <w:t xml:space="preserve">found that the </w:t>
      </w:r>
      <w:r w:rsidR="005A6D3D" w:rsidRPr="009E4ABD">
        <w:rPr>
          <w:szCs w:val="26"/>
        </w:rPr>
        <w:t>population within most age groups receiving any illness and disability payment is relatively stable over time.</w:t>
      </w:r>
      <w:r w:rsidR="00794009">
        <w:rPr>
          <w:rStyle w:val="FootnoteReference"/>
          <w:szCs w:val="26"/>
        </w:rPr>
        <w:footnoteReference w:id="92"/>
      </w:r>
      <w:r w:rsidR="005A6D3D" w:rsidRPr="009E4ABD">
        <w:rPr>
          <w:szCs w:val="26"/>
        </w:rPr>
        <w:t xml:space="preserve"> They also cautioned that any increases in one scheme should be viewed in the broader context. </w:t>
      </w:r>
      <w:r w:rsidR="00A3224F" w:rsidRPr="009E4ABD">
        <w:rPr>
          <w:szCs w:val="26"/>
        </w:rPr>
        <w:t>The report finds</w:t>
      </w:r>
      <w:r w:rsidR="00794009" w:rsidRPr="009E4ABD">
        <w:rPr>
          <w:szCs w:val="26"/>
        </w:rPr>
        <w:t xml:space="preserve"> that</w:t>
      </w:r>
      <w:r w:rsidR="005A6D3D" w:rsidRPr="009E4ABD">
        <w:rPr>
          <w:szCs w:val="26"/>
        </w:rPr>
        <w:t xml:space="preserve"> the increases in illness and disability payments has been driven by demographics, and by an increased share of the working age population in the older age groups</w:t>
      </w:r>
      <w:r w:rsidR="00206777" w:rsidRPr="009E4ABD">
        <w:rPr>
          <w:szCs w:val="26"/>
        </w:rPr>
        <w:t>.</w:t>
      </w:r>
      <w:r w:rsidR="008B3A00" w:rsidRPr="009E4ABD">
        <w:rPr>
          <w:szCs w:val="26"/>
        </w:rPr>
        <w:t xml:space="preserve"> We know that the majority of people</w:t>
      </w:r>
      <w:r w:rsidR="00645D7F">
        <w:rPr>
          <w:szCs w:val="26"/>
        </w:rPr>
        <w:t xml:space="preserve"> with a disability</w:t>
      </w:r>
      <w:r w:rsidR="008B3A00" w:rsidRPr="009E4ABD">
        <w:rPr>
          <w:szCs w:val="26"/>
        </w:rPr>
        <w:t xml:space="preserve"> in the 15-64 age group acquire their disability during their working lives. An examination of allowances can perhaps indicate the level of re-entry to the workforce and inform policies around return to work after acquiring a disability</w:t>
      </w:r>
      <w:r w:rsidR="001B5A7A">
        <w:rPr>
          <w:szCs w:val="26"/>
        </w:rPr>
        <w:t>. A 2015</w:t>
      </w:r>
      <w:r w:rsidR="008B3A00" w:rsidRPr="009E4ABD">
        <w:rPr>
          <w:szCs w:val="26"/>
        </w:rPr>
        <w:t xml:space="preserve"> survey of DA recipients found that approximately 40% </w:t>
      </w:r>
      <w:r w:rsidR="008B3A00">
        <w:t>reported educational attainment beyond junior secondary education or special school.</w:t>
      </w:r>
      <w:r w:rsidR="004C197C">
        <w:rPr>
          <w:rStyle w:val="FootnoteReference"/>
        </w:rPr>
        <w:footnoteReference w:id="93"/>
      </w:r>
      <w:r w:rsidR="008B3A00">
        <w:t xml:space="preserve"> It needs to be considered whether eligibility for DA at age 16 is a pull factor. DEASP are currently examining this issue. The same study found that </w:t>
      </w:r>
      <w:r w:rsidR="004C197C">
        <w:t xml:space="preserve">43% of </w:t>
      </w:r>
      <w:r w:rsidR="008B3A00">
        <w:t>DA recipients who are not currently working would like to work</w:t>
      </w:r>
      <w:r w:rsidR="004C197C">
        <w:t xml:space="preserve"> either part time (35%) or full time (8%). The NDA advises the need for more flexible work options for this group of people.</w:t>
      </w:r>
    </w:p>
    <w:p w14:paraId="4A095ECB" w14:textId="61322405" w:rsidR="00C361B0" w:rsidRDefault="00C361B0" w:rsidP="009E4ABD">
      <w:pPr>
        <w:rPr>
          <w:szCs w:val="26"/>
          <w:lang w:eastAsia="en-IE"/>
        </w:rPr>
      </w:pPr>
      <w:r>
        <w:t>To make this indicator more useful the NDA will explore availability of data on receipt of an allowance and employment status. This will allow us to see if the earnings disregard, introduced as part of the Make Work Pay report</w:t>
      </w:r>
      <w:r w:rsidR="00B321F9">
        <w:rPr>
          <w:rStyle w:val="FootnoteReference"/>
        </w:rPr>
        <w:footnoteReference w:id="94"/>
      </w:r>
      <w:r>
        <w:t>, has had an impact on the numbers of people in receipt of Disabi</w:t>
      </w:r>
      <w:r w:rsidR="007849B5">
        <w:t>lity Allowance who are working.</w:t>
      </w:r>
    </w:p>
    <w:p w14:paraId="64866F68" w14:textId="3414313C" w:rsidR="00F03269" w:rsidRPr="009E4ABD" w:rsidRDefault="005C6205" w:rsidP="009E4ABD">
      <w:pPr>
        <w:rPr>
          <w:szCs w:val="26"/>
          <w:lang w:eastAsia="en-IE"/>
        </w:rPr>
      </w:pPr>
      <w:r w:rsidRPr="009E4ABD">
        <w:rPr>
          <w:b/>
          <w:lang w:eastAsia="en-IE"/>
        </w:rPr>
        <w:t>Indicator 4.1c. Percentage of people exiting HSE funded Rehabilitative Training to take up employment</w:t>
      </w:r>
      <w:r w:rsidR="00350A82">
        <w:rPr>
          <w:b/>
          <w:lang w:eastAsia="en-IE"/>
        </w:rPr>
        <w:t xml:space="preserve"> (Outcome)</w:t>
      </w:r>
      <w:r w:rsidRPr="009E4ABD">
        <w:rPr>
          <w:b/>
          <w:lang w:eastAsia="en-IE"/>
        </w:rPr>
        <w:t>:</w:t>
      </w:r>
      <w:r>
        <w:rPr>
          <w:lang w:eastAsia="en-IE"/>
        </w:rPr>
        <w:t xml:space="preserve"> </w:t>
      </w:r>
      <w:r w:rsidR="000C3F32" w:rsidRPr="001B5A7A">
        <w:rPr>
          <w:lang w:eastAsia="en-IE"/>
        </w:rPr>
        <w:t xml:space="preserve">Rehabilitative </w:t>
      </w:r>
      <w:r w:rsidR="00EC2A87">
        <w:rPr>
          <w:lang w:eastAsia="en-IE"/>
        </w:rPr>
        <w:t>T</w:t>
      </w:r>
      <w:r w:rsidR="000C3F32" w:rsidRPr="001B5A7A">
        <w:rPr>
          <w:lang w:eastAsia="en-IE"/>
        </w:rPr>
        <w:t xml:space="preserve">raining </w:t>
      </w:r>
      <w:r w:rsidR="00EC2A87">
        <w:rPr>
          <w:lang w:eastAsia="en-IE"/>
        </w:rPr>
        <w:t xml:space="preserve">(RT) </w:t>
      </w:r>
      <w:r w:rsidR="000C3F32" w:rsidRPr="001B5A7A">
        <w:rPr>
          <w:lang w:eastAsia="en-IE"/>
        </w:rPr>
        <w:t>is a training programme of up to 4 years duration which focuses on the develo</w:t>
      </w:r>
      <w:r w:rsidR="00EA0FBF">
        <w:rPr>
          <w:lang w:eastAsia="en-IE"/>
        </w:rPr>
        <w:t>pment of the participants</w:t>
      </w:r>
      <w:r w:rsidR="003E3492">
        <w:rPr>
          <w:lang w:eastAsia="en-IE"/>
        </w:rPr>
        <w:t>’</w:t>
      </w:r>
      <w:r w:rsidR="00EA0FBF">
        <w:rPr>
          <w:lang w:eastAsia="en-IE"/>
        </w:rPr>
        <w:t xml:space="preserve"> life skills, social skills and basic w</w:t>
      </w:r>
      <w:r w:rsidR="000C3F32" w:rsidRPr="001B5A7A">
        <w:rPr>
          <w:lang w:eastAsia="en-IE"/>
        </w:rPr>
        <w:t>ork skills that will enable them to progress to greater levels of independence and integration in their own community</w:t>
      </w:r>
      <w:r w:rsidR="001B5A7A">
        <w:rPr>
          <w:lang w:eastAsia="en-IE"/>
        </w:rPr>
        <w:t>. RT is funded by the HSE but d</w:t>
      </w:r>
      <w:r w:rsidR="001B5A7A" w:rsidRPr="001B5A7A">
        <w:rPr>
          <w:lang w:eastAsia="en-IE"/>
        </w:rPr>
        <w:t xml:space="preserve">elivery </w:t>
      </w:r>
      <w:r w:rsidR="00EA0FBF">
        <w:rPr>
          <w:lang w:eastAsia="en-IE"/>
        </w:rPr>
        <w:t>is primarily via voluntary a</w:t>
      </w:r>
      <w:r w:rsidR="001B5A7A" w:rsidRPr="001B5A7A">
        <w:rPr>
          <w:lang w:eastAsia="en-IE"/>
        </w:rPr>
        <w:t>gencies throughout the country</w:t>
      </w:r>
      <w:r w:rsidR="001B5A7A">
        <w:rPr>
          <w:lang w:eastAsia="en-IE"/>
        </w:rPr>
        <w:t xml:space="preserve">. </w:t>
      </w:r>
      <w:r w:rsidR="000C3F32" w:rsidRPr="001B5A7A">
        <w:rPr>
          <w:lang w:eastAsia="en-IE"/>
        </w:rPr>
        <w:t>RT is available to people with varying profiles and support needs between the ages of 18</w:t>
      </w:r>
      <w:r w:rsidR="00EA0FBF">
        <w:rPr>
          <w:lang w:eastAsia="en-IE"/>
        </w:rPr>
        <w:t xml:space="preserve">-65 that are willing to engage </w:t>
      </w:r>
      <w:r w:rsidR="000C3F32" w:rsidRPr="001B5A7A">
        <w:rPr>
          <w:lang w:eastAsia="en-IE"/>
        </w:rPr>
        <w:t>and would benefit from the opportunities afforded through participation.</w:t>
      </w:r>
      <w:r w:rsidR="00EA0FBF">
        <w:rPr>
          <w:lang w:eastAsia="en-IE"/>
        </w:rPr>
        <w:t xml:space="preserve"> In 2018, 439 people completed their training with 17 (4%) transitioning</w:t>
      </w:r>
      <w:r w:rsidR="00196166">
        <w:rPr>
          <w:lang w:eastAsia="en-IE"/>
        </w:rPr>
        <w:t xml:space="preserve"> </w:t>
      </w:r>
      <w:r w:rsidR="00F03269">
        <w:rPr>
          <w:lang w:eastAsia="en-IE"/>
        </w:rPr>
        <w:t>into employment (mainstream and supported)</w:t>
      </w:r>
      <w:r w:rsidR="00C558C0">
        <w:rPr>
          <w:rStyle w:val="FootnoteReference"/>
          <w:lang w:eastAsia="en-IE"/>
        </w:rPr>
        <w:footnoteReference w:id="95"/>
      </w:r>
      <w:r w:rsidR="00EA0FBF">
        <w:rPr>
          <w:lang w:eastAsia="en-IE"/>
        </w:rPr>
        <w:t xml:space="preserve">. This percentage increased to </w:t>
      </w:r>
      <w:r w:rsidR="006E39EC">
        <w:rPr>
          <w:lang w:eastAsia="en-IE"/>
        </w:rPr>
        <w:t>7.4</w:t>
      </w:r>
      <w:r w:rsidR="00EA0FBF">
        <w:rPr>
          <w:lang w:eastAsia="en-IE"/>
        </w:rPr>
        <w:t>% in</w:t>
      </w:r>
      <w:r w:rsidR="00111CC9">
        <w:rPr>
          <w:lang w:eastAsia="en-IE"/>
        </w:rPr>
        <w:t xml:space="preserve"> 2019</w:t>
      </w:r>
      <w:r w:rsidR="00EA0FBF">
        <w:rPr>
          <w:lang w:eastAsia="en-IE"/>
        </w:rPr>
        <w:t xml:space="preserve"> (</w:t>
      </w:r>
      <w:r w:rsidR="006E39EC">
        <w:rPr>
          <w:lang w:eastAsia="en-IE"/>
        </w:rPr>
        <w:t>77 participants</w:t>
      </w:r>
      <w:r w:rsidR="00EA0FBF">
        <w:rPr>
          <w:lang w:eastAsia="en-IE"/>
        </w:rPr>
        <w:t>)</w:t>
      </w:r>
      <w:r w:rsidR="00F03269">
        <w:rPr>
          <w:lang w:eastAsia="en-IE"/>
        </w:rPr>
        <w:t>.</w:t>
      </w:r>
      <w:r w:rsidR="00C558C0">
        <w:rPr>
          <w:rStyle w:val="FootnoteReference"/>
          <w:lang w:eastAsia="en-IE"/>
        </w:rPr>
        <w:footnoteReference w:id="96"/>
      </w:r>
      <w:r w:rsidR="00F03269">
        <w:rPr>
          <w:lang w:eastAsia="en-IE"/>
        </w:rPr>
        <w:t xml:space="preserve"> </w:t>
      </w:r>
      <w:r w:rsidR="006E39EC">
        <w:rPr>
          <w:lang w:eastAsia="en-IE"/>
        </w:rPr>
        <w:t>T</w:t>
      </w:r>
      <w:r w:rsidR="00794009">
        <w:rPr>
          <w:lang w:eastAsia="en-IE"/>
        </w:rPr>
        <w:t>h</w:t>
      </w:r>
      <w:r>
        <w:rPr>
          <w:lang w:eastAsia="en-IE"/>
        </w:rPr>
        <w:t xml:space="preserve">e majority of the other </w:t>
      </w:r>
      <w:r w:rsidR="003E3492">
        <w:rPr>
          <w:lang w:eastAsia="en-IE"/>
        </w:rPr>
        <w:t>RT</w:t>
      </w:r>
      <w:r w:rsidR="00794009">
        <w:rPr>
          <w:lang w:eastAsia="en-IE"/>
        </w:rPr>
        <w:t xml:space="preserve"> exits</w:t>
      </w:r>
      <w:r w:rsidR="003E3492">
        <w:rPr>
          <w:lang w:eastAsia="en-IE"/>
        </w:rPr>
        <w:t xml:space="preserve"> went to HSE-</w:t>
      </w:r>
      <w:r w:rsidR="00F03269">
        <w:rPr>
          <w:lang w:eastAsia="en-IE"/>
        </w:rPr>
        <w:t>funded day services (4</w:t>
      </w:r>
      <w:r w:rsidR="006E39EC">
        <w:rPr>
          <w:lang w:eastAsia="en-IE"/>
        </w:rPr>
        <w:t>7.0</w:t>
      </w:r>
      <w:r w:rsidR="00F03269">
        <w:rPr>
          <w:lang w:eastAsia="en-IE"/>
        </w:rPr>
        <w:t>%</w:t>
      </w:r>
      <w:r w:rsidR="00111CC9">
        <w:rPr>
          <w:lang w:eastAsia="en-IE"/>
        </w:rPr>
        <w:t xml:space="preserve"> in 201</w:t>
      </w:r>
      <w:r w:rsidR="006E39EC">
        <w:rPr>
          <w:lang w:eastAsia="en-IE"/>
        </w:rPr>
        <w:t>9</w:t>
      </w:r>
      <w:r w:rsidR="00F03269">
        <w:rPr>
          <w:lang w:eastAsia="en-IE"/>
        </w:rPr>
        <w:t>) or further</w:t>
      </w:r>
      <w:r w:rsidR="006E39EC">
        <w:rPr>
          <w:lang w:eastAsia="en-IE"/>
        </w:rPr>
        <w:t xml:space="preserve"> education or</w:t>
      </w:r>
      <w:r w:rsidR="00F03269">
        <w:rPr>
          <w:lang w:eastAsia="en-IE"/>
        </w:rPr>
        <w:t xml:space="preserve"> training (</w:t>
      </w:r>
      <w:r w:rsidR="006E39EC">
        <w:rPr>
          <w:lang w:eastAsia="en-IE"/>
        </w:rPr>
        <w:t>18.3</w:t>
      </w:r>
      <w:r w:rsidR="00F03269">
        <w:rPr>
          <w:lang w:eastAsia="en-IE"/>
        </w:rPr>
        <w:t>%</w:t>
      </w:r>
      <w:r w:rsidR="00111CC9">
        <w:rPr>
          <w:lang w:eastAsia="en-IE"/>
        </w:rPr>
        <w:t xml:space="preserve"> in 201</w:t>
      </w:r>
      <w:r w:rsidR="006E39EC">
        <w:rPr>
          <w:lang w:eastAsia="en-IE"/>
        </w:rPr>
        <w:t>9</w:t>
      </w:r>
      <w:r w:rsidR="00F03269">
        <w:rPr>
          <w:lang w:eastAsia="en-IE"/>
        </w:rPr>
        <w:t>)</w:t>
      </w:r>
      <w:r w:rsidR="007849B5">
        <w:rPr>
          <w:lang w:eastAsia="en-IE"/>
        </w:rPr>
        <w:t>.</w:t>
      </w:r>
    </w:p>
    <w:p w14:paraId="146CC492" w14:textId="2AF22F43" w:rsidR="00ED4AA4" w:rsidRPr="00361FA0" w:rsidRDefault="005C6205" w:rsidP="00ED4AA4">
      <w:pPr>
        <w:rPr>
          <w:szCs w:val="26"/>
          <w:lang w:val="en" w:eastAsia="en-IE"/>
        </w:rPr>
      </w:pPr>
      <w:r w:rsidRPr="004357A2">
        <w:rPr>
          <w:b/>
          <w:lang w:eastAsia="en-IE"/>
        </w:rPr>
        <w:t>Indicator 4.2a. The percentage of employees in the public sector reporting a disability</w:t>
      </w:r>
      <w:r w:rsidR="00350A82">
        <w:rPr>
          <w:b/>
          <w:lang w:eastAsia="en-IE"/>
        </w:rPr>
        <w:t xml:space="preserve"> (Outcome)</w:t>
      </w:r>
      <w:r w:rsidRPr="004357A2">
        <w:rPr>
          <w:b/>
          <w:lang w:eastAsia="en-IE"/>
        </w:rPr>
        <w:t>:</w:t>
      </w:r>
      <w:r w:rsidRPr="004357A2">
        <w:rPr>
          <w:lang w:eastAsia="en-IE"/>
        </w:rPr>
        <w:t xml:space="preserve"> </w:t>
      </w:r>
      <w:r w:rsidR="00530571" w:rsidRPr="004357A2">
        <w:rPr>
          <w:lang w:eastAsia="en-IE"/>
        </w:rPr>
        <w:t xml:space="preserve">The percentage of employees in the public sector reporting a disability </w:t>
      </w:r>
      <w:r w:rsidR="004357A2" w:rsidRPr="00935AA9">
        <w:rPr>
          <w:color w:val="000000" w:themeColor="text1"/>
          <w:lang w:eastAsia="en-IE"/>
        </w:rPr>
        <w:t>decreased from 3.5% in 2017</w:t>
      </w:r>
      <w:r w:rsidR="00A77FB8">
        <w:rPr>
          <w:color w:val="000000" w:themeColor="text1"/>
          <w:lang w:eastAsia="en-IE"/>
        </w:rPr>
        <w:t xml:space="preserve"> </w:t>
      </w:r>
      <w:r w:rsidR="004357A2" w:rsidRPr="00935AA9">
        <w:rPr>
          <w:color w:val="000000" w:themeColor="text1"/>
          <w:lang w:eastAsia="en-IE"/>
        </w:rPr>
        <w:t>(n=7,796)</w:t>
      </w:r>
      <w:r w:rsidR="00887B23">
        <w:rPr>
          <w:rStyle w:val="FootnoteReference"/>
          <w:color w:val="000000" w:themeColor="text1"/>
          <w:lang w:eastAsia="en-IE"/>
        </w:rPr>
        <w:footnoteReference w:id="97"/>
      </w:r>
      <w:r w:rsidR="004357A2" w:rsidRPr="00935AA9">
        <w:rPr>
          <w:color w:val="000000" w:themeColor="text1"/>
          <w:lang w:eastAsia="en-IE"/>
        </w:rPr>
        <w:t xml:space="preserve"> to 3.3% in 2018 (n=7,585).</w:t>
      </w:r>
      <w:r w:rsidR="00887B23">
        <w:rPr>
          <w:rStyle w:val="FootnoteReference"/>
          <w:color w:val="000000" w:themeColor="text1"/>
          <w:lang w:eastAsia="en-IE"/>
        </w:rPr>
        <w:footnoteReference w:id="98"/>
      </w:r>
      <w:r w:rsidR="004357A2" w:rsidRPr="00935AA9">
        <w:rPr>
          <w:color w:val="000000" w:themeColor="text1"/>
          <w:lang w:eastAsia="en-IE"/>
        </w:rPr>
        <w:t xml:space="preserve"> </w:t>
      </w:r>
      <w:r w:rsidR="004357A2" w:rsidRPr="00935AA9">
        <w:rPr>
          <w:color w:val="000000" w:themeColor="text1"/>
          <w:szCs w:val="26"/>
        </w:rPr>
        <w:t>This is a decrease of 211 (-2.7%) people from 2017.</w:t>
      </w:r>
      <w:r w:rsidR="004357A2" w:rsidRPr="00935AA9">
        <w:rPr>
          <w:color w:val="000000" w:themeColor="text1"/>
        </w:rPr>
        <w:t xml:space="preserve"> </w:t>
      </w:r>
      <w:r w:rsidR="004357A2" w:rsidRPr="00935AA9">
        <w:rPr>
          <w:color w:val="000000" w:themeColor="text1"/>
          <w:szCs w:val="26"/>
        </w:rPr>
        <w:t>This is the first time that the overall number of employees reporting a disability for the entire public sector has decreased since 2013</w:t>
      </w:r>
      <w:r w:rsidR="00FC485C" w:rsidRPr="00935AA9">
        <w:rPr>
          <w:color w:val="000000" w:themeColor="text1"/>
          <w:szCs w:val="26"/>
        </w:rPr>
        <w:t xml:space="preserve"> and shows a decline in the percentage of </w:t>
      </w:r>
      <w:r w:rsidR="002C76C0" w:rsidRPr="00935AA9">
        <w:rPr>
          <w:color w:val="000000" w:themeColor="text1"/>
          <w:szCs w:val="26"/>
        </w:rPr>
        <w:t xml:space="preserve">“reported” </w:t>
      </w:r>
      <w:r w:rsidR="00FC485C" w:rsidRPr="00935AA9">
        <w:rPr>
          <w:color w:val="000000" w:themeColor="text1"/>
          <w:szCs w:val="26"/>
        </w:rPr>
        <w:t xml:space="preserve">employees with a disability since the peak in 2015 of 3.6% (Figure </w:t>
      </w:r>
      <w:r w:rsidR="00E95BF9" w:rsidRPr="00935AA9">
        <w:rPr>
          <w:color w:val="000000" w:themeColor="text1"/>
          <w:szCs w:val="26"/>
        </w:rPr>
        <w:t>5</w:t>
      </w:r>
      <w:r w:rsidR="00FC485C" w:rsidRPr="00935AA9">
        <w:rPr>
          <w:color w:val="000000" w:themeColor="text1"/>
          <w:szCs w:val="26"/>
        </w:rPr>
        <w:t>)</w:t>
      </w:r>
      <w:r w:rsidR="00887B23">
        <w:rPr>
          <w:rStyle w:val="FootnoteReference"/>
          <w:color w:val="000000" w:themeColor="text1"/>
          <w:szCs w:val="26"/>
        </w:rPr>
        <w:footnoteReference w:id="99"/>
      </w:r>
      <w:r w:rsidR="004357A2" w:rsidRPr="00935AA9">
        <w:rPr>
          <w:color w:val="000000" w:themeColor="text1"/>
          <w:szCs w:val="26"/>
        </w:rPr>
        <w:t>.</w:t>
      </w:r>
      <w:r w:rsidR="004357A2" w:rsidRPr="00935AA9">
        <w:rPr>
          <w:color w:val="000000" w:themeColor="text1"/>
        </w:rPr>
        <w:t xml:space="preserve"> This decrease has taken place in the context of an increase of </w:t>
      </w:r>
      <w:r w:rsidR="004357A2" w:rsidRPr="00935AA9">
        <w:rPr>
          <w:color w:val="000000" w:themeColor="text1"/>
          <w:lang w:eastAsia="en-IE"/>
        </w:rPr>
        <w:t>5,897 (2.6%) in the total number of employees in the public sector.</w:t>
      </w:r>
      <w:r w:rsidR="00ED4AA4" w:rsidRPr="00935AA9">
        <w:rPr>
          <w:color w:val="000000" w:themeColor="text1"/>
          <w:lang w:eastAsia="en-IE"/>
        </w:rPr>
        <w:t xml:space="preserve"> </w:t>
      </w:r>
      <w:r w:rsidR="004357A2" w:rsidRPr="00935AA9">
        <w:rPr>
          <w:color w:val="000000" w:themeColor="text1"/>
          <w:szCs w:val="26"/>
          <w:lang w:val="en" w:eastAsia="en-IE"/>
        </w:rPr>
        <w:t xml:space="preserve">In 2018 </w:t>
      </w:r>
      <w:r w:rsidR="00ED4AA4" w:rsidRPr="00935AA9">
        <w:rPr>
          <w:color w:val="000000" w:themeColor="text1"/>
          <w:szCs w:val="26"/>
        </w:rPr>
        <w:t>84.3% of the public bodies achieved or exceeded the</w:t>
      </w:r>
      <w:r w:rsidR="004357A2" w:rsidRPr="00935AA9">
        <w:rPr>
          <w:color w:val="000000" w:themeColor="text1"/>
          <w:szCs w:val="26"/>
        </w:rPr>
        <w:t xml:space="preserve"> </w:t>
      </w:r>
      <w:r w:rsidR="004357A2" w:rsidRPr="00935AA9">
        <w:rPr>
          <w:color w:val="000000" w:themeColor="text1"/>
          <w:szCs w:val="26"/>
          <w:lang w:val="en" w:eastAsia="en-IE"/>
        </w:rPr>
        <w:t>minimum 3%</w:t>
      </w:r>
      <w:r w:rsidR="00ED4AA4" w:rsidRPr="00935AA9">
        <w:rPr>
          <w:color w:val="000000" w:themeColor="text1"/>
          <w:szCs w:val="26"/>
          <w:lang w:val="en" w:eastAsia="en-IE"/>
        </w:rPr>
        <w:t xml:space="preserve"> target</w:t>
      </w:r>
      <w:r w:rsidR="004357A2" w:rsidRPr="00935AA9">
        <w:rPr>
          <w:color w:val="000000" w:themeColor="text1"/>
          <w:szCs w:val="26"/>
          <w:lang w:val="en" w:eastAsia="en-IE"/>
        </w:rPr>
        <w:t>.</w:t>
      </w:r>
      <w:r w:rsidR="00ED4AA4" w:rsidRPr="00935AA9">
        <w:rPr>
          <w:color w:val="000000" w:themeColor="text1"/>
          <w:szCs w:val="26"/>
          <w:lang w:val="en" w:eastAsia="en-IE"/>
        </w:rPr>
        <w:t xml:space="preserve"> This is similar to the figure for 2017 (84.4%) but higher than the 2016 figure (77.5%).</w:t>
      </w:r>
      <w:r w:rsidR="00887B23">
        <w:rPr>
          <w:rStyle w:val="FootnoteReference"/>
          <w:color w:val="000000" w:themeColor="text1"/>
          <w:szCs w:val="26"/>
          <w:lang w:val="en" w:eastAsia="en-IE"/>
        </w:rPr>
        <w:footnoteReference w:id="100"/>
      </w:r>
      <w:r w:rsidR="00ED4AA4" w:rsidRPr="00935AA9">
        <w:rPr>
          <w:color w:val="000000" w:themeColor="text1"/>
          <w:szCs w:val="26"/>
          <w:lang w:val="en" w:eastAsia="en-IE"/>
        </w:rPr>
        <w:t xml:space="preserve"> </w:t>
      </w:r>
      <w:r w:rsidR="0000591D">
        <w:rPr>
          <w:color w:val="000000" w:themeColor="text1"/>
          <w:szCs w:val="26"/>
          <w:lang w:val="en" w:eastAsia="en-IE"/>
        </w:rPr>
        <w:t>Of note is the reliance on self-</w:t>
      </w:r>
      <w:r w:rsidR="002C76C0" w:rsidRPr="00935AA9">
        <w:rPr>
          <w:color w:val="000000" w:themeColor="text1"/>
          <w:szCs w:val="26"/>
          <w:lang w:val="en" w:eastAsia="en-IE"/>
        </w:rPr>
        <w:t>disclosure by employees with disabilities and challenges where response rates to surveys are very low, so data available for analysis</w:t>
      </w:r>
      <w:r w:rsidR="00935AA9" w:rsidRPr="00935AA9">
        <w:rPr>
          <w:color w:val="000000" w:themeColor="text1"/>
          <w:szCs w:val="26"/>
          <w:lang w:val="en" w:eastAsia="en-IE"/>
        </w:rPr>
        <w:t xml:space="preserve"> may not be complete</w:t>
      </w:r>
      <w:r w:rsidR="002C76C0" w:rsidRPr="00935AA9">
        <w:rPr>
          <w:color w:val="000000" w:themeColor="text1"/>
          <w:szCs w:val="26"/>
          <w:lang w:val="en" w:eastAsia="en-IE"/>
        </w:rPr>
        <w:t>.</w:t>
      </w:r>
    </w:p>
    <w:p w14:paraId="2BBDDC13" w14:textId="1B1084D7" w:rsidR="00FC485C" w:rsidRPr="004357A2" w:rsidRDefault="007849B5" w:rsidP="00ED4AA4">
      <w:pPr>
        <w:rPr>
          <w:strike/>
          <w:szCs w:val="26"/>
        </w:rPr>
      </w:pPr>
      <w:r>
        <w:rPr>
          <w:strike/>
          <w:noProof/>
          <w:szCs w:val="26"/>
          <w:lang w:eastAsia="en-IE"/>
        </w:rPr>
        <w:drawing>
          <wp:inline distT="0" distB="0" distL="0" distR="0" wp14:anchorId="3145050F" wp14:editId="460866B1">
            <wp:extent cx="5724525" cy="2038350"/>
            <wp:effectExtent l="0" t="0" r="9525" b="0"/>
            <wp:docPr id="18" name="Picture 18" descr="The percentage of employees reporting a disability in 2013 was 3.4%, 2014 was 3.5%, 2015 was 3.6%, 2016 was 3.5%, 2017 was 3.5% and 2018 was 3.3%. " title="Figure 5. Percentage of public sector employees reporting a disability 2013-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2038350"/>
                    </a:xfrm>
                    <a:prstGeom prst="rect">
                      <a:avLst/>
                    </a:prstGeom>
                    <a:noFill/>
                    <a:ln>
                      <a:noFill/>
                    </a:ln>
                  </pic:spPr>
                </pic:pic>
              </a:graphicData>
            </a:graphic>
          </wp:inline>
        </w:drawing>
      </w:r>
    </w:p>
    <w:p w14:paraId="2DB07FDF" w14:textId="77777777" w:rsidR="004357A2" w:rsidRPr="00CC429C" w:rsidRDefault="004357A2" w:rsidP="004357A2">
      <w:r w:rsidRPr="004357A2">
        <w:rPr>
          <w:szCs w:val="26"/>
        </w:rPr>
        <w:t>The NDA has noted with concern the above trend</w:t>
      </w:r>
      <w:r w:rsidRPr="004357A2">
        <w:t>, but understands that there are a number of factors that could have contributed to this situation. A number of public bodies have continued to report that lack of disclosure by employees prevent them from getting an accurate count. Some public bodies also reported that a number of employees with disabilities have recently retired resulting in a decrease in the numbers</w:t>
      </w:r>
      <w:r w:rsidR="00ED4AA4">
        <w:t>.</w:t>
      </w:r>
      <w:r w:rsidRPr="004357A2">
        <w:t xml:space="preserve"> Under the </w:t>
      </w:r>
      <w:r w:rsidR="00075095">
        <w:rPr>
          <w:bCs/>
        </w:rPr>
        <w:t>CES</w:t>
      </w:r>
      <w:r w:rsidR="00ED4AA4">
        <w:rPr>
          <w:rStyle w:val="FootnoteReference"/>
        </w:rPr>
        <w:footnoteReference w:id="101"/>
      </w:r>
      <w:r w:rsidRPr="004357A2">
        <w:t xml:space="preserve"> the Government has committed to incrementally increasing the statutory employment target, so that by 2024, a minimum of 6% of employees in the public sector will be persons with disabilities. This is provided for in the Disability (Miscellaneous Provisions) Bill 2016.</w:t>
      </w:r>
      <w:r w:rsidR="00ED4AA4" w:rsidRPr="00ED4AA4">
        <w:rPr>
          <w:color w:val="000000"/>
        </w:rPr>
        <w:t xml:space="preserve"> </w:t>
      </w:r>
      <w:r w:rsidR="00ED4AA4">
        <w:rPr>
          <w:color w:val="000000"/>
        </w:rPr>
        <w:t xml:space="preserve">However, the status of this Bill is unclear since the dissolution of the Dáil in February of this year. </w:t>
      </w:r>
      <w:r w:rsidR="00ED4AA4" w:rsidRPr="009E4ABD">
        <w:rPr>
          <w:color w:val="000000"/>
        </w:rPr>
        <w:t>The NDA has consistently advised that the 3% is a</w:t>
      </w:r>
      <w:r w:rsidR="00ED4AA4">
        <w:rPr>
          <w:color w:val="000000"/>
        </w:rPr>
        <w:t xml:space="preserve"> statutory</w:t>
      </w:r>
      <w:r w:rsidR="00ED4AA4" w:rsidRPr="009E4ABD">
        <w:rPr>
          <w:color w:val="000000"/>
        </w:rPr>
        <w:t xml:space="preserve"> minimum compliance target and that it is important for public bodies to focus on exceeding this</w:t>
      </w:r>
      <w:r w:rsidR="00645D7F">
        <w:t xml:space="preserve"> by creating inclusive workplaces.</w:t>
      </w:r>
    </w:p>
    <w:p w14:paraId="672665FA" w14:textId="25CA790F" w:rsidR="004357A2" w:rsidRPr="00ED4AA4" w:rsidRDefault="004357A2" w:rsidP="009E4ABD">
      <w:pPr>
        <w:rPr>
          <w:strike/>
          <w:szCs w:val="26"/>
        </w:rPr>
      </w:pPr>
      <w:r w:rsidRPr="004357A2">
        <w:t>The NDA continues to work closely with and advise public bodies on measures they can implement to create an inclusive work environment that promotes and supports the recruitment and retention of persons with disabilities and one where employees feel supported and comforta</w:t>
      </w:r>
      <w:r w:rsidR="00851F8B">
        <w:t>ble in disclosing a disability.</w:t>
      </w:r>
    </w:p>
    <w:p w14:paraId="47230B1A" w14:textId="5562B2DA" w:rsidR="008A7B05" w:rsidRDefault="003965C6" w:rsidP="009E4ABD">
      <w:pPr>
        <w:spacing w:after="0"/>
        <w:rPr>
          <w:lang w:eastAsia="en-IE"/>
        </w:rPr>
      </w:pPr>
      <w:r w:rsidRPr="009E4ABD">
        <w:rPr>
          <w:b/>
          <w:lang w:eastAsia="en-IE"/>
        </w:rPr>
        <w:t>Indicator 4.3a. Expenditure by DEASP on the Reasonable Accommodation Fund</w:t>
      </w:r>
      <w:r w:rsidR="00350A82">
        <w:rPr>
          <w:b/>
          <w:lang w:eastAsia="en-IE"/>
        </w:rPr>
        <w:t xml:space="preserve"> </w:t>
      </w:r>
      <w:r w:rsidR="00350A82">
        <w:rPr>
          <w:b/>
          <w:szCs w:val="26"/>
          <w:lang w:eastAsia="en-IE"/>
        </w:rPr>
        <w:t>(Process)</w:t>
      </w:r>
      <w:r w:rsidRPr="009E4ABD">
        <w:rPr>
          <w:b/>
          <w:lang w:eastAsia="en-IE"/>
        </w:rPr>
        <w:t>:</w:t>
      </w:r>
      <w:r w:rsidRPr="00872F44">
        <w:rPr>
          <w:lang w:eastAsia="en-IE"/>
        </w:rPr>
        <w:t xml:space="preserve"> </w:t>
      </w:r>
      <w:r w:rsidR="00793730" w:rsidRPr="00872F44">
        <w:rPr>
          <w:lang w:eastAsia="en-IE"/>
        </w:rPr>
        <w:t xml:space="preserve">The Reasonable Accommodation Fund consists of </w:t>
      </w:r>
      <w:r w:rsidR="00793730" w:rsidRPr="009E4ABD">
        <w:rPr>
          <w:rFonts w:cs="Arial"/>
          <w:color w:val="333333"/>
          <w:lang w:val="en"/>
        </w:rPr>
        <w:t xml:space="preserve">the </w:t>
      </w:r>
      <w:r w:rsidR="00793730" w:rsidRPr="009E4ABD">
        <w:rPr>
          <w:rFonts w:cs="Arial"/>
          <w:lang w:val="en"/>
        </w:rPr>
        <w:t>Workplace Equipment</w:t>
      </w:r>
      <w:r w:rsidR="005E2CCB">
        <w:rPr>
          <w:rFonts w:cs="Arial"/>
          <w:lang w:val="en"/>
        </w:rPr>
        <w:t xml:space="preserve"> and</w:t>
      </w:r>
      <w:r w:rsidR="00793730" w:rsidRPr="009E4ABD">
        <w:rPr>
          <w:rFonts w:cs="Arial"/>
          <w:lang w:val="en"/>
        </w:rPr>
        <w:t xml:space="preserve"> Adaptation Grant, </w:t>
      </w:r>
      <w:r w:rsidR="008A7B05">
        <w:rPr>
          <w:rFonts w:cs="Arial"/>
          <w:lang w:val="en"/>
        </w:rPr>
        <w:t>t</w:t>
      </w:r>
      <w:r w:rsidR="00793730" w:rsidRPr="009E4ABD">
        <w:rPr>
          <w:rFonts w:cs="Arial"/>
          <w:lang w:val="en"/>
        </w:rPr>
        <w:t xml:space="preserve">he Job Interview Interpreter Grant, </w:t>
      </w:r>
      <w:r w:rsidR="008A7B05">
        <w:rPr>
          <w:rFonts w:cs="Arial"/>
          <w:lang w:val="en"/>
        </w:rPr>
        <w:t>t</w:t>
      </w:r>
      <w:r w:rsidR="00793730" w:rsidRPr="009E4ABD">
        <w:rPr>
          <w:rFonts w:cs="Arial"/>
          <w:lang w:val="en"/>
        </w:rPr>
        <w:t xml:space="preserve">he Personal Reader Grant and the Employee Retention Grant. </w:t>
      </w:r>
      <w:r w:rsidR="009720C7" w:rsidRPr="00872F44">
        <w:rPr>
          <w:lang w:eastAsia="en-IE"/>
        </w:rPr>
        <w:t>T</w:t>
      </w:r>
      <w:r w:rsidR="00DE17C3" w:rsidRPr="00872F44">
        <w:rPr>
          <w:lang w:eastAsia="en-IE"/>
        </w:rPr>
        <w:t>he expenditure by DEASP on the Reasonable Accommodation F</w:t>
      </w:r>
      <w:r w:rsidR="009720C7" w:rsidRPr="00872F44">
        <w:rPr>
          <w:lang w:eastAsia="en-IE"/>
        </w:rPr>
        <w:t>und increased by 55% between 2016</w:t>
      </w:r>
      <w:r w:rsidR="00657830" w:rsidRPr="00872F44">
        <w:rPr>
          <w:lang w:eastAsia="en-IE"/>
        </w:rPr>
        <w:t xml:space="preserve"> (€77,822)</w:t>
      </w:r>
      <w:r w:rsidR="009720C7" w:rsidRPr="00872F44">
        <w:rPr>
          <w:lang w:eastAsia="en-IE"/>
        </w:rPr>
        <w:t xml:space="preserve"> and 2018</w:t>
      </w:r>
      <w:r w:rsidR="00657830" w:rsidRPr="00872F44">
        <w:rPr>
          <w:lang w:eastAsia="en-IE"/>
        </w:rPr>
        <w:t xml:space="preserve"> (€120,622)</w:t>
      </w:r>
      <w:r w:rsidR="009720C7" w:rsidRPr="00872F44">
        <w:rPr>
          <w:lang w:eastAsia="en-IE"/>
        </w:rPr>
        <w:t>.</w:t>
      </w:r>
      <w:r w:rsidR="00887B23">
        <w:rPr>
          <w:rStyle w:val="FootnoteReference"/>
          <w:lang w:eastAsia="en-IE"/>
        </w:rPr>
        <w:footnoteReference w:id="102"/>
      </w:r>
      <w:r w:rsidR="009720C7" w:rsidRPr="00872F44">
        <w:rPr>
          <w:lang w:eastAsia="en-IE"/>
        </w:rPr>
        <w:t xml:space="preserve"> Most of this</w:t>
      </w:r>
      <w:r w:rsidR="00657830" w:rsidRPr="00872F44">
        <w:rPr>
          <w:lang w:eastAsia="en-IE"/>
        </w:rPr>
        <w:t xml:space="preserve"> increase was accounted for by</w:t>
      </w:r>
      <w:r w:rsidR="00CC22AB" w:rsidRPr="00872F44">
        <w:rPr>
          <w:lang w:eastAsia="en-IE"/>
        </w:rPr>
        <w:t xml:space="preserve"> greater expenditure on</w:t>
      </w:r>
      <w:r w:rsidR="00657830" w:rsidRPr="00872F44">
        <w:rPr>
          <w:lang w:eastAsia="en-IE"/>
        </w:rPr>
        <w:t xml:space="preserve"> t</w:t>
      </w:r>
      <w:r w:rsidR="00DE17C3" w:rsidRPr="00872F44">
        <w:rPr>
          <w:lang w:eastAsia="en-IE"/>
        </w:rPr>
        <w:t>he Workplace Equipment Adaptation G</w:t>
      </w:r>
      <w:r w:rsidR="009720C7" w:rsidRPr="00872F44">
        <w:rPr>
          <w:lang w:eastAsia="en-IE"/>
        </w:rPr>
        <w:t>rant.</w:t>
      </w:r>
      <w:r w:rsidRPr="00872F44">
        <w:rPr>
          <w:lang w:eastAsia="en-IE"/>
        </w:rPr>
        <w:t xml:space="preserve"> </w:t>
      </w:r>
      <w:r w:rsidR="00057361">
        <w:rPr>
          <w:lang w:eastAsia="en-IE"/>
        </w:rPr>
        <w:t>Table 3 below provides the number of persons with a disability who received each fund for 2018</w:t>
      </w:r>
      <w:r w:rsidR="005E2CCB">
        <w:rPr>
          <w:lang w:eastAsia="en-IE"/>
        </w:rPr>
        <w:t>.</w:t>
      </w:r>
      <w:r w:rsidR="005E2CCB">
        <w:rPr>
          <w:rStyle w:val="FootnoteReference"/>
          <w:lang w:eastAsia="en-IE"/>
        </w:rPr>
        <w:footnoteReference w:id="103"/>
      </w:r>
      <w:r w:rsidR="005E2CCB">
        <w:rPr>
          <w:lang w:eastAsia="en-IE"/>
        </w:rPr>
        <w:t xml:space="preserve"> </w:t>
      </w:r>
    </w:p>
    <w:p w14:paraId="266DB1C6" w14:textId="77777777" w:rsidR="005E2CCB" w:rsidRPr="00CC429C" w:rsidRDefault="005E2CCB" w:rsidP="009E4ABD">
      <w:pPr>
        <w:spacing w:after="0"/>
        <w:rPr>
          <w:sz w:val="16"/>
          <w:lang w:eastAsia="en-IE"/>
        </w:rPr>
      </w:pPr>
    </w:p>
    <w:p w14:paraId="7D02C572" w14:textId="77777777" w:rsidR="005E2CCB" w:rsidRPr="00CE0562" w:rsidRDefault="005E2CCB" w:rsidP="00F5419E">
      <w:pPr>
        <w:spacing w:after="200" w:line="276" w:lineRule="auto"/>
        <w:rPr>
          <w:b/>
          <w:lang w:eastAsia="en-IE"/>
        </w:rPr>
      </w:pPr>
      <w:r w:rsidRPr="00CE0562">
        <w:rPr>
          <w:b/>
          <w:lang w:eastAsia="en-IE"/>
        </w:rPr>
        <w:t xml:space="preserve">Table </w:t>
      </w:r>
      <w:r w:rsidR="00DA15E4" w:rsidRPr="00CE0562">
        <w:rPr>
          <w:b/>
          <w:lang w:eastAsia="en-IE"/>
        </w:rPr>
        <w:t>3</w:t>
      </w:r>
      <w:r w:rsidRPr="00CE0562">
        <w:rPr>
          <w:b/>
          <w:lang w:eastAsia="en-IE"/>
        </w:rPr>
        <w:t>: Number of persons with disabilities receiving each type of Reasonable Accommodation Fund</w:t>
      </w:r>
    </w:p>
    <w:tbl>
      <w:tblPr>
        <w:tblW w:w="902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700" w:firstRow="0" w:lastRow="0" w:firstColumn="0" w:lastColumn="1" w:noHBand="1" w:noVBand="1"/>
        <w:tblCaption w:val="Table 3: Number of persons with disabilities receiving each type of Reasonable Accommodation Fund"/>
        <w:tblDescription w:val="Number of persons with disabilities receiving each type of Reasonable Accommodation Fund"/>
      </w:tblPr>
      <w:tblGrid>
        <w:gridCol w:w="5245"/>
        <w:gridCol w:w="3781"/>
      </w:tblGrid>
      <w:tr w:rsidR="005E2CCB" w:rsidRPr="005E2CCB" w14:paraId="2C9DF528" w14:textId="77777777" w:rsidTr="00DC442A">
        <w:trPr>
          <w:cantSplit/>
        </w:trPr>
        <w:tc>
          <w:tcPr>
            <w:tcW w:w="5245" w:type="dxa"/>
            <w:tcBorders>
              <w:bottom w:val="single" w:sz="12" w:space="0" w:color="000000"/>
            </w:tcBorders>
            <w:shd w:val="clear" w:color="auto" w:fill="auto"/>
          </w:tcPr>
          <w:p w14:paraId="6E5DA929" w14:textId="77777777" w:rsidR="005E2CCB" w:rsidRPr="00DA15E4" w:rsidRDefault="004E214B" w:rsidP="00851F8B">
            <w:pPr>
              <w:rPr>
                <w:b/>
                <w:lang w:eastAsia="en-IE"/>
              </w:rPr>
            </w:pPr>
            <w:r w:rsidRPr="00DA15E4">
              <w:rPr>
                <w:b/>
                <w:lang w:eastAsia="en-IE"/>
              </w:rPr>
              <w:t>Type of Reasonable Accommodation Fund Grant</w:t>
            </w:r>
            <w:bookmarkStart w:id="3" w:name="Table_3"/>
            <w:bookmarkEnd w:id="3"/>
          </w:p>
        </w:tc>
        <w:tc>
          <w:tcPr>
            <w:tcW w:w="3781" w:type="dxa"/>
            <w:tcBorders>
              <w:bottom w:val="single" w:sz="12" w:space="0" w:color="000000"/>
            </w:tcBorders>
            <w:shd w:val="clear" w:color="auto" w:fill="auto"/>
          </w:tcPr>
          <w:p w14:paraId="1A2F88C0" w14:textId="77777777" w:rsidR="005E2CCB" w:rsidRPr="00DA15E4" w:rsidRDefault="004E214B" w:rsidP="00851F8B">
            <w:pPr>
              <w:jc w:val="right"/>
              <w:rPr>
                <w:b/>
                <w:lang w:eastAsia="en-IE"/>
              </w:rPr>
            </w:pPr>
            <w:r w:rsidRPr="00DA15E4">
              <w:rPr>
                <w:b/>
                <w:lang w:eastAsia="en-IE"/>
              </w:rPr>
              <w:t>Number of persons with disabilities</w:t>
            </w:r>
          </w:p>
        </w:tc>
      </w:tr>
      <w:tr w:rsidR="005E2CCB" w:rsidRPr="005E2CCB" w14:paraId="555147AB" w14:textId="77777777" w:rsidTr="00DC442A">
        <w:trPr>
          <w:trHeight w:val="588"/>
        </w:trPr>
        <w:tc>
          <w:tcPr>
            <w:tcW w:w="5245" w:type="dxa"/>
            <w:tcBorders>
              <w:top w:val="single" w:sz="12" w:space="0" w:color="000000"/>
            </w:tcBorders>
            <w:shd w:val="clear" w:color="auto" w:fill="auto"/>
          </w:tcPr>
          <w:p w14:paraId="42D2DD57" w14:textId="77777777" w:rsidR="005E2CCB" w:rsidRPr="005E2CCB" w:rsidRDefault="005E2CCB" w:rsidP="00851F8B">
            <w:pPr>
              <w:rPr>
                <w:lang w:eastAsia="en-IE"/>
              </w:rPr>
            </w:pPr>
            <w:r w:rsidRPr="009E4ABD">
              <w:rPr>
                <w:rFonts w:cs="Arial"/>
                <w:lang w:val="en"/>
              </w:rPr>
              <w:t>Workplace Equipment</w:t>
            </w:r>
            <w:r>
              <w:rPr>
                <w:rFonts w:cs="Arial"/>
                <w:lang w:val="en"/>
              </w:rPr>
              <w:t xml:space="preserve"> and</w:t>
            </w:r>
            <w:r w:rsidRPr="009E4ABD">
              <w:rPr>
                <w:rFonts w:cs="Arial"/>
                <w:lang w:val="en"/>
              </w:rPr>
              <w:t xml:space="preserve"> Adaptation Grant</w:t>
            </w:r>
          </w:p>
        </w:tc>
        <w:tc>
          <w:tcPr>
            <w:tcW w:w="3781" w:type="dxa"/>
            <w:tcBorders>
              <w:top w:val="single" w:sz="12" w:space="0" w:color="000000"/>
            </w:tcBorders>
            <w:shd w:val="clear" w:color="auto" w:fill="auto"/>
          </w:tcPr>
          <w:p w14:paraId="2E823C55" w14:textId="77777777" w:rsidR="005E2CCB" w:rsidRPr="005E2CCB" w:rsidRDefault="005E2CCB" w:rsidP="00851F8B">
            <w:pPr>
              <w:jc w:val="right"/>
              <w:rPr>
                <w:lang w:eastAsia="en-IE"/>
              </w:rPr>
            </w:pPr>
            <w:r>
              <w:rPr>
                <w:lang w:eastAsia="en-IE"/>
              </w:rPr>
              <w:t>39</w:t>
            </w:r>
          </w:p>
        </w:tc>
      </w:tr>
      <w:tr w:rsidR="005E2CCB" w:rsidRPr="005E2CCB" w14:paraId="6CEECFFE" w14:textId="77777777" w:rsidTr="00DC442A">
        <w:tc>
          <w:tcPr>
            <w:tcW w:w="5245" w:type="dxa"/>
            <w:shd w:val="clear" w:color="auto" w:fill="auto"/>
          </w:tcPr>
          <w:p w14:paraId="2A374D34" w14:textId="77777777" w:rsidR="005E2CCB" w:rsidRPr="005E2CCB" w:rsidRDefault="005E2CCB" w:rsidP="00851F8B">
            <w:pPr>
              <w:rPr>
                <w:lang w:eastAsia="en-IE"/>
              </w:rPr>
            </w:pPr>
            <w:r w:rsidRPr="009E4ABD">
              <w:rPr>
                <w:rFonts w:cs="Arial"/>
                <w:lang w:val="en"/>
              </w:rPr>
              <w:t>Job Interview Interpreter Grant</w:t>
            </w:r>
          </w:p>
        </w:tc>
        <w:tc>
          <w:tcPr>
            <w:tcW w:w="3781" w:type="dxa"/>
            <w:shd w:val="clear" w:color="auto" w:fill="auto"/>
          </w:tcPr>
          <w:p w14:paraId="269994D1" w14:textId="77777777" w:rsidR="005E2CCB" w:rsidRPr="005E2CCB" w:rsidRDefault="005E2CCB" w:rsidP="00851F8B">
            <w:pPr>
              <w:jc w:val="right"/>
              <w:rPr>
                <w:lang w:eastAsia="en-IE"/>
              </w:rPr>
            </w:pPr>
            <w:r>
              <w:rPr>
                <w:lang w:eastAsia="en-IE"/>
              </w:rPr>
              <w:t>34</w:t>
            </w:r>
          </w:p>
        </w:tc>
      </w:tr>
      <w:tr w:rsidR="005E2CCB" w:rsidRPr="005E2CCB" w14:paraId="7A55F432" w14:textId="77777777" w:rsidTr="00DC442A">
        <w:tc>
          <w:tcPr>
            <w:tcW w:w="5245" w:type="dxa"/>
            <w:shd w:val="clear" w:color="auto" w:fill="auto"/>
          </w:tcPr>
          <w:p w14:paraId="20AE3AB6" w14:textId="77777777" w:rsidR="005E2CCB" w:rsidRPr="005E2CCB" w:rsidRDefault="005E2CCB" w:rsidP="00851F8B">
            <w:pPr>
              <w:rPr>
                <w:lang w:eastAsia="en-IE"/>
              </w:rPr>
            </w:pPr>
            <w:r w:rsidRPr="009E4ABD">
              <w:rPr>
                <w:rFonts w:cs="Arial"/>
                <w:lang w:val="en"/>
              </w:rPr>
              <w:t>Personal Reader Grant</w:t>
            </w:r>
          </w:p>
        </w:tc>
        <w:tc>
          <w:tcPr>
            <w:tcW w:w="3781" w:type="dxa"/>
            <w:shd w:val="clear" w:color="auto" w:fill="auto"/>
          </w:tcPr>
          <w:p w14:paraId="570F2046" w14:textId="77777777" w:rsidR="005E2CCB" w:rsidRPr="005E2CCB" w:rsidRDefault="005E2CCB" w:rsidP="00851F8B">
            <w:pPr>
              <w:jc w:val="right"/>
              <w:rPr>
                <w:lang w:eastAsia="en-IE"/>
              </w:rPr>
            </w:pPr>
            <w:r>
              <w:rPr>
                <w:lang w:eastAsia="en-IE"/>
              </w:rPr>
              <w:t>32</w:t>
            </w:r>
          </w:p>
        </w:tc>
      </w:tr>
      <w:tr w:rsidR="005E2CCB" w:rsidRPr="005E2CCB" w14:paraId="65B1FF81" w14:textId="77777777" w:rsidTr="00DC442A">
        <w:tc>
          <w:tcPr>
            <w:tcW w:w="5245" w:type="dxa"/>
            <w:shd w:val="clear" w:color="auto" w:fill="auto"/>
          </w:tcPr>
          <w:p w14:paraId="4E86090A" w14:textId="77777777" w:rsidR="005E2CCB" w:rsidRPr="005E2CCB" w:rsidRDefault="005E2CCB" w:rsidP="00851F8B">
            <w:pPr>
              <w:rPr>
                <w:lang w:eastAsia="en-IE"/>
              </w:rPr>
            </w:pPr>
            <w:r w:rsidRPr="009E4ABD">
              <w:rPr>
                <w:rFonts w:cs="Arial"/>
                <w:lang w:val="en"/>
              </w:rPr>
              <w:t>Employee Retention Grant</w:t>
            </w:r>
          </w:p>
        </w:tc>
        <w:tc>
          <w:tcPr>
            <w:tcW w:w="3781" w:type="dxa"/>
            <w:shd w:val="clear" w:color="auto" w:fill="auto"/>
          </w:tcPr>
          <w:p w14:paraId="0715AD9C" w14:textId="77777777" w:rsidR="005E2CCB" w:rsidRPr="005E2CCB" w:rsidRDefault="005E2CCB" w:rsidP="00851F8B">
            <w:pPr>
              <w:jc w:val="right"/>
              <w:rPr>
                <w:lang w:eastAsia="en-IE"/>
              </w:rPr>
            </w:pPr>
            <w:r>
              <w:rPr>
                <w:lang w:eastAsia="en-IE"/>
              </w:rPr>
              <w:t>1</w:t>
            </w:r>
          </w:p>
        </w:tc>
      </w:tr>
      <w:tr w:rsidR="005E2CCB" w:rsidRPr="005E2CCB" w14:paraId="3A474F2C" w14:textId="77777777" w:rsidTr="00DC442A">
        <w:tc>
          <w:tcPr>
            <w:tcW w:w="5245" w:type="dxa"/>
            <w:shd w:val="clear" w:color="auto" w:fill="auto"/>
          </w:tcPr>
          <w:p w14:paraId="78A3DCCA" w14:textId="77777777" w:rsidR="005E2CCB" w:rsidRPr="005E2CCB" w:rsidRDefault="005E2CCB" w:rsidP="00851F8B">
            <w:pPr>
              <w:rPr>
                <w:lang w:eastAsia="en-IE"/>
              </w:rPr>
            </w:pPr>
            <w:r>
              <w:rPr>
                <w:lang w:eastAsia="en-IE"/>
              </w:rPr>
              <w:t>Total</w:t>
            </w:r>
          </w:p>
        </w:tc>
        <w:tc>
          <w:tcPr>
            <w:tcW w:w="3781" w:type="dxa"/>
            <w:shd w:val="clear" w:color="auto" w:fill="auto"/>
          </w:tcPr>
          <w:p w14:paraId="415A24EC" w14:textId="77777777" w:rsidR="005E2CCB" w:rsidRPr="005E2CCB" w:rsidRDefault="005E2CCB" w:rsidP="00851F8B">
            <w:pPr>
              <w:jc w:val="right"/>
              <w:rPr>
                <w:lang w:eastAsia="en-IE"/>
              </w:rPr>
            </w:pPr>
            <w:r>
              <w:rPr>
                <w:lang w:eastAsia="en-IE"/>
              </w:rPr>
              <w:t>106</w:t>
            </w:r>
          </w:p>
        </w:tc>
      </w:tr>
    </w:tbl>
    <w:p w14:paraId="5CB511DD" w14:textId="77777777" w:rsidR="00DE17C3" w:rsidRPr="001C15AD" w:rsidRDefault="00E40502" w:rsidP="001C15AD">
      <w:pPr>
        <w:spacing w:before="240"/>
      </w:pPr>
      <w:r w:rsidRPr="00872F44">
        <w:rPr>
          <w:lang w:eastAsia="en-IE"/>
        </w:rPr>
        <w:t>Although this increase is a positive</w:t>
      </w:r>
      <w:r w:rsidR="00CC22AB" w:rsidRPr="00872F44">
        <w:rPr>
          <w:lang w:eastAsia="en-IE"/>
        </w:rPr>
        <w:t xml:space="preserve"> and welcome</w:t>
      </w:r>
      <w:r w:rsidRPr="00872F44">
        <w:rPr>
          <w:lang w:eastAsia="en-IE"/>
        </w:rPr>
        <w:t xml:space="preserve"> development</w:t>
      </w:r>
      <w:r w:rsidR="009B0DEF" w:rsidRPr="00872F44">
        <w:rPr>
          <w:lang w:eastAsia="en-IE"/>
        </w:rPr>
        <w:t>,</w:t>
      </w:r>
      <w:r w:rsidRPr="00872F44">
        <w:rPr>
          <w:lang w:eastAsia="en-IE"/>
        </w:rPr>
        <w:t xml:space="preserve"> </w:t>
      </w:r>
      <w:r w:rsidR="00DE17C3" w:rsidRPr="00872F44">
        <w:rPr>
          <w:lang w:eastAsia="en-IE"/>
        </w:rPr>
        <w:t>a 2019 NDA review of Reasonable Accommodations</w:t>
      </w:r>
      <w:r w:rsidR="00DE17C3" w:rsidRPr="00872F44">
        <w:rPr>
          <w:rStyle w:val="FootnoteReference"/>
          <w:lang w:eastAsia="en-IE"/>
        </w:rPr>
        <w:footnoteReference w:id="104"/>
      </w:r>
      <w:r w:rsidR="009B0DEF" w:rsidRPr="00872F44">
        <w:rPr>
          <w:lang w:eastAsia="en-IE"/>
        </w:rPr>
        <w:t xml:space="preserve"> </w:t>
      </w:r>
      <w:r w:rsidR="00DE17C3" w:rsidRPr="00872F44">
        <w:rPr>
          <w:lang w:eastAsia="en-IE"/>
        </w:rPr>
        <w:t xml:space="preserve">identified </w:t>
      </w:r>
      <w:r w:rsidR="00645D7F">
        <w:rPr>
          <w:lang w:eastAsia="en-IE"/>
        </w:rPr>
        <w:t>areas where the scheme could be examined with a view to being more useful</w:t>
      </w:r>
      <w:r w:rsidR="00DE17C3" w:rsidRPr="00872F44">
        <w:rPr>
          <w:lang w:eastAsia="en-IE"/>
        </w:rPr>
        <w:t xml:space="preserve">. This report found that there are low levels of awareness amongst some employers of the Reasonable Accommodation Fund, low levels of uptake and inconsistencies in processing times across areas. The report also highlighted concerns about issues and conditions associated with specific grants under the Reasonable Accommodation Fund. For instance, the Workplace Equipment Adaptation Grant is only available on a refund basis, thereby requiring employers to purchase equipment prior to receipt of funding. This can cause difficulties for smaller and medium sized employers. </w:t>
      </w:r>
      <w:r w:rsidR="005269FF" w:rsidRPr="00872F44">
        <w:t>The NDA</w:t>
      </w:r>
      <w:r w:rsidR="008A7B05">
        <w:t xml:space="preserve"> has recommended that DEASP undertake a review of the </w:t>
      </w:r>
      <w:r w:rsidR="004D6175">
        <w:t>Reasonable Accommodation Fund</w:t>
      </w:r>
      <w:r w:rsidR="008A7B05">
        <w:t>,</w:t>
      </w:r>
      <w:r w:rsidR="004D6175">
        <w:t xml:space="preserve"> and the </w:t>
      </w:r>
      <w:r w:rsidR="00075095">
        <w:t>d</w:t>
      </w:r>
      <w:r w:rsidR="004D6175">
        <w:t>epartment has committed to carrying this out.</w:t>
      </w:r>
      <w:r w:rsidR="005269FF" w:rsidRPr="00872F44">
        <w:t xml:space="preserve"> </w:t>
      </w:r>
      <w:r w:rsidR="004D6175">
        <w:t>This indicator may need to be re-examined, pending the outcome of that review.</w:t>
      </w:r>
      <w:r w:rsidR="00CF5D5C">
        <w:rPr>
          <w:rFonts w:cs="Arial"/>
          <w:lang w:val="en"/>
        </w:rPr>
        <w:t xml:space="preserve"> </w:t>
      </w:r>
    </w:p>
    <w:p w14:paraId="297B450C" w14:textId="013274B5" w:rsidR="00E22F03" w:rsidRDefault="00E22F03" w:rsidP="00E22F03">
      <w:pPr>
        <w:pStyle w:val="Heading1"/>
        <w:rPr>
          <w:rFonts w:ascii="MS Mincho" w:eastAsia="MS Mincho" w:hAnsi="MS Mincho" w:cs="MS Mincho"/>
          <w:lang w:eastAsia="en-IE"/>
        </w:rPr>
      </w:pPr>
      <w:r>
        <w:rPr>
          <w:lang w:eastAsia="en-IE"/>
        </w:rPr>
        <w:t xml:space="preserve">Theme 5: </w:t>
      </w:r>
      <w:r w:rsidRPr="00E22F03">
        <w:rPr>
          <w:lang w:eastAsia="en-IE"/>
        </w:rPr>
        <w:t>Health and Wellbeing</w:t>
      </w:r>
    </w:p>
    <w:p w14:paraId="79149733" w14:textId="77777777" w:rsidR="00B70B73" w:rsidRDefault="00657830" w:rsidP="009E4ABD">
      <w:pPr>
        <w:autoSpaceDE w:val="0"/>
        <w:autoSpaceDN w:val="0"/>
        <w:adjustRightInd w:val="0"/>
        <w:spacing w:line="241" w:lineRule="atLeast"/>
        <w:rPr>
          <w:rFonts w:eastAsiaTheme="minorHAnsi" w:cs="Arial"/>
          <w:color w:val="000000"/>
          <w:szCs w:val="26"/>
        </w:rPr>
      </w:pPr>
      <w:r w:rsidRPr="00657830">
        <w:rPr>
          <w:rFonts w:eastAsiaTheme="minorHAnsi" w:cs="YFEWFP+ArialMT"/>
          <w:color w:val="000000"/>
          <w:szCs w:val="26"/>
        </w:rPr>
        <w:t xml:space="preserve">This theme is concerned that </w:t>
      </w:r>
      <w:r w:rsidR="004B469A">
        <w:rPr>
          <w:rFonts w:eastAsiaTheme="minorHAnsi" w:cs="YFEWFP+ArialMT"/>
          <w:color w:val="000000"/>
          <w:szCs w:val="26"/>
        </w:rPr>
        <w:t>persons with disabilities</w:t>
      </w:r>
      <w:r w:rsidR="005F3492" w:rsidRPr="00657830">
        <w:rPr>
          <w:rFonts w:eastAsiaTheme="minorHAnsi" w:cs="YFEWFP+ArialMT"/>
          <w:color w:val="000000"/>
          <w:szCs w:val="26"/>
        </w:rPr>
        <w:t xml:space="preserve"> are supported to achieve and maintain the best possible physical, mental and emotional well-being.</w:t>
      </w:r>
      <w:r w:rsidR="00350A82">
        <w:rPr>
          <w:rFonts w:eastAsiaTheme="minorHAnsi" w:cs="YFEWFP+ArialMT"/>
          <w:color w:val="000000"/>
          <w:szCs w:val="26"/>
        </w:rPr>
        <w:t xml:space="preserve"> There are seven indicators for this theme consisting of three outcome </w:t>
      </w:r>
      <w:r w:rsidR="0008553E">
        <w:rPr>
          <w:rFonts w:eastAsiaTheme="minorHAnsi" w:cs="YFEWFP+ArialMT"/>
          <w:color w:val="000000"/>
          <w:szCs w:val="26"/>
        </w:rPr>
        <w:t>indicators</w:t>
      </w:r>
      <w:r w:rsidR="00350A82">
        <w:rPr>
          <w:rFonts w:eastAsiaTheme="minorHAnsi" w:cs="YFEWFP+ArialMT"/>
          <w:color w:val="000000"/>
          <w:szCs w:val="26"/>
        </w:rPr>
        <w:t xml:space="preserve"> and four process indicators. Areas included in this theme are the</w:t>
      </w:r>
      <w:r w:rsidRPr="00657830">
        <w:rPr>
          <w:rFonts w:eastAsiaTheme="minorHAnsi" w:cs="YFEWFP+ArialMT"/>
          <w:color w:val="000000"/>
          <w:szCs w:val="26"/>
        </w:rPr>
        <w:t xml:space="preserve"> </w:t>
      </w:r>
      <w:r w:rsidR="00645D7F">
        <w:rPr>
          <w:rFonts w:eastAsiaTheme="minorHAnsi" w:cs="YFEWFP+ArialMT"/>
          <w:color w:val="000000"/>
          <w:szCs w:val="26"/>
        </w:rPr>
        <w:t xml:space="preserve">provision of </w:t>
      </w:r>
      <w:r w:rsidRPr="00657830">
        <w:rPr>
          <w:rFonts w:eastAsiaTheme="minorHAnsi" w:cs="YFEWFP+ArialMT"/>
          <w:color w:val="000000"/>
          <w:szCs w:val="26"/>
        </w:rPr>
        <w:t>m</w:t>
      </w:r>
      <w:r w:rsidR="005F3492" w:rsidRPr="00657830">
        <w:rPr>
          <w:rFonts w:eastAsiaTheme="minorHAnsi" w:cs="YFEWFP+ArialMT"/>
          <w:color w:val="000000"/>
          <w:szCs w:val="26"/>
        </w:rPr>
        <w:t>ainstream primary, specialist and hospital services</w:t>
      </w:r>
      <w:r w:rsidRPr="00657830">
        <w:rPr>
          <w:rFonts w:eastAsiaTheme="minorHAnsi" w:cs="YFEWFP+ArialMT"/>
          <w:color w:val="000000"/>
          <w:szCs w:val="26"/>
        </w:rPr>
        <w:t xml:space="preserve"> </w:t>
      </w:r>
      <w:r w:rsidR="00645D7F">
        <w:rPr>
          <w:rFonts w:eastAsiaTheme="minorHAnsi" w:cs="YFEWFP+ArialMT"/>
          <w:color w:val="000000"/>
          <w:szCs w:val="26"/>
        </w:rPr>
        <w:t>encompassing</w:t>
      </w:r>
      <w:r w:rsidR="005F3492" w:rsidRPr="00657830">
        <w:rPr>
          <w:rFonts w:eastAsiaTheme="minorHAnsi" w:cs="YFEWFP+ArialMT"/>
          <w:color w:val="000000"/>
          <w:szCs w:val="26"/>
        </w:rPr>
        <w:t xml:space="preserve"> accessible </w:t>
      </w:r>
      <w:r w:rsidR="005F3492" w:rsidRPr="00657830">
        <w:rPr>
          <w:rFonts w:eastAsiaTheme="minorHAnsi" w:cs="Arial"/>
          <w:color w:val="000000"/>
          <w:szCs w:val="26"/>
        </w:rPr>
        <w:t xml:space="preserve">information, communication, and facilities for </w:t>
      </w:r>
      <w:r w:rsidR="004B469A">
        <w:rPr>
          <w:rFonts w:eastAsiaTheme="minorHAnsi" w:cs="Arial"/>
          <w:color w:val="000000"/>
          <w:szCs w:val="26"/>
        </w:rPr>
        <w:t>persons with disabilities</w:t>
      </w:r>
      <w:r w:rsidR="005F3492" w:rsidRPr="00657830">
        <w:rPr>
          <w:rFonts w:eastAsiaTheme="minorHAnsi" w:cs="Arial"/>
          <w:color w:val="000000"/>
          <w:szCs w:val="26"/>
        </w:rPr>
        <w:t>.</w:t>
      </w:r>
    </w:p>
    <w:p w14:paraId="25F9886C" w14:textId="5A3C2303" w:rsidR="00C26979" w:rsidRPr="00BA00E8" w:rsidRDefault="009E4ABD" w:rsidP="00C26979">
      <w:pPr>
        <w:rPr>
          <w:rFonts w:ascii="Calibri" w:hAnsi="Calibri"/>
          <w:sz w:val="22"/>
          <w:szCs w:val="22"/>
        </w:rPr>
      </w:pPr>
      <w:r>
        <w:rPr>
          <w:b/>
          <w:lang w:eastAsia="en-IE"/>
        </w:rPr>
        <w:t xml:space="preserve">Indicator </w:t>
      </w:r>
      <w:r w:rsidR="00101C18" w:rsidRPr="009E4ABD">
        <w:rPr>
          <w:b/>
          <w:lang w:eastAsia="en-IE"/>
        </w:rPr>
        <w:t xml:space="preserve">5.1a. The </w:t>
      </w:r>
      <w:r w:rsidR="0090500D" w:rsidRPr="009E4ABD">
        <w:rPr>
          <w:b/>
          <w:lang w:eastAsia="en-IE"/>
        </w:rPr>
        <w:t>standardi</w:t>
      </w:r>
      <w:r w:rsidR="0090500D">
        <w:rPr>
          <w:b/>
          <w:lang w:eastAsia="en-IE"/>
        </w:rPr>
        <w:t>s</w:t>
      </w:r>
      <w:r w:rsidR="0090500D" w:rsidRPr="009E4ABD">
        <w:rPr>
          <w:b/>
          <w:lang w:eastAsia="en-IE"/>
        </w:rPr>
        <w:t xml:space="preserve">ed </w:t>
      </w:r>
      <w:r w:rsidR="00101C18" w:rsidRPr="009E4ABD">
        <w:rPr>
          <w:b/>
          <w:lang w:eastAsia="en-IE"/>
        </w:rPr>
        <w:t xml:space="preserve">mortality rate of </w:t>
      </w:r>
      <w:r w:rsidR="004B469A">
        <w:rPr>
          <w:b/>
          <w:lang w:eastAsia="en-IE"/>
        </w:rPr>
        <w:t>persons with disabilities</w:t>
      </w:r>
      <w:r w:rsidR="00101C18" w:rsidRPr="009E4ABD">
        <w:rPr>
          <w:b/>
          <w:lang w:eastAsia="en-IE"/>
        </w:rPr>
        <w:t xml:space="preserve"> compared to </w:t>
      </w:r>
      <w:r w:rsidR="005105D7">
        <w:rPr>
          <w:b/>
          <w:lang w:eastAsia="en-IE"/>
        </w:rPr>
        <w:t>persons without disabilities</w:t>
      </w:r>
      <w:r w:rsidR="00350A82">
        <w:rPr>
          <w:b/>
          <w:lang w:eastAsia="en-IE"/>
        </w:rPr>
        <w:t xml:space="preserve"> </w:t>
      </w:r>
      <w:r w:rsidR="00350A82">
        <w:rPr>
          <w:b/>
          <w:szCs w:val="26"/>
          <w:lang w:eastAsia="en-IE"/>
        </w:rPr>
        <w:t>(Process)</w:t>
      </w:r>
      <w:r w:rsidR="00101C18" w:rsidRPr="009E4ABD">
        <w:rPr>
          <w:b/>
          <w:lang w:eastAsia="en-IE"/>
        </w:rPr>
        <w:t>:</w:t>
      </w:r>
      <w:r w:rsidR="00101C18">
        <w:rPr>
          <w:lang w:eastAsia="en-IE"/>
        </w:rPr>
        <w:t xml:space="preserve"> </w:t>
      </w:r>
      <w:r w:rsidR="00C26979">
        <w:t xml:space="preserve">In 2019, the </w:t>
      </w:r>
      <w:r w:rsidR="005F67CA">
        <w:t xml:space="preserve">CSO </w:t>
      </w:r>
      <w:r w:rsidR="00C26979">
        <w:t xml:space="preserve">published analyses of the characteristics of people who died in the twelve month period following the 2016 </w:t>
      </w:r>
      <w:r w:rsidR="00BD025B">
        <w:t>census</w:t>
      </w:r>
      <w:r w:rsidR="00C26979">
        <w:t>.</w:t>
      </w:r>
      <w:r w:rsidR="00BA00E8">
        <w:t xml:space="preserve"> It uses standardi</w:t>
      </w:r>
      <w:r w:rsidR="005F67CA">
        <w:t>s</w:t>
      </w:r>
      <w:r w:rsidR="00BA00E8">
        <w:t>ed mortality rates which take into account different characteristics such as age so that rates can be compared across groups.</w:t>
      </w:r>
      <w:r w:rsidR="00C26979">
        <w:t xml:space="preserve"> The standardised mortality rate for persons </w:t>
      </w:r>
      <w:r w:rsidR="00BA00E8">
        <w:t>with a disability was 1,232 per</w:t>
      </w:r>
      <w:r w:rsidR="00C26979">
        <w:t>100,000 people in 2016-2017 (1,197 for females and 1,280 for males).</w:t>
      </w:r>
      <w:r w:rsidR="00FB79D8">
        <w:rPr>
          <w:rStyle w:val="FootnoteReference"/>
        </w:rPr>
        <w:footnoteReference w:id="105"/>
      </w:r>
      <w:r w:rsidR="00C26979">
        <w:t xml:space="preserve"> The rate for persons without a disability was lower at 302 per 100,000 people (268 for females and 329 for males)</w:t>
      </w:r>
      <w:r w:rsidR="00BA00E8" w:rsidRPr="00BA00E8">
        <w:t xml:space="preserve"> </w:t>
      </w:r>
      <w:r w:rsidR="00BA00E8">
        <w:t xml:space="preserve">(see Figure </w:t>
      </w:r>
      <w:r w:rsidR="00E95BF9" w:rsidRPr="00E95BF9">
        <w:t>6</w:t>
      </w:r>
      <w:r w:rsidR="00BA00E8">
        <w:t xml:space="preserve"> below)</w:t>
      </w:r>
      <w:r w:rsidR="00C26979">
        <w:t xml:space="preserve">. </w:t>
      </w:r>
      <w:r w:rsidR="00C26979" w:rsidRPr="00BA00E8">
        <w:t>Because persons with disabilities make up only 13.5% of the population the absolute numbers of persons without disabilities dying is still highe</w:t>
      </w:r>
      <w:r w:rsidR="001C15AD">
        <w:t>r than those with a disability.</w:t>
      </w:r>
    </w:p>
    <w:p w14:paraId="70F36BAD" w14:textId="77777777" w:rsidR="00C26979" w:rsidRDefault="00645D7F" w:rsidP="001C15AD">
      <w:pPr>
        <w:spacing w:after="120"/>
      </w:pPr>
      <w:r>
        <w:t xml:space="preserve">However, the </w:t>
      </w:r>
      <w:r w:rsidR="00BA00E8">
        <w:t>standardi</w:t>
      </w:r>
      <w:r w:rsidR="005F67CA">
        <w:t>s</w:t>
      </w:r>
      <w:r w:rsidR="00BA00E8">
        <w:t xml:space="preserve">ed </w:t>
      </w:r>
      <w:r w:rsidR="00C26979">
        <w:t>mortality rate for:</w:t>
      </w:r>
    </w:p>
    <w:p w14:paraId="4576C0E3" w14:textId="77777777" w:rsidR="00C26979" w:rsidRDefault="00C26979" w:rsidP="00C26979">
      <w:pPr>
        <w:pStyle w:val="ListParagraph"/>
        <w:numPr>
          <w:ilvl w:val="0"/>
          <w:numId w:val="27"/>
        </w:numPr>
        <w:spacing w:after="200" w:line="276" w:lineRule="auto"/>
      </w:pPr>
      <w:r>
        <w:t>persons with disabilities was 4.1 times higher than that of persons without disabilities</w:t>
      </w:r>
      <w:r w:rsidR="005F67CA">
        <w:t>,</w:t>
      </w:r>
    </w:p>
    <w:p w14:paraId="77D293D0" w14:textId="77777777" w:rsidR="00C26979" w:rsidRDefault="00C26979" w:rsidP="00C26979">
      <w:pPr>
        <w:pStyle w:val="ListParagraph"/>
        <w:numPr>
          <w:ilvl w:val="0"/>
          <w:numId w:val="27"/>
        </w:numPr>
        <w:spacing w:after="200" w:line="276" w:lineRule="auto"/>
      </w:pPr>
      <w:r>
        <w:t>females with a disability was 4.5 times higher than that of females without a disability</w:t>
      </w:r>
      <w:r w:rsidR="005F67CA">
        <w:t>, and</w:t>
      </w:r>
    </w:p>
    <w:p w14:paraId="647D7A1D" w14:textId="77777777" w:rsidR="00C26979" w:rsidRDefault="00C26979" w:rsidP="00C26979">
      <w:pPr>
        <w:pStyle w:val="ListParagraph"/>
        <w:numPr>
          <w:ilvl w:val="0"/>
          <w:numId w:val="27"/>
        </w:numPr>
        <w:spacing w:after="200" w:line="276" w:lineRule="auto"/>
      </w:pPr>
      <w:r>
        <w:t>males with a disability was 3.9 times higher than that of males without a disability.</w:t>
      </w:r>
    </w:p>
    <w:p w14:paraId="3CC28593" w14:textId="77777777" w:rsidR="00C26979" w:rsidRPr="00935AA9" w:rsidRDefault="00811B61" w:rsidP="00C26979">
      <w:pPr>
        <w:rPr>
          <w:color w:val="000000" w:themeColor="text1"/>
        </w:rPr>
      </w:pPr>
      <w:r w:rsidRPr="00935AA9">
        <w:rPr>
          <w:strike/>
          <w:color w:val="000000" w:themeColor="text1"/>
        </w:rPr>
        <w:t>A</w:t>
      </w:r>
      <w:r w:rsidR="00C26979" w:rsidRPr="00935AA9">
        <w:rPr>
          <w:color w:val="000000" w:themeColor="text1"/>
        </w:rPr>
        <w:t>n increase in relative standardised mortality rates for persons with disabilities compared to persons without disabilities may</w:t>
      </w:r>
      <w:r w:rsidR="002C76C0" w:rsidRPr="00935AA9">
        <w:rPr>
          <w:color w:val="000000" w:themeColor="text1"/>
        </w:rPr>
        <w:t xml:space="preserve"> possibly</w:t>
      </w:r>
      <w:r w:rsidR="00C26979" w:rsidRPr="00935AA9">
        <w:rPr>
          <w:color w:val="000000" w:themeColor="text1"/>
        </w:rPr>
        <w:t xml:space="preserve"> reflect a lack of access to </w:t>
      </w:r>
      <w:r w:rsidR="002C76C0" w:rsidRPr="00935AA9">
        <w:rPr>
          <w:color w:val="000000" w:themeColor="text1"/>
        </w:rPr>
        <w:t>health</w:t>
      </w:r>
      <w:r w:rsidR="00935AA9" w:rsidRPr="00935AA9">
        <w:rPr>
          <w:color w:val="000000" w:themeColor="text1"/>
        </w:rPr>
        <w:t xml:space="preserve"> or social </w:t>
      </w:r>
      <w:r w:rsidR="00C26979" w:rsidRPr="00935AA9">
        <w:rPr>
          <w:color w:val="000000" w:themeColor="text1"/>
        </w:rPr>
        <w:t xml:space="preserve">care or poorer quality </w:t>
      </w:r>
      <w:r w:rsidR="002C76C0" w:rsidRPr="00935AA9">
        <w:rPr>
          <w:color w:val="000000" w:themeColor="text1"/>
        </w:rPr>
        <w:t>health</w:t>
      </w:r>
      <w:r w:rsidR="00935AA9" w:rsidRPr="00935AA9">
        <w:rPr>
          <w:color w:val="000000" w:themeColor="text1"/>
        </w:rPr>
        <w:t xml:space="preserve"> and social </w:t>
      </w:r>
      <w:r w:rsidR="00C26979" w:rsidRPr="00935AA9">
        <w:rPr>
          <w:color w:val="000000" w:themeColor="text1"/>
        </w:rPr>
        <w:t>care for persons with disabilities.</w:t>
      </w:r>
    </w:p>
    <w:p w14:paraId="0D8B267B" w14:textId="77777777" w:rsidR="00E45D60" w:rsidRDefault="00C26979" w:rsidP="009E4ABD">
      <w:pPr>
        <w:rPr>
          <w:highlight w:val="yellow"/>
          <w:lang w:eastAsia="en-IE"/>
        </w:rPr>
      </w:pPr>
      <w:r>
        <w:t>This analysis probably raises more questions than it answers and the NDA plans to look at this in more detail. Due to some changes in methodology these data are not directly comparable to a similar analysis conducted aft</w:t>
      </w:r>
      <w:r w:rsidR="00BA00E8">
        <w:t>er the last census in 2006-2007</w:t>
      </w:r>
      <w:r w:rsidR="005A0A7F">
        <w:rPr>
          <w:lang w:eastAsia="en-IE"/>
        </w:rPr>
        <w:t>.</w:t>
      </w:r>
      <w:r w:rsidR="005A0A7F">
        <w:rPr>
          <w:rStyle w:val="FootnoteReference"/>
          <w:lang w:eastAsia="en-IE"/>
        </w:rPr>
        <w:footnoteReference w:id="106"/>
      </w:r>
      <w:r w:rsidR="005A0A7F">
        <w:rPr>
          <w:lang w:eastAsia="en-IE"/>
        </w:rPr>
        <w:t xml:space="preserve"> </w:t>
      </w:r>
    </w:p>
    <w:p w14:paraId="2E4FFA80" w14:textId="25234472" w:rsidR="005A0A7F" w:rsidRDefault="001C15AD" w:rsidP="009E4ABD">
      <w:pPr>
        <w:rPr>
          <w:lang w:eastAsia="en-IE"/>
        </w:rPr>
      </w:pPr>
      <w:r>
        <w:rPr>
          <w:noProof/>
          <w:lang w:eastAsia="en-IE"/>
        </w:rPr>
        <w:drawing>
          <wp:inline distT="0" distB="0" distL="0" distR="0" wp14:anchorId="07E6DB85" wp14:editId="0F870A8A">
            <wp:extent cx="5724525" cy="3162300"/>
            <wp:effectExtent l="0" t="0" r="9525" b="0"/>
            <wp:docPr id="19" name="Picture 19" descr="Standardised death rates 2016-2017 by sex and disability. " title="Figure 6. Standardised death rates 2016-2017 by sex and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3162300"/>
                    </a:xfrm>
                    <a:prstGeom prst="rect">
                      <a:avLst/>
                    </a:prstGeom>
                    <a:noFill/>
                    <a:ln>
                      <a:noFill/>
                    </a:ln>
                  </pic:spPr>
                </pic:pic>
              </a:graphicData>
            </a:graphic>
          </wp:inline>
        </w:drawing>
      </w:r>
    </w:p>
    <w:p w14:paraId="4D49D4B8" w14:textId="333E069A" w:rsidR="002768C6" w:rsidRDefault="009E4ABD" w:rsidP="009E4ABD">
      <w:pPr>
        <w:rPr>
          <w:lang w:eastAsia="en-IE"/>
        </w:rPr>
      </w:pPr>
      <w:r>
        <w:rPr>
          <w:b/>
          <w:lang w:eastAsia="en-IE"/>
        </w:rPr>
        <w:t xml:space="preserve">Indicator </w:t>
      </w:r>
      <w:r w:rsidR="00101C18" w:rsidRPr="009E4ABD">
        <w:rPr>
          <w:b/>
          <w:lang w:eastAsia="en-IE"/>
        </w:rPr>
        <w:t xml:space="preserve">5.1b. Percentage of </w:t>
      </w:r>
      <w:r w:rsidR="004B469A">
        <w:rPr>
          <w:b/>
          <w:lang w:eastAsia="en-IE"/>
        </w:rPr>
        <w:t>persons with disabilities</w:t>
      </w:r>
      <w:r w:rsidR="00101C18" w:rsidRPr="009E4ABD">
        <w:rPr>
          <w:b/>
          <w:lang w:eastAsia="en-IE"/>
        </w:rPr>
        <w:t xml:space="preserve"> reporting bad or very bad health compared to </w:t>
      </w:r>
      <w:r w:rsidR="005105D7">
        <w:rPr>
          <w:b/>
          <w:lang w:eastAsia="en-IE"/>
        </w:rPr>
        <w:t>persons without disabilities</w:t>
      </w:r>
      <w:r w:rsidR="00350A82">
        <w:rPr>
          <w:b/>
          <w:lang w:eastAsia="en-IE"/>
        </w:rPr>
        <w:t xml:space="preserve"> (Outcome)</w:t>
      </w:r>
      <w:r w:rsidR="00101C18" w:rsidRPr="009E4ABD">
        <w:rPr>
          <w:b/>
          <w:lang w:eastAsia="en-IE"/>
        </w:rPr>
        <w:t xml:space="preserve">: </w:t>
      </w:r>
      <w:r w:rsidR="00A525D7" w:rsidRPr="0090589F">
        <w:rPr>
          <w:lang w:eastAsia="en-IE"/>
        </w:rPr>
        <w:t xml:space="preserve">There </w:t>
      </w:r>
      <w:r w:rsidR="00336805">
        <w:rPr>
          <w:lang w:eastAsia="en-IE"/>
        </w:rPr>
        <w:t>was</w:t>
      </w:r>
      <w:r w:rsidR="00A525D7" w:rsidRPr="0090589F">
        <w:rPr>
          <w:lang w:eastAsia="en-IE"/>
        </w:rPr>
        <w:t xml:space="preserve"> a stark difference in the percentage of </w:t>
      </w:r>
      <w:r w:rsidR="0090500D">
        <w:rPr>
          <w:lang w:eastAsia="en-IE"/>
        </w:rPr>
        <w:t>persons with and without disabilities</w:t>
      </w:r>
      <w:r w:rsidR="00A525D7" w:rsidRPr="0090589F">
        <w:rPr>
          <w:lang w:eastAsia="en-IE"/>
        </w:rPr>
        <w:t xml:space="preserve"> with regards to how they report</w:t>
      </w:r>
      <w:r w:rsidR="00336805">
        <w:rPr>
          <w:lang w:eastAsia="en-IE"/>
        </w:rPr>
        <w:t>ed</w:t>
      </w:r>
      <w:r w:rsidR="00A525D7" w:rsidRPr="0090589F">
        <w:rPr>
          <w:lang w:eastAsia="en-IE"/>
        </w:rPr>
        <w:t xml:space="preserve"> their general health</w:t>
      </w:r>
      <w:r w:rsidR="00336805">
        <w:rPr>
          <w:lang w:eastAsia="en-IE"/>
        </w:rPr>
        <w:t xml:space="preserve"> in census 2016</w:t>
      </w:r>
      <w:r w:rsidR="00A525D7" w:rsidRPr="0090589F">
        <w:rPr>
          <w:lang w:eastAsia="en-IE"/>
        </w:rPr>
        <w:t xml:space="preserve"> (Figure </w:t>
      </w:r>
      <w:r w:rsidR="00E95BF9" w:rsidRPr="00E95BF9">
        <w:rPr>
          <w:lang w:eastAsia="en-IE"/>
        </w:rPr>
        <w:t>7</w:t>
      </w:r>
      <w:r w:rsidR="00A525D7" w:rsidRPr="00E95BF9">
        <w:rPr>
          <w:lang w:eastAsia="en-IE"/>
        </w:rPr>
        <w:t>)</w:t>
      </w:r>
      <w:r w:rsidR="0090589F" w:rsidRPr="0090589F">
        <w:rPr>
          <w:lang w:eastAsia="en-IE"/>
        </w:rPr>
        <w:t>.</w:t>
      </w:r>
      <w:r w:rsidR="0071674F">
        <w:rPr>
          <w:rStyle w:val="FootnoteReference"/>
          <w:lang w:eastAsia="en-IE"/>
        </w:rPr>
        <w:footnoteReference w:id="107"/>
      </w:r>
      <w:r w:rsidR="0090589F" w:rsidRPr="0090589F">
        <w:rPr>
          <w:lang w:eastAsia="en-IE"/>
        </w:rPr>
        <w:t xml:space="preserve"> </w:t>
      </w:r>
      <w:r w:rsidR="00DE1F9A">
        <w:rPr>
          <w:lang w:eastAsia="en-IE"/>
        </w:rPr>
        <w:t xml:space="preserve">Almost </w:t>
      </w:r>
      <w:r w:rsidR="00FC485C">
        <w:rPr>
          <w:lang w:eastAsia="en-IE"/>
        </w:rPr>
        <w:t>every</w:t>
      </w:r>
      <w:r w:rsidR="0090589F" w:rsidRPr="0090589F">
        <w:rPr>
          <w:lang w:eastAsia="en-IE"/>
        </w:rPr>
        <w:t xml:space="preserve"> </w:t>
      </w:r>
      <w:r w:rsidR="00FC485C">
        <w:rPr>
          <w:lang w:eastAsia="en-IE"/>
        </w:rPr>
        <w:t>person</w:t>
      </w:r>
      <w:r w:rsidR="005105D7">
        <w:rPr>
          <w:lang w:eastAsia="en-IE"/>
        </w:rPr>
        <w:t xml:space="preserve"> </w:t>
      </w:r>
      <w:r w:rsidR="00FC485C">
        <w:rPr>
          <w:lang w:eastAsia="en-IE"/>
        </w:rPr>
        <w:t xml:space="preserve">(92.7%) </w:t>
      </w:r>
      <w:r w:rsidR="005105D7">
        <w:rPr>
          <w:lang w:eastAsia="en-IE"/>
        </w:rPr>
        <w:t xml:space="preserve">without </w:t>
      </w:r>
      <w:r w:rsidR="00FC485C">
        <w:rPr>
          <w:lang w:eastAsia="en-IE"/>
        </w:rPr>
        <w:t>a disability</w:t>
      </w:r>
      <w:r w:rsidR="0090589F" w:rsidRPr="0090589F">
        <w:rPr>
          <w:lang w:eastAsia="en-IE"/>
        </w:rPr>
        <w:t xml:space="preserve"> report</w:t>
      </w:r>
      <w:r w:rsidR="00336805">
        <w:rPr>
          <w:lang w:eastAsia="en-IE"/>
        </w:rPr>
        <w:t>ed</w:t>
      </w:r>
      <w:r w:rsidR="0090589F" w:rsidRPr="0090589F">
        <w:rPr>
          <w:lang w:eastAsia="en-IE"/>
        </w:rPr>
        <w:t xml:space="preserve"> their health as being good or very good. This compares to 51</w:t>
      </w:r>
      <w:r w:rsidR="00DE1F9A">
        <w:rPr>
          <w:lang w:eastAsia="en-IE"/>
        </w:rPr>
        <w:t>.2</w:t>
      </w:r>
      <w:r w:rsidR="0090589F" w:rsidRPr="00F9794D">
        <w:rPr>
          <w:lang w:eastAsia="en-IE"/>
        </w:rPr>
        <w:t xml:space="preserve">% of </w:t>
      </w:r>
      <w:r w:rsidR="00194BEB" w:rsidRPr="00F9794D">
        <w:rPr>
          <w:lang w:eastAsia="en-IE"/>
        </w:rPr>
        <w:t>persons with a disability</w:t>
      </w:r>
      <w:r w:rsidR="0090589F" w:rsidRPr="00F9794D">
        <w:rPr>
          <w:lang w:eastAsia="en-IE"/>
        </w:rPr>
        <w:t xml:space="preserve">. Similarly, 0.1% of </w:t>
      </w:r>
      <w:r w:rsidR="00194BEB" w:rsidRPr="00F9794D">
        <w:rPr>
          <w:lang w:eastAsia="en-IE"/>
        </w:rPr>
        <w:t>persons without a disability</w:t>
      </w:r>
      <w:r w:rsidR="0090589F" w:rsidRPr="00F9794D">
        <w:rPr>
          <w:lang w:eastAsia="en-IE"/>
        </w:rPr>
        <w:t xml:space="preserve"> report</w:t>
      </w:r>
      <w:r w:rsidR="00336805">
        <w:rPr>
          <w:lang w:eastAsia="en-IE"/>
        </w:rPr>
        <w:t>ed</w:t>
      </w:r>
      <w:r w:rsidR="0090589F" w:rsidRPr="00F9794D">
        <w:rPr>
          <w:lang w:eastAsia="en-IE"/>
        </w:rPr>
        <w:t xml:space="preserve"> their health as bad or very bad compared to 11</w:t>
      </w:r>
      <w:r w:rsidR="00DE1F9A" w:rsidRPr="00F9794D">
        <w:rPr>
          <w:lang w:eastAsia="en-IE"/>
        </w:rPr>
        <w:t>.0</w:t>
      </w:r>
      <w:r w:rsidR="0090589F" w:rsidRPr="00F9794D">
        <w:rPr>
          <w:lang w:eastAsia="en-IE"/>
        </w:rPr>
        <w:t xml:space="preserve">% of </w:t>
      </w:r>
      <w:r w:rsidR="00194BEB" w:rsidRPr="00F9794D">
        <w:rPr>
          <w:lang w:eastAsia="en-IE"/>
        </w:rPr>
        <w:t>persons with a disability</w:t>
      </w:r>
      <w:r w:rsidR="0090589F" w:rsidRPr="00F9794D">
        <w:rPr>
          <w:lang w:eastAsia="en-IE"/>
        </w:rPr>
        <w:t>.</w:t>
      </w:r>
      <w:r w:rsidR="0000591D" w:rsidRPr="00F9794D">
        <w:rPr>
          <w:lang w:eastAsia="en-IE"/>
        </w:rPr>
        <w:t xml:space="preserve"> While it will never be possible to close this gap completely</w:t>
      </w:r>
      <w:r w:rsidR="00295DFC" w:rsidRPr="00F9794D">
        <w:rPr>
          <w:lang w:eastAsia="en-IE"/>
        </w:rPr>
        <w:t>,</w:t>
      </w:r>
      <w:r w:rsidR="0000591D" w:rsidRPr="00F9794D">
        <w:rPr>
          <w:lang w:eastAsia="en-IE"/>
        </w:rPr>
        <w:t xml:space="preserve"> the NDA believes it is possible to narrow the gap</w:t>
      </w:r>
      <w:r w:rsidR="00BD7D1A" w:rsidRPr="00F9794D">
        <w:rPr>
          <w:lang w:eastAsia="en-IE"/>
        </w:rPr>
        <w:t xml:space="preserve"> through</w:t>
      </w:r>
      <w:r w:rsidR="0000591D" w:rsidRPr="00F9794D">
        <w:rPr>
          <w:lang w:eastAsia="en-IE"/>
        </w:rPr>
        <w:t xml:space="preserve"> the promotion of health and wellbeing throughout the life course and through improvements in health services and other public services including transport for persons with a disability.</w:t>
      </w:r>
      <w:r w:rsidR="0000591D">
        <w:rPr>
          <w:lang w:eastAsia="en-IE"/>
        </w:rPr>
        <w:t xml:space="preserve"> </w:t>
      </w:r>
    </w:p>
    <w:p w14:paraId="6D900108" w14:textId="59BD22B5" w:rsidR="00A81369" w:rsidRDefault="00A81369" w:rsidP="009E4ABD">
      <w:pPr>
        <w:rPr>
          <w:lang w:eastAsia="en-IE"/>
        </w:rPr>
      </w:pPr>
      <w:r>
        <w:rPr>
          <w:noProof/>
          <w:lang w:eastAsia="en-IE"/>
        </w:rPr>
        <w:drawing>
          <wp:inline distT="0" distB="0" distL="0" distR="0" wp14:anchorId="64FE9483" wp14:editId="0C9FB25C">
            <wp:extent cx="5734050" cy="1790700"/>
            <wp:effectExtent l="0" t="0" r="0" b="0"/>
            <wp:docPr id="3" name="Picture 3" descr="General health of people with and without disabilities in 2016. " title="Figure 7. General health of people with and without disabilities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64B3062" w14:textId="421B691C" w:rsidR="002768C6" w:rsidRDefault="00A81369" w:rsidP="009E4ABD">
      <w:pPr>
        <w:rPr>
          <w:lang w:eastAsia="en-IE"/>
        </w:rPr>
      </w:pPr>
      <w:r>
        <w:rPr>
          <w:lang w:eastAsia="en-IE"/>
        </w:rPr>
        <w:t>W</w:t>
      </w:r>
      <w:r w:rsidR="008962CA">
        <w:rPr>
          <w:lang w:eastAsia="en-IE"/>
        </w:rPr>
        <w:t>hen looking at self-reported general health</w:t>
      </w:r>
      <w:r w:rsidR="00BD7D1A">
        <w:rPr>
          <w:lang w:eastAsia="en-IE"/>
        </w:rPr>
        <w:t xml:space="preserve"> of people with different types of disabilities, p</w:t>
      </w:r>
      <w:r w:rsidR="008962CA">
        <w:rPr>
          <w:lang w:eastAsia="en-IE"/>
        </w:rPr>
        <w:t xml:space="preserve">eople with a condition that substantially limits one or more basic physical activity and people with other disabilities including chronic illness </w:t>
      </w:r>
      <w:r w:rsidR="00336805">
        <w:rPr>
          <w:lang w:eastAsia="en-IE"/>
        </w:rPr>
        <w:t>were</w:t>
      </w:r>
      <w:r w:rsidR="008962CA">
        <w:rPr>
          <w:lang w:eastAsia="en-IE"/>
        </w:rPr>
        <w:t xml:space="preserve"> more likely to report having bad or very bad health</w:t>
      </w:r>
      <w:r w:rsidR="00BD7D1A">
        <w:rPr>
          <w:lang w:eastAsia="en-IE"/>
        </w:rPr>
        <w:t xml:space="preserve"> (Figure </w:t>
      </w:r>
      <w:r w:rsidR="00BD7D1A" w:rsidRPr="00E95BF9">
        <w:rPr>
          <w:lang w:eastAsia="en-IE"/>
        </w:rPr>
        <w:t>8</w:t>
      </w:r>
      <w:r w:rsidR="00BD7D1A">
        <w:rPr>
          <w:lang w:eastAsia="en-IE"/>
        </w:rPr>
        <w:t>)</w:t>
      </w:r>
      <w:r w:rsidR="008962CA">
        <w:rPr>
          <w:lang w:eastAsia="en-IE"/>
        </w:rPr>
        <w:t>.</w:t>
      </w:r>
      <w:r w:rsidR="0071674F">
        <w:rPr>
          <w:rStyle w:val="FootnoteReference"/>
          <w:lang w:eastAsia="en-IE"/>
        </w:rPr>
        <w:footnoteReference w:id="108"/>
      </w:r>
      <w:r w:rsidR="008962CA">
        <w:rPr>
          <w:lang w:eastAsia="en-IE"/>
        </w:rPr>
        <w:t xml:space="preserve"> People with intellectual disabilities </w:t>
      </w:r>
      <w:r w:rsidR="00336805">
        <w:rPr>
          <w:lang w:eastAsia="en-IE"/>
        </w:rPr>
        <w:t>were</w:t>
      </w:r>
      <w:r w:rsidR="008962CA">
        <w:rPr>
          <w:lang w:eastAsia="en-IE"/>
        </w:rPr>
        <w:t xml:space="preserve"> least likely to</w:t>
      </w:r>
      <w:r w:rsidR="00B35A03">
        <w:rPr>
          <w:lang w:eastAsia="en-IE"/>
        </w:rPr>
        <w:t xml:space="preserve"> report bad or very bad health</w:t>
      </w:r>
      <w:r w:rsidR="00645D7F">
        <w:rPr>
          <w:lang w:eastAsia="en-IE"/>
        </w:rPr>
        <w:t>.</w:t>
      </w:r>
      <w:r w:rsidR="00DE1F9A">
        <w:rPr>
          <w:lang w:eastAsia="en-IE"/>
        </w:rPr>
        <w:t xml:space="preserve"> </w:t>
      </w:r>
    </w:p>
    <w:p w14:paraId="309C32A9" w14:textId="53577590" w:rsidR="00527729" w:rsidRDefault="00527729" w:rsidP="009E4ABD">
      <w:pPr>
        <w:rPr>
          <w:b/>
          <w:lang w:eastAsia="en-IE"/>
        </w:rPr>
      </w:pPr>
      <w:r>
        <w:rPr>
          <w:b/>
          <w:noProof/>
          <w:lang w:eastAsia="en-IE"/>
        </w:rPr>
        <w:drawing>
          <wp:inline distT="0" distB="0" distL="0" distR="0" wp14:anchorId="1804DA65" wp14:editId="00B0C9CA">
            <wp:extent cx="5734050" cy="3133725"/>
            <wp:effectExtent l="0" t="0" r="0" b="9525"/>
            <wp:docPr id="5" name="Picture 5" descr="General health of people according to type of disability in 2016. 27.8% of people with a condition that substantially limits one or more basic physical activities reported  good/very good health and 20.6% reported bad/very bad health. 34.3% of people with ‘other disability, including chronic illness’ reported  good/very good health and 18.8% reported bad/very bad health. 46.3% of people with blindness or serious visual impairment reported  good/very good health and 16.3% reported bad/very bad health. 49.8% of people with psychological or emotional condition reported  good/very good health and 13.8% reported bad/very bad health. 52.9% of people with difficulty learning, remembering or concentrating reported  good/very good health and 13.6% reported bad/very bad health. 54.4% of people with Deafness or serious hearing impairment reported  good/very good health and 10.7% reported bad/very bad health. 60.6% of people with Intellectual disability reported  good/very good health and 10.9% reported bad/very bad health." title="Figure 8. General health of people according to type of disability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3133725"/>
                    </a:xfrm>
                    <a:prstGeom prst="rect">
                      <a:avLst/>
                    </a:prstGeom>
                    <a:noFill/>
                    <a:ln>
                      <a:noFill/>
                    </a:ln>
                  </pic:spPr>
                </pic:pic>
              </a:graphicData>
            </a:graphic>
          </wp:inline>
        </w:drawing>
      </w:r>
    </w:p>
    <w:p w14:paraId="1DB9780E" w14:textId="3F8473B8" w:rsidR="00101C18" w:rsidRPr="00F9794D" w:rsidRDefault="009E4ABD" w:rsidP="009E4ABD">
      <w:pPr>
        <w:rPr>
          <w:lang w:eastAsia="en-IE"/>
        </w:rPr>
      </w:pPr>
      <w:r>
        <w:rPr>
          <w:b/>
          <w:lang w:eastAsia="en-IE"/>
        </w:rPr>
        <w:t xml:space="preserve">Indicator </w:t>
      </w:r>
      <w:r w:rsidR="00101C18" w:rsidRPr="009E4ABD">
        <w:rPr>
          <w:b/>
          <w:lang w:eastAsia="en-IE"/>
        </w:rPr>
        <w:t>5.1c. Percentage of people with and without a disability who report having depression</w:t>
      </w:r>
      <w:r w:rsidR="00350A82">
        <w:rPr>
          <w:b/>
          <w:lang w:eastAsia="en-IE"/>
        </w:rPr>
        <w:t xml:space="preserve"> (Outcome)</w:t>
      </w:r>
      <w:r w:rsidR="00101C18" w:rsidRPr="009E4ABD">
        <w:rPr>
          <w:b/>
          <w:lang w:eastAsia="en-IE"/>
        </w:rPr>
        <w:t>:</w:t>
      </w:r>
      <w:r w:rsidR="00101C18">
        <w:rPr>
          <w:lang w:eastAsia="en-IE"/>
        </w:rPr>
        <w:t xml:space="preserve"> The 2015 Irish Health Survey found that 59% of </w:t>
      </w:r>
      <w:r w:rsidR="004B469A">
        <w:rPr>
          <w:lang w:eastAsia="en-IE"/>
        </w:rPr>
        <w:t>persons with disabilities</w:t>
      </w:r>
      <w:r w:rsidR="00101C18">
        <w:rPr>
          <w:lang w:eastAsia="en-IE"/>
        </w:rPr>
        <w:t xml:space="preserve"> reported having depression compared to 21% of </w:t>
      </w:r>
      <w:r w:rsidR="005105D7">
        <w:rPr>
          <w:lang w:eastAsia="en-IE"/>
        </w:rPr>
        <w:t>persons without disabilities</w:t>
      </w:r>
      <w:r w:rsidR="00101C18">
        <w:rPr>
          <w:lang w:eastAsia="en-IE"/>
        </w:rPr>
        <w:t>.</w:t>
      </w:r>
      <w:r w:rsidR="006D2479">
        <w:rPr>
          <w:rStyle w:val="FootnoteReference"/>
          <w:lang w:eastAsia="en-IE"/>
        </w:rPr>
        <w:footnoteReference w:id="109"/>
      </w:r>
      <w:r w:rsidR="00101C18">
        <w:rPr>
          <w:lang w:eastAsia="en-IE"/>
        </w:rPr>
        <w:t xml:space="preserve"> These figures will be updated later in 2020 when the next Irish Health Survey is published. It will be important to disaggregate this finding by type of disability and exclude those with a mental health related disability </w:t>
      </w:r>
      <w:r w:rsidR="00553E15">
        <w:rPr>
          <w:lang w:eastAsia="en-IE"/>
        </w:rPr>
        <w:t xml:space="preserve">only </w:t>
      </w:r>
      <w:r w:rsidR="00101C18">
        <w:rPr>
          <w:lang w:eastAsia="en-IE"/>
        </w:rPr>
        <w:t xml:space="preserve">to see if this difference persists. </w:t>
      </w:r>
      <w:r w:rsidR="00AD4D6C">
        <w:rPr>
          <w:lang w:eastAsia="en-IE"/>
        </w:rPr>
        <w:t xml:space="preserve">The </w:t>
      </w:r>
      <w:r w:rsidR="00645D7F">
        <w:rPr>
          <w:lang w:eastAsia="en-IE"/>
        </w:rPr>
        <w:t xml:space="preserve">NDA’s </w:t>
      </w:r>
      <w:r w:rsidR="00AD4D6C">
        <w:rPr>
          <w:lang w:eastAsia="en-IE"/>
        </w:rPr>
        <w:t xml:space="preserve">2017 National </w:t>
      </w:r>
      <w:r w:rsidR="00205E77">
        <w:rPr>
          <w:lang w:eastAsia="en-IE"/>
        </w:rPr>
        <w:t>Survey of Public Attitudes to Disability in Ireland found that people with a disability had a statistically significantly lower mean satisfaction with life score</w:t>
      </w:r>
      <w:r w:rsidR="00553E15">
        <w:rPr>
          <w:lang w:eastAsia="en-IE"/>
        </w:rPr>
        <w:t xml:space="preserve"> (7.3)</w:t>
      </w:r>
      <w:r w:rsidR="00205E77">
        <w:rPr>
          <w:lang w:eastAsia="en-IE"/>
        </w:rPr>
        <w:t xml:space="preserve"> and a lower mean happiness score</w:t>
      </w:r>
      <w:r w:rsidR="00553E15">
        <w:rPr>
          <w:lang w:eastAsia="en-IE"/>
        </w:rPr>
        <w:t xml:space="preserve"> (7.4)</w:t>
      </w:r>
      <w:r w:rsidR="00205E77">
        <w:rPr>
          <w:lang w:eastAsia="en-IE"/>
        </w:rPr>
        <w:t xml:space="preserve"> </w:t>
      </w:r>
      <w:r w:rsidR="00205E77" w:rsidRPr="00F9794D">
        <w:rPr>
          <w:lang w:eastAsia="en-IE"/>
        </w:rPr>
        <w:t>compared to people without disabilities</w:t>
      </w:r>
      <w:r w:rsidR="00553E15" w:rsidRPr="00F9794D">
        <w:rPr>
          <w:lang w:eastAsia="en-IE"/>
        </w:rPr>
        <w:t xml:space="preserve"> (8.0 and 8.2 respectively)</w:t>
      </w:r>
      <w:r w:rsidR="00553E15" w:rsidRPr="00F9794D">
        <w:rPr>
          <w:rStyle w:val="FootnoteReference"/>
          <w:lang w:eastAsia="en-IE"/>
        </w:rPr>
        <w:footnoteReference w:id="110"/>
      </w:r>
      <w:r w:rsidR="00205E77" w:rsidRPr="00F9794D">
        <w:rPr>
          <w:lang w:eastAsia="en-IE"/>
        </w:rPr>
        <w:t xml:space="preserve">. </w:t>
      </w:r>
    </w:p>
    <w:p w14:paraId="6F3F6190" w14:textId="6993446A" w:rsidR="00101C18" w:rsidRDefault="009E4ABD" w:rsidP="000A19A1">
      <w:pPr>
        <w:spacing w:after="200"/>
        <w:rPr>
          <w:lang w:eastAsia="en-IE"/>
        </w:rPr>
      </w:pPr>
      <w:r w:rsidRPr="00F9794D">
        <w:rPr>
          <w:b/>
          <w:lang w:eastAsia="en-IE"/>
        </w:rPr>
        <w:t xml:space="preserve">Indicator </w:t>
      </w:r>
      <w:r w:rsidR="00101C18" w:rsidRPr="00F9794D">
        <w:rPr>
          <w:b/>
          <w:lang w:eastAsia="en-IE"/>
        </w:rPr>
        <w:t xml:space="preserve">5.1d. Rates of health screening in </w:t>
      </w:r>
      <w:r w:rsidR="00194BEB" w:rsidRPr="00F9794D">
        <w:rPr>
          <w:b/>
          <w:lang w:eastAsia="en-IE"/>
        </w:rPr>
        <w:t>persons with a disability</w:t>
      </w:r>
      <w:r w:rsidR="00101C18" w:rsidRPr="00F9794D">
        <w:rPr>
          <w:b/>
          <w:lang w:eastAsia="en-IE"/>
        </w:rPr>
        <w:t xml:space="preserve"> compared to </w:t>
      </w:r>
      <w:r w:rsidR="00194BEB" w:rsidRPr="00F9794D">
        <w:rPr>
          <w:b/>
          <w:lang w:eastAsia="en-IE"/>
        </w:rPr>
        <w:t>persons without a disability</w:t>
      </w:r>
      <w:r w:rsidR="00350A82" w:rsidRPr="00F9794D">
        <w:rPr>
          <w:b/>
          <w:lang w:eastAsia="en-IE"/>
        </w:rPr>
        <w:t xml:space="preserve"> </w:t>
      </w:r>
      <w:r w:rsidR="00350A82" w:rsidRPr="00F9794D">
        <w:rPr>
          <w:b/>
          <w:szCs w:val="26"/>
          <w:lang w:eastAsia="en-IE"/>
        </w:rPr>
        <w:t>(Process)</w:t>
      </w:r>
      <w:r w:rsidR="00101C18" w:rsidRPr="00F9794D">
        <w:rPr>
          <w:b/>
          <w:lang w:eastAsia="en-IE"/>
        </w:rPr>
        <w:t>:</w:t>
      </w:r>
      <w:r w:rsidR="00101C18" w:rsidRPr="00F9794D">
        <w:rPr>
          <w:lang w:eastAsia="en-IE"/>
        </w:rPr>
        <w:t xml:space="preserve"> In 2015 the Irish </w:t>
      </w:r>
      <w:r w:rsidR="00BD2569" w:rsidRPr="00F9794D">
        <w:rPr>
          <w:lang w:eastAsia="en-IE"/>
        </w:rPr>
        <w:t xml:space="preserve">Health </w:t>
      </w:r>
      <w:r w:rsidR="00101C18" w:rsidRPr="00F9794D">
        <w:rPr>
          <w:lang w:eastAsia="en-IE"/>
        </w:rPr>
        <w:t xml:space="preserve">Survey found that </w:t>
      </w:r>
      <w:r w:rsidR="00194BEB" w:rsidRPr="00F9794D">
        <w:rPr>
          <w:lang w:eastAsia="en-IE"/>
        </w:rPr>
        <w:t>persons with a disability</w:t>
      </w:r>
      <w:r w:rsidR="00101C18" w:rsidRPr="00F9794D">
        <w:rPr>
          <w:lang w:eastAsia="en-IE"/>
        </w:rPr>
        <w:t xml:space="preserve"> had higher or similar levels of health screening tha</w:t>
      </w:r>
      <w:r w:rsidR="005269FF" w:rsidRPr="00F9794D">
        <w:rPr>
          <w:lang w:eastAsia="en-IE"/>
        </w:rPr>
        <w:t>n</w:t>
      </w:r>
      <w:r w:rsidR="00101C18" w:rsidRPr="00F9794D">
        <w:rPr>
          <w:lang w:eastAsia="en-IE"/>
        </w:rPr>
        <w:t xml:space="preserve"> </w:t>
      </w:r>
      <w:r w:rsidR="00194BEB" w:rsidRPr="00F9794D">
        <w:rPr>
          <w:lang w:eastAsia="en-IE"/>
        </w:rPr>
        <w:t>persons</w:t>
      </w:r>
      <w:r w:rsidR="00194BEB">
        <w:rPr>
          <w:lang w:eastAsia="en-IE"/>
        </w:rPr>
        <w:t xml:space="preserve"> without a disability</w:t>
      </w:r>
      <w:r w:rsidR="00101C18">
        <w:rPr>
          <w:lang w:eastAsia="en-IE"/>
        </w:rPr>
        <w:t>. Nin</w:t>
      </w:r>
      <w:r w:rsidR="00B70B73">
        <w:rPr>
          <w:lang w:eastAsia="en-IE"/>
        </w:rPr>
        <w:t>e</w:t>
      </w:r>
      <w:r w:rsidR="00101C18">
        <w:rPr>
          <w:lang w:eastAsia="en-IE"/>
        </w:rPr>
        <w:t xml:space="preserve">teen per cent of </w:t>
      </w:r>
      <w:r w:rsidR="00194BEB">
        <w:rPr>
          <w:lang w:eastAsia="en-IE"/>
        </w:rPr>
        <w:t>persons with a disability</w:t>
      </w:r>
      <w:r w:rsidR="00101C18">
        <w:rPr>
          <w:lang w:eastAsia="en-IE"/>
        </w:rPr>
        <w:t xml:space="preserve"> had a mammogram compared to 14% of </w:t>
      </w:r>
      <w:r w:rsidR="00194BEB">
        <w:rPr>
          <w:lang w:eastAsia="en-IE"/>
        </w:rPr>
        <w:t>persons without a disability</w:t>
      </w:r>
      <w:r w:rsidR="00DF430B">
        <w:rPr>
          <w:lang w:eastAsia="en-IE"/>
        </w:rPr>
        <w:t xml:space="preserve"> (Figure </w:t>
      </w:r>
      <w:r w:rsidR="00ED08E1">
        <w:rPr>
          <w:lang w:eastAsia="en-IE"/>
        </w:rPr>
        <w:t>9</w:t>
      </w:r>
      <w:r w:rsidR="00DF430B">
        <w:rPr>
          <w:lang w:eastAsia="en-IE"/>
        </w:rPr>
        <w:t>)</w:t>
      </w:r>
      <w:r w:rsidR="00101C18">
        <w:rPr>
          <w:lang w:eastAsia="en-IE"/>
        </w:rPr>
        <w:t>.</w:t>
      </w:r>
      <w:r w:rsidR="006D2479">
        <w:rPr>
          <w:rStyle w:val="FootnoteReference"/>
          <w:lang w:eastAsia="en-IE"/>
        </w:rPr>
        <w:footnoteReference w:id="111"/>
      </w:r>
      <w:r w:rsidR="00101C18">
        <w:rPr>
          <w:lang w:eastAsia="en-IE"/>
        </w:rPr>
        <w:t xml:space="preserve"> Corresponding figures for cervical smear were 20% versus 21% and for </w:t>
      </w:r>
      <w:r w:rsidR="000A5F9A">
        <w:rPr>
          <w:lang w:eastAsia="en-IE"/>
        </w:rPr>
        <w:t xml:space="preserve">blood </w:t>
      </w:r>
      <w:r w:rsidR="00101C18">
        <w:rPr>
          <w:lang w:eastAsia="en-IE"/>
        </w:rPr>
        <w:t xml:space="preserve">pressure was 85% versus 60%. These figures will be updated later in 2020 when the next Irish Health Survey is published. </w:t>
      </w:r>
      <w:r w:rsidR="005269FF">
        <w:rPr>
          <w:lang w:eastAsia="en-IE"/>
        </w:rPr>
        <w:t xml:space="preserve">However, </w:t>
      </w:r>
      <w:r w:rsidR="000A19A1">
        <w:rPr>
          <w:lang w:eastAsia="en-IE"/>
        </w:rPr>
        <w:t>although</w:t>
      </w:r>
      <w:r w:rsidR="005269FF">
        <w:rPr>
          <w:lang w:eastAsia="en-IE"/>
        </w:rPr>
        <w:t xml:space="preserve"> persons with disabilities may attend health screening services to a greater extent than their non-disabled counterparts, this does not necessarily translate into better health outcomes.</w:t>
      </w:r>
      <w:r w:rsidR="000A19A1">
        <w:rPr>
          <w:lang w:eastAsia="en-IE"/>
        </w:rPr>
        <w:t xml:space="preserve"> For example, the </w:t>
      </w:r>
      <w:r w:rsidR="00336805">
        <w:rPr>
          <w:lang w:eastAsia="en-IE"/>
        </w:rPr>
        <w:t xml:space="preserve">2018 </w:t>
      </w:r>
      <w:r w:rsidR="000A19A1">
        <w:rPr>
          <w:lang w:eastAsia="en-IE"/>
        </w:rPr>
        <w:t>Positive Ageing Indicators</w:t>
      </w:r>
      <w:r w:rsidR="002E3498">
        <w:rPr>
          <w:lang w:eastAsia="en-IE"/>
        </w:rPr>
        <w:t xml:space="preserve"> report</w:t>
      </w:r>
      <w:r w:rsidR="000A19A1">
        <w:rPr>
          <w:rStyle w:val="FootnoteReference"/>
          <w:lang w:eastAsia="en-IE"/>
        </w:rPr>
        <w:footnoteReference w:id="112"/>
      </w:r>
      <w:r w:rsidR="000A19A1">
        <w:rPr>
          <w:lang w:eastAsia="en-IE"/>
        </w:rPr>
        <w:t xml:space="preserve"> </w:t>
      </w:r>
      <w:r w:rsidR="00645D7F">
        <w:rPr>
          <w:lang w:eastAsia="en-IE"/>
        </w:rPr>
        <w:t>show</w:t>
      </w:r>
      <w:r w:rsidR="002E3498">
        <w:rPr>
          <w:lang w:eastAsia="en-IE"/>
        </w:rPr>
        <w:t>s</w:t>
      </w:r>
      <w:r w:rsidR="00645D7F">
        <w:rPr>
          <w:lang w:eastAsia="en-IE"/>
        </w:rPr>
        <w:t xml:space="preserve"> </w:t>
      </w:r>
      <w:r w:rsidR="000A19A1">
        <w:rPr>
          <w:lang w:eastAsia="en-IE"/>
        </w:rPr>
        <w:t xml:space="preserve">older people with intellectual disabilities </w:t>
      </w:r>
      <w:r w:rsidR="00336805">
        <w:rPr>
          <w:lang w:eastAsia="en-IE"/>
        </w:rPr>
        <w:t>had</w:t>
      </w:r>
      <w:r w:rsidR="000A19A1">
        <w:rPr>
          <w:lang w:eastAsia="en-IE"/>
        </w:rPr>
        <w:t xml:space="preserve"> worse health than older people without a disability</w:t>
      </w:r>
      <w:r w:rsidR="002E3498">
        <w:rPr>
          <w:lang w:eastAsia="en-IE"/>
        </w:rPr>
        <w:t>,</w:t>
      </w:r>
      <w:r w:rsidR="000A19A1">
        <w:rPr>
          <w:lang w:eastAsia="en-IE"/>
        </w:rPr>
        <w:t xml:space="preserve"> with </w:t>
      </w:r>
      <w:r w:rsidR="000A19A1">
        <w:t>65% of people aged over 55 having a chronic disease compared to 79% of people with an intellectual disability aged over 40. More people with an intellectual disability (72%) aged over 40 were taking five or more medications compared to 32% of people</w:t>
      </w:r>
      <w:r w:rsidR="00000DDE">
        <w:t xml:space="preserve"> without an intellectual disability</w:t>
      </w:r>
      <w:r w:rsidR="000A19A1">
        <w:t xml:space="preserve"> aged over 55. </w:t>
      </w:r>
      <w:r w:rsidR="005269FF">
        <w:rPr>
          <w:lang w:eastAsia="en-IE"/>
        </w:rPr>
        <w:t>This may be a result of</w:t>
      </w:r>
      <w:r w:rsidR="00000DDE">
        <w:rPr>
          <w:lang w:eastAsia="en-IE"/>
        </w:rPr>
        <w:t xml:space="preserve"> the higher health needs of those with an intellectual disability or</w:t>
      </w:r>
      <w:r w:rsidR="005269FF">
        <w:rPr>
          <w:lang w:eastAsia="en-IE"/>
        </w:rPr>
        <w:t xml:space="preserve"> communications challenges in the relationship between healthcare provider and the individual, and NDA advises that this area would require further work and examination.</w:t>
      </w:r>
    </w:p>
    <w:p w14:paraId="51B48840" w14:textId="0DBC38D2" w:rsidR="00527729" w:rsidRDefault="00527729" w:rsidP="000A19A1">
      <w:pPr>
        <w:spacing w:after="200"/>
        <w:rPr>
          <w:lang w:eastAsia="en-IE"/>
        </w:rPr>
      </w:pPr>
      <w:r>
        <w:rPr>
          <w:noProof/>
          <w:lang w:eastAsia="en-IE"/>
        </w:rPr>
        <w:drawing>
          <wp:inline distT="0" distB="0" distL="0" distR="0" wp14:anchorId="69514A23" wp14:editId="11268D22">
            <wp:extent cx="5734050" cy="1981200"/>
            <wp:effectExtent l="0" t="0" r="0" b="0"/>
            <wp:docPr id="7" name="Picture 7" descr="Health screening in those with and without disabilities 2015. " title="Figure 9. Health screening in those with and without disabilities 2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p>
    <w:p w14:paraId="18484676" w14:textId="693D5662" w:rsidR="00195E01" w:rsidRDefault="0022399A" w:rsidP="009E4ABD">
      <w:pPr>
        <w:rPr>
          <w:lang w:eastAsia="en-IE"/>
        </w:rPr>
      </w:pPr>
      <w:r w:rsidRPr="009E4ABD">
        <w:rPr>
          <w:b/>
        </w:rPr>
        <w:t>Indicator 5.1e: Percentage of people with and without a disability who engage in physical activity</w:t>
      </w:r>
      <w:r w:rsidR="00350A82">
        <w:rPr>
          <w:b/>
        </w:rPr>
        <w:t xml:space="preserve"> </w:t>
      </w:r>
      <w:r w:rsidR="00350A82">
        <w:rPr>
          <w:b/>
          <w:szCs w:val="26"/>
          <w:lang w:eastAsia="en-IE"/>
        </w:rPr>
        <w:t>(Process)</w:t>
      </w:r>
      <w:r w:rsidRPr="009E4ABD">
        <w:rPr>
          <w:b/>
        </w:rPr>
        <w:t>:</w:t>
      </w:r>
      <w:r>
        <w:t xml:space="preserve"> </w:t>
      </w:r>
      <w:r w:rsidR="00EA5294">
        <w:t xml:space="preserve">Those with a long term illness or disability are less likely than others to participate in sport, and those that do participate in sport are less likely to participate in a group/team setting. </w:t>
      </w:r>
      <w:r w:rsidR="002E3498">
        <w:t>According to the Irish Sports Monitor, t</w:t>
      </w:r>
      <w:r w:rsidR="003E0A01">
        <w:rPr>
          <w:lang w:eastAsia="en-IE"/>
        </w:rPr>
        <w:t>he proportion of</w:t>
      </w:r>
      <w:r w:rsidR="00EA5294">
        <w:rPr>
          <w:lang w:eastAsia="en-IE"/>
        </w:rPr>
        <w:t xml:space="preserve"> </w:t>
      </w:r>
      <w:r w:rsidR="004B469A">
        <w:rPr>
          <w:lang w:eastAsia="en-IE"/>
        </w:rPr>
        <w:t>persons with disabilities</w:t>
      </w:r>
      <w:r w:rsidR="00EA5294">
        <w:rPr>
          <w:lang w:eastAsia="en-IE"/>
        </w:rPr>
        <w:t xml:space="preserve"> who engage regularly in sports increased from 28.7% in 2015</w:t>
      </w:r>
      <w:r w:rsidR="008A0D9D">
        <w:rPr>
          <w:rStyle w:val="FootnoteReference"/>
          <w:lang w:eastAsia="en-IE"/>
        </w:rPr>
        <w:footnoteReference w:id="113"/>
      </w:r>
      <w:r w:rsidR="00EA5294">
        <w:rPr>
          <w:lang w:eastAsia="en-IE"/>
        </w:rPr>
        <w:t xml:space="preserve"> to 29.5% in 2017</w:t>
      </w:r>
      <w:r w:rsidR="008A0D9D">
        <w:rPr>
          <w:rStyle w:val="FootnoteReference"/>
          <w:lang w:eastAsia="en-IE"/>
        </w:rPr>
        <w:footnoteReference w:id="114"/>
      </w:r>
      <w:r w:rsidR="00EA5294">
        <w:rPr>
          <w:lang w:eastAsia="en-IE"/>
        </w:rPr>
        <w:t xml:space="preserve"> and to 33% (mid-year figure) in 2019</w:t>
      </w:r>
      <w:r w:rsidR="008A0D9D">
        <w:rPr>
          <w:vertAlign w:val="superscript"/>
          <w:lang w:eastAsia="en-IE"/>
        </w:rPr>
        <w:t>96</w:t>
      </w:r>
      <w:r w:rsidR="00EA5294">
        <w:rPr>
          <w:lang w:eastAsia="en-IE"/>
        </w:rPr>
        <w:t xml:space="preserve">. This compares to 43.1%, 46.6% and 46% respectively for </w:t>
      </w:r>
      <w:r w:rsidR="00194BEB">
        <w:rPr>
          <w:lang w:eastAsia="en-IE"/>
        </w:rPr>
        <w:t>persons without a disability</w:t>
      </w:r>
      <w:r w:rsidR="00EA5294">
        <w:rPr>
          <w:lang w:eastAsia="en-IE"/>
        </w:rPr>
        <w:t>.</w:t>
      </w:r>
      <w:r w:rsidR="003E0A01">
        <w:rPr>
          <w:lang w:eastAsia="en-IE"/>
        </w:rPr>
        <w:t xml:space="preserve"> It is positive to see this increase. Actions in the strategy relating to the </w:t>
      </w:r>
      <w:r w:rsidR="00895423">
        <w:rPr>
          <w:lang w:eastAsia="en-IE"/>
        </w:rPr>
        <w:t>Universal D</w:t>
      </w:r>
      <w:r w:rsidR="003E0A01">
        <w:rPr>
          <w:lang w:eastAsia="en-IE"/>
        </w:rPr>
        <w:t xml:space="preserve">esign of sporting facilities and increasing disability awareness and competency in sporting organisations should lead to further increases in this figure. </w:t>
      </w:r>
      <w:r w:rsidR="000539F5">
        <w:rPr>
          <w:lang w:eastAsia="en-IE"/>
        </w:rPr>
        <w:t>The Irish Sports Monitor does not disaggregate their disability data by gender. However, a new Sport Ireland policy on Women in Sport (2018-20</w:t>
      </w:r>
      <w:r w:rsidR="008A0D9D">
        <w:rPr>
          <w:lang w:eastAsia="en-IE"/>
        </w:rPr>
        <w:t>2</w:t>
      </w:r>
      <w:r w:rsidR="000539F5">
        <w:rPr>
          <w:lang w:eastAsia="en-IE"/>
        </w:rPr>
        <w:t>7)</w:t>
      </w:r>
      <w:r w:rsidR="00205E77">
        <w:rPr>
          <w:lang w:eastAsia="en-IE"/>
        </w:rPr>
        <w:t xml:space="preserve"> which aims to increase the participation of women in sport</w:t>
      </w:r>
      <w:r w:rsidR="000539F5">
        <w:rPr>
          <w:lang w:eastAsia="en-IE"/>
        </w:rPr>
        <w:t xml:space="preserve"> </w:t>
      </w:r>
      <w:r w:rsidR="00205E77">
        <w:rPr>
          <w:lang w:eastAsia="en-IE"/>
        </w:rPr>
        <w:t>outlines</w:t>
      </w:r>
      <w:r w:rsidR="000539F5">
        <w:rPr>
          <w:lang w:eastAsia="en-IE"/>
        </w:rPr>
        <w:t xml:space="preserve"> that the policy is inclusive of </w:t>
      </w:r>
      <w:r w:rsidR="00205E77">
        <w:rPr>
          <w:lang w:eastAsia="en-IE"/>
        </w:rPr>
        <w:t xml:space="preserve">women of </w:t>
      </w:r>
      <w:r w:rsidR="000539F5">
        <w:rPr>
          <w:lang w:eastAsia="en-IE"/>
        </w:rPr>
        <w:t>all abilities.</w:t>
      </w:r>
      <w:r w:rsidR="008A0D9D">
        <w:rPr>
          <w:rStyle w:val="FootnoteReference"/>
          <w:lang w:eastAsia="en-IE"/>
        </w:rPr>
        <w:footnoteReference w:id="115"/>
      </w:r>
    </w:p>
    <w:p w14:paraId="27C3EA1F" w14:textId="42C37E22" w:rsidR="00B35A03" w:rsidRDefault="00047C4E" w:rsidP="00B35A03">
      <w:r>
        <w:t xml:space="preserve">The area of physical activity is particularly pertinent when considering results from </w:t>
      </w:r>
      <w:r w:rsidR="00075095">
        <w:t>The Irish Longitudinal Study of Ageing (</w:t>
      </w:r>
      <w:r>
        <w:t>TILDA</w:t>
      </w:r>
      <w:r w:rsidR="00075095">
        <w:t>)</w:t>
      </w:r>
      <w:r>
        <w:t xml:space="preserve"> and </w:t>
      </w:r>
      <w:r w:rsidR="00075095">
        <w:t>the Intellectual Disability Supplement of T</w:t>
      </w:r>
      <w:r>
        <w:t xml:space="preserve">ILDA </w:t>
      </w:r>
      <w:r w:rsidR="0023075C">
        <w:t xml:space="preserve">(IDS TILDA) </w:t>
      </w:r>
      <w:r>
        <w:t>which found that 33% of adults aged 56 and over were overweight or obese</w:t>
      </w:r>
      <w:r w:rsidR="00B56AEC">
        <w:t xml:space="preserve"> (in 2014/15)</w:t>
      </w:r>
      <w:r>
        <w:t xml:space="preserve"> compared to 80% of participants with an intellectual disability</w:t>
      </w:r>
      <w:r w:rsidR="00B56AEC">
        <w:t xml:space="preserve"> in 2017</w:t>
      </w:r>
      <w:r>
        <w:rPr>
          <w:rStyle w:val="FootnoteReference"/>
        </w:rPr>
        <w:footnoteReference w:id="116"/>
      </w:r>
      <w:r>
        <w:t xml:space="preserve">. </w:t>
      </w:r>
      <w:r w:rsidR="0023075C">
        <w:t>Rates of overweight/o</w:t>
      </w:r>
      <w:r w:rsidR="00B35A03">
        <w:t xml:space="preserve">besity may be useful as a proxy for physical activity. </w:t>
      </w:r>
    </w:p>
    <w:p w14:paraId="21F96528" w14:textId="342920CF" w:rsidR="009E4ABD" w:rsidRDefault="009E4ABD" w:rsidP="00540B3F">
      <w:pPr>
        <w:autoSpaceDE w:val="0"/>
        <w:autoSpaceDN w:val="0"/>
        <w:adjustRightInd w:val="0"/>
        <w:rPr>
          <w:lang w:eastAsia="en-IE"/>
        </w:rPr>
      </w:pPr>
      <w:r>
        <w:rPr>
          <w:b/>
          <w:lang w:eastAsia="en-IE"/>
        </w:rPr>
        <w:t xml:space="preserve">Indicator </w:t>
      </w:r>
      <w:r w:rsidR="00101C18" w:rsidRPr="009E4ABD">
        <w:rPr>
          <w:b/>
          <w:lang w:eastAsia="en-IE"/>
        </w:rPr>
        <w:t>5.1f. Number of young people (&lt;18) admitted to adult HSE mental health inpatient units</w:t>
      </w:r>
      <w:r w:rsidR="00350A82">
        <w:rPr>
          <w:b/>
          <w:lang w:eastAsia="en-IE"/>
        </w:rPr>
        <w:t xml:space="preserve"> </w:t>
      </w:r>
      <w:r w:rsidR="00350A82">
        <w:rPr>
          <w:b/>
          <w:szCs w:val="26"/>
          <w:lang w:eastAsia="en-IE"/>
        </w:rPr>
        <w:t>(Process)</w:t>
      </w:r>
      <w:r w:rsidR="00101C18" w:rsidRPr="009E4ABD">
        <w:rPr>
          <w:b/>
          <w:lang w:eastAsia="en-IE"/>
        </w:rPr>
        <w:t>:</w:t>
      </w:r>
      <w:r w:rsidR="00101C18">
        <w:rPr>
          <w:lang w:eastAsia="en-IE"/>
        </w:rPr>
        <w:t xml:space="preserve"> </w:t>
      </w:r>
      <w:r w:rsidR="00EA5294">
        <w:rPr>
          <w:lang w:eastAsia="en-IE"/>
        </w:rPr>
        <w:t>The number of young people (&lt;18 years) admitted to adult HSE mental health inpatient units increased from 67 in 2016</w:t>
      </w:r>
      <w:r w:rsidR="00C67458">
        <w:rPr>
          <w:rStyle w:val="FootnoteReference"/>
          <w:lang w:eastAsia="en-IE"/>
        </w:rPr>
        <w:footnoteReference w:id="117"/>
      </w:r>
      <w:r w:rsidR="00EA5294">
        <w:rPr>
          <w:lang w:eastAsia="en-IE"/>
        </w:rPr>
        <w:t xml:space="preserve"> to 84 in 2018.</w:t>
      </w:r>
      <w:r w:rsidR="00C67458">
        <w:rPr>
          <w:rStyle w:val="FootnoteReference"/>
          <w:lang w:eastAsia="en-IE"/>
        </w:rPr>
        <w:footnoteReference w:id="118"/>
      </w:r>
      <w:r w:rsidR="00EA5294">
        <w:rPr>
          <w:lang w:eastAsia="en-IE"/>
        </w:rPr>
        <w:t xml:space="preserve"> </w:t>
      </w:r>
      <w:r w:rsidR="00B35A03">
        <w:rPr>
          <w:szCs w:val="26"/>
          <w:lang w:eastAsia="en-IE"/>
        </w:rPr>
        <w:t xml:space="preserve">As stated in the 2018 </w:t>
      </w:r>
      <w:r w:rsidR="00ED28A9">
        <w:rPr>
          <w:szCs w:val="26"/>
          <w:lang w:eastAsia="en-IE"/>
        </w:rPr>
        <w:t>MHC a</w:t>
      </w:r>
      <w:r w:rsidR="00000DDE" w:rsidRPr="00540B3F">
        <w:rPr>
          <w:szCs w:val="26"/>
          <w:lang w:eastAsia="en-IE"/>
        </w:rPr>
        <w:t>nnual report ‘</w:t>
      </w:r>
      <w:r w:rsidR="00000DDE" w:rsidRPr="00540B3F">
        <w:rPr>
          <w:rFonts w:eastAsiaTheme="minorHAnsi" w:cs="Gotham-Light"/>
          <w:szCs w:val="26"/>
        </w:rPr>
        <w:t>Children and young people should not be admitted to adult units exce</w:t>
      </w:r>
      <w:r w:rsidR="00540B3F">
        <w:rPr>
          <w:rFonts w:eastAsiaTheme="minorHAnsi" w:cs="Gotham-Light"/>
          <w:szCs w:val="26"/>
        </w:rPr>
        <w:t>pt in exceptional circumstances</w:t>
      </w:r>
      <w:r w:rsidR="00540B3F" w:rsidRPr="00540B3F">
        <w:rPr>
          <w:rFonts w:eastAsiaTheme="minorHAnsi" w:cs="Gotham-Light"/>
          <w:szCs w:val="26"/>
        </w:rPr>
        <w:t>’</w:t>
      </w:r>
      <w:r w:rsidR="00540B3F">
        <w:rPr>
          <w:rFonts w:eastAsiaTheme="minorHAnsi" w:cs="Gotham-Light"/>
          <w:szCs w:val="26"/>
        </w:rPr>
        <w:t>.</w:t>
      </w:r>
      <w:r w:rsidR="00540B3F">
        <w:rPr>
          <w:rStyle w:val="FootnoteReference"/>
          <w:rFonts w:eastAsiaTheme="minorHAnsi" w:cs="Gotham-Light"/>
          <w:szCs w:val="26"/>
        </w:rPr>
        <w:footnoteReference w:id="119"/>
      </w:r>
      <w:r w:rsidR="00540B3F" w:rsidRPr="00540B3F">
        <w:rPr>
          <w:rFonts w:eastAsiaTheme="minorHAnsi" w:cs="Gotham-Light"/>
          <w:szCs w:val="26"/>
        </w:rPr>
        <w:t xml:space="preserve"> Admi</w:t>
      </w:r>
      <w:r w:rsidR="00540B3F">
        <w:rPr>
          <w:rFonts w:eastAsiaTheme="minorHAnsi" w:cs="Gotham-Light"/>
          <w:szCs w:val="26"/>
        </w:rPr>
        <w:t>ssions of children to adult psy</w:t>
      </w:r>
      <w:r w:rsidR="00540B3F" w:rsidRPr="00540B3F">
        <w:rPr>
          <w:rFonts w:eastAsiaTheme="minorHAnsi" w:cs="Gotham-Light"/>
          <w:szCs w:val="26"/>
        </w:rPr>
        <w:t>chiatric un</w:t>
      </w:r>
      <w:r w:rsidR="00540B3F">
        <w:rPr>
          <w:rFonts w:eastAsiaTheme="minorHAnsi" w:cs="Gotham-Light"/>
          <w:szCs w:val="26"/>
        </w:rPr>
        <w:t>i</w:t>
      </w:r>
      <w:r w:rsidR="00540B3F" w:rsidRPr="00540B3F">
        <w:rPr>
          <w:rFonts w:eastAsiaTheme="minorHAnsi" w:cs="Gotham-Light"/>
          <w:szCs w:val="26"/>
        </w:rPr>
        <w:t>ts are usually due to an immediate risk to the young person or a lack of beds in</w:t>
      </w:r>
      <w:r w:rsidR="00540B3F">
        <w:rPr>
          <w:rFonts w:eastAsiaTheme="minorHAnsi" w:cs="Gotham-Light"/>
          <w:szCs w:val="26"/>
        </w:rPr>
        <w:t xml:space="preserve"> Child and Adolescent</w:t>
      </w:r>
      <w:r w:rsidR="00540B3F" w:rsidRPr="00540B3F">
        <w:rPr>
          <w:rFonts w:eastAsiaTheme="minorHAnsi" w:cs="Gotham-Light"/>
          <w:szCs w:val="26"/>
        </w:rPr>
        <w:t xml:space="preserve"> Mental Health Services (CAMHS). </w:t>
      </w:r>
      <w:r w:rsidR="00E8767E" w:rsidRPr="00540B3F">
        <w:rPr>
          <w:szCs w:val="26"/>
          <w:lang w:eastAsia="en-IE"/>
        </w:rPr>
        <w:t>This demonstrates the unmet need for mental</w:t>
      </w:r>
      <w:r w:rsidR="00E8767E">
        <w:rPr>
          <w:lang w:eastAsia="en-IE"/>
        </w:rPr>
        <w:t xml:space="preserve"> health inpatient units / beds for adolescents and </w:t>
      </w:r>
      <w:r w:rsidR="005269FF">
        <w:rPr>
          <w:lang w:eastAsia="en-IE"/>
        </w:rPr>
        <w:t xml:space="preserve">NDA </w:t>
      </w:r>
      <w:r w:rsidR="00C2351C">
        <w:rPr>
          <w:lang w:eastAsia="en-IE"/>
        </w:rPr>
        <w:t xml:space="preserve">emphasises the </w:t>
      </w:r>
      <w:r w:rsidR="005269FF">
        <w:rPr>
          <w:lang w:eastAsia="en-IE"/>
        </w:rPr>
        <w:t xml:space="preserve">importance of addressing this so that </w:t>
      </w:r>
      <w:r w:rsidR="00E8767E">
        <w:rPr>
          <w:lang w:eastAsia="en-IE"/>
        </w:rPr>
        <w:t xml:space="preserve">no young person is admitted to an adult psychiatric unit. </w:t>
      </w:r>
      <w:r w:rsidR="00540B3F">
        <w:rPr>
          <w:lang w:eastAsia="en-IE"/>
        </w:rPr>
        <w:t xml:space="preserve">Improvements in the overall CAMHS service in terms of reducing waiting lists may also impact on the need for in-patient admission. </w:t>
      </w:r>
    </w:p>
    <w:p w14:paraId="77AA645A" w14:textId="77777777" w:rsidR="00260FAF" w:rsidRDefault="009E4ABD" w:rsidP="00260FAF">
      <w:pPr>
        <w:autoSpaceDE w:val="0"/>
        <w:autoSpaceDN w:val="0"/>
        <w:adjustRightInd w:val="0"/>
        <w:rPr>
          <w:szCs w:val="26"/>
        </w:rPr>
      </w:pPr>
      <w:r>
        <w:rPr>
          <w:b/>
          <w:lang w:eastAsia="en-IE"/>
        </w:rPr>
        <w:t xml:space="preserve">Indicator </w:t>
      </w:r>
      <w:r w:rsidR="00E8767E" w:rsidRPr="009E4ABD">
        <w:rPr>
          <w:b/>
          <w:lang w:eastAsia="en-IE"/>
        </w:rPr>
        <w:t xml:space="preserve">5.1g. Percentage of </w:t>
      </w:r>
      <w:r w:rsidR="0090500D">
        <w:rPr>
          <w:b/>
          <w:lang w:eastAsia="en-IE"/>
        </w:rPr>
        <w:t>persons with and without disabilities</w:t>
      </w:r>
      <w:r w:rsidR="00E8767E" w:rsidRPr="009E4ABD">
        <w:rPr>
          <w:b/>
          <w:lang w:eastAsia="en-IE"/>
        </w:rPr>
        <w:t xml:space="preserve"> who are </w:t>
      </w:r>
      <w:r w:rsidR="00E8767E" w:rsidRPr="009E4ABD">
        <w:rPr>
          <w:b/>
          <w:szCs w:val="26"/>
          <w:lang w:eastAsia="en-IE"/>
        </w:rPr>
        <w:t>consistently poor</w:t>
      </w:r>
      <w:r w:rsidR="00350A82">
        <w:rPr>
          <w:b/>
          <w:szCs w:val="26"/>
          <w:lang w:eastAsia="en-IE"/>
        </w:rPr>
        <w:t xml:space="preserve"> (Outcome)</w:t>
      </w:r>
      <w:r w:rsidR="00E8767E" w:rsidRPr="009E4ABD">
        <w:rPr>
          <w:b/>
          <w:szCs w:val="26"/>
          <w:lang w:eastAsia="en-IE"/>
        </w:rPr>
        <w:t>:</w:t>
      </w:r>
      <w:r w:rsidR="00E8767E" w:rsidRPr="009E4ABD">
        <w:rPr>
          <w:szCs w:val="26"/>
          <w:lang w:eastAsia="en-IE"/>
        </w:rPr>
        <w:t xml:space="preserve"> </w:t>
      </w:r>
      <w:r w:rsidR="000539F5" w:rsidRPr="009E4ABD">
        <w:rPr>
          <w:szCs w:val="26"/>
          <w:lang w:eastAsia="en-IE"/>
        </w:rPr>
        <w:t>Poverty is gener</w:t>
      </w:r>
      <w:r w:rsidR="00FB01A6" w:rsidRPr="009E4ABD">
        <w:rPr>
          <w:szCs w:val="26"/>
          <w:lang w:eastAsia="en-IE"/>
        </w:rPr>
        <w:t>ally measured in three ways. At-risk-</w:t>
      </w:r>
      <w:r w:rsidR="000539F5" w:rsidRPr="009E4ABD">
        <w:rPr>
          <w:szCs w:val="26"/>
          <w:lang w:eastAsia="en-IE"/>
        </w:rPr>
        <w:t>of</w:t>
      </w:r>
      <w:r w:rsidR="00FB01A6" w:rsidRPr="009E4ABD">
        <w:rPr>
          <w:szCs w:val="26"/>
          <w:lang w:eastAsia="en-IE"/>
        </w:rPr>
        <w:t>-</w:t>
      </w:r>
      <w:r w:rsidR="000539F5" w:rsidRPr="009E4ABD">
        <w:rPr>
          <w:szCs w:val="26"/>
          <w:lang w:eastAsia="en-IE"/>
        </w:rPr>
        <w:t xml:space="preserve">poverty, </w:t>
      </w:r>
      <w:r w:rsidR="00FB01A6" w:rsidRPr="009E4ABD">
        <w:rPr>
          <w:szCs w:val="26"/>
          <w:lang w:eastAsia="en-IE"/>
        </w:rPr>
        <w:t xml:space="preserve">material </w:t>
      </w:r>
      <w:r w:rsidR="000539F5" w:rsidRPr="009E4ABD">
        <w:rPr>
          <w:szCs w:val="26"/>
          <w:lang w:eastAsia="en-IE"/>
        </w:rPr>
        <w:t xml:space="preserve">deprivation and consistent poverty. </w:t>
      </w:r>
      <w:r w:rsidR="00FB01A6" w:rsidRPr="009E4ABD">
        <w:rPr>
          <w:szCs w:val="26"/>
          <w:lang w:eastAsia="en-IE"/>
        </w:rPr>
        <w:t>At-risk-of-</w:t>
      </w:r>
      <w:r w:rsidR="000539F5" w:rsidRPr="009E4ABD">
        <w:rPr>
          <w:szCs w:val="26"/>
          <w:lang w:eastAsia="en-IE"/>
        </w:rPr>
        <w:t xml:space="preserve">poverty </w:t>
      </w:r>
      <w:r w:rsidR="000539F5" w:rsidRPr="009E4ABD">
        <w:rPr>
          <w:rFonts w:eastAsiaTheme="minorHAnsi"/>
          <w:color w:val="000000"/>
          <w:szCs w:val="26"/>
        </w:rPr>
        <w:t xml:space="preserve">is also known </w:t>
      </w:r>
      <w:r w:rsidR="000539F5" w:rsidRPr="00D32D9E">
        <w:rPr>
          <w:rFonts w:eastAsiaTheme="minorHAnsi"/>
          <w:color w:val="000000"/>
          <w:szCs w:val="26"/>
        </w:rPr>
        <w:t xml:space="preserve">as </w:t>
      </w:r>
      <w:r w:rsidR="000539F5" w:rsidRPr="00D32D9E">
        <w:rPr>
          <w:rFonts w:eastAsiaTheme="minorHAnsi"/>
          <w:iCs/>
          <w:color w:val="000000"/>
          <w:szCs w:val="26"/>
        </w:rPr>
        <w:t xml:space="preserve">relative poverty </w:t>
      </w:r>
      <w:r w:rsidR="000539F5" w:rsidRPr="00D32D9E">
        <w:rPr>
          <w:rFonts w:eastAsiaTheme="minorHAnsi"/>
          <w:color w:val="000000"/>
          <w:szCs w:val="26"/>
        </w:rPr>
        <w:t xml:space="preserve">or </w:t>
      </w:r>
      <w:r w:rsidR="000539F5" w:rsidRPr="00D32D9E">
        <w:rPr>
          <w:rFonts w:eastAsiaTheme="minorHAnsi"/>
          <w:iCs/>
          <w:color w:val="000000"/>
          <w:szCs w:val="26"/>
        </w:rPr>
        <w:t>income poverty</w:t>
      </w:r>
      <w:r w:rsidR="000539F5" w:rsidRPr="00D32D9E">
        <w:rPr>
          <w:rFonts w:eastAsiaTheme="minorHAnsi"/>
          <w:color w:val="000000"/>
          <w:szCs w:val="26"/>
        </w:rPr>
        <w:t xml:space="preserve">. It is measured by setting a </w:t>
      </w:r>
      <w:r w:rsidR="000539F5" w:rsidRPr="00D32D9E">
        <w:rPr>
          <w:rFonts w:eastAsiaTheme="minorHAnsi"/>
          <w:iCs/>
          <w:color w:val="000000"/>
          <w:szCs w:val="26"/>
        </w:rPr>
        <w:t>relative income poverty line</w:t>
      </w:r>
      <w:r w:rsidR="000539F5" w:rsidRPr="00D32D9E">
        <w:rPr>
          <w:rFonts w:eastAsiaTheme="minorHAnsi"/>
          <w:color w:val="000000"/>
          <w:szCs w:val="26"/>
        </w:rPr>
        <w:t>, which shows how an individual's or household's income compares to the</w:t>
      </w:r>
      <w:r w:rsidR="00EE1E4D">
        <w:rPr>
          <w:rFonts w:eastAsiaTheme="minorHAnsi"/>
          <w:color w:val="000000"/>
          <w:szCs w:val="26"/>
        </w:rPr>
        <w:t xml:space="preserve"> national</w:t>
      </w:r>
      <w:r w:rsidR="000539F5" w:rsidRPr="00D32D9E">
        <w:rPr>
          <w:rFonts w:eastAsiaTheme="minorHAnsi"/>
          <w:color w:val="000000"/>
          <w:szCs w:val="26"/>
        </w:rPr>
        <w:t xml:space="preserve"> average. </w:t>
      </w:r>
      <w:r w:rsidR="00FB01A6" w:rsidRPr="00D32D9E">
        <w:rPr>
          <w:rFonts w:eastAsiaTheme="minorHAnsi"/>
          <w:color w:val="000000"/>
          <w:szCs w:val="26"/>
        </w:rPr>
        <w:t xml:space="preserve">Material deprivation takes account of access to resources other than income. A </w:t>
      </w:r>
      <w:r w:rsidR="00FB01A6" w:rsidRPr="00D32D9E">
        <w:rPr>
          <w:rFonts w:eastAsiaTheme="minorHAnsi"/>
          <w:iCs/>
          <w:color w:val="000000"/>
          <w:szCs w:val="26"/>
        </w:rPr>
        <w:t xml:space="preserve">deprivation index </w:t>
      </w:r>
      <w:r w:rsidR="00FB01A6" w:rsidRPr="00D32D9E">
        <w:rPr>
          <w:rFonts w:eastAsiaTheme="minorHAnsi"/>
          <w:color w:val="000000"/>
          <w:szCs w:val="26"/>
        </w:rPr>
        <w:t>of items</w:t>
      </w:r>
      <w:r w:rsidR="00FB01A6" w:rsidRPr="009E4ABD">
        <w:rPr>
          <w:rFonts w:eastAsiaTheme="minorHAnsi"/>
          <w:color w:val="000000"/>
          <w:szCs w:val="26"/>
        </w:rPr>
        <w:t xml:space="preserve"> and activities that are generally taken to be the norm in a particular society is compiled. People who are denied</w:t>
      </w:r>
      <w:r w:rsidR="00700CF4">
        <w:rPr>
          <w:rFonts w:eastAsiaTheme="minorHAnsi"/>
          <w:color w:val="000000"/>
          <w:szCs w:val="26"/>
        </w:rPr>
        <w:t>-</w:t>
      </w:r>
      <w:r w:rsidR="00FB01A6" w:rsidRPr="009E4ABD">
        <w:rPr>
          <w:rFonts w:eastAsiaTheme="minorHAnsi"/>
          <w:color w:val="000000"/>
          <w:szCs w:val="26"/>
        </w:rPr>
        <w:t>through lack of income</w:t>
      </w:r>
      <w:r w:rsidR="00700CF4">
        <w:rPr>
          <w:rFonts w:eastAsiaTheme="minorHAnsi"/>
          <w:color w:val="000000"/>
          <w:szCs w:val="26"/>
        </w:rPr>
        <w:t>-</w:t>
      </w:r>
      <w:r w:rsidR="00FB01A6" w:rsidRPr="009E4ABD">
        <w:rPr>
          <w:rFonts w:eastAsiaTheme="minorHAnsi"/>
          <w:color w:val="000000"/>
          <w:szCs w:val="26"/>
        </w:rPr>
        <w:t xml:space="preserve">items or activities on this index / list are regarded as </w:t>
      </w:r>
      <w:r w:rsidR="00FB01A6" w:rsidRPr="00D32D9E">
        <w:rPr>
          <w:rFonts w:eastAsiaTheme="minorHAnsi"/>
          <w:color w:val="000000"/>
          <w:szCs w:val="26"/>
        </w:rPr>
        <w:t xml:space="preserve">experiencing relative deprivation. </w:t>
      </w:r>
      <w:r w:rsidR="00FB01A6" w:rsidRPr="00D32D9E">
        <w:rPr>
          <w:szCs w:val="26"/>
        </w:rPr>
        <w:t xml:space="preserve">Consistent poverty is also known as the </w:t>
      </w:r>
      <w:r w:rsidR="00FB01A6" w:rsidRPr="00D32D9E">
        <w:rPr>
          <w:iCs/>
          <w:szCs w:val="26"/>
        </w:rPr>
        <w:t xml:space="preserve">combined income-deprivation measure </w:t>
      </w:r>
      <w:r w:rsidR="00FB01A6" w:rsidRPr="00D32D9E">
        <w:rPr>
          <w:szCs w:val="26"/>
        </w:rPr>
        <w:t>of poverty. It combines relative income poverty with relative deprivation. People whose income</w:t>
      </w:r>
      <w:r w:rsidR="00FB01A6" w:rsidRPr="009E4ABD">
        <w:rPr>
          <w:szCs w:val="26"/>
        </w:rPr>
        <w:t xml:space="preserve"> falls below the relative income poverty line and who also experience relative deprivation are regarded as living in consistent poverty. </w:t>
      </w:r>
    </w:p>
    <w:p w14:paraId="5ED8D312" w14:textId="6F77EBF9" w:rsidR="00C2351C" w:rsidRDefault="00EA5294" w:rsidP="00DE5396">
      <w:pPr>
        <w:autoSpaceDE w:val="0"/>
        <w:autoSpaceDN w:val="0"/>
        <w:adjustRightInd w:val="0"/>
        <w:spacing w:after="0"/>
        <w:rPr>
          <w:szCs w:val="26"/>
          <w:lang w:eastAsia="en-IE"/>
        </w:rPr>
      </w:pPr>
      <w:r w:rsidRPr="009E4ABD">
        <w:rPr>
          <w:szCs w:val="26"/>
          <w:lang w:eastAsia="en-IE"/>
        </w:rPr>
        <w:t xml:space="preserve">The percentage of </w:t>
      </w:r>
      <w:r w:rsidR="004B469A">
        <w:rPr>
          <w:szCs w:val="26"/>
          <w:lang w:eastAsia="en-IE"/>
        </w:rPr>
        <w:t>persons with disabilities</w:t>
      </w:r>
      <w:r w:rsidRPr="00DE5396">
        <w:rPr>
          <w:szCs w:val="26"/>
          <w:lang w:eastAsia="en-IE"/>
        </w:rPr>
        <w:t xml:space="preserve"> who are consistently poor</w:t>
      </w:r>
      <w:r w:rsidR="005866AC" w:rsidRPr="00DE5396">
        <w:rPr>
          <w:szCs w:val="26"/>
          <w:lang w:eastAsia="en-IE"/>
        </w:rPr>
        <w:t xml:space="preserve"> has</w:t>
      </w:r>
      <w:r w:rsidRPr="00DE5396">
        <w:rPr>
          <w:szCs w:val="26"/>
          <w:lang w:eastAsia="en-IE"/>
        </w:rPr>
        <w:t xml:space="preserve"> decreased </w:t>
      </w:r>
      <w:r w:rsidR="005269FF" w:rsidRPr="00DE5396">
        <w:rPr>
          <w:szCs w:val="26"/>
          <w:lang w:eastAsia="en-IE"/>
        </w:rPr>
        <w:t xml:space="preserve">steadily </w:t>
      </w:r>
      <w:r w:rsidRPr="00DE5396">
        <w:rPr>
          <w:szCs w:val="26"/>
          <w:lang w:eastAsia="en-IE"/>
        </w:rPr>
        <w:t xml:space="preserve">from </w:t>
      </w:r>
      <w:r w:rsidR="00BB047F" w:rsidRPr="00DE5396">
        <w:rPr>
          <w:szCs w:val="26"/>
          <w:lang w:eastAsia="en-IE"/>
        </w:rPr>
        <w:t>19.2</w:t>
      </w:r>
      <w:r w:rsidRPr="00DE5396">
        <w:rPr>
          <w:szCs w:val="26"/>
          <w:lang w:eastAsia="en-IE"/>
        </w:rPr>
        <w:t xml:space="preserve">% in </w:t>
      </w:r>
      <w:r w:rsidR="00BB047F" w:rsidRPr="00DE5396">
        <w:rPr>
          <w:szCs w:val="26"/>
          <w:lang w:eastAsia="en-IE"/>
        </w:rPr>
        <w:t>2016</w:t>
      </w:r>
      <w:r w:rsidRPr="00DE5396">
        <w:rPr>
          <w:szCs w:val="26"/>
          <w:lang w:eastAsia="en-IE"/>
        </w:rPr>
        <w:t xml:space="preserve"> to </w:t>
      </w:r>
      <w:r w:rsidR="005866AC" w:rsidRPr="00DE5396">
        <w:rPr>
          <w:szCs w:val="26"/>
          <w:lang w:eastAsia="en-IE"/>
        </w:rPr>
        <w:t>12.6% in 2018</w:t>
      </w:r>
      <w:r w:rsidRPr="00DE5396">
        <w:rPr>
          <w:szCs w:val="26"/>
          <w:lang w:eastAsia="en-IE"/>
        </w:rPr>
        <w:t>.</w:t>
      </w:r>
      <w:r w:rsidR="00B56AEC" w:rsidRPr="00B56AEC">
        <w:rPr>
          <w:rStyle w:val="FootnoteReference"/>
          <w:szCs w:val="26"/>
          <w:lang w:eastAsia="en-IE"/>
        </w:rPr>
        <w:t xml:space="preserve"> </w:t>
      </w:r>
      <w:r w:rsidR="00B56AEC">
        <w:rPr>
          <w:rStyle w:val="FootnoteReference"/>
          <w:szCs w:val="26"/>
          <w:lang w:eastAsia="en-IE"/>
        </w:rPr>
        <w:footnoteReference w:id="120"/>
      </w:r>
      <w:r w:rsidR="00561086">
        <w:rPr>
          <w:szCs w:val="26"/>
          <w:lang w:eastAsia="en-IE"/>
        </w:rPr>
        <w:t xml:space="preserve"> </w:t>
      </w:r>
      <w:r w:rsidR="00FB7376">
        <w:rPr>
          <w:rStyle w:val="FootnoteReference"/>
          <w:szCs w:val="26"/>
          <w:lang w:eastAsia="en-IE"/>
        </w:rPr>
        <w:footnoteReference w:id="121"/>
      </w:r>
      <w:r w:rsidR="00BB047F" w:rsidRPr="00DE5396">
        <w:rPr>
          <w:szCs w:val="26"/>
          <w:lang w:eastAsia="en-IE"/>
        </w:rPr>
        <w:t xml:space="preserve"> </w:t>
      </w:r>
      <w:r w:rsidR="005866AC" w:rsidRPr="00DE5396">
        <w:rPr>
          <w:szCs w:val="26"/>
          <w:lang w:eastAsia="en-IE"/>
        </w:rPr>
        <w:t>This drop has mirrored a decrease in the national percentages</w:t>
      </w:r>
      <w:r w:rsidR="00260FAF">
        <w:rPr>
          <w:szCs w:val="26"/>
          <w:lang w:eastAsia="en-IE"/>
        </w:rPr>
        <w:t xml:space="preserve"> (see </w:t>
      </w:r>
      <w:r w:rsidR="00260FAF" w:rsidRPr="00ED28A9">
        <w:rPr>
          <w:szCs w:val="26"/>
          <w:lang w:eastAsia="en-IE"/>
        </w:rPr>
        <w:t xml:space="preserve">Figure </w:t>
      </w:r>
      <w:r w:rsidR="00ED08E1" w:rsidRPr="00ED28A9">
        <w:rPr>
          <w:szCs w:val="26"/>
          <w:lang w:eastAsia="en-IE"/>
        </w:rPr>
        <w:t>10</w:t>
      </w:r>
      <w:r w:rsidR="00260FAF" w:rsidRPr="00ED28A9">
        <w:rPr>
          <w:szCs w:val="26"/>
          <w:lang w:eastAsia="en-IE"/>
        </w:rPr>
        <w:t>)</w:t>
      </w:r>
      <w:r w:rsidR="00540B3F">
        <w:rPr>
          <w:szCs w:val="26"/>
          <w:lang w:eastAsia="en-IE"/>
        </w:rPr>
        <w:t xml:space="preserve"> which includes everyone in the population </w:t>
      </w:r>
      <w:r w:rsidR="00260FAF">
        <w:rPr>
          <w:szCs w:val="26"/>
          <w:lang w:eastAsia="en-IE"/>
        </w:rPr>
        <w:t xml:space="preserve">regardless of disability status. </w:t>
      </w:r>
      <w:r w:rsidR="005866AC" w:rsidRPr="00DE5396">
        <w:rPr>
          <w:szCs w:val="26"/>
          <w:lang w:eastAsia="en-IE"/>
        </w:rPr>
        <w:t xml:space="preserve">While the gap between the consistent poverty rate in the national population and that of </w:t>
      </w:r>
      <w:r w:rsidR="004B469A">
        <w:rPr>
          <w:szCs w:val="26"/>
          <w:lang w:eastAsia="en-IE"/>
        </w:rPr>
        <w:t>persons with disabilities</w:t>
      </w:r>
      <w:r w:rsidR="005866AC" w:rsidRPr="00DE5396">
        <w:rPr>
          <w:szCs w:val="26"/>
          <w:lang w:eastAsia="en-IE"/>
        </w:rPr>
        <w:t xml:space="preserve"> is narrowing it is still more than double the national average. </w:t>
      </w:r>
      <w:r w:rsidR="00C2351C">
        <w:rPr>
          <w:szCs w:val="26"/>
          <w:lang w:eastAsia="en-IE"/>
        </w:rPr>
        <w:t>These</w:t>
      </w:r>
      <w:r w:rsidR="00C2351C" w:rsidRPr="00DE5396">
        <w:rPr>
          <w:szCs w:val="26"/>
          <w:lang w:eastAsia="en-IE"/>
        </w:rPr>
        <w:t xml:space="preserve"> </w:t>
      </w:r>
      <w:r w:rsidR="00771236" w:rsidRPr="00DE5396">
        <w:rPr>
          <w:szCs w:val="26"/>
          <w:lang w:eastAsia="en-IE"/>
        </w:rPr>
        <w:t xml:space="preserve">figures </w:t>
      </w:r>
      <w:r w:rsidR="00C2351C">
        <w:rPr>
          <w:szCs w:val="26"/>
          <w:lang w:eastAsia="en-IE"/>
        </w:rPr>
        <w:t xml:space="preserve">may </w:t>
      </w:r>
      <w:r w:rsidR="00771236" w:rsidRPr="00DE5396">
        <w:rPr>
          <w:szCs w:val="26"/>
          <w:lang w:eastAsia="en-IE"/>
        </w:rPr>
        <w:t xml:space="preserve">reflect the fact that </w:t>
      </w:r>
      <w:r w:rsidR="004B469A">
        <w:rPr>
          <w:szCs w:val="26"/>
          <w:lang w:eastAsia="en-IE"/>
        </w:rPr>
        <w:t>persons with disabilities</w:t>
      </w:r>
      <w:r w:rsidR="00771236" w:rsidRPr="00DE5396">
        <w:rPr>
          <w:szCs w:val="26"/>
          <w:lang w:eastAsia="en-IE"/>
        </w:rPr>
        <w:t xml:space="preserve"> are </w:t>
      </w:r>
      <w:r w:rsidR="00540B3F">
        <w:rPr>
          <w:szCs w:val="26"/>
          <w:lang w:eastAsia="en-IE"/>
        </w:rPr>
        <w:t xml:space="preserve">less likely to be in employment, </w:t>
      </w:r>
      <w:r w:rsidR="00B0620E">
        <w:rPr>
          <w:szCs w:val="26"/>
          <w:lang w:eastAsia="en-IE"/>
        </w:rPr>
        <w:t>more likely to be</w:t>
      </w:r>
      <w:r w:rsidR="00B0620E" w:rsidRPr="00B0620E">
        <w:rPr>
          <w:szCs w:val="26"/>
          <w:lang w:eastAsia="en-IE"/>
        </w:rPr>
        <w:t xml:space="preserve"> reliant on social welfare supports</w:t>
      </w:r>
      <w:r w:rsidR="00540B3F">
        <w:rPr>
          <w:szCs w:val="26"/>
          <w:lang w:eastAsia="en-IE"/>
        </w:rPr>
        <w:t>, or have greater costs than average due to the cost of their disability.</w:t>
      </w:r>
      <w:r w:rsidR="00771236" w:rsidRPr="00DE5396">
        <w:rPr>
          <w:szCs w:val="26"/>
          <w:lang w:eastAsia="en-IE"/>
        </w:rPr>
        <w:t xml:space="preserve"> </w:t>
      </w:r>
    </w:p>
    <w:p w14:paraId="66A49FFF" w14:textId="77777777" w:rsidR="00527729" w:rsidRDefault="00527729" w:rsidP="00DE5396">
      <w:pPr>
        <w:autoSpaceDE w:val="0"/>
        <w:autoSpaceDN w:val="0"/>
        <w:adjustRightInd w:val="0"/>
        <w:spacing w:after="0"/>
        <w:rPr>
          <w:szCs w:val="26"/>
          <w:lang w:eastAsia="en-IE"/>
        </w:rPr>
      </w:pPr>
    </w:p>
    <w:p w14:paraId="37DE5E4A" w14:textId="525B3E75" w:rsidR="00C2351C" w:rsidRDefault="00527729" w:rsidP="00DE5396">
      <w:pPr>
        <w:autoSpaceDE w:val="0"/>
        <w:autoSpaceDN w:val="0"/>
        <w:adjustRightInd w:val="0"/>
        <w:spacing w:after="0"/>
        <w:rPr>
          <w:szCs w:val="26"/>
          <w:lang w:eastAsia="en-IE"/>
        </w:rPr>
      </w:pPr>
      <w:r>
        <w:rPr>
          <w:noProof/>
          <w:szCs w:val="26"/>
          <w:lang w:eastAsia="en-IE"/>
        </w:rPr>
        <w:drawing>
          <wp:inline distT="0" distB="0" distL="0" distR="0" wp14:anchorId="0905AB10" wp14:editId="0EC7F44D">
            <wp:extent cx="5724525" cy="2647950"/>
            <wp:effectExtent l="0" t="0" r="9525" b="0"/>
            <wp:docPr id="8" name="Picture 8" descr="Figure 10. Percentage of persons with disabilities and total population in consistent poverty 2016-2018. In 2016 19.2% of people with a disability were in consistent poverty compared to 8.2% of the total population, in 2017 the figures were 15.7% compared to 6.7% and in 2018 12.6% compared to 5.6%." title="Figure 10. Percentage of persons with disabilities and total population in consistent poverty 2016-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2647950"/>
                    </a:xfrm>
                    <a:prstGeom prst="rect">
                      <a:avLst/>
                    </a:prstGeom>
                    <a:noFill/>
                    <a:ln>
                      <a:noFill/>
                    </a:ln>
                  </pic:spPr>
                </pic:pic>
              </a:graphicData>
            </a:graphic>
          </wp:inline>
        </w:drawing>
      </w:r>
    </w:p>
    <w:p w14:paraId="68D415F8" w14:textId="722FDD30" w:rsidR="008D5B56" w:rsidRPr="00DE5396" w:rsidRDefault="00FB01A6" w:rsidP="00DE5396">
      <w:pPr>
        <w:autoSpaceDE w:val="0"/>
        <w:autoSpaceDN w:val="0"/>
        <w:adjustRightInd w:val="0"/>
        <w:spacing w:after="0"/>
        <w:rPr>
          <w:szCs w:val="26"/>
          <w:lang w:eastAsia="en-IE"/>
        </w:rPr>
      </w:pPr>
      <w:r w:rsidRPr="00DE5396">
        <w:rPr>
          <w:szCs w:val="26"/>
          <w:lang w:eastAsia="en-IE"/>
        </w:rPr>
        <w:t xml:space="preserve">In </w:t>
      </w:r>
      <w:r w:rsidRPr="00DE7CCE">
        <w:rPr>
          <w:color w:val="000000" w:themeColor="text1"/>
          <w:szCs w:val="26"/>
          <w:lang w:eastAsia="en-IE"/>
        </w:rPr>
        <w:t>January 2020 the Government launched a Roadmap for Social Inclusion</w:t>
      </w:r>
      <w:r w:rsidR="00E7123D">
        <w:rPr>
          <w:rStyle w:val="FootnoteReference"/>
          <w:color w:val="000000" w:themeColor="text1"/>
          <w:szCs w:val="26"/>
          <w:lang w:eastAsia="en-IE"/>
        </w:rPr>
        <w:footnoteReference w:id="122"/>
      </w:r>
      <w:r w:rsidRPr="00DE7CCE">
        <w:rPr>
          <w:color w:val="000000" w:themeColor="text1"/>
          <w:szCs w:val="26"/>
          <w:lang w:eastAsia="en-IE"/>
        </w:rPr>
        <w:t xml:space="preserve"> </w:t>
      </w:r>
      <w:r w:rsidRPr="00DE7CCE">
        <w:rPr>
          <w:rFonts w:cs="Arial"/>
          <w:color w:val="000000" w:themeColor="text1"/>
          <w:szCs w:val="26"/>
          <w:lang w:val="en"/>
        </w:rPr>
        <w:t>which sets out the Government’s ambition for Ireland to become one of the most socially inclusive States in the EU.</w:t>
      </w:r>
      <w:r w:rsidR="00C2351C" w:rsidRPr="00DE7CCE">
        <w:rPr>
          <w:color w:val="000000" w:themeColor="text1"/>
        </w:rPr>
        <w:t xml:space="preserve"> </w:t>
      </w:r>
      <w:r w:rsidR="00C2351C" w:rsidRPr="00DE7CCE">
        <w:rPr>
          <w:rFonts w:cs="Arial"/>
          <w:color w:val="000000" w:themeColor="text1"/>
          <w:szCs w:val="26"/>
          <w:lang w:val="en"/>
        </w:rPr>
        <w:t xml:space="preserve">The Roadmap recognises that certain groups within society are at greater risk and presents cohort-specific targets and supports for </w:t>
      </w:r>
      <w:r w:rsidR="00194BEB" w:rsidRPr="00DE7CCE">
        <w:rPr>
          <w:rFonts w:cs="Arial"/>
          <w:color w:val="000000" w:themeColor="text1"/>
          <w:szCs w:val="26"/>
          <w:lang w:val="en"/>
        </w:rPr>
        <w:t>persons with a disability</w:t>
      </w:r>
      <w:r w:rsidR="00C2351C" w:rsidRPr="00DE7CCE">
        <w:rPr>
          <w:rFonts w:cs="Arial"/>
          <w:color w:val="000000" w:themeColor="text1"/>
          <w:szCs w:val="26"/>
          <w:lang w:val="en"/>
        </w:rPr>
        <w:t>.</w:t>
      </w:r>
      <w:r w:rsidR="00BA03A5" w:rsidRPr="00DE7CCE">
        <w:rPr>
          <w:rFonts w:cs="Arial"/>
          <w:color w:val="000000" w:themeColor="text1"/>
          <w:szCs w:val="26"/>
          <w:lang w:val="en"/>
        </w:rPr>
        <w:t xml:space="preserve"> </w:t>
      </w:r>
      <w:r w:rsidR="00DE5396" w:rsidRPr="00DE7CCE">
        <w:rPr>
          <w:rFonts w:eastAsiaTheme="minorHAnsi" w:cs="ArialMT"/>
          <w:color w:val="000000" w:themeColor="text1"/>
          <w:szCs w:val="26"/>
        </w:rPr>
        <w:t xml:space="preserve">It reports that, by some measures, despite the fact that Ireland has the lowest reported prevalence of disability in the EU, poverty rates for </w:t>
      </w:r>
      <w:r w:rsidR="00895423" w:rsidRPr="00DE7CCE">
        <w:rPr>
          <w:rFonts w:eastAsiaTheme="minorHAnsi" w:cs="ArialMT"/>
          <w:color w:val="000000" w:themeColor="text1"/>
          <w:szCs w:val="26"/>
        </w:rPr>
        <w:t xml:space="preserve">persons </w:t>
      </w:r>
      <w:r w:rsidR="00DE5396" w:rsidRPr="00DE7CCE">
        <w:rPr>
          <w:rFonts w:eastAsiaTheme="minorHAnsi" w:cs="ArialMT"/>
          <w:color w:val="000000" w:themeColor="text1"/>
          <w:szCs w:val="26"/>
        </w:rPr>
        <w:t>who self-report a disability are among the highest in Europe.</w:t>
      </w:r>
      <w:r w:rsidRPr="00DE7CCE">
        <w:rPr>
          <w:rFonts w:cs="Arial"/>
          <w:color w:val="000000" w:themeColor="text1"/>
          <w:szCs w:val="26"/>
          <w:lang w:val="en"/>
        </w:rPr>
        <w:t xml:space="preserve"> It aims to reduce the number of people in </w:t>
      </w:r>
      <w:r w:rsidRPr="00DE7CCE">
        <w:rPr>
          <w:rStyle w:val="Strong"/>
          <w:rFonts w:cs="Arial"/>
          <w:b w:val="0"/>
          <w:color w:val="000000" w:themeColor="text1"/>
          <w:szCs w:val="26"/>
          <w:lang w:val="en"/>
        </w:rPr>
        <w:t>consistent poverty in Ireland to 2% or less</w:t>
      </w:r>
      <w:r w:rsidR="00C2351C" w:rsidRPr="00DE7CCE">
        <w:rPr>
          <w:rStyle w:val="Strong"/>
          <w:rFonts w:cs="Arial"/>
          <w:b w:val="0"/>
          <w:color w:val="000000" w:themeColor="text1"/>
          <w:szCs w:val="26"/>
          <w:lang w:val="en"/>
        </w:rPr>
        <w:t>,</w:t>
      </w:r>
      <w:r w:rsidR="00DE5396" w:rsidRPr="00DE7CCE">
        <w:rPr>
          <w:rStyle w:val="Strong"/>
          <w:rFonts w:cs="Arial"/>
          <w:color w:val="000000" w:themeColor="text1"/>
          <w:szCs w:val="26"/>
          <w:lang w:val="en"/>
        </w:rPr>
        <w:t xml:space="preserve"> </w:t>
      </w:r>
      <w:r w:rsidR="00DE5396" w:rsidRPr="00DE7CCE">
        <w:rPr>
          <w:rFonts w:eastAsiaTheme="minorHAnsi" w:cs="ArialMT"/>
          <w:color w:val="000000" w:themeColor="text1"/>
          <w:szCs w:val="26"/>
        </w:rPr>
        <w:t xml:space="preserve">to reduce the percentage of </w:t>
      </w:r>
      <w:r w:rsidR="008B4AC7" w:rsidRPr="00DE7CCE">
        <w:rPr>
          <w:rFonts w:eastAsiaTheme="minorHAnsi" w:cs="ArialMT"/>
          <w:color w:val="000000" w:themeColor="text1"/>
          <w:szCs w:val="26"/>
        </w:rPr>
        <w:t xml:space="preserve">persons </w:t>
      </w:r>
      <w:r w:rsidR="00DE5396" w:rsidRPr="00DE7CCE">
        <w:rPr>
          <w:rFonts w:eastAsiaTheme="minorHAnsi" w:cs="ArialMT"/>
          <w:color w:val="000000" w:themeColor="text1"/>
          <w:szCs w:val="26"/>
        </w:rPr>
        <w:t>with</w:t>
      </w:r>
      <w:r w:rsidR="00895423" w:rsidRPr="00DE7CCE">
        <w:rPr>
          <w:rFonts w:eastAsiaTheme="minorHAnsi" w:cs="ArialMT"/>
          <w:color w:val="000000" w:themeColor="text1"/>
          <w:szCs w:val="26"/>
        </w:rPr>
        <w:t xml:space="preserve"> a</w:t>
      </w:r>
      <w:r w:rsidR="00DE5396" w:rsidRPr="00DE7CCE">
        <w:rPr>
          <w:rFonts w:eastAsiaTheme="minorHAnsi" w:cs="ArialMT"/>
          <w:color w:val="000000" w:themeColor="text1"/>
          <w:szCs w:val="26"/>
        </w:rPr>
        <w:t xml:space="preserve"> d</w:t>
      </w:r>
      <w:r w:rsidR="00D32D9E" w:rsidRPr="00DE7CCE">
        <w:rPr>
          <w:rFonts w:eastAsiaTheme="minorHAnsi" w:cs="ArialMT"/>
          <w:color w:val="000000" w:themeColor="text1"/>
          <w:szCs w:val="26"/>
        </w:rPr>
        <w:t xml:space="preserve">isability </w:t>
      </w:r>
      <w:r w:rsidR="00DE5396" w:rsidRPr="00DE7CCE">
        <w:rPr>
          <w:rFonts w:eastAsiaTheme="minorHAnsi" w:cs="ArialMT"/>
          <w:color w:val="000000" w:themeColor="text1"/>
          <w:szCs w:val="26"/>
        </w:rPr>
        <w:t xml:space="preserve">at risk of poverty or social exclusion from 36.9% in 2018 to no more than 28.7% for the year 2025 and to no more than 22.7% by 2030 (i.e. to become a top 5 country in </w:t>
      </w:r>
      <w:r w:rsidR="00DE5396" w:rsidRPr="00DE5396">
        <w:rPr>
          <w:rFonts w:eastAsiaTheme="minorHAnsi" w:cs="ArialMT"/>
          <w:szCs w:val="26"/>
        </w:rPr>
        <w:t>the EU rankings)</w:t>
      </w:r>
      <w:r w:rsidRPr="00DE5396">
        <w:rPr>
          <w:rFonts w:cs="Arial"/>
          <w:szCs w:val="26"/>
        </w:rPr>
        <w:t xml:space="preserve"> </w:t>
      </w:r>
      <w:r w:rsidR="00771236" w:rsidRPr="00DE5396">
        <w:rPr>
          <w:rFonts w:cs="Arial"/>
          <w:szCs w:val="26"/>
          <w:lang w:eastAsia="en-IE"/>
        </w:rPr>
        <w:t>The DEASP have</w:t>
      </w:r>
      <w:r w:rsidR="00DE5396" w:rsidRPr="00DE5396">
        <w:rPr>
          <w:rFonts w:cs="Arial"/>
          <w:szCs w:val="26"/>
          <w:lang w:eastAsia="en-IE"/>
        </w:rPr>
        <w:t xml:space="preserve"> also</w:t>
      </w:r>
      <w:r w:rsidR="00771236" w:rsidRPr="00DE5396">
        <w:rPr>
          <w:rFonts w:cs="Arial"/>
          <w:szCs w:val="26"/>
          <w:lang w:eastAsia="en-IE"/>
        </w:rPr>
        <w:t xml:space="preserve"> commissioned a Cost of Disability Study to examine the additional costs of disability, </w:t>
      </w:r>
      <w:r w:rsidR="00321E15">
        <w:rPr>
          <w:rFonts w:cs="Arial"/>
          <w:szCs w:val="26"/>
          <w:lang w:eastAsia="en-IE"/>
        </w:rPr>
        <w:t>an issue that is regularly highlighted by disability organisations.</w:t>
      </w:r>
    </w:p>
    <w:p w14:paraId="2B5BCA2C" w14:textId="7FF68866" w:rsidR="00E22F03" w:rsidRDefault="00E22F03" w:rsidP="00E22F03">
      <w:pPr>
        <w:pStyle w:val="Heading1"/>
        <w:rPr>
          <w:rFonts w:ascii="MS Mincho" w:eastAsia="MS Mincho" w:hAnsi="MS Mincho" w:cs="MS Mincho"/>
          <w:lang w:eastAsia="en-IE"/>
        </w:rPr>
      </w:pPr>
      <w:r>
        <w:rPr>
          <w:lang w:eastAsia="en-IE"/>
        </w:rPr>
        <w:t xml:space="preserve">Theme 6: </w:t>
      </w:r>
      <w:r w:rsidR="00E8767E">
        <w:rPr>
          <w:lang w:eastAsia="en-IE"/>
        </w:rPr>
        <w:t>Person</w:t>
      </w:r>
      <w:r w:rsidR="00E25053">
        <w:rPr>
          <w:lang w:eastAsia="en-IE"/>
        </w:rPr>
        <w:t>-</w:t>
      </w:r>
      <w:r w:rsidR="00E8767E">
        <w:rPr>
          <w:lang w:eastAsia="en-IE"/>
        </w:rPr>
        <w:t>centr</w:t>
      </w:r>
      <w:r w:rsidR="00E8767E" w:rsidRPr="00E22F03">
        <w:rPr>
          <w:lang w:eastAsia="en-IE"/>
        </w:rPr>
        <w:t>ed</w:t>
      </w:r>
      <w:r w:rsidRPr="00E22F03">
        <w:rPr>
          <w:lang w:eastAsia="en-IE"/>
        </w:rPr>
        <w:t xml:space="preserve"> disability services</w:t>
      </w:r>
    </w:p>
    <w:p w14:paraId="7B67D638" w14:textId="77777777" w:rsidR="005F3492" w:rsidRPr="00540B3F" w:rsidRDefault="009E3648" w:rsidP="009E4ABD">
      <w:pPr>
        <w:autoSpaceDE w:val="0"/>
        <w:autoSpaceDN w:val="0"/>
        <w:adjustRightInd w:val="0"/>
        <w:spacing w:line="241" w:lineRule="atLeast"/>
        <w:rPr>
          <w:rStyle w:val="A01"/>
          <w:color w:val="auto"/>
          <w:sz w:val="26"/>
          <w:szCs w:val="26"/>
        </w:rPr>
      </w:pPr>
      <w:r w:rsidRPr="00540B3F">
        <w:rPr>
          <w:rFonts w:eastAsiaTheme="minorHAnsi" w:cs="YFEWFP+ArialMT"/>
          <w:szCs w:val="26"/>
        </w:rPr>
        <w:t>This theme commits to</w:t>
      </w:r>
      <w:r w:rsidR="005F3492" w:rsidRPr="00540B3F">
        <w:rPr>
          <w:rFonts w:eastAsiaTheme="minorHAnsi" w:cs="YFEWFP+ArialMT"/>
          <w:szCs w:val="26"/>
        </w:rPr>
        <w:t xml:space="preserve"> support</w:t>
      </w:r>
      <w:r w:rsidRPr="00540B3F">
        <w:rPr>
          <w:rFonts w:eastAsiaTheme="minorHAnsi" w:cs="YFEWFP+ArialMT"/>
          <w:szCs w:val="26"/>
        </w:rPr>
        <w:t>ing</w:t>
      </w:r>
      <w:r w:rsidR="005F3492" w:rsidRPr="00540B3F">
        <w:rPr>
          <w:rFonts w:eastAsiaTheme="minorHAnsi" w:cs="YFEWFP+ArialMT"/>
          <w:szCs w:val="26"/>
        </w:rPr>
        <w:t xml:space="preserve"> </w:t>
      </w:r>
      <w:r w:rsidR="004B469A" w:rsidRPr="00540B3F">
        <w:rPr>
          <w:rFonts w:eastAsiaTheme="minorHAnsi" w:cs="YFEWFP+ArialMT"/>
          <w:szCs w:val="26"/>
        </w:rPr>
        <w:t>persons with disabilities</w:t>
      </w:r>
      <w:r w:rsidR="005F3492" w:rsidRPr="00540B3F">
        <w:rPr>
          <w:rFonts w:eastAsiaTheme="minorHAnsi" w:cs="Arial"/>
          <w:szCs w:val="26"/>
        </w:rPr>
        <w:t xml:space="preserve"> to live a fulfilled life and enable them to participate fully in the activities of their communities</w:t>
      </w:r>
      <w:r w:rsidRPr="00540B3F">
        <w:rPr>
          <w:rFonts w:eastAsiaTheme="minorHAnsi" w:cs="Arial"/>
          <w:szCs w:val="26"/>
        </w:rPr>
        <w:t>.</w:t>
      </w:r>
      <w:r w:rsidR="00350A82">
        <w:rPr>
          <w:rFonts w:eastAsiaTheme="minorHAnsi" w:cs="Arial"/>
          <w:szCs w:val="26"/>
        </w:rPr>
        <w:t xml:space="preserve"> There are 13 indicators for this theme including one structural indicator, one outcome indicator and 11 process indicators. This theme is concerned with persons with disabilities </w:t>
      </w:r>
      <w:r w:rsidR="00E366FB" w:rsidRPr="00540B3F">
        <w:rPr>
          <w:rFonts w:eastAsiaTheme="minorHAnsi" w:cs="Arial"/>
          <w:szCs w:val="26"/>
        </w:rPr>
        <w:t xml:space="preserve">can </w:t>
      </w:r>
      <w:r w:rsidRPr="00540B3F">
        <w:rPr>
          <w:rFonts w:eastAsiaTheme="minorHAnsi" w:cs="Arial"/>
          <w:szCs w:val="26"/>
        </w:rPr>
        <w:t xml:space="preserve">live </w:t>
      </w:r>
      <w:r w:rsidR="005F3492" w:rsidRPr="00540B3F">
        <w:rPr>
          <w:rStyle w:val="A01"/>
          <w:color w:val="auto"/>
          <w:sz w:val="26"/>
          <w:szCs w:val="26"/>
        </w:rPr>
        <w:t xml:space="preserve">a life of their </w:t>
      </w:r>
      <w:r w:rsidR="00E366FB" w:rsidRPr="00540B3F">
        <w:rPr>
          <w:rStyle w:val="A01"/>
          <w:color w:val="auto"/>
          <w:sz w:val="26"/>
          <w:szCs w:val="26"/>
        </w:rPr>
        <w:t xml:space="preserve">own </w:t>
      </w:r>
      <w:r w:rsidR="005F3492" w:rsidRPr="00540B3F">
        <w:rPr>
          <w:rStyle w:val="A01"/>
          <w:color w:val="auto"/>
          <w:sz w:val="26"/>
          <w:szCs w:val="26"/>
        </w:rPr>
        <w:t>choosing</w:t>
      </w:r>
      <w:r w:rsidRPr="00540B3F">
        <w:rPr>
          <w:rStyle w:val="A01"/>
          <w:color w:val="auto"/>
          <w:sz w:val="26"/>
          <w:szCs w:val="26"/>
        </w:rPr>
        <w:t>, a</w:t>
      </w:r>
      <w:r w:rsidR="005F3492" w:rsidRPr="00540B3F">
        <w:rPr>
          <w:rStyle w:val="A01"/>
          <w:color w:val="auto"/>
          <w:sz w:val="26"/>
          <w:szCs w:val="26"/>
        </w:rPr>
        <w:t>chieve maximum independence</w:t>
      </w:r>
      <w:r w:rsidRPr="00540B3F">
        <w:rPr>
          <w:rStyle w:val="A01"/>
          <w:color w:val="auto"/>
          <w:sz w:val="26"/>
          <w:szCs w:val="26"/>
        </w:rPr>
        <w:t>, and be active citizen</w:t>
      </w:r>
      <w:r w:rsidR="00321E15" w:rsidRPr="00540B3F">
        <w:rPr>
          <w:rStyle w:val="A01"/>
          <w:color w:val="auto"/>
          <w:sz w:val="26"/>
          <w:szCs w:val="26"/>
        </w:rPr>
        <w:t>s</w:t>
      </w:r>
      <w:r w:rsidRPr="00540B3F">
        <w:rPr>
          <w:rStyle w:val="A01"/>
          <w:color w:val="auto"/>
          <w:sz w:val="26"/>
          <w:szCs w:val="26"/>
        </w:rPr>
        <w:t xml:space="preserve">. </w:t>
      </w:r>
      <w:r w:rsidR="00D32D9E" w:rsidRPr="00540B3F">
        <w:rPr>
          <w:rStyle w:val="A01"/>
          <w:color w:val="auto"/>
          <w:sz w:val="26"/>
          <w:szCs w:val="26"/>
        </w:rPr>
        <w:t xml:space="preserve">This will include the </w:t>
      </w:r>
      <w:r w:rsidR="00540B3F" w:rsidRPr="00540B3F">
        <w:rPr>
          <w:rStyle w:val="A01"/>
          <w:color w:val="auto"/>
          <w:sz w:val="26"/>
          <w:szCs w:val="26"/>
        </w:rPr>
        <w:t>choice and control over the support they receive.</w:t>
      </w:r>
      <w:r w:rsidR="00D32D9E" w:rsidRPr="00540B3F">
        <w:rPr>
          <w:rStyle w:val="A01"/>
          <w:color w:val="auto"/>
          <w:sz w:val="26"/>
          <w:szCs w:val="26"/>
        </w:rPr>
        <w:t xml:space="preserve"> </w:t>
      </w:r>
      <w:r w:rsidR="005F3492" w:rsidRPr="00540B3F">
        <w:rPr>
          <w:rFonts w:eastAsiaTheme="minorHAnsi" w:cs="YFEWFP+ArialMT"/>
          <w:szCs w:val="26"/>
        </w:rPr>
        <w:t>Children and adults with disabilities</w:t>
      </w:r>
      <w:r w:rsidRPr="00540B3F">
        <w:rPr>
          <w:rFonts w:eastAsiaTheme="minorHAnsi" w:cs="YFEWFP+ArialMT"/>
          <w:szCs w:val="26"/>
        </w:rPr>
        <w:t xml:space="preserve"> </w:t>
      </w:r>
      <w:r w:rsidR="00E366FB" w:rsidRPr="00540B3F">
        <w:rPr>
          <w:rFonts w:eastAsiaTheme="minorHAnsi" w:cs="YFEWFP+ArialMT"/>
          <w:szCs w:val="26"/>
        </w:rPr>
        <w:t xml:space="preserve">would therefore </w:t>
      </w:r>
      <w:r w:rsidR="005F3492" w:rsidRPr="00540B3F">
        <w:rPr>
          <w:rFonts w:eastAsiaTheme="minorHAnsi" w:cs="YFEWFP+ArialMT"/>
          <w:szCs w:val="26"/>
        </w:rPr>
        <w:t>have timely access to assessment and early intervention, and the therapy, rehabilitation or mental health services they require.</w:t>
      </w:r>
      <w:r w:rsidRPr="00540B3F">
        <w:rPr>
          <w:rFonts w:eastAsiaTheme="minorHAnsi" w:cs="YFEWFP+ArialMT"/>
          <w:szCs w:val="26"/>
        </w:rPr>
        <w:t xml:space="preserve"> </w:t>
      </w:r>
      <w:r w:rsidR="00E366FB" w:rsidRPr="00540B3F">
        <w:rPr>
          <w:rFonts w:eastAsiaTheme="minorHAnsi" w:cs="YFEWFP+ArialMT"/>
          <w:szCs w:val="26"/>
        </w:rPr>
        <w:t xml:space="preserve">It would also be evident by </w:t>
      </w:r>
      <w:r w:rsidR="00811B61" w:rsidRPr="00540B3F">
        <w:rPr>
          <w:rFonts w:eastAsiaTheme="minorHAnsi" w:cs="YFEWFP+ArialMT"/>
          <w:szCs w:val="26"/>
        </w:rPr>
        <w:t xml:space="preserve">disability </w:t>
      </w:r>
      <w:r w:rsidR="005F3492" w:rsidRPr="00540B3F">
        <w:rPr>
          <w:rFonts w:eastAsiaTheme="minorHAnsi" w:cs="YFEWFP+ArialMT"/>
          <w:szCs w:val="26"/>
        </w:rPr>
        <w:t xml:space="preserve">services </w:t>
      </w:r>
      <w:r w:rsidR="00E366FB" w:rsidRPr="00540B3F">
        <w:rPr>
          <w:rFonts w:eastAsiaTheme="minorHAnsi" w:cs="YFEWFP+ArialMT"/>
          <w:szCs w:val="26"/>
        </w:rPr>
        <w:t xml:space="preserve">and supports being </w:t>
      </w:r>
      <w:r w:rsidR="005F3492" w:rsidRPr="00540B3F">
        <w:rPr>
          <w:rFonts w:eastAsiaTheme="minorHAnsi" w:cs="YFEWFP+ArialMT"/>
          <w:szCs w:val="26"/>
        </w:rPr>
        <w:t xml:space="preserve">delivered </w:t>
      </w:r>
      <w:r w:rsidR="00E366FB" w:rsidRPr="00540B3F">
        <w:rPr>
          <w:rFonts w:eastAsiaTheme="minorHAnsi" w:cs="YFEWFP+ArialMT"/>
          <w:szCs w:val="26"/>
        </w:rPr>
        <w:t xml:space="preserve">through a person centred approach and </w:t>
      </w:r>
      <w:r w:rsidR="005F3492" w:rsidRPr="00540B3F">
        <w:rPr>
          <w:rFonts w:eastAsiaTheme="minorHAnsi" w:cs="YFEWFP+ArialMT"/>
          <w:szCs w:val="26"/>
        </w:rPr>
        <w:t>to high quality standards.</w:t>
      </w:r>
      <w:r w:rsidRPr="00540B3F">
        <w:rPr>
          <w:rFonts w:eastAsiaTheme="minorHAnsi" w:cs="YFEWFP+ArialMT"/>
          <w:szCs w:val="26"/>
        </w:rPr>
        <w:t xml:space="preserve"> </w:t>
      </w:r>
      <w:r w:rsidR="004B469A" w:rsidRPr="00540B3F">
        <w:rPr>
          <w:rFonts w:eastAsiaTheme="minorHAnsi" w:cs="YFEWFP+ArialMT"/>
          <w:szCs w:val="26"/>
        </w:rPr>
        <w:t>Persons with disabilities</w:t>
      </w:r>
      <w:r w:rsidR="005F3492" w:rsidRPr="00540B3F">
        <w:rPr>
          <w:rFonts w:eastAsiaTheme="minorHAnsi" w:cs="YFEWFP+ArialMT"/>
          <w:szCs w:val="26"/>
        </w:rPr>
        <w:t xml:space="preserve"> </w:t>
      </w:r>
      <w:r w:rsidRPr="00540B3F">
        <w:rPr>
          <w:rFonts w:eastAsiaTheme="minorHAnsi" w:cs="YFEWFP+ArialMT"/>
          <w:szCs w:val="26"/>
        </w:rPr>
        <w:t xml:space="preserve">should be </w:t>
      </w:r>
      <w:r w:rsidR="005F3492" w:rsidRPr="00540B3F">
        <w:rPr>
          <w:rFonts w:eastAsiaTheme="minorHAnsi" w:cs="YFEWFP+ArialMT"/>
          <w:szCs w:val="26"/>
        </w:rPr>
        <w:t xml:space="preserve">involved in the planning, </w:t>
      </w:r>
      <w:r w:rsidR="005F3492" w:rsidRPr="00540B3F">
        <w:rPr>
          <w:rFonts w:eastAsiaTheme="minorHAnsi" w:cs="Arial"/>
          <w:szCs w:val="26"/>
        </w:rPr>
        <w:t>design and evaluation of disability services.</w:t>
      </w:r>
      <w:r w:rsidRPr="00540B3F">
        <w:rPr>
          <w:rFonts w:eastAsiaTheme="minorHAnsi" w:cs="Arial"/>
          <w:szCs w:val="26"/>
        </w:rPr>
        <w:t xml:space="preserve"> </w:t>
      </w:r>
    </w:p>
    <w:p w14:paraId="5992132F" w14:textId="522F2AAD" w:rsidR="00EA6C95" w:rsidRPr="00757842" w:rsidRDefault="00D34A3F" w:rsidP="009E4ABD">
      <w:pPr>
        <w:autoSpaceDE w:val="0"/>
        <w:autoSpaceDN w:val="0"/>
        <w:adjustRightInd w:val="0"/>
        <w:spacing w:line="241" w:lineRule="atLeast"/>
      </w:pPr>
      <w:r>
        <w:t>Since 2016, the</w:t>
      </w:r>
      <w:r w:rsidR="00EA6C95" w:rsidRPr="00757842">
        <w:t xml:space="preserve"> </w:t>
      </w:r>
      <w:r w:rsidR="00D32D9E" w:rsidRPr="00757842">
        <w:t>NDA</w:t>
      </w:r>
      <w:r w:rsidR="00EA6C95" w:rsidRPr="00757842">
        <w:t xml:space="preserve"> </w:t>
      </w:r>
      <w:r>
        <w:t>has been undertaking</w:t>
      </w:r>
      <w:r w:rsidR="00EA6C95" w:rsidRPr="00757842">
        <w:t xml:space="preserve"> a body of work </w:t>
      </w:r>
      <w:r w:rsidR="00E366FB" w:rsidRPr="00757842">
        <w:t xml:space="preserve">engaging </w:t>
      </w:r>
      <w:r w:rsidR="00EA6C95" w:rsidRPr="00757842">
        <w:t xml:space="preserve">with the HSE to </w:t>
      </w:r>
      <w:r w:rsidR="00E366FB" w:rsidRPr="00757842">
        <w:t xml:space="preserve">guide on </w:t>
      </w:r>
      <w:r w:rsidR="00EA6C95" w:rsidRPr="00757842">
        <w:t>progress</w:t>
      </w:r>
      <w:r w:rsidR="00E366FB" w:rsidRPr="00757842">
        <w:t>ing</w:t>
      </w:r>
      <w:r w:rsidR="00EA6C95" w:rsidRPr="00757842">
        <w:t xml:space="preserve"> person</w:t>
      </w:r>
      <w:r w:rsidR="00D32D9E" w:rsidRPr="00757842">
        <w:t>-</w:t>
      </w:r>
      <w:r w:rsidR="00EA6C95" w:rsidRPr="00757842">
        <w:t xml:space="preserve">centred services and supports. This work included </w:t>
      </w:r>
      <w:r w:rsidR="00321E15" w:rsidRPr="00757842">
        <w:t xml:space="preserve">the development of </w:t>
      </w:r>
      <w:r w:rsidR="00EA6C95" w:rsidRPr="00757842">
        <w:t>an outcomes framework</w:t>
      </w:r>
      <w:r w:rsidR="00123C71">
        <w:rPr>
          <w:rStyle w:val="FootnoteReference"/>
        </w:rPr>
        <w:footnoteReference w:id="123"/>
      </w:r>
      <w:r w:rsidR="00EA6C95" w:rsidRPr="00757842">
        <w:t>, person</w:t>
      </w:r>
      <w:r w:rsidR="00321E15" w:rsidRPr="00757842">
        <w:t>-</w:t>
      </w:r>
      <w:r w:rsidR="00EA6C95" w:rsidRPr="00757842">
        <w:t>centred planning framework</w:t>
      </w:r>
      <w:r w:rsidR="00E7123D">
        <w:rPr>
          <w:rStyle w:val="FootnoteReference"/>
        </w:rPr>
        <w:footnoteReference w:id="124"/>
      </w:r>
      <w:r w:rsidR="00EA6C95" w:rsidRPr="00757842">
        <w:t xml:space="preserve"> and a quality framework. </w:t>
      </w:r>
      <w:r w:rsidR="00D32D9E" w:rsidRPr="00757842">
        <w:t>T</w:t>
      </w:r>
      <w:r w:rsidR="00EA6C95" w:rsidRPr="00757842">
        <w:t xml:space="preserve">he outcomes framework is </w:t>
      </w:r>
      <w:r w:rsidR="00E366FB" w:rsidRPr="00757842">
        <w:t xml:space="preserve">already </w:t>
      </w:r>
      <w:r w:rsidR="00EA6C95" w:rsidRPr="00757842">
        <w:t xml:space="preserve">being used by some services and the HSE </w:t>
      </w:r>
      <w:r w:rsidR="00321E15" w:rsidRPr="00757842">
        <w:t xml:space="preserve">have </w:t>
      </w:r>
      <w:r w:rsidR="00EA6C95" w:rsidRPr="00757842">
        <w:t xml:space="preserve">engaged in </w:t>
      </w:r>
      <w:r w:rsidR="00321E15" w:rsidRPr="00757842">
        <w:t xml:space="preserve">a series of </w:t>
      </w:r>
      <w:r w:rsidR="00EA6C95" w:rsidRPr="00757842">
        <w:t>d</w:t>
      </w:r>
      <w:r w:rsidR="00D32D9E" w:rsidRPr="00757842">
        <w:t>emonstration projects on person-centre planning. T</w:t>
      </w:r>
      <w:r w:rsidR="00EA6C95" w:rsidRPr="00757842">
        <w:t>he HSE also hope to progress the quality framework shortly.</w:t>
      </w:r>
    </w:p>
    <w:p w14:paraId="53F6E131" w14:textId="77777777" w:rsidR="00260FAF" w:rsidRDefault="009E4ABD" w:rsidP="00783EF0">
      <w:pPr>
        <w:autoSpaceDE w:val="0"/>
        <w:autoSpaceDN w:val="0"/>
        <w:adjustRightInd w:val="0"/>
      </w:pPr>
      <w:r w:rsidRPr="00D32D9E">
        <w:rPr>
          <w:b/>
          <w:szCs w:val="26"/>
          <w:lang w:eastAsia="en-IE"/>
        </w:rPr>
        <w:t xml:space="preserve">Indicator </w:t>
      </w:r>
      <w:r w:rsidR="00B70B73" w:rsidRPr="00D32D9E">
        <w:rPr>
          <w:b/>
          <w:szCs w:val="26"/>
        </w:rPr>
        <w:t>6.1a. People in new residential models of service are enjoying better outcomes and quality of life</w:t>
      </w:r>
      <w:r w:rsidR="00350A82">
        <w:rPr>
          <w:b/>
          <w:szCs w:val="26"/>
        </w:rPr>
        <w:t xml:space="preserve"> (Outcome)</w:t>
      </w:r>
      <w:r w:rsidR="00B70B73" w:rsidRPr="00D32D9E">
        <w:rPr>
          <w:b/>
          <w:szCs w:val="26"/>
        </w:rPr>
        <w:t>:</w:t>
      </w:r>
      <w:r w:rsidR="00B70B73" w:rsidRPr="00D32D9E">
        <w:rPr>
          <w:szCs w:val="26"/>
        </w:rPr>
        <w:t xml:space="preserve"> </w:t>
      </w:r>
      <w:r w:rsidR="000E1EA2" w:rsidRPr="00D32D9E">
        <w:rPr>
          <w:szCs w:val="26"/>
        </w:rPr>
        <w:t xml:space="preserve">This indicator </w:t>
      </w:r>
      <w:r w:rsidR="00530571" w:rsidRPr="00D32D9E">
        <w:rPr>
          <w:szCs w:val="26"/>
        </w:rPr>
        <w:t>considers whether people in new residential models of services are enjoying better outcomes and quality of life.</w:t>
      </w:r>
      <w:r w:rsidR="00D32D9E">
        <w:rPr>
          <w:szCs w:val="26"/>
        </w:rPr>
        <w:t xml:space="preserve"> The findings from HIQA’s 2019 inspection </w:t>
      </w:r>
      <w:r w:rsidR="00F16994">
        <w:rPr>
          <w:szCs w:val="26"/>
        </w:rPr>
        <w:t>of</w:t>
      </w:r>
      <w:r w:rsidR="00D32D9E">
        <w:rPr>
          <w:szCs w:val="26"/>
        </w:rPr>
        <w:t xml:space="preserve"> designated centres for people with disabilities show that there have been improvements in a number of key areas.</w:t>
      </w:r>
      <w:r w:rsidR="001F147C">
        <w:rPr>
          <w:szCs w:val="26"/>
        </w:rPr>
        <w:t xml:space="preserve"> </w:t>
      </w:r>
      <w:r w:rsidR="00F16994">
        <w:rPr>
          <w:szCs w:val="26"/>
        </w:rPr>
        <w:t>These i</w:t>
      </w:r>
      <w:r w:rsidR="001F147C">
        <w:rPr>
          <w:szCs w:val="26"/>
        </w:rPr>
        <w:t>nclud</w:t>
      </w:r>
      <w:r w:rsidR="00F16994">
        <w:rPr>
          <w:szCs w:val="26"/>
        </w:rPr>
        <w:t>e</w:t>
      </w:r>
      <w:r w:rsidR="001F147C">
        <w:rPr>
          <w:szCs w:val="26"/>
        </w:rPr>
        <w:t xml:space="preserve"> how residents who had moved to the community had</w:t>
      </w:r>
      <w:r w:rsidR="001F147C">
        <w:rPr>
          <w:lang w:val="en-GB"/>
        </w:rPr>
        <w:t xml:space="preserve"> developed independent living skills or were being supported to engage in important everyday tasks such as cooking, cleaning and laundry and </w:t>
      </w:r>
      <w:r w:rsidR="00F16994">
        <w:rPr>
          <w:lang w:val="en-GB"/>
        </w:rPr>
        <w:t>were</w:t>
      </w:r>
      <w:r w:rsidR="001F147C">
        <w:rPr>
          <w:lang w:val="en-GB"/>
        </w:rPr>
        <w:t xml:space="preserve"> involved in their local communities </w:t>
      </w:r>
      <w:r w:rsidR="004F5DAD">
        <w:rPr>
          <w:rStyle w:val="FootnoteReference"/>
          <w:szCs w:val="26"/>
        </w:rPr>
        <w:footnoteReference w:id="125"/>
      </w:r>
      <w:r w:rsidR="00D32D9E">
        <w:rPr>
          <w:szCs w:val="26"/>
        </w:rPr>
        <w:t xml:space="preserve"> However, they also found that people who live in congregated setting continue to </w:t>
      </w:r>
      <w:r w:rsidR="004F5DAD">
        <w:rPr>
          <w:szCs w:val="26"/>
        </w:rPr>
        <w:t xml:space="preserve">experience poorer quality services and fewer opportunities to exert </w:t>
      </w:r>
      <w:r w:rsidR="001F147C">
        <w:rPr>
          <w:szCs w:val="26"/>
        </w:rPr>
        <w:t>t</w:t>
      </w:r>
      <w:r w:rsidR="004F5DAD">
        <w:rPr>
          <w:szCs w:val="26"/>
        </w:rPr>
        <w:t xml:space="preserve">heir rights and choices compared to the sector as a whole. </w:t>
      </w:r>
      <w:r w:rsidR="00D32D9E" w:rsidRPr="00D32D9E">
        <w:rPr>
          <w:rStyle w:val="font-arial"/>
          <w:color w:val="FFFFFF"/>
          <w:position w:val="6"/>
          <w:szCs w:val="26"/>
        </w:rPr>
        <w:t>.</w:t>
      </w:r>
      <w:r w:rsidR="008B359C" w:rsidRPr="00D32D9E">
        <w:rPr>
          <w:szCs w:val="26"/>
        </w:rPr>
        <w:t>Preliminary findings</w:t>
      </w:r>
      <w:r w:rsidR="004F5DAD">
        <w:rPr>
          <w:szCs w:val="26"/>
        </w:rPr>
        <w:t xml:space="preserve"> from an NDA study looking at deinstitutionalisation</w:t>
      </w:r>
      <w:r w:rsidR="008B359C" w:rsidRPr="00D32D9E">
        <w:rPr>
          <w:szCs w:val="26"/>
        </w:rPr>
        <w:t xml:space="preserve"> s</w:t>
      </w:r>
      <w:r w:rsidR="00530571" w:rsidRPr="00D32D9E">
        <w:rPr>
          <w:szCs w:val="26"/>
        </w:rPr>
        <w:t>uggest that while some institutional practices can persist in community</w:t>
      </w:r>
      <w:r w:rsidR="00321E15">
        <w:rPr>
          <w:szCs w:val="26"/>
        </w:rPr>
        <w:t>-</w:t>
      </w:r>
      <w:r w:rsidR="00530571" w:rsidRPr="00D32D9E">
        <w:rPr>
          <w:szCs w:val="26"/>
        </w:rPr>
        <w:t>based residential settings</w:t>
      </w:r>
      <w:r w:rsidR="00321E15">
        <w:rPr>
          <w:szCs w:val="26"/>
        </w:rPr>
        <w:t>,</w:t>
      </w:r>
      <w:r w:rsidR="00530571" w:rsidRPr="00D32D9E">
        <w:rPr>
          <w:szCs w:val="26"/>
        </w:rPr>
        <w:t xml:space="preserve"> positive outcomes do in general flow from moving to the community.</w:t>
      </w:r>
      <w:r w:rsidR="001F147C">
        <w:rPr>
          <w:szCs w:val="26"/>
        </w:rPr>
        <w:t xml:space="preserve"> This report will be published later in 2020.</w:t>
      </w:r>
      <w:r w:rsidR="00530571" w:rsidRPr="00D32D9E">
        <w:rPr>
          <w:szCs w:val="26"/>
        </w:rPr>
        <w:t xml:space="preserve"> Information from </w:t>
      </w:r>
      <w:r w:rsidR="00DD0935">
        <w:rPr>
          <w:szCs w:val="26"/>
        </w:rPr>
        <w:t xml:space="preserve">the </w:t>
      </w:r>
      <w:r w:rsidR="00207A82">
        <w:rPr>
          <w:szCs w:val="26"/>
        </w:rPr>
        <w:t>IDS TILDA</w:t>
      </w:r>
      <w:r w:rsidR="00530571" w:rsidRPr="00D32D9E">
        <w:rPr>
          <w:szCs w:val="26"/>
        </w:rPr>
        <w:t xml:space="preserve"> also provide evidence of improvements resulting from community living.</w:t>
      </w:r>
      <w:r w:rsidR="00DD0935">
        <w:rPr>
          <w:rStyle w:val="FootnoteReference"/>
          <w:szCs w:val="26"/>
        </w:rPr>
        <w:footnoteReference w:id="126"/>
      </w:r>
      <w:r w:rsidR="00DD0935">
        <w:rPr>
          <w:szCs w:val="26"/>
        </w:rPr>
        <w:t xml:space="preserve"> </w:t>
      </w:r>
      <w:r w:rsidR="00DD0935">
        <w:t xml:space="preserve">They found that those living in community settings had higher levels of ability in activities for daily living than those in residential settings. While this may be a function of those who are more able being transitioned to the community, it could also be that those in residential settings are not being afforded the opportunities to develop these skills as those in the community. </w:t>
      </w:r>
    </w:p>
    <w:p w14:paraId="4129FCF4" w14:textId="77777777" w:rsidR="00235688" w:rsidRDefault="009E4ABD" w:rsidP="00783EF0">
      <w:pPr>
        <w:autoSpaceDE w:val="0"/>
        <w:autoSpaceDN w:val="0"/>
        <w:adjustRightInd w:val="0"/>
        <w:rPr>
          <w:szCs w:val="26"/>
        </w:rPr>
      </w:pPr>
      <w:r w:rsidRPr="00607345">
        <w:rPr>
          <w:b/>
          <w:lang w:eastAsia="en-IE"/>
        </w:rPr>
        <w:t xml:space="preserve">Indicator </w:t>
      </w:r>
      <w:r w:rsidR="00B70B73" w:rsidRPr="00607345">
        <w:rPr>
          <w:b/>
          <w:lang w:eastAsia="en-IE"/>
        </w:rPr>
        <w:t>6.1b. Adoption of person-centred practice among disability service providers</w:t>
      </w:r>
      <w:r w:rsidR="00350A82">
        <w:rPr>
          <w:b/>
          <w:lang w:eastAsia="en-IE"/>
        </w:rPr>
        <w:t xml:space="preserve"> </w:t>
      </w:r>
      <w:r w:rsidR="00350A82">
        <w:rPr>
          <w:b/>
          <w:szCs w:val="26"/>
          <w:lang w:eastAsia="en-IE"/>
        </w:rPr>
        <w:t>(Process)</w:t>
      </w:r>
      <w:r w:rsidR="00B70B73" w:rsidRPr="00607345">
        <w:rPr>
          <w:b/>
          <w:lang w:eastAsia="en-IE"/>
        </w:rPr>
        <w:t>:</w:t>
      </w:r>
      <w:r w:rsidR="00B70B73" w:rsidRPr="00607345">
        <w:rPr>
          <w:lang w:eastAsia="en-IE"/>
        </w:rPr>
        <w:t xml:space="preserve"> </w:t>
      </w:r>
      <w:r w:rsidR="00895E2D" w:rsidRPr="00607345">
        <w:rPr>
          <w:lang w:eastAsia="en-IE"/>
        </w:rPr>
        <w:t>A demonstration project</w:t>
      </w:r>
      <w:r w:rsidR="004F5DAD" w:rsidRPr="00607345">
        <w:rPr>
          <w:rStyle w:val="FootnoteReference"/>
          <w:lang w:eastAsia="en-IE"/>
        </w:rPr>
        <w:footnoteReference w:id="127"/>
      </w:r>
      <w:r w:rsidR="00895E2D" w:rsidRPr="00607345">
        <w:rPr>
          <w:lang w:eastAsia="en-IE"/>
        </w:rPr>
        <w:t xml:space="preserve"> for the HSE’s Person-Centred Planning Framework</w:t>
      </w:r>
      <w:r w:rsidR="004F5DAD" w:rsidRPr="00607345">
        <w:rPr>
          <w:rStyle w:val="FootnoteReference"/>
          <w:lang w:eastAsia="en-IE"/>
        </w:rPr>
        <w:footnoteReference w:id="128"/>
      </w:r>
      <w:r w:rsidR="00895E2D" w:rsidRPr="00607345">
        <w:rPr>
          <w:lang w:eastAsia="en-IE"/>
        </w:rPr>
        <w:t xml:space="preserve"> is underway in five disability organisations. </w:t>
      </w:r>
      <w:r w:rsidR="00EB783A" w:rsidRPr="00607345">
        <w:t>The</w:t>
      </w:r>
      <w:r w:rsidR="00811B61" w:rsidRPr="00607345">
        <w:t xml:space="preserve"> </w:t>
      </w:r>
      <w:r w:rsidR="00E366FB" w:rsidRPr="00607345">
        <w:t>HSE will produce a report</w:t>
      </w:r>
      <w:r w:rsidR="00587F09">
        <w:t xml:space="preserve"> </w:t>
      </w:r>
      <w:r w:rsidR="00EB783A" w:rsidRPr="00607345">
        <w:t xml:space="preserve">on the demonstration projects, </w:t>
      </w:r>
      <w:r w:rsidR="00E366FB" w:rsidRPr="00607345">
        <w:t xml:space="preserve">which should provide </w:t>
      </w:r>
      <w:r w:rsidR="00EB783A" w:rsidRPr="00607345">
        <w:t xml:space="preserve">insight into how the learning from the projects will inform the wider roll out of the </w:t>
      </w:r>
      <w:r w:rsidR="007023B5" w:rsidRPr="00607345">
        <w:t xml:space="preserve">framework </w:t>
      </w:r>
      <w:r w:rsidR="007023B5" w:rsidRPr="00607345">
        <w:rPr>
          <w:szCs w:val="26"/>
        </w:rPr>
        <w:t>throughout the sector.</w:t>
      </w:r>
      <w:r w:rsidR="00783EF0" w:rsidRPr="00607345">
        <w:rPr>
          <w:szCs w:val="26"/>
        </w:rPr>
        <w:t xml:space="preserve"> </w:t>
      </w:r>
    </w:p>
    <w:p w14:paraId="02D9E28E" w14:textId="77777777" w:rsidR="007023B5" w:rsidRPr="00607345" w:rsidRDefault="001F147C" w:rsidP="00783EF0">
      <w:pPr>
        <w:autoSpaceDE w:val="0"/>
        <w:autoSpaceDN w:val="0"/>
        <w:adjustRightInd w:val="0"/>
        <w:rPr>
          <w:strike/>
        </w:rPr>
      </w:pPr>
      <w:r w:rsidRPr="00235688">
        <w:rPr>
          <w:szCs w:val="26"/>
        </w:rPr>
        <w:t xml:space="preserve">The HSE appoints a Confidential </w:t>
      </w:r>
      <w:r w:rsidR="00361FA0" w:rsidRPr="00235688">
        <w:rPr>
          <w:szCs w:val="26"/>
        </w:rPr>
        <w:t>Recipient</w:t>
      </w:r>
      <w:r w:rsidR="00235688">
        <w:rPr>
          <w:szCs w:val="26"/>
        </w:rPr>
        <w:t xml:space="preserve"> who is independent of the HSE, and t</w:t>
      </w:r>
      <w:r w:rsidRPr="00235688">
        <w:rPr>
          <w:szCs w:val="26"/>
        </w:rPr>
        <w:t xml:space="preserve">heir role is to </w:t>
      </w:r>
      <w:r w:rsidRPr="00235688">
        <w:rPr>
          <w:rFonts w:cs="Open Sans"/>
          <w:lang w:val="en"/>
        </w:rPr>
        <w:t xml:space="preserve">act as a voice for vulnerable older people and people with a disability. </w:t>
      </w:r>
      <w:r w:rsidR="00783EF0" w:rsidRPr="00235688">
        <w:rPr>
          <w:szCs w:val="26"/>
        </w:rPr>
        <w:t xml:space="preserve">In the 2018 report of the </w:t>
      </w:r>
      <w:r w:rsidR="00321E15" w:rsidRPr="00235688">
        <w:rPr>
          <w:szCs w:val="26"/>
        </w:rPr>
        <w:t>Confidential Recipient</w:t>
      </w:r>
      <w:r w:rsidR="00A35822" w:rsidRPr="00235688">
        <w:rPr>
          <w:rStyle w:val="FootnoteReference"/>
          <w:szCs w:val="26"/>
        </w:rPr>
        <w:footnoteReference w:id="129"/>
      </w:r>
      <w:r w:rsidR="00321E15" w:rsidRPr="00235688">
        <w:rPr>
          <w:szCs w:val="26"/>
        </w:rPr>
        <w:t xml:space="preserve"> </w:t>
      </w:r>
      <w:r w:rsidR="00783EF0" w:rsidRPr="00235688">
        <w:rPr>
          <w:szCs w:val="26"/>
        </w:rPr>
        <w:t>it was noted that</w:t>
      </w:r>
      <w:r w:rsidR="00783EF0" w:rsidRPr="00607345">
        <w:rPr>
          <w:szCs w:val="26"/>
        </w:rPr>
        <w:t xml:space="preserve"> a recurring issue during the year was that the </w:t>
      </w:r>
      <w:r w:rsidR="00783EF0" w:rsidRPr="00607345">
        <w:rPr>
          <w:rFonts w:eastAsiaTheme="minorHAnsi" w:cs="Calibri"/>
          <w:szCs w:val="26"/>
        </w:rPr>
        <w:t>HSE is still, in many cases, using the medical model of disability within its services and supports, instead of the social model which allows for more</w:t>
      </w:r>
      <w:r w:rsidR="00036A17" w:rsidRPr="00607345">
        <w:rPr>
          <w:rFonts w:eastAsiaTheme="minorHAnsi" w:cs="Calibri"/>
          <w:szCs w:val="26"/>
        </w:rPr>
        <w:t xml:space="preserve"> individualised approach to supports enabling individual choice and control</w:t>
      </w:r>
      <w:r w:rsidR="00811B61" w:rsidRPr="00607345">
        <w:rPr>
          <w:rFonts w:eastAsiaTheme="minorHAnsi" w:cs="Calibri"/>
          <w:szCs w:val="26"/>
        </w:rPr>
        <w:t>.</w:t>
      </w:r>
    </w:p>
    <w:p w14:paraId="7BD500C1" w14:textId="77777777" w:rsidR="00895E2D" w:rsidRPr="00607345" w:rsidRDefault="00AB7443" w:rsidP="00B40B38">
      <w:pPr>
        <w:pStyle w:val="Default"/>
        <w:spacing w:after="240"/>
        <w:rPr>
          <w:rFonts w:ascii="Tahoma" w:hAnsi="Tahoma" w:cs="Tahoma"/>
          <w:color w:val="auto"/>
          <w:sz w:val="23"/>
          <w:szCs w:val="23"/>
        </w:rPr>
      </w:pPr>
      <w:r w:rsidRPr="00607345">
        <w:rPr>
          <w:rFonts w:ascii="Gill Sans MT" w:hAnsi="Gill Sans MT"/>
          <w:b/>
          <w:color w:val="auto"/>
          <w:sz w:val="26"/>
          <w:szCs w:val="26"/>
          <w:lang w:eastAsia="en-IE"/>
        </w:rPr>
        <w:t xml:space="preserve">Indicator </w:t>
      </w:r>
      <w:r w:rsidR="00B70B73" w:rsidRPr="00607345">
        <w:rPr>
          <w:rFonts w:ascii="Gill Sans MT" w:hAnsi="Gill Sans MT"/>
          <w:b/>
          <w:color w:val="auto"/>
          <w:sz w:val="26"/>
          <w:szCs w:val="26"/>
          <w:lang w:eastAsia="en-IE"/>
        </w:rPr>
        <w:t xml:space="preserve">6.1c. Percentage of HIQA inspection reports where there is compliance with the regulation relating to personal </w:t>
      </w:r>
      <w:r w:rsidR="00B70B73" w:rsidRPr="00350A82">
        <w:rPr>
          <w:rFonts w:ascii="Gill Sans MT" w:hAnsi="Gill Sans MT"/>
          <w:b/>
          <w:color w:val="auto"/>
          <w:sz w:val="26"/>
          <w:szCs w:val="26"/>
          <w:lang w:eastAsia="en-IE"/>
        </w:rPr>
        <w:t>plans</w:t>
      </w:r>
      <w:r w:rsidR="00350A82" w:rsidRPr="00350A82">
        <w:rPr>
          <w:rFonts w:ascii="Gill Sans MT" w:hAnsi="Gill Sans MT"/>
          <w:b/>
          <w:color w:val="auto"/>
          <w:sz w:val="26"/>
          <w:szCs w:val="26"/>
          <w:lang w:eastAsia="en-IE"/>
        </w:rPr>
        <w:t xml:space="preserve"> </w:t>
      </w:r>
      <w:r w:rsidR="00350A82" w:rsidRPr="00350A82">
        <w:rPr>
          <w:rFonts w:ascii="Gill Sans MT" w:hAnsi="Gill Sans MT"/>
          <w:b/>
          <w:sz w:val="26"/>
          <w:szCs w:val="26"/>
          <w:lang w:eastAsia="en-IE"/>
        </w:rPr>
        <w:t>(Process)</w:t>
      </w:r>
      <w:r w:rsidR="00B70B73" w:rsidRPr="00350A82">
        <w:rPr>
          <w:rFonts w:ascii="Gill Sans MT" w:hAnsi="Gill Sans MT"/>
          <w:b/>
          <w:color w:val="auto"/>
          <w:sz w:val="26"/>
          <w:szCs w:val="26"/>
          <w:lang w:eastAsia="en-IE"/>
        </w:rPr>
        <w:t>:</w:t>
      </w:r>
      <w:r w:rsidR="00B70B73" w:rsidRPr="00607345">
        <w:rPr>
          <w:rFonts w:ascii="Gill Sans MT" w:hAnsi="Gill Sans MT"/>
          <w:color w:val="auto"/>
          <w:sz w:val="26"/>
          <w:szCs w:val="26"/>
          <w:lang w:eastAsia="en-IE"/>
        </w:rPr>
        <w:t xml:space="preserve"> </w:t>
      </w:r>
      <w:r w:rsidR="007023B5" w:rsidRPr="00607345">
        <w:rPr>
          <w:rFonts w:ascii="Gill Sans MT" w:hAnsi="Gill Sans MT"/>
          <w:color w:val="auto"/>
          <w:sz w:val="26"/>
          <w:szCs w:val="26"/>
          <w:lang w:eastAsia="en-IE"/>
        </w:rPr>
        <w:t xml:space="preserve">In 2019 HIQA published a review of five years of regulation in designated centres for </w:t>
      </w:r>
      <w:r w:rsidR="00194BEB" w:rsidRPr="00607345">
        <w:rPr>
          <w:rFonts w:ascii="Gill Sans MT" w:hAnsi="Gill Sans MT"/>
          <w:color w:val="auto"/>
          <w:sz w:val="26"/>
          <w:szCs w:val="26"/>
          <w:lang w:eastAsia="en-IE"/>
        </w:rPr>
        <w:t>persons with a disability</w:t>
      </w:r>
      <w:r w:rsidR="007023B5" w:rsidRPr="00607345">
        <w:rPr>
          <w:rFonts w:ascii="Gill Sans MT" w:hAnsi="Gill Sans MT"/>
          <w:color w:val="auto"/>
          <w:sz w:val="26"/>
          <w:szCs w:val="26"/>
          <w:lang w:eastAsia="en-IE"/>
        </w:rPr>
        <w:t>.</w:t>
      </w:r>
      <w:r w:rsidR="00800DE9" w:rsidRPr="00607345">
        <w:rPr>
          <w:rStyle w:val="FootnoteReference"/>
          <w:rFonts w:ascii="Gill Sans MT" w:hAnsi="Gill Sans MT"/>
          <w:color w:val="auto"/>
          <w:sz w:val="26"/>
          <w:szCs w:val="26"/>
          <w:lang w:eastAsia="en-IE"/>
        </w:rPr>
        <w:footnoteReference w:id="130"/>
      </w:r>
      <w:r w:rsidR="007023B5" w:rsidRPr="00607345">
        <w:rPr>
          <w:rFonts w:ascii="Gill Sans MT" w:hAnsi="Gill Sans MT"/>
          <w:color w:val="auto"/>
          <w:sz w:val="26"/>
          <w:szCs w:val="26"/>
          <w:lang w:eastAsia="en-IE"/>
        </w:rPr>
        <w:t xml:space="preserve"> </w:t>
      </w:r>
      <w:r w:rsidR="00800DE9" w:rsidRPr="00607345">
        <w:rPr>
          <w:rFonts w:ascii="Gill Sans MT" w:hAnsi="Gill Sans MT"/>
          <w:color w:val="auto"/>
          <w:sz w:val="26"/>
          <w:szCs w:val="26"/>
          <w:lang w:eastAsia="en-IE"/>
        </w:rPr>
        <w:t xml:space="preserve">Under the heading of </w:t>
      </w:r>
      <w:r w:rsidR="00201006" w:rsidRPr="00607345">
        <w:rPr>
          <w:rFonts w:ascii="Gill Sans MT" w:hAnsi="Gill Sans MT"/>
          <w:color w:val="auto"/>
          <w:sz w:val="26"/>
          <w:szCs w:val="26"/>
          <w:lang w:eastAsia="en-IE"/>
        </w:rPr>
        <w:t>“</w:t>
      </w:r>
      <w:r w:rsidR="00800DE9" w:rsidRPr="00607345">
        <w:rPr>
          <w:rFonts w:ascii="Gill Sans MT" w:hAnsi="Gill Sans MT"/>
          <w:color w:val="auto"/>
          <w:sz w:val="26"/>
          <w:szCs w:val="26"/>
          <w:lang w:eastAsia="en-IE"/>
        </w:rPr>
        <w:t>social care needs</w:t>
      </w:r>
      <w:r w:rsidR="00201006" w:rsidRPr="00607345">
        <w:rPr>
          <w:rFonts w:ascii="Gill Sans MT" w:hAnsi="Gill Sans MT"/>
          <w:color w:val="auto"/>
          <w:sz w:val="26"/>
          <w:szCs w:val="26"/>
          <w:lang w:eastAsia="en-IE"/>
        </w:rPr>
        <w:t>”,</w:t>
      </w:r>
      <w:r w:rsidR="00800DE9" w:rsidRPr="00607345">
        <w:rPr>
          <w:rFonts w:ascii="Gill Sans MT" w:hAnsi="Gill Sans MT"/>
          <w:color w:val="auto"/>
          <w:sz w:val="26"/>
          <w:szCs w:val="26"/>
          <w:lang w:eastAsia="en-IE"/>
        </w:rPr>
        <w:t xml:space="preserve"> the</w:t>
      </w:r>
      <w:r w:rsidR="00800DE9" w:rsidRPr="00607345">
        <w:rPr>
          <w:rFonts w:ascii="Gill Sans MT" w:hAnsi="Gill Sans MT"/>
          <w:color w:val="auto"/>
          <w:sz w:val="26"/>
          <w:szCs w:val="26"/>
        </w:rPr>
        <w:t xml:space="preserve"> regulations set out the type of assessment and personal planning </w:t>
      </w:r>
      <w:r w:rsidR="00321E15" w:rsidRPr="00607345">
        <w:rPr>
          <w:rFonts w:ascii="Gill Sans MT" w:hAnsi="Gill Sans MT"/>
          <w:color w:val="auto"/>
          <w:sz w:val="26"/>
          <w:szCs w:val="26"/>
        </w:rPr>
        <w:t xml:space="preserve">required </w:t>
      </w:r>
      <w:r w:rsidR="00800DE9" w:rsidRPr="00607345">
        <w:rPr>
          <w:rFonts w:ascii="Gill Sans MT" w:hAnsi="Gill Sans MT"/>
          <w:color w:val="auto"/>
          <w:sz w:val="26"/>
          <w:szCs w:val="26"/>
        </w:rPr>
        <w:t xml:space="preserve">to guide care and support of residents. </w:t>
      </w:r>
      <w:r w:rsidR="00895E2D" w:rsidRPr="00607345">
        <w:rPr>
          <w:rFonts w:ascii="Gill Sans MT" w:hAnsi="Gill Sans MT"/>
          <w:color w:val="auto"/>
          <w:sz w:val="26"/>
          <w:szCs w:val="26"/>
          <w:lang w:eastAsia="en-IE"/>
        </w:rPr>
        <w:t>Compliance with the HIQA regulation on social care planning, which incl</w:t>
      </w:r>
      <w:r w:rsidR="00800DE9" w:rsidRPr="00607345">
        <w:rPr>
          <w:rFonts w:ascii="Gill Sans MT" w:hAnsi="Gill Sans MT"/>
          <w:color w:val="auto"/>
          <w:sz w:val="26"/>
          <w:szCs w:val="26"/>
          <w:lang w:eastAsia="en-IE"/>
        </w:rPr>
        <w:t xml:space="preserve">udes </w:t>
      </w:r>
      <w:r w:rsidR="00321E15" w:rsidRPr="00607345">
        <w:rPr>
          <w:rFonts w:ascii="Gill Sans MT" w:hAnsi="Gill Sans MT"/>
          <w:color w:val="auto"/>
          <w:sz w:val="26"/>
          <w:szCs w:val="26"/>
          <w:lang w:eastAsia="en-IE"/>
        </w:rPr>
        <w:t>compliance with preparation of</w:t>
      </w:r>
      <w:r w:rsidR="00800DE9" w:rsidRPr="00607345">
        <w:rPr>
          <w:rFonts w:ascii="Gill Sans MT" w:hAnsi="Gill Sans MT"/>
          <w:color w:val="auto"/>
          <w:sz w:val="26"/>
          <w:szCs w:val="26"/>
          <w:lang w:eastAsia="en-IE"/>
        </w:rPr>
        <w:t xml:space="preserve"> personal plans</w:t>
      </w:r>
      <w:r w:rsidR="00201006" w:rsidRPr="00607345">
        <w:rPr>
          <w:rFonts w:ascii="Gill Sans MT" w:hAnsi="Gill Sans MT"/>
          <w:color w:val="auto"/>
          <w:sz w:val="26"/>
          <w:szCs w:val="26"/>
          <w:lang w:eastAsia="en-IE"/>
        </w:rPr>
        <w:t>,</w:t>
      </w:r>
      <w:r w:rsidR="00800DE9" w:rsidRPr="00607345">
        <w:rPr>
          <w:rFonts w:ascii="Gill Sans MT" w:hAnsi="Gill Sans MT"/>
          <w:color w:val="auto"/>
          <w:sz w:val="26"/>
          <w:szCs w:val="26"/>
          <w:lang w:eastAsia="en-IE"/>
        </w:rPr>
        <w:t xml:space="preserve"> </w:t>
      </w:r>
      <w:r w:rsidR="00895E2D" w:rsidRPr="00607345">
        <w:rPr>
          <w:rFonts w:ascii="Gill Sans MT" w:hAnsi="Gill Sans MT"/>
          <w:color w:val="auto"/>
          <w:sz w:val="26"/>
          <w:szCs w:val="26"/>
          <w:lang w:eastAsia="en-IE"/>
        </w:rPr>
        <w:t xml:space="preserve">increased from 38% in 2013-14 to 51% in 2017-18. </w:t>
      </w:r>
      <w:r w:rsidR="00800DE9" w:rsidRPr="00607345">
        <w:rPr>
          <w:rFonts w:ascii="Gill Sans MT" w:hAnsi="Gill Sans MT"/>
          <w:color w:val="auto"/>
          <w:sz w:val="26"/>
          <w:szCs w:val="26"/>
          <w:lang w:eastAsia="en-IE"/>
        </w:rPr>
        <w:t>While this is a very positive development</w:t>
      </w:r>
      <w:r w:rsidR="00201006" w:rsidRPr="00607345">
        <w:rPr>
          <w:rFonts w:ascii="Gill Sans MT" w:hAnsi="Gill Sans MT"/>
          <w:color w:val="auto"/>
          <w:sz w:val="26"/>
          <w:szCs w:val="26"/>
          <w:lang w:eastAsia="en-IE"/>
        </w:rPr>
        <w:t>,</w:t>
      </w:r>
      <w:r w:rsidR="00800DE9" w:rsidRPr="00607345">
        <w:rPr>
          <w:rFonts w:ascii="Gill Sans MT" w:hAnsi="Gill Sans MT"/>
          <w:color w:val="auto"/>
          <w:sz w:val="26"/>
          <w:szCs w:val="26"/>
          <w:lang w:eastAsia="en-IE"/>
        </w:rPr>
        <w:t xml:space="preserve"> HIQA notes that there is still work to be done </w:t>
      </w:r>
      <w:r w:rsidR="00800DE9" w:rsidRPr="00607345">
        <w:rPr>
          <w:rFonts w:ascii="Gill Sans MT" w:hAnsi="Gill Sans MT" w:cs="Tahoma"/>
          <w:color w:val="auto"/>
          <w:sz w:val="26"/>
          <w:szCs w:val="26"/>
        </w:rPr>
        <w:t>to ensure that all services provided to residents are person</w:t>
      </w:r>
      <w:r w:rsidR="00201006" w:rsidRPr="00607345">
        <w:rPr>
          <w:rFonts w:ascii="Gill Sans MT" w:hAnsi="Gill Sans MT" w:cs="Tahoma"/>
          <w:color w:val="auto"/>
          <w:sz w:val="26"/>
          <w:szCs w:val="26"/>
        </w:rPr>
        <w:t>-</w:t>
      </w:r>
      <w:r w:rsidR="00800DE9" w:rsidRPr="00607345">
        <w:rPr>
          <w:rFonts w:ascii="Gill Sans MT" w:hAnsi="Gill Sans MT" w:cs="Tahoma"/>
          <w:color w:val="auto"/>
          <w:sz w:val="26"/>
          <w:szCs w:val="26"/>
        </w:rPr>
        <w:t>centred and able to effectively meet their assessed social care and support needs on a continual basis.</w:t>
      </w:r>
      <w:r w:rsidR="0094481B" w:rsidRPr="00607345">
        <w:rPr>
          <w:rFonts w:ascii="Gill Sans MT" w:hAnsi="Gill Sans MT" w:cs="Tahoma"/>
          <w:color w:val="auto"/>
          <w:sz w:val="26"/>
          <w:szCs w:val="26"/>
        </w:rPr>
        <w:t xml:space="preserve"> The NDA</w:t>
      </w:r>
      <w:r w:rsidR="00321E15" w:rsidRPr="00607345">
        <w:rPr>
          <w:rFonts w:ascii="Gill Sans MT" w:hAnsi="Gill Sans MT" w:cs="Tahoma"/>
          <w:color w:val="auto"/>
          <w:sz w:val="26"/>
          <w:szCs w:val="26"/>
        </w:rPr>
        <w:t xml:space="preserve"> </w:t>
      </w:r>
      <w:r w:rsidR="00036A17" w:rsidRPr="00607345">
        <w:rPr>
          <w:rFonts w:ascii="Gill Sans MT" w:hAnsi="Gill Sans MT" w:cs="Tahoma"/>
          <w:color w:val="auto"/>
          <w:sz w:val="26"/>
          <w:szCs w:val="26"/>
        </w:rPr>
        <w:t xml:space="preserve">would expect </w:t>
      </w:r>
      <w:r w:rsidR="0094481B" w:rsidRPr="00607345">
        <w:rPr>
          <w:rFonts w:ascii="Gill Sans MT" w:hAnsi="Gill Sans MT" w:cs="Tahoma"/>
          <w:color w:val="auto"/>
          <w:sz w:val="26"/>
          <w:szCs w:val="26"/>
        </w:rPr>
        <w:t xml:space="preserve">that in conjunction with the activities around piloting and eventual roll out of the HSE’s Person-Centred Planning Framework compliance with this regulation will continue to improve. </w:t>
      </w:r>
    </w:p>
    <w:p w14:paraId="358ADB89" w14:textId="3B22322D" w:rsidR="00895E2D" w:rsidRPr="00607345" w:rsidRDefault="009E4ABD" w:rsidP="00093AC2">
      <w:pPr>
        <w:autoSpaceDE w:val="0"/>
        <w:autoSpaceDN w:val="0"/>
        <w:adjustRightInd w:val="0"/>
        <w:rPr>
          <w:lang w:eastAsia="en-IE"/>
        </w:rPr>
      </w:pPr>
      <w:r w:rsidRPr="00607345">
        <w:rPr>
          <w:b/>
          <w:lang w:eastAsia="en-IE"/>
        </w:rPr>
        <w:t xml:space="preserve">Indicator </w:t>
      </w:r>
      <w:r w:rsidR="00B70B73" w:rsidRPr="00607345">
        <w:rPr>
          <w:b/>
          <w:lang w:eastAsia="en-IE"/>
        </w:rPr>
        <w:t>6.1d. Percentage of approved mental health centres compliant with the regulation on individual care planning</w:t>
      </w:r>
      <w:r w:rsidR="00350A82">
        <w:rPr>
          <w:b/>
          <w:lang w:eastAsia="en-IE"/>
        </w:rPr>
        <w:t xml:space="preserve"> </w:t>
      </w:r>
      <w:r w:rsidR="00350A82">
        <w:rPr>
          <w:b/>
          <w:szCs w:val="26"/>
          <w:lang w:eastAsia="en-IE"/>
        </w:rPr>
        <w:t>(Process)</w:t>
      </w:r>
      <w:r w:rsidR="00B70B73" w:rsidRPr="00607345">
        <w:rPr>
          <w:b/>
          <w:szCs w:val="26"/>
          <w:lang w:eastAsia="en-IE"/>
        </w:rPr>
        <w:t>:</w:t>
      </w:r>
      <w:r w:rsidR="00B40B38" w:rsidRPr="00607345">
        <w:rPr>
          <w:b/>
          <w:szCs w:val="26"/>
          <w:lang w:eastAsia="en-IE"/>
        </w:rPr>
        <w:t xml:space="preserve"> </w:t>
      </w:r>
      <w:r w:rsidR="00B40B38" w:rsidRPr="00607345">
        <w:rPr>
          <w:rFonts w:eastAsiaTheme="minorHAnsi" w:cs="Gotham-Light"/>
          <w:szCs w:val="26"/>
        </w:rPr>
        <w:t>All in-patient facilities that provide care and treatment to people suffering from mental illness or disorder must be registered by the</w:t>
      </w:r>
      <w:r w:rsidR="00093AC2" w:rsidRPr="00607345">
        <w:rPr>
          <w:rFonts w:eastAsiaTheme="minorHAnsi" w:cs="Gotham-Light"/>
          <w:szCs w:val="26"/>
        </w:rPr>
        <w:t xml:space="preserve"> </w:t>
      </w:r>
      <w:r w:rsidR="00207A82">
        <w:rPr>
          <w:rFonts w:eastAsiaTheme="minorHAnsi" w:cs="Gotham-Light"/>
          <w:szCs w:val="26"/>
        </w:rPr>
        <w:t>MHC</w:t>
      </w:r>
      <w:r w:rsidR="00B40B38" w:rsidRPr="00607345">
        <w:rPr>
          <w:rFonts w:eastAsiaTheme="minorHAnsi" w:cs="Gotham-Light"/>
          <w:szCs w:val="26"/>
        </w:rPr>
        <w:t>. In 2018 there were 64 approved centres and 2</w:t>
      </w:r>
      <w:r w:rsidR="004F0B6C" w:rsidRPr="00607345">
        <w:rPr>
          <w:rFonts w:eastAsiaTheme="minorHAnsi" w:cs="Gotham-Light"/>
          <w:szCs w:val="26"/>
        </w:rPr>
        <w:t>,</w:t>
      </w:r>
      <w:r w:rsidR="00B40B38" w:rsidRPr="00607345">
        <w:rPr>
          <w:rFonts w:eastAsiaTheme="minorHAnsi" w:cs="Gotham-Light"/>
          <w:szCs w:val="26"/>
        </w:rPr>
        <w:t>770 in-patient beds</w:t>
      </w:r>
      <w:r w:rsidR="00B50A65">
        <w:rPr>
          <w:rStyle w:val="FootnoteReference"/>
          <w:rFonts w:eastAsiaTheme="minorHAnsi" w:cs="Gotham-Light"/>
          <w:szCs w:val="26"/>
        </w:rPr>
        <w:footnoteReference w:id="131"/>
      </w:r>
      <w:r w:rsidR="00863939" w:rsidRPr="00607345">
        <w:rPr>
          <w:rFonts w:eastAsiaTheme="minorHAnsi" w:cs="Gotham-Light"/>
          <w:szCs w:val="26"/>
        </w:rPr>
        <w:t xml:space="preserve"> (this excludes the 24 hour supervised mental health residences which are not regulated)</w:t>
      </w:r>
      <w:r w:rsidR="00B40B38" w:rsidRPr="00607345">
        <w:rPr>
          <w:rFonts w:eastAsiaTheme="minorHAnsi" w:cs="Gotham-Light"/>
          <w:szCs w:val="26"/>
        </w:rPr>
        <w:t>.</w:t>
      </w:r>
      <w:r w:rsidR="00B70B73" w:rsidRPr="00607345">
        <w:rPr>
          <w:szCs w:val="26"/>
          <w:lang w:eastAsia="en-IE"/>
        </w:rPr>
        <w:t xml:space="preserve"> </w:t>
      </w:r>
      <w:r w:rsidR="00B40B38" w:rsidRPr="00607345">
        <w:rPr>
          <w:szCs w:val="26"/>
          <w:lang w:eastAsia="en-IE"/>
        </w:rPr>
        <w:t xml:space="preserve">The Annual Report of the Inspector of </w:t>
      </w:r>
      <w:r w:rsidR="00BD2569" w:rsidRPr="00607345">
        <w:rPr>
          <w:szCs w:val="26"/>
          <w:lang w:eastAsia="en-IE"/>
        </w:rPr>
        <w:t>Mental Health Services</w:t>
      </w:r>
      <w:r w:rsidR="00B40B38" w:rsidRPr="00607345">
        <w:rPr>
          <w:szCs w:val="26"/>
          <w:lang w:eastAsia="en-IE"/>
        </w:rPr>
        <w:t>, which inspects these</w:t>
      </w:r>
      <w:r w:rsidR="00B40B38" w:rsidRPr="00607345">
        <w:rPr>
          <w:lang w:eastAsia="en-IE"/>
        </w:rPr>
        <w:t xml:space="preserve"> approved centres found that c</w:t>
      </w:r>
      <w:r w:rsidR="00895E2D" w:rsidRPr="00607345">
        <w:rPr>
          <w:lang w:eastAsia="en-IE"/>
        </w:rPr>
        <w:t xml:space="preserve">ompliance with </w:t>
      </w:r>
      <w:r w:rsidR="00B40B38" w:rsidRPr="00607345">
        <w:rPr>
          <w:lang w:eastAsia="en-IE"/>
        </w:rPr>
        <w:t xml:space="preserve">the </w:t>
      </w:r>
      <w:r w:rsidR="00207A82">
        <w:rPr>
          <w:lang w:eastAsia="en-IE"/>
        </w:rPr>
        <w:t>MHC</w:t>
      </w:r>
      <w:r w:rsidR="00863939" w:rsidRPr="00607345">
        <w:rPr>
          <w:lang w:eastAsia="en-IE"/>
        </w:rPr>
        <w:t xml:space="preserve"> r</w:t>
      </w:r>
      <w:r w:rsidR="002E30B1" w:rsidRPr="00607345">
        <w:rPr>
          <w:lang w:eastAsia="en-IE"/>
        </w:rPr>
        <w:t xml:space="preserve">egulation on individual care planning increased </w:t>
      </w:r>
      <w:r w:rsidR="002E30B1" w:rsidRPr="00255BC3">
        <w:rPr>
          <w:lang w:eastAsia="en-IE"/>
        </w:rPr>
        <w:t>from 38% in</w:t>
      </w:r>
      <w:r w:rsidR="002E30B1" w:rsidRPr="00607345">
        <w:rPr>
          <w:lang w:eastAsia="en-IE"/>
        </w:rPr>
        <w:t xml:space="preserve"> 2016 to 59% in 2018</w:t>
      </w:r>
      <w:r w:rsidR="00B50A65">
        <w:rPr>
          <w:lang w:eastAsia="en-IE"/>
        </w:rPr>
        <w:t>.</w:t>
      </w:r>
      <w:r w:rsidR="002E30B1" w:rsidRPr="00607345">
        <w:rPr>
          <w:lang w:eastAsia="en-IE"/>
        </w:rPr>
        <w:t xml:space="preserve"> </w:t>
      </w:r>
      <w:r w:rsidR="00B40B38" w:rsidRPr="00607345">
        <w:rPr>
          <w:lang w:eastAsia="en-IE"/>
        </w:rPr>
        <w:t xml:space="preserve">While this is a positive development there are still a significant number of </w:t>
      </w:r>
      <w:r w:rsidR="00036A17" w:rsidRPr="00607345">
        <w:rPr>
          <w:lang w:eastAsia="en-IE"/>
        </w:rPr>
        <w:t xml:space="preserve">persons </w:t>
      </w:r>
      <w:r w:rsidR="00B40B38" w:rsidRPr="00607345">
        <w:rPr>
          <w:lang w:eastAsia="en-IE"/>
        </w:rPr>
        <w:t>for whom individual care planning is insufficient. The Inspector notes a general improvement in compliance with regulations</w:t>
      </w:r>
      <w:r w:rsidR="004F0B6C" w:rsidRPr="00607345">
        <w:rPr>
          <w:lang w:eastAsia="en-IE"/>
        </w:rPr>
        <w:t>,</w:t>
      </w:r>
      <w:r w:rsidR="00B40B38" w:rsidRPr="00607345">
        <w:rPr>
          <w:lang w:eastAsia="en-IE"/>
        </w:rPr>
        <w:t xml:space="preserve"> so it is anticipated that this </w:t>
      </w:r>
      <w:r w:rsidR="00BD2569" w:rsidRPr="00607345">
        <w:rPr>
          <w:lang w:eastAsia="en-IE"/>
        </w:rPr>
        <w:t xml:space="preserve">improvement </w:t>
      </w:r>
      <w:r w:rsidR="004F0B6C" w:rsidRPr="00607345">
        <w:rPr>
          <w:lang w:eastAsia="en-IE"/>
        </w:rPr>
        <w:t xml:space="preserve">in individual care planning </w:t>
      </w:r>
      <w:r w:rsidR="00BD2569" w:rsidRPr="00607345">
        <w:rPr>
          <w:lang w:eastAsia="en-IE"/>
        </w:rPr>
        <w:t>will</w:t>
      </w:r>
      <w:r w:rsidR="00863939" w:rsidRPr="00607345">
        <w:rPr>
          <w:lang w:eastAsia="en-IE"/>
        </w:rPr>
        <w:t xml:space="preserve"> </w:t>
      </w:r>
      <w:r w:rsidR="00B40B38" w:rsidRPr="00607345">
        <w:rPr>
          <w:lang w:eastAsia="en-IE"/>
        </w:rPr>
        <w:t>continue</w:t>
      </w:r>
      <w:r w:rsidR="004F0B6C" w:rsidRPr="00607345">
        <w:rPr>
          <w:lang w:eastAsia="en-IE"/>
        </w:rPr>
        <w:t>.</w:t>
      </w:r>
      <w:r w:rsidR="00B40B38" w:rsidRPr="00607345">
        <w:rPr>
          <w:lang w:eastAsia="en-IE"/>
        </w:rPr>
        <w:t xml:space="preserve"> </w:t>
      </w:r>
      <w:r w:rsidR="004F0B6C" w:rsidRPr="00607345">
        <w:rPr>
          <w:lang w:eastAsia="en-IE"/>
        </w:rPr>
        <w:t>However,</w:t>
      </w:r>
      <w:r w:rsidR="00B40B38" w:rsidRPr="00607345">
        <w:rPr>
          <w:lang w:eastAsia="en-IE"/>
        </w:rPr>
        <w:t xml:space="preserve"> the NDA </w:t>
      </w:r>
      <w:r w:rsidR="00036A17" w:rsidRPr="00607345">
        <w:rPr>
          <w:lang w:eastAsia="en-IE"/>
        </w:rPr>
        <w:t xml:space="preserve">advises </w:t>
      </w:r>
      <w:r w:rsidR="00B40B38" w:rsidRPr="00607345">
        <w:rPr>
          <w:lang w:eastAsia="en-IE"/>
        </w:rPr>
        <w:t>more emphasi</w:t>
      </w:r>
      <w:r w:rsidR="00907F0A" w:rsidRPr="00607345">
        <w:rPr>
          <w:lang w:eastAsia="en-IE"/>
        </w:rPr>
        <w:t xml:space="preserve">s in this area to ensure people’s care is optimised. </w:t>
      </w:r>
    </w:p>
    <w:p w14:paraId="2B14E512" w14:textId="7EE189CC" w:rsidR="00B70B73" w:rsidRDefault="009E4ABD" w:rsidP="009E4ABD">
      <w:pPr>
        <w:rPr>
          <w:lang w:eastAsia="en-IE"/>
        </w:rPr>
      </w:pPr>
      <w:r w:rsidRPr="009E4ABD">
        <w:rPr>
          <w:b/>
          <w:lang w:eastAsia="en-IE"/>
        </w:rPr>
        <w:t xml:space="preserve">Indicator </w:t>
      </w:r>
      <w:r w:rsidR="00B70B73" w:rsidRPr="009E4ABD">
        <w:rPr>
          <w:b/>
          <w:lang w:eastAsia="en-IE"/>
        </w:rPr>
        <w:t xml:space="preserve">6.1e. Percentage of </w:t>
      </w:r>
      <w:r w:rsidR="004B469A">
        <w:rPr>
          <w:b/>
          <w:lang w:eastAsia="en-IE"/>
        </w:rPr>
        <w:t>persons with disabilities</w:t>
      </w:r>
      <w:r w:rsidR="00B70B73" w:rsidRPr="009E4ABD">
        <w:rPr>
          <w:b/>
          <w:lang w:eastAsia="en-IE"/>
        </w:rPr>
        <w:t xml:space="preserve"> included in an evaluation of a personalised budgeting scheme who are satisfied with the scheme</w:t>
      </w:r>
      <w:r w:rsidR="00350A82">
        <w:rPr>
          <w:b/>
          <w:lang w:eastAsia="en-IE"/>
        </w:rPr>
        <w:t xml:space="preserve"> </w:t>
      </w:r>
      <w:r w:rsidR="00350A82">
        <w:rPr>
          <w:b/>
          <w:szCs w:val="26"/>
          <w:lang w:eastAsia="en-IE"/>
        </w:rPr>
        <w:t>(Process)</w:t>
      </w:r>
      <w:r w:rsidR="00B70B73" w:rsidRPr="009E4ABD">
        <w:rPr>
          <w:b/>
          <w:lang w:eastAsia="en-IE"/>
        </w:rPr>
        <w:t>:</w:t>
      </w:r>
      <w:r w:rsidR="00B70B73">
        <w:rPr>
          <w:lang w:eastAsia="en-IE"/>
        </w:rPr>
        <w:t xml:space="preserve"> A </w:t>
      </w:r>
      <w:r w:rsidR="000E7CCF">
        <w:rPr>
          <w:lang w:eastAsia="en-IE"/>
        </w:rPr>
        <w:t xml:space="preserve">demonstration </w:t>
      </w:r>
      <w:r w:rsidR="00B70B73">
        <w:rPr>
          <w:lang w:eastAsia="en-IE"/>
        </w:rPr>
        <w:t>project relating to personalised budget</w:t>
      </w:r>
      <w:r w:rsidR="000E7CCF">
        <w:rPr>
          <w:lang w:eastAsia="en-IE"/>
        </w:rPr>
        <w:t>s</w:t>
      </w:r>
      <w:r w:rsidR="00B70B73">
        <w:rPr>
          <w:lang w:eastAsia="en-IE"/>
        </w:rPr>
        <w:t xml:space="preserve"> is ongoing with an evaluation planned. </w:t>
      </w:r>
      <w:r w:rsidR="00453EC1">
        <w:rPr>
          <w:lang w:eastAsia="en-IE"/>
        </w:rPr>
        <w:t>Therefore, there</w:t>
      </w:r>
      <w:r w:rsidR="00B70B73">
        <w:rPr>
          <w:lang w:eastAsia="en-IE"/>
        </w:rPr>
        <w:t xml:space="preserve"> are no data currently available for this indicator.</w:t>
      </w:r>
      <w:r w:rsidR="00321E15">
        <w:rPr>
          <w:lang w:eastAsia="en-IE"/>
        </w:rPr>
        <w:t xml:space="preserve"> However, the HSE commissioned a demonstration phase </w:t>
      </w:r>
      <w:r w:rsidR="00F37A9D">
        <w:rPr>
          <w:lang w:eastAsia="en-IE"/>
        </w:rPr>
        <w:t xml:space="preserve">in 2019 </w:t>
      </w:r>
      <w:r w:rsidR="00321E15">
        <w:rPr>
          <w:lang w:eastAsia="en-IE"/>
        </w:rPr>
        <w:t xml:space="preserve">with 116 eligible participants </w:t>
      </w:r>
      <w:r w:rsidR="000D441F" w:rsidRPr="00FE3004">
        <w:rPr>
          <w:lang w:eastAsia="en-IE"/>
        </w:rPr>
        <w:t xml:space="preserve">to be </w:t>
      </w:r>
      <w:r w:rsidR="006602AC">
        <w:rPr>
          <w:lang w:eastAsia="en-IE"/>
        </w:rPr>
        <w:t>brought on board</w:t>
      </w:r>
      <w:r w:rsidR="00F37A9D">
        <w:rPr>
          <w:lang w:eastAsia="en-IE"/>
        </w:rPr>
        <w:t xml:space="preserve"> in Q1 2020</w:t>
      </w:r>
      <w:r w:rsidR="006602AC">
        <w:rPr>
          <w:lang w:eastAsia="en-IE"/>
        </w:rPr>
        <w:t>.</w:t>
      </w:r>
    </w:p>
    <w:p w14:paraId="5BA4B642" w14:textId="1BF0AA5E" w:rsidR="00B35A03" w:rsidRDefault="009E4ABD" w:rsidP="00B35A03">
      <w:pPr>
        <w:tabs>
          <w:tab w:val="left" w:pos="972"/>
        </w:tabs>
      </w:pPr>
      <w:r w:rsidRPr="009E4ABD">
        <w:rPr>
          <w:b/>
          <w:lang w:eastAsia="en-IE"/>
        </w:rPr>
        <w:t xml:space="preserve">Indicator </w:t>
      </w:r>
      <w:r w:rsidR="00B35A03">
        <w:rPr>
          <w:b/>
          <w:lang w:eastAsia="en-IE"/>
        </w:rPr>
        <w:t>6.2a. Percentage of A</w:t>
      </w:r>
      <w:r w:rsidR="00B70B73" w:rsidRPr="009E4ABD">
        <w:rPr>
          <w:b/>
          <w:lang w:eastAsia="en-IE"/>
        </w:rPr>
        <w:t>ssessmen</w:t>
      </w:r>
      <w:r w:rsidR="00B35A03">
        <w:rPr>
          <w:b/>
          <w:lang w:eastAsia="en-IE"/>
        </w:rPr>
        <w:t>ts of N</w:t>
      </w:r>
      <w:r w:rsidR="00B70B73" w:rsidRPr="009E4ABD">
        <w:rPr>
          <w:b/>
          <w:lang w:eastAsia="en-IE"/>
        </w:rPr>
        <w:t>eed (of children) completed within the timelines as provided for in the regulations</w:t>
      </w:r>
      <w:r w:rsidR="00350A82">
        <w:rPr>
          <w:b/>
          <w:lang w:eastAsia="en-IE"/>
        </w:rPr>
        <w:t xml:space="preserve"> </w:t>
      </w:r>
      <w:r w:rsidR="00350A82">
        <w:rPr>
          <w:b/>
          <w:szCs w:val="26"/>
          <w:lang w:eastAsia="en-IE"/>
        </w:rPr>
        <w:t>(Process)</w:t>
      </w:r>
      <w:r w:rsidR="00B70B73" w:rsidRPr="009E4ABD">
        <w:rPr>
          <w:b/>
          <w:lang w:eastAsia="en-IE"/>
        </w:rPr>
        <w:t>:</w:t>
      </w:r>
      <w:r w:rsidR="00B70B73">
        <w:rPr>
          <w:lang w:eastAsia="en-IE"/>
        </w:rPr>
        <w:t xml:space="preserve"> </w:t>
      </w:r>
      <w:r w:rsidR="00607345">
        <w:rPr>
          <w:lang w:val="en"/>
        </w:rPr>
        <w:t>The Disability Act 2005 provide</w:t>
      </w:r>
      <w:r w:rsidR="00B35A03">
        <w:rPr>
          <w:lang w:val="en"/>
        </w:rPr>
        <w:t xml:space="preserve">s for, among other things, </w:t>
      </w:r>
      <w:r w:rsidR="00802A07">
        <w:rPr>
          <w:lang w:val="en"/>
        </w:rPr>
        <w:t>an</w:t>
      </w:r>
      <w:r w:rsidR="00B35A03">
        <w:rPr>
          <w:lang w:val="en"/>
        </w:rPr>
        <w:t xml:space="preserve"> Assessment of N</w:t>
      </w:r>
      <w:r w:rsidR="00607345">
        <w:rPr>
          <w:lang w:val="en"/>
        </w:rPr>
        <w:t xml:space="preserve">eed </w:t>
      </w:r>
      <w:r w:rsidR="00802A07">
        <w:rPr>
          <w:lang w:val="en"/>
        </w:rPr>
        <w:t>for</w:t>
      </w:r>
      <w:r w:rsidR="00607345">
        <w:rPr>
          <w:lang w:val="en"/>
        </w:rPr>
        <w:t xml:space="preserve"> </w:t>
      </w:r>
      <w:r w:rsidR="00802A07">
        <w:rPr>
          <w:lang w:val="en"/>
        </w:rPr>
        <w:t>persons</w:t>
      </w:r>
      <w:r w:rsidR="00607345">
        <w:rPr>
          <w:lang w:val="en"/>
        </w:rPr>
        <w:t xml:space="preserve"> with disabilities and the drawing up of Service Statements. The</w:t>
      </w:r>
      <w:r w:rsidR="00B35A03">
        <w:rPr>
          <w:lang w:val="en"/>
        </w:rPr>
        <w:t xml:space="preserve"> aim of an A</w:t>
      </w:r>
      <w:r w:rsidR="00607345">
        <w:rPr>
          <w:lang w:val="en"/>
        </w:rPr>
        <w:t xml:space="preserve">ssessment is to decide what health and education needs arise from </w:t>
      </w:r>
      <w:r w:rsidR="00802A07">
        <w:rPr>
          <w:lang w:val="en"/>
        </w:rPr>
        <w:t>a</w:t>
      </w:r>
      <w:r w:rsidR="00607345">
        <w:rPr>
          <w:lang w:val="en"/>
        </w:rPr>
        <w:t xml:space="preserve"> child's disability and what services they require to meet those needs. </w:t>
      </w:r>
      <w:r w:rsidR="002E30B1">
        <w:rPr>
          <w:lang w:eastAsia="en-IE"/>
        </w:rPr>
        <w:t>The timely completion of assessments of need for children has decreased from 25.8% in Q2 2017</w:t>
      </w:r>
      <w:r w:rsidR="00061326">
        <w:rPr>
          <w:rStyle w:val="FootnoteReference"/>
          <w:lang w:eastAsia="en-IE"/>
        </w:rPr>
        <w:footnoteReference w:id="132"/>
      </w:r>
      <w:r w:rsidR="002E30B1">
        <w:rPr>
          <w:lang w:eastAsia="en-IE"/>
        </w:rPr>
        <w:t xml:space="preserve"> to 8.5% in Q2 2019.</w:t>
      </w:r>
      <w:r w:rsidR="00061326">
        <w:rPr>
          <w:rStyle w:val="FootnoteReference"/>
          <w:lang w:eastAsia="en-IE"/>
        </w:rPr>
        <w:footnoteReference w:id="133"/>
      </w:r>
      <w:r w:rsidR="002D120D">
        <w:rPr>
          <w:lang w:eastAsia="en-IE"/>
        </w:rPr>
        <w:t xml:space="preserve"> </w:t>
      </w:r>
      <w:r w:rsidR="00B35A03">
        <w:t>At both of these time points there was significant variation in timely completion of assessments of need across CHOs, and in both 2017 and 2019 the same CHO areas had the lowest rates of timely completion.</w:t>
      </w:r>
    </w:p>
    <w:p w14:paraId="58F0F032" w14:textId="77777777" w:rsidR="002E30B1" w:rsidRDefault="002D120D" w:rsidP="00B35A03">
      <w:pPr>
        <w:tabs>
          <w:tab w:val="left" w:pos="972"/>
        </w:tabs>
        <w:rPr>
          <w:lang w:eastAsia="en-IE"/>
        </w:rPr>
      </w:pPr>
      <w:r>
        <w:rPr>
          <w:lang w:eastAsia="en-IE"/>
        </w:rPr>
        <w:t xml:space="preserve">A new Standard Operating Procedure for </w:t>
      </w:r>
      <w:r w:rsidR="00D311B2">
        <w:rPr>
          <w:lang w:eastAsia="en-IE"/>
        </w:rPr>
        <w:t>the Assessment of Need process was introduced nationally in January 2020</w:t>
      </w:r>
      <w:r w:rsidR="007F2683">
        <w:rPr>
          <w:lang w:eastAsia="en-IE"/>
        </w:rPr>
        <w:t xml:space="preserve">, the aim of which is </w:t>
      </w:r>
      <w:r w:rsidR="007F2683" w:rsidRPr="007F2683">
        <w:rPr>
          <w:lang w:eastAsia="en-IE"/>
        </w:rPr>
        <w:t xml:space="preserve">to ensure a </w:t>
      </w:r>
      <w:r w:rsidR="007F2683">
        <w:rPr>
          <w:lang w:eastAsia="en-IE"/>
        </w:rPr>
        <w:t xml:space="preserve">more </w:t>
      </w:r>
      <w:r w:rsidR="007F2683" w:rsidRPr="007F2683">
        <w:rPr>
          <w:lang w:eastAsia="en-IE"/>
        </w:rPr>
        <w:t>consistent approach to applications for</w:t>
      </w:r>
      <w:r w:rsidR="007F2683">
        <w:rPr>
          <w:lang w:eastAsia="en-IE"/>
        </w:rPr>
        <w:t xml:space="preserve"> </w:t>
      </w:r>
      <w:r w:rsidR="007F2683" w:rsidRPr="009E4ABD">
        <w:rPr>
          <w:bCs/>
          <w:lang w:eastAsia="en-IE"/>
        </w:rPr>
        <w:t>assessments</w:t>
      </w:r>
      <w:r w:rsidR="00D01D57">
        <w:rPr>
          <w:bCs/>
          <w:lang w:eastAsia="en-IE"/>
        </w:rPr>
        <w:t xml:space="preserve"> across the various CHOs</w:t>
      </w:r>
      <w:r w:rsidR="00D311B2" w:rsidRPr="007F2683">
        <w:rPr>
          <w:lang w:eastAsia="en-IE"/>
        </w:rPr>
        <w:t>.</w:t>
      </w:r>
      <w:r w:rsidR="002E30B1">
        <w:rPr>
          <w:lang w:eastAsia="en-IE"/>
        </w:rPr>
        <w:t xml:space="preserve"> </w:t>
      </w:r>
      <w:r w:rsidR="00093AC2">
        <w:rPr>
          <w:lang w:eastAsia="en-IE"/>
        </w:rPr>
        <w:t xml:space="preserve">This development in conjunction with the planned increase in the number of </w:t>
      </w:r>
      <w:r w:rsidR="00201006">
        <w:rPr>
          <w:lang w:eastAsia="en-IE"/>
        </w:rPr>
        <w:t>C</w:t>
      </w:r>
      <w:r w:rsidR="00093AC2">
        <w:rPr>
          <w:lang w:eastAsia="en-IE"/>
        </w:rPr>
        <w:t>hild</w:t>
      </w:r>
      <w:r w:rsidR="00F66395">
        <w:rPr>
          <w:lang w:eastAsia="en-IE"/>
        </w:rPr>
        <w:t>r</w:t>
      </w:r>
      <w:r w:rsidR="00093AC2">
        <w:rPr>
          <w:lang w:eastAsia="en-IE"/>
        </w:rPr>
        <w:t>en’s Disabil</w:t>
      </w:r>
      <w:r w:rsidR="00F66395">
        <w:rPr>
          <w:lang w:eastAsia="en-IE"/>
        </w:rPr>
        <w:t>i</w:t>
      </w:r>
      <w:r w:rsidR="00093AC2">
        <w:rPr>
          <w:lang w:eastAsia="en-IE"/>
        </w:rPr>
        <w:t xml:space="preserve">ty Network Teams (see indicator 6.2b below) </w:t>
      </w:r>
      <w:r w:rsidR="00BB70E4">
        <w:rPr>
          <w:lang w:eastAsia="en-IE"/>
        </w:rPr>
        <w:t>and 100 additional therapy posts approved in Budget 2019</w:t>
      </w:r>
      <w:r w:rsidR="00863939">
        <w:rPr>
          <w:lang w:eastAsia="en-IE"/>
        </w:rPr>
        <w:t>,</w:t>
      </w:r>
      <w:r w:rsidR="00BB70E4">
        <w:rPr>
          <w:lang w:eastAsia="en-IE"/>
        </w:rPr>
        <w:t xml:space="preserve"> which the HSE have indicated will be filled by end 2020</w:t>
      </w:r>
      <w:r w:rsidR="00863939">
        <w:rPr>
          <w:lang w:eastAsia="en-IE"/>
        </w:rPr>
        <w:t>,</w:t>
      </w:r>
      <w:r w:rsidR="00BB70E4">
        <w:rPr>
          <w:lang w:eastAsia="en-IE"/>
        </w:rPr>
        <w:t xml:space="preserve"> </w:t>
      </w:r>
      <w:r w:rsidR="00093AC2">
        <w:rPr>
          <w:lang w:eastAsia="en-IE"/>
        </w:rPr>
        <w:t>should help to reduce the time take</w:t>
      </w:r>
      <w:r w:rsidR="00201006">
        <w:rPr>
          <w:lang w:eastAsia="en-IE"/>
        </w:rPr>
        <w:t>n</w:t>
      </w:r>
      <w:r w:rsidR="00093AC2">
        <w:rPr>
          <w:lang w:eastAsia="en-IE"/>
        </w:rPr>
        <w:t xml:space="preserve"> for assessment</w:t>
      </w:r>
      <w:r w:rsidR="00201006">
        <w:rPr>
          <w:lang w:eastAsia="en-IE"/>
        </w:rPr>
        <w:t>s</w:t>
      </w:r>
      <w:r w:rsidR="00093AC2">
        <w:rPr>
          <w:lang w:eastAsia="en-IE"/>
        </w:rPr>
        <w:t xml:space="preserve"> of need. </w:t>
      </w:r>
    </w:p>
    <w:p w14:paraId="03AC61AD" w14:textId="20D2C4F6" w:rsidR="000D441F" w:rsidRDefault="009E4ABD" w:rsidP="009E4ABD">
      <w:pPr>
        <w:rPr>
          <w:color w:val="000000" w:themeColor="text1"/>
          <w:lang w:eastAsia="en-IE"/>
        </w:rPr>
      </w:pPr>
      <w:r w:rsidRPr="009E4ABD">
        <w:rPr>
          <w:b/>
          <w:lang w:eastAsia="en-IE"/>
        </w:rPr>
        <w:t xml:space="preserve">Indicator </w:t>
      </w:r>
      <w:r w:rsidR="00B70B73" w:rsidRPr="009E4ABD">
        <w:rPr>
          <w:b/>
          <w:lang w:eastAsia="en-IE"/>
        </w:rPr>
        <w:t>6.2b. Number of Children’s Disability Network Teams established</w:t>
      </w:r>
      <w:r w:rsidR="00350A82">
        <w:rPr>
          <w:b/>
          <w:lang w:eastAsia="en-IE"/>
        </w:rPr>
        <w:t xml:space="preserve"> (Structural</w:t>
      </w:r>
      <w:r w:rsidR="00350A82" w:rsidRPr="00802A07">
        <w:rPr>
          <w:b/>
          <w:color w:val="000000" w:themeColor="text1"/>
          <w:lang w:eastAsia="en-IE"/>
        </w:rPr>
        <w:t>)</w:t>
      </w:r>
      <w:r w:rsidR="00B70B73" w:rsidRPr="00802A07">
        <w:rPr>
          <w:b/>
          <w:color w:val="000000" w:themeColor="text1"/>
          <w:lang w:eastAsia="en-IE"/>
        </w:rPr>
        <w:t>:</w:t>
      </w:r>
      <w:r w:rsidR="00B70B73" w:rsidRPr="00802A07">
        <w:rPr>
          <w:color w:val="000000" w:themeColor="text1"/>
          <w:lang w:eastAsia="en-IE"/>
        </w:rPr>
        <w:t xml:space="preserve"> </w:t>
      </w:r>
      <w:r w:rsidR="00F03568">
        <w:rPr>
          <w:color w:val="000000" w:themeColor="text1"/>
          <w:lang w:eastAsia="en-IE"/>
        </w:rPr>
        <w:t xml:space="preserve">The </w:t>
      </w:r>
      <w:r w:rsidR="00607345" w:rsidRPr="00802A07">
        <w:rPr>
          <w:rFonts w:cs="Open Sans"/>
          <w:color w:val="000000" w:themeColor="text1"/>
          <w:lang w:val="en"/>
        </w:rPr>
        <w:t xml:space="preserve">Progressing Disability Services </w:t>
      </w:r>
      <w:r w:rsidR="00F03568">
        <w:rPr>
          <w:rFonts w:cs="Open Sans"/>
          <w:color w:val="000000" w:themeColor="text1"/>
          <w:lang w:val="en"/>
        </w:rPr>
        <w:t xml:space="preserve">for Children and Young People Programme was launched in 2011 and </w:t>
      </w:r>
      <w:r w:rsidR="00607345" w:rsidRPr="00802A07">
        <w:rPr>
          <w:rFonts w:cs="Open Sans"/>
          <w:color w:val="000000" w:themeColor="text1"/>
          <w:lang w:val="en"/>
        </w:rPr>
        <w:t>is a national process to re</w:t>
      </w:r>
      <w:r w:rsidR="0061567E">
        <w:rPr>
          <w:rFonts w:cs="Open Sans"/>
          <w:color w:val="000000" w:themeColor="text1"/>
          <w:lang w:val="en"/>
        </w:rPr>
        <w:t>-</w:t>
      </w:r>
      <w:r w:rsidR="00607345" w:rsidRPr="00802A07">
        <w:rPr>
          <w:rFonts w:cs="Open Sans"/>
          <w:color w:val="000000" w:themeColor="text1"/>
          <w:lang w:val="en"/>
        </w:rPr>
        <w:t>organise children’s disability services. As part of this</w:t>
      </w:r>
      <w:r w:rsidR="00802A07">
        <w:rPr>
          <w:rFonts w:cs="Open Sans"/>
          <w:color w:val="000000" w:themeColor="text1"/>
          <w:lang w:val="en"/>
        </w:rPr>
        <w:t>,</w:t>
      </w:r>
      <w:r w:rsidR="00607345" w:rsidRPr="00802A07">
        <w:rPr>
          <w:rFonts w:cs="Open Sans"/>
          <w:color w:val="000000" w:themeColor="text1"/>
          <w:lang w:val="en"/>
        </w:rPr>
        <w:t xml:space="preserve"> multi-disciplinary teams called Children’s Disability Network Teams will be formed which will include health and social care professionals experienced in delivering services for children with disabilities. Members of a children’s disability team work closely together to provide a wide range of services and supports for children and their families.</w:t>
      </w:r>
      <w:r w:rsidR="00607345" w:rsidRPr="00802A07">
        <w:rPr>
          <w:rFonts w:ascii="Open Sans" w:hAnsi="Open Sans" w:cs="Open Sans"/>
          <w:color w:val="000000" w:themeColor="text1"/>
          <w:lang w:val="en"/>
        </w:rPr>
        <w:t xml:space="preserve"> </w:t>
      </w:r>
      <w:r w:rsidR="002E30B1" w:rsidRPr="00802A07">
        <w:rPr>
          <w:color w:val="000000" w:themeColor="text1"/>
          <w:lang w:eastAsia="en-IE"/>
        </w:rPr>
        <w:t xml:space="preserve">There has been no progress on increasing the number of existing Children’s Disability Network Teams which has remained at 56 since </w:t>
      </w:r>
      <w:r w:rsidR="002E30B1" w:rsidRPr="005228C2">
        <w:rPr>
          <w:color w:val="000000" w:themeColor="text1"/>
          <w:lang w:eastAsia="en-IE"/>
        </w:rPr>
        <w:t>2016</w:t>
      </w:r>
      <w:r w:rsidR="005228C2">
        <w:rPr>
          <w:rStyle w:val="FootnoteReference"/>
          <w:color w:val="000000" w:themeColor="text1"/>
          <w:lang w:eastAsia="en-IE"/>
        </w:rPr>
        <w:footnoteReference w:id="134"/>
      </w:r>
      <w:r w:rsidR="005228C2">
        <w:rPr>
          <w:color w:val="000000" w:themeColor="text1"/>
          <w:lang w:eastAsia="en-IE"/>
        </w:rPr>
        <w:t xml:space="preserve"> </w:t>
      </w:r>
      <w:r w:rsidR="005228C2">
        <w:rPr>
          <w:rStyle w:val="FootnoteReference"/>
          <w:color w:val="000000" w:themeColor="text1"/>
          <w:lang w:eastAsia="en-IE"/>
        </w:rPr>
        <w:footnoteReference w:id="135"/>
      </w:r>
      <w:r w:rsidR="00C351B4">
        <w:rPr>
          <w:color w:val="000000" w:themeColor="text1"/>
          <w:lang w:eastAsia="en-IE"/>
        </w:rPr>
        <w:t xml:space="preserve">, compared to </w:t>
      </w:r>
      <w:r w:rsidR="00E15156" w:rsidRPr="00802A07">
        <w:rPr>
          <w:color w:val="000000" w:themeColor="text1"/>
          <w:lang w:eastAsia="en-IE"/>
        </w:rPr>
        <w:t>an overall target of 138 teams</w:t>
      </w:r>
      <w:r w:rsidR="002E30B1" w:rsidRPr="00802A07">
        <w:rPr>
          <w:color w:val="000000" w:themeColor="text1"/>
          <w:lang w:eastAsia="en-IE"/>
        </w:rPr>
        <w:t>.</w:t>
      </w:r>
      <w:r w:rsidR="00093AC2" w:rsidRPr="00802A07">
        <w:rPr>
          <w:color w:val="000000" w:themeColor="text1"/>
          <w:lang w:eastAsia="en-IE"/>
        </w:rPr>
        <w:t xml:space="preserve"> </w:t>
      </w:r>
    </w:p>
    <w:p w14:paraId="2E3B8F6C" w14:textId="71B94F59" w:rsidR="002E30B1" w:rsidRPr="00FE3004" w:rsidRDefault="00093AC2" w:rsidP="009E4ABD">
      <w:pPr>
        <w:rPr>
          <w:lang w:eastAsia="en-IE"/>
        </w:rPr>
      </w:pPr>
      <w:r w:rsidRPr="00FE3004">
        <w:rPr>
          <w:lang w:eastAsia="en-IE"/>
        </w:rPr>
        <w:t xml:space="preserve">However, although no new teams have been formed </w:t>
      </w:r>
      <w:r w:rsidR="000D441F" w:rsidRPr="00FE3004">
        <w:rPr>
          <w:lang w:eastAsia="en-IE"/>
        </w:rPr>
        <w:t xml:space="preserve">the HSE have been working to address </w:t>
      </w:r>
      <w:r w:rsidRPr="00FE3004">
        <w:rPr>
          <w:lang w:eastAsia="en-IE"/>
        </w:rPr>
        <w:t>industrial relations issues</w:t>
      </w:r>
      <w:r w:rsidR="00863939" w:rsidRPr="00FE3004">
        <w:rPr>
          <w:lang w:eastAsia="en-IE"/>
        </w:rPr>
        <w:t xml:space="preserve"> </w:t>
      </w:r>
      <w:r w:rsidR="000D441F" w:rsidRPr="00FE3004">
        <w:rPr>
          <w:lang w:eastAsia="en-IE"/>
        </w:rPr>
        <w:t xml:space="preserve">to help </w:t>
      </w:r>
      <w:r w:rsidR="00863939" w:rsidRPr="00FE3004">
        <w:rPr>
          <w:lang w:eastAsia="en-IE"/>
        </w:rPr>
        <w:t>pave the way for new teams to be developed</w:t>
      </w:r>
      <w:r w:rsidRPr="00FE3004">
        <w:rPr>
          <w:lang w:eastAsia="en-IE"/>
        </w:rPr>
        <w:t xml:space="preserve">. </w:t>
      </w:r>
      <w:r w:rsidR="000D441F" w:rsidRPr="00FE3004">
        <w:rPr>
          <w:lang w:eastAsia="en-IE"/>
        </w:rPr>
        <w:t xml:space="preserve">It is understand that the HSE aim is to ensure that </w:t>
      </w:r>
      <w:r w:rsidR="00615B1E">
        <w:rPr>
          <w:lang w:eastAsia="en-IE"/>
        </w:rPr>
        <w:t>a</w:t>
      </w:r>
      <w:r w:rsidR="00C44173" w:rsidRPr="00FE3004">
        <w:rPr>
          <w:lang w:eastAsia="en-IE"/>
        </w:rPr>
        <w:t xml:space="preserve">ll </w:t>
      </w:r>
      <w:r w:rsidR="005D1B0B" w:rsidRPr="00FE3004">
        <w:rPr>
          <w:lang w:eastAsia="en-IE"/>
        </w:rPr>
        <w:t>Children’s Disability Network T</w:t>
      </w:r>
      <w:r w:rsidR="00C44173" w:rsidRPr="00FE3004">
        <w:rPr>
          <w:lang w:eastAsia="en-IE"/>
        </w:rPr>
        <w:t xml:space="preserve">eams </w:t>
      </w:r>
      <w:r w:rsidR="000D441F" w:rsidRPr="00FE3004">
        <w:rPr>
          <w:lang w:eastAsia="en-IE"/>
        </w:rPr>
        <w:t xml:space="preserve">would </w:t>
      </w:r>
      <w:r w:rsidR="00C44173" w:rsidRPr="00FE3004">
        <w:rPr>
          <w:lang w:eastAsia="en-IE"/>
        </w:rPr>
        <w:t>have managers</w:t>
      </w:r>
      <w:r w:rsidR="005D1B0B" w:rsidRPr="00FE3004">
        <w:rPr>
          <w:lang w:eastAsia="en-IE"/>
        </w:rPr>
        <w:t xml:space="preserve"> in place by Quarter 4 2020. A programme of Team Development </w:t>
      </w:r>
      <w:r w:rsidR="00E464D6" w:rsidRPr="00FE3004">
        <w:rPr>
          <w:lang w:eastAsia="en-IE"/>
        </w:rPr>
        <w:t xml:space="preserve">training has been developed </w:t>
      </w:r>
      <w:r w:rsidR="002C4B3F" w:rsidRPr="00FE3004">
        <w:rPr>
          <w:lang w:eastAsia="en-IE"/>
        </w:rPr>
        <w:t xml:space="preserve">by the HSE </w:t>
      </w:r>
      <w:r w:rsidR="00E464D6" w:rsidRPr="00FE3004">
        <w:rPr>
          <w:lang w:eastAsia="en-IE"/>
        </w:rPr>
        <w:t>to support the new managers coming into post</w:t>
      </w:r>
      <w:r w:rsidR="002C4B3F" w:rsidRPr="00FE3004">
        <w:rPr>
          <w:lang w:eastAsia="en-IE"/>
        </w:rPr>
        <w:t xml:space="preserve"> </w:t>
      </w:r>
      <w:r w:rsidR="00FE3004" w:rsidRPr="00FE3004">
        <w:rPr>
          <w:lang w:eastAsia="en-IE"/>
        </w:rPr>
        <w:t xml:space="preserve">and they anticipate </w:t>
      </w:r>
      <w:r w:rsidRPr="00FE3004">
        <w:rPr>
          <w:lang w:eastAsia="en-IE"/>
        </w:rPr>
        <w:t xml:space="preserve">that by 2021 there will be </w:t>
      </w:r>
      <w:r w:rsidR="00E464D6" w:rsidRPr="00FE3004">
        <w:rPr>
          <w:lang w:eastAsia="en-IE"/>
        </w:rPr>
        <w:t xml:space="preserve">significant </w:t>
      </w:r>
      <w:r w:rsidRPr="00FE3004">
        <w:rPr>
          <w:lang w:eastAsia="en-IE"/>
        </w:rPr>
        <w:t xml:space="preserve">progress in this area. </w:t>
      </w:r>
    </w:p>
    <w:p w14:paraId="3DF9F33B" w14:textId="2CD8D00B" w:rsidR="002E30B1" w:rsidRDefault="009E4ABD" w:rsidP="009E4ABD">
      <w:pPr>
        <w:rPr>
          <w:lang w:eastAsia="en-IE"/>
        </w:rPr>
      </w:pPr>
      <w:r w:rsidRPr="009E4ABD">
        <w:rPr>
          <w:b/>
          <w:lang w:eastAsia="en-IE"/>
        </w:rPr>
        <w:t xml:space="preserve">Indicator </w:t>
      </w:r>
      <w:r w:rsidR="00B70B73" w:rsidRPr="009E4ABD">
        <w:rPr>
          <w:b/>
          <w:lang w:eastAsia="en-IE"/>
        </w:rPr>
        <w:t xml:space="preserve">6.2c. Percentage </w:t>
      </w:r>
      <w:r w:rsidR="00DF0014">
        <w:rPr>
          <w:b/>
          <w:lang w:eastAsia="en-IE"/>
        </w:rPr>
        <w:t xml:space="preserve">of children and adolescents </w:t>
      </w:r>
      <w:r w:rsidR="00B70B73" w:rsidRPr="009E4ABD">
        <w:rPr>
          <w:b/>
          <w:lang w:eastAsia="en-IE"/>
        </w:rPr>
        <w:t>waiting more than 12 months and more than three months to be seen by child and adolescent mental health services</w:t>
      </w:r>
      <w:r w:rsidR="00350A82">
        <w:rPr>
          <w:b/>
          <w:lang w:eastAsia="en-IE"/>
        </w:rPr>
        <w:t xml:space="preserve"> </w:t>
      </w:r>
      <w:r w:rsidR="00350A82">
        <w:rPr>
          <w:b/>
          <w:szCs w:val="26"/>
          <w:lang w:eastAsia="en-IE"/>
        </w:rPr>
        <w:t>(Process)</w:t>
      </w:r>
      <w:r w:rsidR="00B70B73" w:rsidRPr="009E4ABD">
        <w:rPr>
          <w:b/>
          <w:lang w:eastAsia="en-IE"/>
        </w:rPr>
        <w:t>:</w:t>
      </w:r>
      <w:r w:rsidR="00B70B73">
        <w:rPr>
          <w:lang w:eastAsia="en-IE"/>
        </w:rPr>
        <w:t xml:space="preserve"> </w:t>
      </w:r>
      <w:r w:rsidR="002E30B1">
        <w:rPr>
          <w:lang w:eastAsia="en-IE"/>
        </w:rPr>
        <w:t xml:space="preserve">The percentage of children and </w:t>
      </w:r>
      <w:r w:rsidR="002E30B1" w:rsidRPr="002D2FE4">
        <w:rPr>
          <w:lang w:eastAsia="en-IE"/>
        </w:rPr>
        <w:t>adolescents waiting more than 12 months f</w:t>
      </w:r>
      <w:r w:rsidR="005866AC" w:rsidRPr="002D2FE4">
        <w:rPr>
          <w:lang w:eastAsia="en-IE"/>
        </w:rPr>
        <w:t>or</w:t>
      </w:r>
      <w:r w:rsidR="002E30B1" w:rsidRPr="002D2FE4">
        <w:rPr>
          <w:lang w:eastAsia="en-IE"/>
        </w:rPr>
        <w:t xml:space="preserve"> mental health services has decreased from 12</w:t>
      </w:r>
      <w:r w:rsidR="003701E4" w:rsidRPr="002D2FE4">
        <w:rPr>
          <w:lang w:eastAsia="en-IE"/>
        </w:rPr>
        <w:t>.1</w:t>
      </w:r>
      <w:r w:rsidR="002E30B1" w:rsidRPr="002D2FE4">
        <w:rPr>
          <w:lang w:eastAsia="en-IE"/>
        </w:rPr>
        <w:t>% in Q2 2017</w:t>
      </w:r>
      <w:r w:rsidR="003265D5">
        <w:rPr>
          <w:rStyle w:val="FootnoteReference"/>
          <w:lang w:eastAsia="en-IE"/>
        </w:rPr>
        <w:footnoteReference w:id="136"/>
      </w:r>
      <w:r w:rsidR="002E30B1" w:rsidRPr="002D2FE4">
        <w:rPr>
          <w:lang w:eastAsia="en-IE"/>
        </w:rPr>
        <w:t xml:space="preserve"> to </w:t>
      </w:r>
      <w:r w:rsidR="008D0669" w:rsidRPr="002D2FE4">
        <w:rPr>
          <w:lang w:eastAsia="en-IE"/>
        </w:rPr>
        <w:t>10.9</w:t>
      </w:r>
      <w:r w:rsidR="002E30B1" w:rsidRPr="002D2FE4">
        <w:rPr>
          <w:lang w:eastAsia="en-IE"/>
        </w:rPr>
        <w:t>% in Q2 2019.</w:t>
      </w:r>
      <w:r w:rsidR="003265D5">
        <w:rPr>
          <w:rStyle w:val="FootnoteReference"/>
          <w:lang w:eastAsia="en-IE"/>
        </w:rPr>
        <w:footnoteReference w:id="137"/>
      </w:r>
      <w:r w:rsidR="002E30B1" w:rsidRPr="002D2FE4">
        <w:rPr>
          <w:lang w:eastAsia="en-IE"/>
        </w:rPr>
        <w:t xml:space="preserve"> </w:t>
      </w:r>
      <w:r w:rsidR="00093AC2" w:rsidRPr="002D2FE4">
        <w:rPr>
          <w:lang w:eastAsia="en-IE"/>
        </w:rPr>
        <w:t>The percentage</w:t>
      </w:r>
      <w:r w:rsidR="00802D6F" w:rsidRPr="002D2FE4">
        <w:rPr>
          <w:lang w:eastAsia="en-IE"/>
        </w:rPr>
        <w:t xml:space="preserve"> of children and adolescents who were </w:t>
      </w:r>
      <w:r w:rsidR="00863939" w:rsidRPr="002D2FE4">
        <w:rPr>
          <w:lang w:eastAsia="en-IE"/>
        </w:rPr>
        <w:t>waiting more than 12 weeks was</w:t>
      </w:r>
      <w:r w:rsidR="00802D6F" w:rsidRPr="002D2FE4">
        <w:rPr>
          <w:lang w:eastAsia="en-IE"/>
        </w:rPr>
        <w:t xml:space="preserve"> </w:t>
      </w:r>
      <w:r w:rsidR="00203F9C" w:rsidRPr="002D2FE4">
        <w:rPr>
          <w:lang w:eastAsia="en-IE"/>
        </w:rPr>
        <w:t>60.3</w:t>
      </w:r>
      <w:r w:rsidR="00863939" w:rsidRPr="002D2FE4">
        <w:rPr>
          <w:lang w:eastAsia="en-IE"/>
        </w:rPr>
        <w:t>% in Q2 2017 compared to 3</w:t>
      </w:r>
      <w:r w:rsidR="0005550D" w:rsidRPr="002D2FE4">
        <w:rPr>
          <w:lang w:eastAsia="en-IE"/>
        </w:rPr>
        <w:t>5</w:t>
      </w:r>
      <w:r w:rsidR="008D0669" w:rsidRPr="002D2FE4">
        <w:rPr>
          <w:lang w:eastAsia="en-IE"/>
        </w:rPr>
        <w:t>.1</w:t>
      </w:r>
      <w:r w:rsidR="0005550D" w:rsidRPr="002D2FE4">
        <w:rPr>
          <w:lang w:eastAsia="en-IE"/>
        </w:rPr>
        <w:t>% in Q2 2019</w:t>
      </w:r>
      <w:r w:rsidR="0005550D" w:rsidRPr="002D2FE4">
        <w:rPr>
          <w:rStyle w:val="FootnoteReference"/>
          <w:lang w:eastAsia="en-IE"/>
        </w:rPr>
        <w:footnoteReference w:id="138"/>
      </w:r>
      <w:r w:rsidR="00371C75" w:rsidRPr="002D2FE4">
        <w:rPr>
          <w:lang w:eastAsia="en-IE"/>
        </w:rPr>
        <w:t>.</w:t>
      </w:r>
      <w:r w:rsidR="00802D6F" w:rsidRPr="002D2FE4">
        <w:rPr>
          <w:lang w:eastAsia="en-IE"/>
        </w:rPr>
        <w:t xml:space="preserve"> </w:t>
      </w:r>
      <w:r w:rsidR="00371C75" w:rsidRPr="002D2FE4">
        <w:rPr>
          <w:lang w:eastAsia="en-IE"/>
        </w:rPr>
        <w:t>While these improvements are welcomed, t</w:t>
      </w:r>
      <w:r w:rsidR="00802D6F" w:rsidRPr="002D2FE4">
        <w:rPr>
          <w:lang w:eastAsia="en-IE"/>
        </w:rPr>
        <w:t xml:space="preserve">hese waiting times are significant and further improvements are </w:t>
      </w:r>
      <w:r w:rsidR="00036A17" w:rsidRPr="002D2FE4">
        <w:rPr>
          <w:lang w:eastAsia="en-IE"/>
        </w:rPr>
        <w:t>required</w:t>
      </w:r>
      <w:r w:rsidR="00802D6F" w:rsidRPr="002D2FE4">
        <w:rPr>
          <w:lang w:eastAsia="en-IE"/>
        </w:rPr>
        <w:t>.</w:t>
      </w:r>
      <w:r w:rsidR="00802D6F">
        <w:rPr>
          <w:lang w:eastAsia="en-IE"/>
        </w:rPr>
        <w:t xml:space="preserve"> </w:t>
      </w:r>
      <w:r w:rsidR="002D2FE4">
        <w:rPr>
          <w:lang w:eastAsia="en-IE"/>
        </w:rPr>
        <w:t xml:space="preserve">The NDA notes that there are also variations by CHO in waiting times. </w:t>
      </w:r>
    </w:p>
    <w:p w14:paraId="38F505D6" w14:textId="2A6B29F3" w:rsidR="002E30B1" w:rsidRPr="00BF3DD1" w:rsidRDefault="009E4ABD" w:rsidP="009E4ABD">
      <w:pPr>
        <w:rPr>
          <w:lang w:eastAsia="en-IE"/>
        </w:rPr>
      </w:pPr>
      <w:r w:rsidRPr="00BF3DD1">
        <w:rPr>
          <w:b/>
          <w:lang w:eastAsia="en-IE"/>
        </w:rPr>
        <w:t xml:space="preserve">Indicator </w:t>
      </w:r>
      <w:r w:rsidR="00B70B73" w:rsidRPr="00BF3DD1">
        <w:rPr>
          <w:b/>
          <w:lang w:eastAsia="en-IE"/>
        </w:rPr>
        <w:t xml:space="preserve">6.2d. Percentage of adults offered an appointment and seen within 12 </w:t>
      </w:r>
      <w:r w:rsidR="00C159B5" w:rsidRPr="00BF3DD1">
        <w:rPr>
          <w:b/>
          <w:lang w:eastAsia="en-IE"/>
        </w:rPr>
        <w:t>weeks by</w:t>
      </w:r>
      <w:r w:rsidR="00B70B73" w:rsidRPr="00BF3DD1">
        <w:rPr>
          <w:b/>
          <w:lang w:eastAsia="en-IE"/>
        </w:rPr>
        <w:t xml:space="preserve"> adult mental health services</w:t>
      </w:r>
      <w:r w:rsidR="00350A82">
        <w:rPr>
          <w:b/>
          <w:lang w:eastAsia="en-IE"/>
        </w:rPr>
        <w:t xml:space="preserve"> </w:t>
      </w:r>
      <w:r w:rsidR="00350A82">
        <w:rPr>
          <w:b/>
          <w:szCs w:val="26"/>
          <w:lang w:eastAsia="en-IE"/>
        </w:rPr>
        <w:t>(Process)</w:t>
      </w:r>
      <w:r w:rsidR="00B70B73" w:rsidRPr="00BF3DD1">
        <w:rPr>
          <w:b/>
          <w:lang w:eastAsia="en-IE"/>
        </w:rPr>
        <w:t>:</w:t>
      </w:r>
      <w:r w:rsidR="00B70B73" w:rsidRPr="00BF3DD1">
        <w:rPr>
          <w:lang w:eastAsia="en-IE"/>
        </w:rPr>
        <w:t xml:space="preserve"> </w:t>
      </w:r>
      <w:r w:rsidR="002E30B1" w:rsidRPr="00BF3DD1">
        <w:rPr>
          <w:lang w:eastAsia="en-IE"/>
        </w:rPr>
        <w:t>The percentage of adults offered an appointment and seen within 12 weeks by adult mental health services decreased marginally from 7</w:t>
      </w:r>
      <w:r w:rsidR="009D2346">
        <w:rPr>
          <w:lang w:eastAsia="en-IE"/>
        </w:rPr>
        <w:t>3.8</w:t>
      </w:r>
      <w:r w:rsidR="002E30B1" w:rsidRPr="00BF3DD1">
        <w:rPr>
          <w:lang w:eastAsia="en-IE"/>
        </w:rPr>
        <w:t>% in 2016 to 72.</w:t>
      </w:r>
      <w:r w:rsidR="009D2346">
        <w:rPr>
          <w:lang w:eastAsia="en-IE"/>
        </w:rPr>
        <w:t>7</w:t>
      </w:r>
      <w:r w:rsidR="002E30B1" w:rsidRPr="00BF3DD1">
        <w:rPr>
          <w:lang w:eastAsia="en-IE"/>
        </w:rPr>
        <w:t xml:space="preserve">% in 2018. </w:t>
      </w:r>
      <w:r w:rsidR="0005550D" w:rsidRPr="00BF3DD1">
        <w:rPr>
          <w:lang w:eastAsia="en-IE"/>
        </w:rPr>
        <w:t>It is hoped that this percentage will increase at least to the HSE’s target of 75%</w:t>
      </w:r>
      <w:r w:rsidR="00BF3DD1" w:rsidRPr="00BF3DD1">
        <w:rPr>
          <w:lang w:eastAsia="en-IE"/>
        </w:rPr>
        <w:t xml:space="preserve"> in the near future</w:t>
      </w:r>
      <w:r w:rsidR="0005550D" w:rsidRPr="00BF3DD1">
        <w:rPr>
          <w:lang w:eastAsia="en-IE"/>
        </w:rPr>
        <w:t xml:space="preserve">. </w:t>
      </w:r>
      <w:r w:rsidR="00663712" w:rsidRPr="00BF3DD1">
        <w:rPr>
          <w:lang w:eastAsia="en-IE"/>
        </w:rPr>
        <w:t xml:space="preserve">The NDA also </w:t>
      </w:r>
      <w:r w:rsidR="00036A17" w:rsidRPr="00BF3DD1">
        <w:rPr>
          <w:lang w:eastAsia="en-IE"/>
        </w:rPr>
        <w:t>advises</w:t>
      </w:r>
      <w:r w:rsidR="00663712" w:rsidRPr="00BF3DD1">
        <w:rPr>
          <w:strike/>
          <w:lang w:eastAsia="en-IE"/>
        </w:rPr>
        <w:t xml:space="preserve"> </w:t>
      </w:r>
      <w:r w:rsidR="00663712" w:rsidRPr="00BF3DD1">
        <w:rPr>
          <w:lang w:eastAsia="en-IE"/>
        </w:rPr>
        <w:t>that the target is incrementally increased once met</w:t>
      </w:r>
      <w:r w:rsidR="00036A17" w:rsidRPr="00BF3DD1">
        <w:rPr>
          <w:lang w:eastAsia="en-IE"/>
        </w:rPr>
        <w:t xml:space="preserve"> to ensure continuous improvement and review</w:t>
      </w:r>
      <w:r w:rsidR="00663712" w:rsidRPr="00BF3DD1">
        <w:rPr>
          <w:lang w:eastAsia="en-IE"/>
        </w:rPr>
        <w:t xml:space="preserve">. </w:t>
      </w:r>
    </w:p>
    <w:p w14:paraId="2AEDAFB2" w14:textId="54C15470" w:rsidR="00260FAF" w:rsidRDefault="009E4ABD" w:rsidP="009E4ABD">
      <w:r w:rsidRPr="009E4ABD">
        <w:rPr>
          <w:b/>
          <w:lang w:eastAsia="en-IE"/>
        </w:rPr>
        <w:t xml:space="preserve">Indicator </w:t>
      </w:r>
      <w:r w:rsidR="00B70B73" w:rsidRPr="009E4ABD">
        <w:rPr>
          <w:b/>
          <w:lang w:eastAsia="en-IE"/>
        </w:rPr>
        <w:t>6.2e. Number of adults on waiting lists for the National Rehabilitation Hospital</w:t>
      </w:r>
      <w:r w:rsidR="00260FAF">
        <w:rPr>
          <w:b/>
          <w:lang w:eastAsia="en-IE"/>
        </w:rPr>
        <w:t xml:space="preserve"> </w:t>
      </w:r>
      <w:r w:rsidR="00350A82">
        <w:rPr>
          <w:b/>
          <w:szCs w:val="26"/>
          <w:lang w:eastAsia="en-IE"/>
        </w:rPr>
        <w:t>(Process)</w:t>
      </w:r>
      <w:r w:rsidR="00B70B73" w:rsidRPr="009E4ABD">
        <w:rPr>
          <w:b/>
          <w:lang w:eastAsia="en-IE"/>
        </w:rPr>
        <w:t>:</w:t>
      </w:r>
      <w:r w:rsidR="00B70B73">
        <w:rPr>
          <w:lang w:eastAsia="en-IE"/>
        </w:rPr>
        <w:t xml:space="preserve"> </w:t>
      </w:r>
      <w:r w:rsidR="00C83976">
        <w:t>The annual report</w:t>
      </w:r>
      <w:r w:rsidR="00615B1E">
        <w:t>s</w:t>
      </w:r>
      <w:r w:rsidR="00C83976">
        <w:t xml:space="preserve"> of the National Rehabilitation Hospital (NRH) do not include the number on the waiting list. Therefore the numbers presented here come from various sources including newspapers and parliamentary question and therefore may not be entirely reliable. However, the </w:t>
      </w:r>
      <w:r w:rsidR="00260FAF">
        <w:t xml:space="preserve">number of people </w:t>
      </w:r>
      <w:r w:rsidR="00C83976">
        <w:t>a</w:t>
      </w:r>
      <w:r w:rsidR="00260FAF">
        <w:t xml:space="preserve">waiting </w:t>
      </w:r>
      <w:r w:rsidR="00B018D7">
        <w:t>admission</w:t>
      </w:r>
      <w:r w:rsidR="00C83976">
        <w:t xml:space="preserve"> appears to be increasing with</w:t>
      </w:r>
      <w:r w:rsidR="00DD4D18">
        <w:t xml:space="preserve"> 151, 209 (or 226 also reported</w:t>
      </w:r>
      <w:r w:rsidR="00C83976">
        <w:t>) and 283 waiting in</w:t>
      </w:r>
      <w:r w:rsidR="00B018D7">
        <w:t xml:space="preserve"> </w:t>
      </w:r>
      <w:r w:rsidR="00C83976">
        <w:t>2016</w:t>
      </w:r>
      <w:r w:rsidR="00DD4D18">
        <w:rPr>
          <w:rStyle w:val="FootnoteReference"/>
        </w:rPr>
        <w:footnoteReference w:id="139"/>
      </w:r>
      <w:r w:rsidR="00C83976">
        <w:t>, 2017</w:t>
      </w:r>
      <w:r w:rsidR="00DD4D18">
        <w:rPr>
          <w:rStyle w:val="FootnoteReference"/>
        </w:rPr>
        <w:footnoteReference w:id="140"/>
      </w:r>
      <w:r w:rsidR="00C83976">
        <w:t xml:space="preserve">, </w:t>
      </w:r>
      <w:r w:rsidR="00DD4D18">
        <w:t xml:space="preserve">and </w:t>
      </w:r>
      <w:r w:rsidR="00C83976">
        <w:t>2018</w:t>
      </w:r>
      <w:r w:rsidR="00DD4D18">
        <w:t>,</w:t>
      </w:r>
      <w:r w:rsidR="00260FAF">
        <w:rPr>
          <w:rStyle w:val="FootnoteReference"/>
          <w:lang w:eastAsia="en-IE"/>
        </w:rPr>
        <w:footnoteReference w:id="141"/>
      </w:r>
      <w:r w:rsidR="00615B1E">
        <w:t xml:space="preserve"> </w:t>
      </w:r>
      <w:r w:rsidR="00C83976">
        <w:t>respectively</w:t>
      </w:r>
      <w:r w:rsidR="00260FAF">
        <w:t>. In 2018, patients waited on average 140 days for admission (the target is less than 90 days).</w:t>
      </w:r>
      <w:r w:rsidR="00260FAF">
        <w:rPr>
          <w:rStyle w:val="FootnoteReference"/>
        </w:rPr>
        <w:footnoteReference w:id="142"/>
      </w:r>
      <w:r w:rsidR="00260FAF">
        <w:t xml:space="preserve"> A new hospital </w:t>
      </w:r>
      <w:r w:rsidR="004208B7">
        <w:t>to replace</w:t>
      </w:r>
      <w:r w:rsidR="00260FAF">
        <w:t xml:space="preserve"> the old one is near completion and due to open this year. This will increase capacity by 10% to 120 beds but it is likely that there will continue to be waiting lists</w:t>
      </w:r>
      <w:r w:rsidR="004208B7">
        <w:rPr>
          <w:vertAlign w:val="superscript"/>
        </w:rPr>
        <w:t>55</w:t>
      </w:r>
      <w:r w:rsidR="00260FAF">
        <w:t xml:space="preserve">. It is known that the effectiveness of rehabilitation can be enhanced with early intervention so minimising waiting lists is important, particularly so that people who acquire a disability are not inappropriately placed in nursing homes or other facilities. </w:t>
      </w:r>
    </w:p>
    <w:p w14:paraId="7B7A080B" w14:textId="5D9DB317" w:rsidR="002E30B1" w:rsidRDefault="009E4ABD" w:rsidP="009E4ABD">
      <w:pPr>
        <w:rPr>
          <w:lang w:eastAsia="en-IE"/>
        </w:rPr>
      </w:pPr>
      <w:r w:rsidRPr="009E4ABD">
        <w:rPr>
          <w:b/>
          <w:lang w:eastAsia="en-IE"/>
        </w:rPr>
        <w:t xml:space="preserve">Indicator </w:t>
      </w:r>
      <w:r w:rsidR="00B70B73" w:rsidRPr="009E4ABD">
        <w:rPr>
          <w:b/>
          <w:lang w:eastAsia="en-IE"/>
        </w:rPr>
        <w:t>6.3a. Percentage of disability services complying with HIQA regulation</w:t>
      </w:r>
      <w:r w:rsidR="00570731">
        <w:rPr>
          <w:b/>
          <w:lang w:eastAsia="en-IE"/>
        </w:rPr>
        <w:t>s</w:t>
      </w:r>
      <w:r w:rsidR="00350A82">
        <w:rPr>
          <w:b/>
          <w:lang w:eastAsia="en-IE"/>
        </w:rPr>
        <w:t xml:space="preserve"> </w:t>
      </w:r>
      <w:r w:rsidR="00350A82">
        <w:rPr>
          <w:b/>
          <w:szCs w:val="26"/>
          <w:lang w:eastAsia="en-IE"/>
        </w:rPr>
        <w:t>(Process)</w:t>
      </w:r>
      <w:r w:rsidR="00B70B73" w:rsidRPr="009E4ABD">
        <w:rPr>
          <w:b/>
          <w:lang w:eastAsia="en-IE"/>
        </w:rPr>
        <w:t>:</w:t>
      </w:r>
      <w:r w:rsidR="00B70B73">
        <w:rPr>
          <w:lang w:eastAsia="en-IE"/>
        </w:rPr>
        <w:t xml:space="preserve"> </w:t>
      </w:r>
      <w:r w:rsidR="002E30B1">
        <w:rPr>
          <w:lang w:eastAsia="en-IE"/>
        </w:rPr>
        <w:t>The percentage of disability services complying with HIQA regulations increased from 78.4% in Q2 2017</w:t>
      </w:r>
      <w:r w:rsidR="00E125E6">
        <w:rPr>
          <w:rStyle w:val="FootnoteReference"/>
          <w:lang w:eastAsia="en-IE"/>
        </w:rPr>
        <w:footnoteReference w:id="143"/>
      </w:r>
      <w:r w:rsidR="002E30B1">
        <w:rPr>
          <w:lang w:eastAsia="en-IE"/>
        </w:rPr>
        <w:t xml:space="preserve"> to 88.9% in Q2 2019.</w:t>
      </w:r>
      <w:r w:rsidR="00E125E6">
        <w:rPr>
          <w:rStyle w:val="FootnoteReference"/>
          <w:lang w:eastAsia="en-IE"/>
        </w:rPr>
        <w:footnoteReference w:id="144"/>
      </w:r>
      <w:r w:rsidR="002E30B1">
        <w:rPr>
          <w:lang w:eastAsia="en-IE"/>
        </w:rPr>
        <w:t xml:space="preserve"> </w:t>
      </w:r>
      <w:r w:rsidR="00356A00">
        <w:rPr>
          <w:lang w:eastAsia="en-IE"/>
        </w:rPr>
        <w:t>A 2019 HIQA review</w:t>
      </w:r>
      <w:r w:rsidR="00356A00" w:rsidRPr="00356A00">
        <w:rPr>
          <w:lang w:eastAsia="en-IE"/>
        </w:rPr>
        <w:t xml:space="preserve"> of the first five years of regulation of </w:t>
      </w:r>
      <w:r w:rsidR="00356A00">
        <w:rPr>
          <w:lang w:eastAsia="en-IE"/>
        </w:rPr>
        <w:t>disability services</w:t>
      </w:r>
      <w:r w:rsidR="00356A00">
        <w:t xml:space="preserve"> indicates that </w:t>
      </w:r>
      <w:r w:rsidR="00356A00" w:rsidRPr="00356A00">
        <w:rPr>
          <w:lang w:eastAsia="en-IE"/>
        </w:rPr>
        <w:t xml:space="preserve">overall compliance </w:t>
      </w:r>
      <w:r w:rsidR="00356A00">
        <w:rPr>
          <w:lang w:eastAsia="en-IE"/>
        </w:rPr>
        <w:t>has gradually improved year-on-year</w:t>
      </w:r>
      <w:r w:rsidR="00356A00" w:rsidRPr="00356A00">
        <w:rPr>
          <w:lang w:eastAsia="en-IE"/>
        </w:rPr>
        <w:t>.</w:t>
      </w:r>
      <w:r w:rsidR="00853017">
        <w:rPr>
          <w:rStyle w:val="FootnoteReference"/>
          <w:lang w:eastAsia="en-IE"/>
        </w:rPr>
        <w:footnoteReference w:id="145"/>
      </w:r>
      <w:r w:rsidR="00356A00" w:rsidRPr="00356A00">
        <w:rPr>
          <w:lang w:eastAsia="en-IE"/>
        </w:rPr>
        <w:t xml:space="preserve"> </w:t>
      </w:r>
      <w:r w:rsidR="00EB783A">
        <w:rPr>
          <w:lang w:eastAsia="en-IE"/>
        </w:rPr>
        <w:t xml:space="preserve">This is a very positive development as some service providers have reported receiving no additional budget to fund improvements necessary to meet regulations. </w:t>
      </w:r>
      <w:r w:rsidR="007F2683">
        <w:rPr>
          <w:lang w:eastAsia="en-IE"/>
        </w:rPr>
        <w:t xml:space="preserve">HIQA have indicated that the </w:t>
      </w:r>
      <w:r w:rsidR="00620749">
        <w:rPr>
          <w:lang w:eastAsia="en-IE"/>
        </w:rPr>
        <w:t xml:space="preserve">Department of Health should review the </w:t>
      </w:r>
      <w:r w:rsidR="007F2683">
        <w:rPr>
          <w:lang w:eastAsia="en-IE"/>
        </w:rPr>
        <w:t xml:space="preserve">regulatory framework </w:t>
      </w:r>
      <w:r w:rsidR="00620749">
        <w:rPr>
          <w:lang w:eastAsia="en-IE"/>
        </w:rPr>
        <w:t xml:space="preserve">for disability services </w:t>
      </w:r>
      <w:r w:rsidR="007F2683" w:rsidRPr="007F2683">
        <w:rPr>
          <w:lang w:eastAsia="en-IE"/>
        </w:rPr>
        <w:t>in light of the A</w:t>
      </w:r>
      <w:r w:rsidR="007F2683">
        <w:rPr>
          <w:lang w:eastAsia="en-IE"/>
        </w:rPr>
        <w:t xml:space="preserve">ssisted </w:t>
      </w:r>
      <w:r w:rsidR="007F2683" w:rsidRPr="007F2683">
        <w:rPr>
          <w:lang w:eastAsia="en-IE"/>
        </w:rPr>
        <w:t>D</w:t>
      </w:r>
      <w:r w:rsidR="007F2683">
        <w:rPr>
          <w:lang w:eastAsia="en-IE"/>
        </w:rPr>
        <w:t>ecision</w:t>
      </w:r>
      <w:r w:rsidR="00B0620E">
        <w:rPr>
          <w:lang w:eastAsia="en-IE"/>
        </w:rPr>
        <w:t>-</w:t>
      </w:r>
      <w:r w:rsidR="007F2683" w:rsidRPr="007F2683">
        <w:rPr>
          <w:lang w:eastAsia="en-IE"/>
        </w:rPr>
        <w:t>M</w:t>
      </w:r>
      <w:r w:rsidR="007F2683">
        <w:rPr>
          <w:lang w:eastAsia="en-IE"/>
        </w:rPr>
        <w:t>aking (Capacity)</w:t>
      </w:r>
      <w:r w:rsidR="007F2683" w:rsidRPr="007F2683">
        <w:rPr>
          <w:lang w:eastAsia="en-IE"/>
        </w:rPr>
        <w:t xml:space="preserve"> Act, ongoing </w:t>
      </w:r>
      <w:r w:rsidR="00663712">
        <w:rPr>
          <w:lang w:eastAsia="en-IE"/>
        </w:rPr>
        <w:t>work on Deprivation of Li</w:t>
      </w:r>
      <w:r w:rsidR="00620749">
        <w:rPr>
          <w:lang w:eastAsia="en-IE"/>
        </w:rPr>
        <w:t>berty</w:t>
      </w:r>
      <w:r w:rsidR="00663712">
        <w:rPr>
          <w:lang w:eastAsia="en-IE"/>
        </w:rPr>
        <w:t xml:space="preserve"> legislation</w:t>
      </w:r>
      <w:r w:rsidR="007F2683" w:rsidRPr="007F2683">
        <w:rPr>
          <w:lang w:eastAsia="en-IE"/>
        </w:rPr>
        <w:t xml:space="preserve"> and ratification of the UNCRPD. </w:t>
      </w:r>
      <w:r w:rsidR="004C05A5">
        <w:rPr>
          <w:lang w:eastAsia="en-IE"/>
        </w:rPr>
        <w:t xml:space="preserve">This has been included as a new action in the revised NDIS and the NDA advises that this area receives immediate focus. </w:t>
      </w:r>
    </w:p>
    <w:p w14:paraId="139379AC" w14:textId="43C9527C" w:rsidR="00EC5587" w:rsidRDefault="009E4ABD" w:rsidP="00EC5587">
      <w:pPr>
        <w:autoSpaceDE w:val="0"/>
        <w:autoSpaceDN w:val="0"/>
        <w:adjustRightInd w:val="0"/>
        <w:rPr>
          <w:rFonts w:ascii="Gotham-Light" w:eastAsiaTheme="minorHAnsi" w:hAnsi="Gotham-Light" w:cs="Gotham-Light"/>
          <w:sz w:val="20"/>
          <w:szCs w:val="20"/>
        </w:rPr>
      </w:pPr>
      <w:r w:rsidRPr="009E4ABD">
        <w:rPr>
          <w:b/>
          <w:lang w:eastAsia="en-IE"/>
        </w:rPr>
        <w:t>Indic</w:t>
      </w:r>
      <w:r w:rsidRPr="00EC5587">
        <w:rPr>
          <w:b/>
          <w:szCs w:val="26"/>
          <w:lang w:eastAsia="en-IE"/>
        </w:rPr>
        <w:t xml:space="preserve">ator </w:t>
      </w:r>
      <w:r w:rsidR="00B70B73" w:rsidRPr="00EC5587">
        <w:rPr>
          <w:b/>
          <w:szCs w:val="26"/>
          <w:lang w:eastAsia="en-IE"/>
        </w:rPr>
        <w:t>6.3b. Percentage of mental health units complying with Mental Health Commission regulations, rules and codes of practice</w:t>
      </w:r>
      <w:r w:rsidR="00350A82">
        <w:rPr>
          <w:b/>
          <w:szCs w:val="26"/>
          <w:lang w:eastAsia="en-IE"/>
        </w:rPr>
        <w:t xml:space="preserve"> (Process)</w:t>
      </w:r>
      <w:r w:rsidR="00B70B73" w:rsidRPr="00EC5587">
        <w:rPr>
          <w:b/>
          <w:szCs w:val="26"/>
          <w:lang w:eastAsia="en-IE"/>
        </w:rPr>
        <w:t>:</w:t>
      </w:r>
      <w:r w:rsidR="00B70B73" w:rsidRPr="00EC5587">
        <w:rPr>
          <w:szCs w:val="26"/>
          <w:lang w:eastAsia="en-IE"/>
        </w:rPr>
        <w:t xml:space="preserve"> </w:t>
      </w:r>
      <w:r w:rsidR="00EC5587" w:rsidRPr="00EC5587">
        <w:rPr>
          <w:rFonts w:eastAsiaTheme="minorHAnsi" w:cs="Gotham-Light"/>
          <w:szCs w:val="26"/>
        </w:rPr>
        <w:t>The Inspector of Mental Health Services visits and inspects every approved mental health centre at least once a year</w:t>
      </w:r>
      <w:r w:rsidR="00663712">
        <w:rPr>
          <w:rFonts w:eastAsiaTheme="minorHAnsi" w:cs="Gotham-Light"/>
          <w:szCs w:val="26"/>
        </w:rPr>
        <w:t xml:space="preserve"> (this excludes the 24 hour supervised mental health residences which are not regulated)</w:t>
      </w:r>
      <w:r w:rsidR="00EC5587" w:rsidRPr="00EC5587">
        <w:rPr>
          <w:rFonts w:eastAsiaTheme="minorHAnsi" w:cs="Gotham-Light"/>
          <w:szCs w:val="26"/>
        </w:rPr>
        <w:t>. The Inspector rates compliance against 31 Regulations,</w:t>
      </w:r>
      <w:r w:rsidR="00EC5587">
        <w:rPr>
          <w:rFonts w:eastAsiaTheme="minorHAnsi" w:cs="Gotham-Light"/>
          <w:szCs w:val="26"/>
        </w:rPr>
        <w:t xml:space="preserve"> </w:t>
      </w:r>
      <w:r w:rsidR="00EC5587" w:rsidRPr="00EC5587">
        <w:rPr>
          <w:rFonts w:eastAsiaTheme="minorHAnsi" w:cs="Gotham-Light"/>
          <w:szCs w:val="26"/>
        </w:rPr>
        <w:t>Part 4 of the Mental Health Act 2001, four Codes of Practice and two Statutory Rules</w:t>
      </w:r>
      <w:r w:rsidR="00C159B5">
        <w:rPr>
          <w:rFonts w:eastAsiaTheme="minorHAnsi" w:cs="Gotham-Light"/>
          <w:szCs w:val="26"/>
        </w:rPr>
        <w:t>.</w:t>
      </w:r>
      <w:r w:rsidR="00EC5587" w:rsidRPr="00EC5587">
        <w:rPr>
          <w:szCs w:val="26"/>
          <w:lang w:eastAsia="en-IE"/>
        </w:rPr>
        <w:t xml:space="preserve"> </w:t>
      </w:r>
      <w:r w:rsidR="002E30B1" w:rsidRPr="00EC5587">
        <w:rPr>
          <w:szCs w:val="26"/>
          <w:lang w:eastAsia="en-IE"/>
        </w:rPr>
        <w:t xml:space="preserve">The percentage of mental health </w:t>
      </w:r>
      <w:r w:rsidR="00EC5587" w:rsidRPr="00EC5587">
        <w:rPr>
          <w:szCs w:val="26"/>
          <w:lang w:eastAsia="en-IE"/>
        </w:rPr>
        <w:t>centres</w:t>
      </w:r>
      <w:r w:rsidR="002E30B1" w:rsidRPr="00EC5587">
        <w:rPr>
          <w:szCs w:val="26"/>
          <w:lang w:eastAsia="en-IE"/>
        </w:rPr>
        <w:t xml:space="preserve"> complying with </w:t>
      </w:r>
      <w:r w:rsidR="00EC5587" w:rsidRPr="00EC5587">
        <w:rPr>
          <w:szCs w:val="26"/>
          <w:lang w:eastAsia="en-IE"/>
        </w:rPr>
        <w:t xml:space="preserve">the </w:t>
      </w:r>
      <w:r w:rsidR="002524EC">
        <w:rPr>
          <w:szCs w:val="26"/>
          <w:lang w:eastAsia="en-IE"/>
        </w:rPr>
        <w:t>MHC’s</w:t>
      </w:r>
      <w:r w:rsidR="002E30B1" w:rsidRPr="00EC5587">
        <w:rPr>
          <w:szCs w:val="26"/>
          <w:lang w:eastAsia="en-IE"/>
        </w:rPr>
        <w:t xml:space="preserve"> regulations</w:t>
      </w:r>
      <w:r w:rsidR="00895423">
        <w:rPr>
          <w:szCs w:val="26"/>
          <w:lang w:eastAsia="en-IE"/>
        </w:rPr>
        <w:t>,</w:t>
      </w:r>
      <w:r w:rsidR="002E30B1" w:rsidRPr="00EC5587">
        <w:rPr>
          <w:szCs w:val="26"/>
          <w:lang w:eastAsia="en-IE"/>
        </w:rPr>
        <w:t xml:space="preserve"> rules and codes of practice increased between 2016 and 2018.</w:t>
      </w:r>
      <w:r w:rsidR="00E26D81">
        <w:rPr>
          <w:rStyle w:val="FootnoteReference"/>
          <w:szCs w:val="26"/>
          <w:lang w:eastAsia="en-IE"/>
        </w:rPr>
        <w:footnoteReference w:id="146"/>
      </w:r>
      <w:r w:rsidR="002E30B1" w:rsidRPr="00EC5587">
        <w:rPr>
          <w:szCs w:val="26"/>
          <w:lang w:eastAsia="en-IE"/>
        </w:rPr>
        <w:t xml:space="preserve"> </w:t>
      </w:r>
      <w:r w:rsidR="00E26D81">
        <w:rPr>
          <w:rStyle w:val="FootnoteReference"/>
          <w:szCs w:val="26"/>
          <w:lang w:eastAsia="en-IE"/>
        </w:rPr>
        <w:footnoteReference w:id="147"/>
      </w:r>
      <w:r w:rsidR="002E30B1" w:rsidRPr="00EC5587">
        <w:rPr>
          <w:szCs w:val="26"/>
          <w:lang w:eastAsia="en-IE"/>
        </w:rPr>
        <w:t>For example, the percentage complying with rules increased from 37% to 47% (note some figures are averages provided by the MHC)</w:t>
      </w:r>
      <w:r w:rsidR="00EC5587" w:rsidRPr="00EC5587">
        <w:rPr>
          <w:szCs w:val="26"/>
          <w:lang w:eastAsia="en-IE"/>
        </w:rPr>
        <w:t>. Although this demonstrates an improvement,</w:t>
      </w:r>
      <w:r w:rsidR="00D457F7">
        <w:rPr>
          <w:szCs w:val="26"/>
          <w:lang w:eastAsia="en-IE"/>
        </w:rPr>
        <w:t xml:space="preserve"> still fewer</w:t>
      </w:r>
      <w:r w:rsidR="00EC5587" w:rsidRPr="00EC5587">
        <w:rPr>
          <w:szCs w:val="26"/>
          <w:lang w:eastAsia="en-IE"/>
        </w:rPr>
        <w:t xml:space="preserve"> than half the centres are compliant</w:t>
      </w:r>
      <w:r w:rsidR="00524F6C">
        <w:rPr>
          <w:szCs w:val="26"/>
          <w:lang w:eastAsia="en-IE"/>
        </w:rPr>
        <w:t xml:space="preserve"> which the NDA notes with concern</w:t>
      </w:r>
      <w:r w:rsidR="00EC5587" w:rsidRPr="00EC5587">
        <w:rPr>
          <w:szCs w:val="26"/>
          <w:lang w:eastAsia="en-IE"/>
        </w:rPr>
        <w:t xml:space="preserve">. The inspector </w:t>
      </w:r>
      <w:r w:rsidR="00D457F7" w:rsidRPr="00EC5587">
        <w:rPr>
          <w:szCs w:val="26"/>
          <w:lang w:eastAsia="en-IE"/>
        </w:rPr>
        <w:t>note</w:t>
      </w:r>
      <w:r w:rsidR="00D457F7">
        <w:rPr>
          <w:szCs w:val="26"/>
          <w:lang w:eastAsia="en-IE"/>
        </w:rPr>
        <w:t>d</w:t>
      </w:r>
      <w:r w:rsidR="00D457F7" w:rsidRPr="00EC5587">
        <w:rPr>
          <w:szCs w:val="26"/>
          <w:lang w:eastAsia="en-IE"/>
        </w:rPr>
        <w:t xml:space="preserve"> </w:t>
      </w:r>
      <w:r w:rsidR="00EC5587" w:rsidRPr="00EC5587">
        <w:rPr>
          <w:szCs w:val="26"/>
          <w:lang w:eastAsia="en-IE"/>
        </w:rPr>
        <w:t>some specific areas of concern some of which</w:t>
      </w:r>
      <w:r w:rsidR="00D457F7">
        <w:rPr>
          <w:szCs w:val="26"/>
          <w:lang w:eastAsia="en-IE"/>
        </w:rPr>
        <w:t xml:space="preserve"> are</w:t>
      </w:r>
      <w:r w:rsidR="00EC5587" w:rsidRPr="00EC5587">
        <w:rPr>
          <w:szCs w:val="26"/>
          <w:lang w:eastAsia="en-IE"/>
        </w:rPr>
        <w:t xml:space="preserve"> </w:t>
      </w:r>
      <w:r w:rsidR="00B0620E">
        <w:rPr>
          <w:rFonts w:eastAsiaTheme="minorHAnsi" w:cs="Gotham-Light"/>
          <w:szCs w:val="26"/>
        </w:rPr>
        <w:t>basic</w:t>
      </w:r>
      <w:r w:rsidR="00EC5587" w:rsidRPr="00EC5587">
        <w:rPr>
          <w:rFonts w:eastAsiaTheme="minorHAnsi" w:cs="Gotham-Light"/>
          <w:szCs w:val="26"/>
        </w:rPr>
        <w:t xml:space="preserve"> issues such as privacy, cleanliness, and receiving physician check-ups. The inspector also </w:t>
      </w:r>
      <w:r w:rsidR="00D457F7" w:rsidRPr="00EC5587">
        <w:rPr>
          <w:rFonts w:eastAsiaTheme="minorHAnsi" w:cs="Gotham-Light"/>
          <w:szCs w:val="26"/>
        </w:rPr>
        <w:t>note</w:t>
      </w:r>
      <w:r w:rsidR="00D457F7">
        <w:rPr>
          <w:rFonts w:eastAsiaTheme="minorHAnsi" w:cs="Gotham-Light"/>
          <w:szCs w:val="26"/>
        </w:rPr>
        <w:t>d</w:t>
      </w:r>
      <w:r w:rsidR="00D457F7" w:rsidRPr="00EC5587">
        <w:rPr>
          <w:rFonts w:eastAsiaTheme="minorHAnsi" w:cs="Gotham-Light"/>
          <w:szCs w:val="26"/>
        </w:rPr>
        <w:t xml:space="preserve"> </w:t>
      </w:r>
      <w:r w:rsidR="00EC5587" w:rsidRPr="00EC5587">
        <w:rPr>
          <w:rFonts w:eastAsiaTheme="minorHAnsi" w:cs="Gotham-Light"/>
          <w:szCs w:val="26"/>
        </w:rPr>
        <w:t xml:space="preserve">that there </w:t>
      </w:r>
      <w:r w:rsidR="00D457F7">
        <w:rPr>
          <w:rFonts w:eastAsiaTheme="minorHAnsi" w:cs="Gotham-Light"/>
          <w:szCs w:val="26"/>
        </w:rPr>
        <w:t>was</w:t>
      </w:r>
      <w:r w:rsidR="00D457F7" w:rsidRPr="00EC5587">
        <w:rPr>
          <w:rFonts w:eastAsiaTheme="minorHAnsi" w:cs="Gotham-Light"/>
          <w:szCs w:val="26"/>
        </w:rPr>
        <w:t xml:space="preserve"> </w:t>
      </w:r>
      <w:r w:rsidR="00EC5587" w:rsidRPr="00EC5587">
        <w:rPr>
          <w:rFonts w:eastAsiaTheme="minorHAnsi" w:cs="Gotham-Light"/>
          <w:szCs w:val="26"/>
        </w:rPr>
        <w:t xml:space="preserve">no justification for the low levels of compliance in many areas. The Commission took </w:t>
      </w:r>
      <w:r w:rsidR="00EC5587" w:rsidRPr="00EC5587">
        <w:rPr>
          <w:rFonts w:eastAsiaTheme="minorHAnsi" w:cs="Gotham-Medium"/>
          <w:szCs w:val="26"/>
        </w:rPr>
        <w:t xml:space="preserve">44 </w:t>
      </w:r>
      <w:r w:rsidR="00EC5587" w:rsidRPr="00EC5587">
        <w:rPr>
          <w:rFonts w:eastAsiaTheme="minorHAnsi" w:cs="Gotham-Light"/>
          <w:szCs w:val="26"/>
        </w:rPr>
        <w:t>enforcement</w:t>
      </w:r>
      <w:r w:rsidR="00895423">
        <w:rPr>
          <w:rFonts w:eastAsiaTheme="minorHAnsi" w:cs="Gotham-Light"/>
          <w:szCs w:val="26"/>
        </w:rPr>
        <w:t xml:space="preserve"> actions</w:t>
      </w:r>
      <w:r w:rsidR="00EC5587" w:rsidRPr="00EC5587">
        <w:rPr>
          <w:rFonts w:eastAsiaTheme="minorHAnsi" w:cs="Gotham-Light"/>
          <w:szCs w:val="26"/>
        </w:rPr>
        <w:t xml:space="preserve"> relating to 23 approved c</w:t>
      </w:r>
      <w:r w:rsidR="00EC5587">
        <w:rPr>
          <w:rFonts w:eastAsiaTheme="minorHAnsi" w:cs="Gotham-Light"/>
          <w:szCs w:val="26"/>
        </w:rPr>
        <w:t>e</w:t>
      </w:r>
      <w:r w:rsidR="00EC5587" w:rsidRPr="00EC5587">
        <w:rPr>
          <w:rFonts w:eastAsiaTheme="minorHAnsi" w:cs="Gotham-Light"/>
          <w:szCs w:val="26"/>
        </w:rPr>
        <w:t xml:space="preserve">ntres in 2018. This compares to </w:t>
      </w:r>
      <w:r w:rsidR="00460233">
        <w:rPr>
          <w:rFonts w:eastAsiaTheme="minorHAnsi" w:cs="Gotham-Light"/>
          <w:szCs w:val="26"/>
        </w:rPr>
        <w:t>50</w:t>
      </w:r>
      <w:r w:rsidR="00460233" w:rsidRPr="00EC5587">
        <w:rPr>
          <w:rFonts w:eastAsiaTheme="minorHAnsi" w:cs="Gotham-Light"/>
          <w:szCs w:val="26"/>
        </w:rPr>
        <w:t xml:space="preserve"> </w:t>
      </w:r>
      <w:r w:rsidR="00EC5587" w:rsidRPr="00EC5587">
        <w:rPr>
          <w:rFonts w:eastAsiaTheme="minorHAnsi" w:cs="Gotham-Light"/>
          <w:szCs w:val="26"/>
        </w:rPr>
        <w:t xml:space="preserve">enforcement actions taken in </w:t>
      </w:r>
      <w:r w:rsidR="00460233">
        <w:rPr>
          <w:rFonts w:eastAsiaTheme="minorHAnsi" w:cs="Gotham-Light"/>
          <w:szCs w:val="26"/>
        </w:rPr>
        <w:t xml:space="preserve">22 approved centres in </w:t>
      </w:r>
      <w:r w:rsidR="00EC5587" w:rsidRPr="00EC5587">
        <w:rPr>
          <w:rFonts w:eastAsiaTheme="minorHAnsi" w:cs="Gotham-Light"/>
          <w:szCs w:val="26"/>
        </w:rPr>
        <w:t>201</w:t>
      </w:r>
      <w:r w:rsidR="00460233">
        <w:rPr>
          <w:rFonts w:eastAsiaTheme="minorHAnsi" w:cs="Gotham-Light"/>
          <w:szCs w:val="26"/>
        </w:rPr>
        <w:t>6</w:t>
      </w:r>
      <w:r w:rsidR="00EC5587" w:rsidRPr="00EC5587">
        <w:rPr>
          <w:rFonts w:eastAsiaTheme="minorHAnsi" w:cs="Gotham-Light"/>
          <w:szCs w:val="26"/>
        </w:rPr>
        <w:t>. The inspector also attached new registration conditions to five centres. These actions shoul</w:t>
      </w:r>
      <w:r w:rsidR="004C05A5">
        <w:rPr>
          <w:rFonts w:eastAsiaTheme="minorHAnsi" w:cs="Gotham-Light"/>
          <w:szCs w:val="26"/>
        </w:rPr>
        <w:t>d over time increase compliance.</w:t>
      </w:r>
    </w:p>
    <w:p w14:paraId="1BAF6FB6" w14:textId="77777777" w:rsidR="00B70B73" w:rsidRPr="004C05A5" w:rsidRDefault="009E4ABD" w:rsidP="00EC5587">
      <w:pPr>
        <w:rPr>
          <w:lang w:eastAsia="en-IE"/>
        </w:rPr>
      </w:pPr>
      <w:r w:rsidRPr="004C05A5">
        <w:rPr>
          <w:b/>
          <w:lang w:eastAsia="en-IE"/>
        </w:rPr>
        <w:t xml:space="preserve">Indicator </w:t>
      </w:r>
      <w:r w:rsidR="00B70B73" w:rsidRPr="004C05A5">
        <w:rPr>
          <w:b/>
          <w:lang w:eastAsia="en-IE"/>
        </w:rPr>
        <w:t>6.3c. Evidence of a continuous quality improvement process in New Directions Services self-assessment process</w:t>
      </w:r>
      <w:r w:rsidR="00350A82">
        <w:rPr>
          <w:b/>
          <w:lang w:eastAsia="en-IE"/>
        </w:rPr>
        <w:t xml:space="preserve"> </w:t>
      </w:r>
      <w:r w:rsidR="00350A82">
        <w:rPr>
          <w:b/>
          <w:szCs w:val="26"/>
          <w:lang w:eastAsia="en-IE"/>
        </w:rPr>
        <w:t>(Process)</w:t>
      </w:r>
      <w:r w:rsidR="00B70B73" w:rsidRPr="004C05A5">
        <w:rPr>
          <w:b/>
          <w:lang w:eastAsia="en-IE"/>
        </w:rPr>
        <w:t>:</w:t>
      </w:r>
      <w:r w:rsidR="00B70B73" w:rsidRPr="004C05A5">
        <w:rPr>
          <w:lang w:eastAsia="en-IE"/>
        </w:rPr>
        <w:t xml:space="preserve"> There is a draft</w:t>
      </w:r>
      <w:r w:rsidR="00853914" w:rsidRPr="004C05A5">
        <w:rPr>
          <w:lang w:eastAsia="en-IE"/>
        </w:rPr>
        <w:t xml:space="preserve"> </w:t>
      </w:r>
      <w:r w:rsidR="004C05A5" w:rsidRPr="004C05A5">
        <w:rPr>
          <w:lang w:eastAsia="en-IE"/>
        </w:rPr>
        <w:t>HSE</w:t>
      </w:r>
      <w:r w:rsidR="00B70B73" w:rsidRPr="004C05A5">
        <w:rPr>
          <w:lang w:eastAsia="en-IE"/>
        </w:rPr>
        <w:t xml:space="preserve"> report on </w:t>
      </w:r>
      <w:r w:rsidR="00B70B73" w:rsidRPr="0024621A">
        <w:rPr>
          <w:lang w:eastAsia="en-IE"/>
        </w:rPr>
        <w:t>th</w:t>
      </w:r>
      <w:r w:rsidR="00EC5587" w:rsidRPr="0024621A">
        <w:rPr>
          <w:lang w:eastAsia="en-IE"/>
        </w:rPr>
        <w:t>e self-assessment</w:t>
      </w:r>
      <w:r w:rsidR="00853914" w:rsidRPr="004C05A5">
        <w:rPr>
          <w:lang w:eastAsia="en-IE"/>
        </w:rPr>
        <w:t xml:space="preserve"> by service providers</w:t>
      </w:r>
      <w:r w:rsidR="00EC5587" w:rsidRPr="004C05A5">
        <w:rPr>
          <w:lang w:eastAsia="en-IE"/>
        </w:rPr>
        <w:t xml:space="preserve"> around theme one</w:t>
      </w:r>
      <w:r w:rsidR="00B70B73" w:rsidRPr="004C05A5">
        <w:rPr>
          <w:lang w:eastAsia="en-IE"/>
        </w:rPr>
        <w:t xml:space="preserve"> of the New Directions </w:t>
      </w:r>
      <w:r w:rsidR="00853914" w:rsidRPr="004C05A5">
        <w:rPr>
          <w:lang w:eastAsia="en-IE"/>
        </w:rPr>
        <w:t xml:space="preserve">Interim Standards </w:t>
      </w:r>
      <w:r w:rsidR="004C05A5" w:rsidRPr="004C05A5">
        <w:rPr>
          <w:lang w:eastAsia="en-IE"/>
        </w:rPr>
        <w:t>on Individualised Services and Supports. This process will provide an important source of data to monitor the quality of New Directions services and their continuous quality improvement process.</w:t>
      </w:r>
    </w:p>
    <w:p w14:paraId="345D63BF" w14:textId="77777777" w:rsidR="00E22F03" w:rsidRDefault="00E22F03" w:rsidP="00E22F03">
      <w:pPr>
        <w:pStyle w:val="Heading1"/>
        <w:rPr>
          <w:lang w:eastAsia="en-IE"/>
        </w:rPr>
      </w:pPr>
      <w:r>
        <w:rPr>
          <w:lang w:eastAsia="en-IE"/>
        </w:rPr>
        <w:t xml:space="preserve">Theme 7: </w:t>
      </w:r>
      <w:r w:rsidRPr="00E22F03">
        <w:rPr>
          <w:lang w:eastAsia="en-IE"/>
        </w:rPr>
        <w:t>Living in the Community</w:t>
      </w:r>
    </w:p>
    <w:p w14:paraId="7DC86CED" w14:textId="21F22C80" w:rsidR="009E4ABD" w:rsidRDefault="00502D1A" w:rsidP="007023B5">
      <w:pPr>
        <w:autoSpaceDE w:val="0"/>
        <w:autoSpaceDN w:val="0"/>
        <w:adjustRightInd w:val="0"/>
        <w:spacing w:line="241" w:lineRule="atLeast"/>
        <w:rPr>
          <w:szCs w:val="26"/>
          <w:lang w:eastAsia="en-IE"/>
        </w:rPr>
      </w:pPr>
      <w:r w:rsidRPr="00502D1A">
        <w:rPr>
          <w:rFonts w:eastAsiaTheme="minorHAnsi" w:cs="YFEWFP+ArialMT"/>
          <w:color w:val="000000"/>
          <w:szCs w:val="26"/>
        </w:rPr>
        <w:t xml:space="preserve">This theme is committed to supporting </w:t>
      </w:r>
      <w:r w:rsidR="004B469A">
        <w:rPr>
          <w:rFonts w:eastAsiaTheme="minorHAnsi" w:cs="YFEWFP+ArialMT"/>
          <w:color w:val="000000"/>
          <w:szCs w:val="26"/>
        </w:rPr>
        <w:t>persons with disabilities</w:t>
      </w:r>
      <w:r w:rsidR="005F3492" w:rsidRPr="00502D1A">
        <w:rPr>
          <w:rFonts w:eastAsiaTheme="minorHAnsi" w:cs="YFEWFP+ArialMT"/>
          <w:color w:val="000000"/>
          <w:szCs w:val="26"/>
        </w:rPr>
        <w:t xml:space="preserve"> to live an independent </w:t>
      </w:r>
      <w:r w:rsidR="005F3492" w:rsidRPr="00502D1A">
        <w:rPr>
          <w:rFonts w:eastAsiaTheme="minorHAnsi" w:cs="Arial"/>
          <w:color w:val="000000"/>
          <w:szCs w:val="26"/>
        </w:rPr>
        <w:t>life in a home of their choosing in their community.</w:t>
      </w:r>
      <w:r w:rsidR="00350A82">
        <w:rPr>
          <w:rFonts w:eastAsiaTheme="minorHAnsi" w:cs="Arial"/>
          <w:color w:val="000000"/>
          <w:szCs w:val="26"/>
        </w:rPr>
        <w:t xml:space="preserve"> There are seven indicators associated with this theme. Two are outcome indicators and five are process indicators.</w:t>
      </w:r>
      <w:r w:rsidRPr="00502D1A">
        <w:rPr>
          <w:rFonts w:eastAsiaTheme="minorHAnsi" w:cs="Arial"/>
          <w:color w:val="000000"/>
          <w:szCs w:val="26"/>
        </w:rPr>
        <w:t xml:space="preserve"> </w:t>
      </w:r>
      <w:r w:rsidR="00350A82">
        <w:rPr>
          <w:rStyle w:val="A01"/>
          <w:sz w:val="26"/>
          <w:szCs w:val="26"/>
        </w:rPr>
        <w:t>One of the goals of this theme is that n</w:t>
      </w:r>
      <w:r w:rsidR="005F3492" w:rsidRPr="00502D1A">
        <w:rPr>
          <w:rStyle w:val="A01"/>
          <w:sz w:val="26"/>
          <w:szCs w:val="26"/>
        </w:rPr>
        <w:t xml:space="preserve">ew homes are designed to </w:t>
      </w:r>
      <w:r w:rsidR="00207A82">
        <w:rPr>
          <w:rStyle w:val="A01"/>
          <w:sz w:val="26"/>
          <w:szCs w:val="26"/>
        </w:rPr>
        <w:t>UD</w:t>
      </w:r>
      <w:r w:rsidR="005F3492" w:rsidRPr="00502D1A">
        <w:rPr>
          <w:rStyle w:val="A01"/>
          <w:sz w:val="26"/>
          <w:szCs w:val="26"/>
        </w:rPr>
        <w:t xml:space="preserve"> </w:t>
      </w:r>
      <w:r w:rsidR="005F3492" w:rsidRPr="007023B5">
        <w:rPr>
          <w:rStyle w:val="A01"/>
          <w:color w:val="auto"/>
          <w:sz w:val="26"/>
          <w:szCs w:val="26"/>
        </w:rPr>
        <w:t>standards and can be readily adapted to people’s changing needs.</w:t>
      </w:r>
      <w:r w:rsidR="007023B5" w:rsidRPr="007023B5">
        <w:rPr>
          <w:rStyle w:val="A01"/>
          <w:color w:val="auto"/>
          <w:sz w:val="26"/>
          <w:szCs w:val="26"/>
        </w:rPr>
        <w:t xml:space="preserve"> The recently published Roadmap to </w:t>
      </w:r>
      <w:r w:rsidR="00B74F7F">
        <w:rPr>
          <w:rStyle w:val="A01"/>
          <w:color w:val="auto"/>
          <w:sz w:val="26"/>
          <w:szCs w:val="26"/>
        </w:rPr>
        <w:t>S</w:t>
      </w:r>
      <w:r w:rsidR="00B74F7F" w:rsidRPr="007023B5">
        <w:rPr>
          <w:rStyle w:val="A01"/>
          <w:color w:val="auto"/>
          <w:sz w:val="26"/>
          <w:szCs w:val="26"/>
        </w:rPr>
        <w:t xml:space="preserve">ocial </w:t>
      </w:r>
      <w:r w:rsidR="00B74F7F">
        <w:rPr>
          <w:rStyle w:val="A01"/>
          <w:color w:val="auto"/>
          <w:sz w:val="26"/>
          <w:szCs w:val="26"/>
        </w:rPr>
        <w:t>I</w:t>
      </w:r>
      <w:r w:rsidR="00B74F7F" w:rsidRPr="007023B5">
        <w:rPr>
          <w:rStyle w:val="A01"/>
          <w:color w:val="auto"/>
          <w:sz w:val="26"/>
          <w:szCs w:val="26"/>
        </w:rPr>
        <w:t xml:space="preserve">nclusion </w:t>
      </w:r>
      <w:r w:rsidR="007023B5" w:rsidRPr="007023B5">
        <w:rPr>
          <w:rStyle w:val="A01"/>
          <w:color w:val="auto"/>
          <w:sz w:val="26"/>
          <w:szCs w:val="26"/>
        </w:rPr>
        <w:t xml:space="preserve">has the goal </w:t>
      </w:r>
      <w:r w:rsidR="00570731">
        <w:rPr>
          <w:rStyle w:val="A01"/>
          <w:color w:val="auto"/>
          <w:sz w:val="26"/>
          <w:szCs w:val="26"/>
        </w:rPr>
        <w:t>to</w:t>
      </w:r>
      <w:r w:rsidR="007023B5" w:rsidRPr="007023B5">
        <w:rPr>
          <w:rStyle w:val="A01"/>
          <w:color w:val="auto"/>
          <w:sz w:val="26"/>
          <w:szCs w:val="26"/>
        </w:rPr>
        <w:t xml:space="preserve"> </w:t>
      </w:r>
      <w:r w:rsidR="007023B5" w:rsidRPr="00FE7A01">
        <w:rPr>
          <w:rStyle w:val="A01"/>
          <w:color w:val="auto"/>
          <w:sz w:val="26"/>
          <w:szCs w:val="26"/>
        </w:rPr>
        <w:t>‘</w:t>
      </w:r>
      <w:r w:rsidR="008D5B56" w:rsidRPr="00FE7A01">
        <w:rPr>
          <w:rFonts w:eastAsiaTheme="minorHAnsi" w:cs="Arial-BoldMT"/>
          <w:bCs/>
          <w:szCs w:val="26"/>
        </w:rPr>
        <w:t xml:space="preserve">Improve social inclusion of </w:t>
      </w:r>
      <w:r w:rsidR="00FE7A01" w:rsidRPr="00FE7A01">
        <w:rPr>
          <w:rFonts w:eastAsiaTheme="minorHAnsi" w:cs="Arial-BoldMT"/>
          <w:bCs/>
          <w:szCs w:val="26"/>
        </w:rPr>
        <w:t xml:space="preserve">people </w:t>
      </w:r>
      <w:r w:rsidR="004B469A" w:rsidRPr="00FE7A01">
        <w:rPr>
          <w:rFonts w:eastAsiaTheme="minorHAnsi" w:cs="Arial-BoldMT"/>
          <w:bCs/>
          <w:szCs w:val="26"/>
        </w:rPr>
        <w:t>with disabilities</w:t>
      </w:r>
      <w:r w:rsidR="008D5B56" w:rsidRPr="00FE7A01">
        <w:rPr>
          <w:rFonts w:eastAsiaTheme="minorHAnsi" w:cs="Arial-BoldMT"/>
          <w:bCs/>
          <w:szCs w:val="26"/>
        </w:rPr>
        <w:t xml:space="preserve"> by</w:t>
      </w:r>
      <w:r w:rsidR="007023B5" w:rsidRPr="00FE7A01">
        <w:rPr>
          <w:rFonts w:eastAsiaTheme="minorHAnsi" w:cs="Arial-BoldMT"/>
          <w:bCs/>
          <w:szCs w:val="26"/>
        </w:rPr>
        <w:t xml:space="preserve"> </w:t>
      </w:r>
      <w:r w:rsidR="008D5B56" w:rsidRPr="00FE7A01">
        <w:rPr>
          <w:rFonts w:eastAsiaTheme="minorHAnsi" w:cs="Arial-BoldMT"/>
          <w:bCs/>
          <w:szCs w:val="26"/>
        </w:rPr>
        <w:t>reducing poverty rates, improving employment outcomes and</w:t>
      </w:r>
      <w:r w:rsidR="007023B5" w:rsidRPr="00FE7A01">
        <w:rPr>
          <w:rFonts w:eastAsiaTheme="minorHAnsi" w:cs="Arial-BoldMT"/>
          <w:bCs/>
          <w:szCs w:val="26"/>
        </w:rPr>
        <w:t xml:space="preserve"> delivering better services’.</w:t>
      </w:r>
      <w:r w:rsidR="00D253A2">
        <w:rPr>
          <w:rStyle w:val="FootnoteReference"/>
          <w:rFonts w:eastAsiaTheme="minorHAnsi" w:cs="Arial-BoldMT"/>
          <w:bCs/>
          <w:szCs w:val="26"/>
        </w:rPr>
        <w:footnoteReference w:id="148"/>
      </w:r>
      <w:r w:rsidR="007023B5" w:rsidRPr="007023B5">
        <w:rPr>
          <w:rFonts w:eastAsiaTheme="minorHAnsi" w:cs="Arial-BoldMT"/>
          <w:bCs/>
          <w:szCs w:val="26"/>
        </w:rPr>
        <w:t xml:space="preserve"> The roadmap also talks about </w:t>
      </w:r>
      <w:r w:rsidR="00B74F7F">
        <w:rPr>
          <w:rFonts w:eastAsiaTheme="minorHAnsi" w:cs="Arial-BoldMT"/>
          <w:bCs/>
          <w:szCs w:val="26"/>
        </w:rPr>
        <w:t>c</w:t>
      </w:r>
      <w:r w:rsidR="008D5B56" w:rsidRPr="007023B5">
        <w:rPr>
          <w:rFonts w:eastAsiaTheme="minorHAnsi" w:cs="Arial-BoldMT"/>
          <w:bCs/>
          <w:szCs w:val="26"/>
        </w:rPr>
        <w:t>hanging the narrative</w:t>
      </w:r>
      <w:r w:rsidR="00700CF4">
        <w:rPr>
          <w:rFonts w:eastAsiaTheme="minorHAnsi" w:cs="Arial-BoldMT"/>
          <w:bCs/>
          <w:szCs w:val="26"/>
        </w:rPr>
        <w:t>-</w:t>
      </w:r>
      <w:r w:rsidR="008D5B56" w:rsidRPr="007023B5">
        <w:rPr>
          <w:rFonts w:eastAsiaTheme="minorHAnsi" w:cs="Arial-BoldMT"/>
          <w:bCs/>
          <w:szCs w:val="26"/>
        </w:rPr>
        <w:t xml:space="preserve">from </w:t>
      </w:r>
      <w:r w:rsidR="008D5B56" w:rsidRPr="007023B5">
        <w:rPr>
          <w:rFonts w:eastAsiaTheme="minorHAnsi" w:cs="Arial-BoldItalicMT"/>
          <w:bCs/>
          <w:i/>
          <w:iCs/>
          <w:szCs w:val="26"/>
        </w:rPr>
        <w:t>dis</w:t>
      </w:r>
      <w:r w:rsidR="008D5B56" w:rsidRPr="007023B5">
        <w:rPr>
          <w:rFonts w:eastAsiaTheme="minorHAnsi" w:cs="Arial-BoldMT"/>
          <w:bCs/>
          <w:szCs w:val="26"/>
        </w:rPr>
        <w:t>ability to ability</w:t>
      </w:r>
      <w:r w:rsidR="007023B5" w:rsidRPr="007023B5">
        <w:rPr>
          <w:rFonts w:eastAsiaTheme="minorHAnsi" w:cs="Arial-BoldMT"/>
          <w:bCs/>
          <w:szCs w:val="26"/>
        </w:rPr>
        <w:t xml:space="preserve"> which the NDA welcomes.</w:t>
      </w:r>
      <w:r w:rsidR="007023B5" w:rsidRPr="007023B5">
        <w:rPr>
          <w:rFonts w:ascii="Arial-BoldMT" w:eastAsiaTheme="minorHAnsi" w:hAnsi="Arial-BoldMT" w:cs="Arial-BoldMT"/>
          <w:b/>
          <w:bCs/>
          <w:sz w:val="28"/>
          <w:szCs w:val="28"/>
        </w:rPr>
        <w:t xml:space="preserve"> </w:t>
      </w:r>
    </w:p>
    <w:p w14:paraId="0D07B870" w14:textId="77777777" w:rsidR="00570731" w:rsidRDefault="0094367E" w:rsidP="001C08F2">
      <w:pPr>
        <w:autoSpaceDE w:val="0"/>
        <w:autoSpaceDN w:val="0"/>
        <w:adjustRightInd w:val="0"/>
        <w:spacing w:line="241" w:lineRule="atLeast"/>
        <w:rPr>
          <w:szCs w:val="26"/>
        </w:rPr>
      </w:pPr>
      <w:r w:rsidRPr="009E4ABD">
        <w:rPr>
          <w:b/>
          <w:lang w:eastAsia="en-IE"/>
        </w:rPr>
        <w:t>Indicator 7.1a. Number of people who continue to live in disability</w:t>
      </w:r>
      <w:r w:rsidR="002D2FE4">
        <w:rPr>
          <w:b/>
          <w:lang w:eastAsia="en-IE"/>
        </w:rPr>
        <w:t xml:space="preserve"> and mental health</w:t>
      </w:r>
      <w:r w:rsidRPr="009E4ABD">
        <w:rPr>
          <w:b/>
          <w:lang w:eastAsia="en-IE"/>
        </w:rPr>
        <w:t xml:space="preserve"> congregated settings (≥ 10 people) or large disability residences (5-9 people)</w:t>
      </w:r>
      <w:r w:rsidR="00350A82">
        <w:rPr>
          <w:b/>
          <w:lang w:eastAsia="en-IE"/>
        </w:rPr>
        <w:t xml:space="preserve"> </w:t>
      </w:r>
      <w:r w:rsidR="00350A82">
        <w:rPr>
          <w:b/>
          <w:szCs w:val="26"/>
          <w:lang w:eastAsia="en-IE"/>
        </w:rPr>
        <w:t>(Process)</w:t>
      </w:r>
      <w:r w:rsidRPr="009E4ABD">
        <w:rPr>
          <w:b/>
          <w:lang w:eastAsia="en-IE"/>
        </w:rPr>
        <w:t>:</w:t>
      </w:r>
      <w:r>
        <w:rPr>
          <w:lang w:eastAsia="en-IE"/>
        </w:rPr>
        <w:t xml:space="preserve"> </w:t>
      </w:r>
      <w:r w:rsidR="00EA6C95">
        <w:rPr>
          <w:lang w:eastAsia="en-IE"/>
        </w:rPr>
        <w:t>Congregated settings are defined by the Time to Move on From Congregated Settings Report as</w:t>
      </w:r>
      <w:r w:rsidR="00EA6C95" w:rsidRPr="00EA6C95">
        <w:rPr>
          <w:szCs w:val="26"/>
          <w:lang w:eastAsia="en-IE"/>
        </w:rPr>
        <w:t xml:space="preserve"> </w:t>
      </w:r>
      <w:r w:rsidR="00EA6C95" w:rsidRPr="00EA6C95">
        <w:rPr>
          <w:szCs w:val="26"/>
        </w:rPr>
        <w:t xml:space="preserve">a residential setting where </w:t>
      </w:r>
      <w:r w:rsidR="00EA6C95">
        <w:rPr>
          <w:szCs w:val="26"/>
        </w:rPr>
        <w:t>people with disabilities</w:t>
      </w:r>
      <w:r w:rsidR="00EA6C95" w:rsidRPr="00EA6C95">
        <w:rPr>
          <w:szCs w:val="26"/>
        </w:rPr>
        <w:t xml:space="preserve"> </w:t>
      </w:r>
      <w:r w:rsidR="00EA6C95" w:rsidRPr="006640CA">
        <w:rPr>
          <w:szCs w:val="26"/>
        </w:rPr>
        <w:t>live with ten or more people.</w:t>
      </w:r>
      <w:r w:rsidR="00EA6C95" w:rsidRPr="006640CA">
        <w:rPr>
          <w:rStyle w:val="FootnoteReference"/>
          <w:szCs w:val="26"/>
        </w:rPr>
        <w:footnoteReference w:id="149"/>
      </w:r>
      <w:r w:rsidR="00587F09">
        <w:rPr>
          <w:szCs w:val="26"/>
        </w:rPr>
        <w:t xml:space="preserve"> </w:t>
      </w:r>
      <w:r w:rsidR="002D2FE4">
        <w:rPr>
          <w:szCs w:val="26"/>
        </w:rPr>
        <w:t xml:space="preserve">Although this relates to people with physical, sensory and intellectual disabilities as noted </w:t>
      </w:r>
      <w:r w:rsidR="00570731">
        <w:rPr>
          <w:szCs w:val="26"/>
        </w:rPr>
        <w:t>previously,</w:t>
      </w:r>
      <w:r w:rsidR="002D2FE4">
        <w:rPr>
          <w:szCs w:val="26"/>
        </w:rPr>
        <w:t xml:space="preserve"> this does not necessarily apply to mental health institutions and more research is required</w:t>
      </w:r>
      <w:r w:rsidR="00072BA9">
        <w:rPr>
          <w:szCs w:val="26"/>
        </w:rPr>
        <w:t xml:space="preserve"> around optimal numbers</w:t>
      </w:r>
      <w:r w:rsidR="00C050D5">
        <w:rPr>
          <w:szCs w:val="26"/>
        </w:rPr>
        <w:t xml:space="preserve"> in this instance</w:t>
      </w:r>
      <w:r w:rsidR="002D2FE4">
        <w:rPr>
          <w:szCs w:val="26"/>
        </w:rPr>
        <w:t xml:space="preserve">. </w:t>
      </w:r>
    </w:p>
    <w:p w14:paraId="7C3B495F" w14:textId="1E76F213" w:rsidR="00694DF4" w:rsidRDefault="002D2FE4" w:rsidP="001C08F2">
      <w:pPr>
        <w:autoSpaceDE w:val="0"/>
        <w:autoSpaceDN w:val="0"/>
        <w:adjustRightInd w:val="0"/>
        <w:spacing w:line="241" w:lineRule="atLeast"/>
        <w:rPr>
          <w:lang w:eastAsia="en-IE"/>
        </w:rPr>
      </w:pPr>
      <w:r>
        <w:rPr>
          <w:szCs w:val="26"/>
        </w:rPr>
        <w:t>However, for the purposes of getting estimates of the total number of people with a disability and or a mental health difficulty t</w:t>
      </w:r>
      <w:r w:rsidR="00694DF4">
        <w:rPr>
          <w:szCs w:val="26"/>
        </w:rPr>
        <w:t xml:space="preserve">his definition was applied to 24-hour supervised mental health residences to </w:t>
      </w:r>
      <w:r w:rsidR="00C050D5">
        <w:rPr>
          <w:szCs w:val="26"/>
        </w:rPr>
        <w:t>approximate</w:t>
      </w:r>
      <w:r w:rsidR="00694DF4">
        <w:rPr>
          <w:szCs w:val="26"/>
        </w:rPr>
        <w:t xml:space="preserve"> of the number of people</w:t>
      </w:r>
      <w:r>
        <w:rPr>
          <w:szCs w:val="26"/>
        </w:rPr>
        <w:t xml:space="preserve"> living</w:t>
      </w:r>
      <w:r w:rsidR="00694DF4">
        <w:rPr>
          <w:szCs w:val="26"/>
        </w:rPr>
        <w:t xml:space="preserve"> in congregated settings. Also included was the number of people resident in psychiatric hospitals for more than one year. </w:t>
      </w:r>
      <w:r w:rsidR="00E95BF9">
        <w:rPr>
          <w:szCs w:val="26"/>
        </w:rPr>
        <w:t xml:space="preserve">This analysis, shown in Figure </w:t>
      </w:r>
      <w:r w:rsidR="00ED08E1">
        <w:rPr>
          <w:szCs w:val="26"/>
        </w:rPr>
        <w:t>11</w:t>
      </w:r>
      <w:r w:rsidR="00694DF4">
        <w:rPr>
          <w:szCs w:val="26"/>
        </w:rPr>
        <w:t>, shows that t</w:t>
      </w:r>
      <w:r w:rsidR="00694DF4">
        <w:rPr>
          <w:lang w:eastAsia="en-IE"/>
        </w:rPr>
        <w:t>here was a decrease in the number of people</w:t>
      </w:r>
      <w:r w:rsidR="00AB2246">
        <w:rPr>
          <w:lang w:eastAsia="en-IE"/>
        </w:rPr>
        <w:t xml:space="preserve"> with disabilities and/</w:t>
      </w:r>
      <w:r>
        <w:rPr>
          <w:lang w:eastAsia="en-IE"/>
        </w:rPr>
        <w:t>or mental health difficulties</w:t>
      </w:r>
      <w:r w:rsidR="00694DF4">
        <w:rPr>
          <w:lang w:eastAsia="en-IE"/>
        </w:rPr>
        <w:t xml:space="preserve"> living in congregated settings</w:t>
      </w:r>
      <w:r w:rsidR="001A67DA">
        <w:rPr>
          <w:lang w:eastAsia="en-IE"/>
        </w:rPr>
        <w:t xml:space="preserve"> or as long stay patients in inpatient psychiatric facilities or community residences with greater than 10 people</w:t>
      </w:r>
      <w:r w:rsidR="00694DF4">
        <w:rPr>
          <w:lang w:eastAsia="en-IE"/>
        </w:rPr>
        <w:t xml:space="preserve"> from 4,258 in 2016</w:t>
      </w:r>
      <w:r w:rsidR="00D93219">
        <w:rPr>
          <w:rStyle w:val="FootnoteReference"/>
          <w:lang w:eastAsia="en-IE"/>
        </w:rPr>
        <w:footnoteReference w:id="150"/>
      </w:r>
      <w:r w:rsidR="00D93219">
        <w:rPr>
          <w:lang w:eastAsia="en-IE"/>
        </w:rPr>
        <w:t xml:space="preserve"> </w:t>
      </w:r>
      <w:r w:rsidR="00D93219">
        <w:rPr>
          <w:rStyle w:val="FootnoteReference"/>
          <w:lang w:eastAsia="en-IE"/>
        </w:rPr>
        <w:footnoteReference w:id="151"/>
      </w:r>
      <w:r w:rsidR="00D93219">
        <w:rPr>
          <w:lang w:eastAsia="en-IE"/>
        </w:rPr>
        <w:t xml:space="preserve"> </w:t>
      </w:r>
      <w:r w:rsidR="00D93219">
        <w:rPr>
          <w:rStyle w:val="FootnoteReference"/>
          <w:lang w:eastAsia="en-IE"/>
        </w:rPr>
        <w:footnoteReference w:id="152"/>
      </w:r>
      <w:r w:rsidR="00694DF4">
        <w:rPr>
          <w:lang w:eastAsia="en-IE"/>
        </w:rPr>
        <w:t xml:space="preserve"> to 3,710 in 2018.</w:t>
      </w:r>
      <w:r w:rsidR="00211C87">
        <w:rPr>
          <w:rStyle w:val="FootnoteReference"/>
          <w:lang w:eastAsia="en-IE"/>
        </w:rPr>
        <w:footnoteReference w:id="153"/>
      </w:r>
      <w:r w:rsidR="00694DF4">
        <w:rPr>
          <w:lang w:eastAsia="en-IE"/>
        </w:rPr>
        <w:t xml:space="preserve"> </w:t>
      </w:r>
      <w:r w:rsidR="00211C87">
        <w:rPr>
          <w:rStyle w:val="FootnoteReference"/>
          <w:lang w:eastAsia="en-IE"/>
        </w:rPr>
        <w:footnoteReference w:id="154"/>
      </w:r>
      <w:r w:rsidR="00211C87">
        <w:rPr>
          <w:rStyle w:val="FootnoteReference"/>
          <w:lang w:eastAsia="en-IE"/>
        </w:rPr>
        <w:footnoteReference w:id="155"/>
      </w:r>
    </w:p>
    <w:p w14:paraId="54317C5F" w14:textId="20E81B5C" w:rsidR="00002C9E" w:rsidRDefault="00002C9E" w:rsidP="001C08F2">
      <w:pPr>
        <w:autoSpaceDE w:val="0"/>
        <w:autoSpaceDN w:val="0"/>
        <w:adjustRightInd w:val="0"/>
        <w:spacing w:line="241" w:lineRule="atLeast"/>
        <w:rPr>
          <w:lang w:eastAsia="en-IE"/>
        </w:rPr>
      </w:pPr>
      <w:r>
        <w:rPr>
          <w:noProof/>
          <w:lang w:eastAsia="en-IE"/>
        </w:rPr>
        <w:drawing>
          <wp:inline distT="0" distB="0" distL="0" distR="0" wp14:anchorId="42E36C25" wp14:editId="0B770DF1">
            <wp:extent cx="5657850" cy="2781300"/>
            <wp:effectExtent l="0" t="0" r="0" b="0"/>
            <wp:docPr id="9" name="Picture 9" descr="Number of people living in disability and psychiatric related congregated settings 2016 and 2018. In 2016 there were 2579 people living in disability congregated settings, 866 living in a psychiatric hospital for more than one year, 813 living in community psychiatric 24 hour supervised centers with more than 10 beds giving a total living in congregated settings of 4,258. The corresponding figures for 2018 are 2,136, 854, 720 and 3,720." title="Figure 11. Number of people living in disability and psychiatric related congregated settings 2016 an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7850" cy="2781300"/>
                    </a:xfrm>
                    <a:prstGeom prst="rect">
                      <a:avLst/>
                    </a:prstGeom>
                    <a:noFill/>
                    <a:ln>
                      <a:noFill/>
                    </a:ln>
                  </pic:spPr>
                </pic:pic>
              </a:graphicData>
            </a:graphic>
          </wp:inline>
        </w:drawing>
      </w:r>
    </w:p>
    <w:p w14:paraId="434713BF" w14:textId="6D927F60" w:rsidR="00072BA9" w:rsidRPr="00AB2246" w:rsidRDefault="00072BA9" w:rsidP="001C08F2">
      <w:pPr>
        <w:autoSpaceDE w:val="0"/>
        <w:autoSpaceDN w:val="0"/>
        <w:adjustRightInd w:val="0"/>
        <w:spacing w:line="241" w:lineRule="atLeast"/>
        <w:rPr>
          <w:color w:val="000000" w:themeColor="text1"/>
          <w:lang w:eastAsia="en-IE"/>
        </w:rPr>
      </w:pPr>
      <w:r w:rsidRPr="006640CA">
        <w:rPr>
          <w:szCs w:val="26"/>
        </w:rPr>
        <w:t xml:space="preserve">The </w:t>
      </w:r>
      <w:r>
        <w:rPr>
          <w:szCs w:val="26"/>
        </w:rPr>
        <w:t xml:space="preserve">Time to Move On </w:t>
      </w:r>
      <w:r w:rsidRPr="006640CA">
        <w:rPr>
          <w:szCs w:val="26"/>
        </w:rPr>
        <w:t>report recommend</w:t>
      </w:r>
      <w:r w:rsidR="00AB2246">
        <w:rPr>
          <w:szCs w:val="26"/>
        </w:rPr>
        <w:t>s</w:t>
      </w:r>
      <w:r w:rsidRPr="006640CA">
        <w:rPr>
          <w:szCs w:val="26"/>
        </w:rPr>
        <w:t xml:space="preserve"> that where people choose home</w:t>
      </w:r>
      <w:r w:rsidRPr="006640CA">
        <w:rPr>
          <w:rFonts w:ascii="Cambria Math" w:hAnsi="Cambria Math" w:cs="Cambria Math"/>
          <w:szCs w:val="26"/>
        </w:rPr>
        <w:t>‐</w:t>
      </w:r>
      <w:r w:rsidRPr="006640CA">
        <w:rPr>
          <w:szCs w:val="26"/>
        </w:rPr>
        <w:t>sharing with other people with a disability that the home</w:t>
      </w:r>
      <w:r w:rsidRPr="006640CA">
        <w:rPr>
          <w:rFonts w:ascii="Cambria Math" w:hAnsi="Cambria Math" w:cs="Cambria Math"/>
          <w:szCs w:val="26"/>
        </w:rPr>
        <w:t>‐</w:t>
      </w:r>
      <w:r w:rsidRPr="006640CA">
        <w:rPr>
          <w:szCs w:val="26"/>
        </w:rPr>
        <w:t xml:space="preserve">sharing arrangement should be </w:t>
      </w:r>
      <w:r w:rsidRPr="00AB2246">
        <w:rPr>
          <w:color w:val="000000" w:themeColor="text1"/>
          <w:szCs w:val="26"/>
        </w:rPr>
        <w:t>confined to no more than four people in total.</w:t>
      </w:r>
      <w:r w:rsidRPr="00AB2246">
        <w:rPr>
          <w:color w:val="000000" w:themeColor="text1"/>
          <w:sz w:val="23"/>
          <w:szCs w:val="23"/>
        </w:rPr>
        <w:t xml:space="preserve"> </w:t>
      </w:r>
      <w:r w:rsidRPr="00AB2246">
        <w:rPr>
          <w:color w:val="000000" w:themeColor="text1"/>
          <w:lang w:eastAsia="en-IE"/>
        </w:rPr>
        <w:t>This applies to peop</w:t>
      </w:r>
      <w:r w:rsidR="00AB2246" w:rsidRPr="00AB2246">
        <w:rPr>
          <w:color w:val="000000" w:themeColor="text1"/>
          <w:lang w:eastAsia="en-IE"/>
        </w:rPr>
        <w:t xml:space="preserve">le with intellectual, physical and </w:t>
      </w:r>
      <w:r w:rsidRPr="00AB2246">
        <w:rPr>
          <w:color w:val="000000" w:themeColor="text1"/>
          <w:lang w:eastAsia="en-IE"/>
        </w:rPr>
        <w:t>sensory disabilities but does not include people with mental health difficulties. Figures are not available</w:t>
      </w:r>
      <w:r w:rsidR="002C4B3F">
        <w:rPr>
          <w:color w:val="000000" w:themeColor="text1"/>
          <w:lang w:eastAsia="en-IE"/>
        </w:rPr>
        <w:t xml:space="preserve"> </w:t>
      </w:r>
      <w:r w:rsidR="002C4B3F" w:rsidRPr="00FE3004">
        <w:rPr>
          <w:lang w:eastAsia="en-IE"/>
        </w:rPr>
        <w:t>to the NDA</w:t>
      </w:r>
      <w:r w:rsidRPr="00FE3004">
        <w:rPr>
          <w:lang w:eastAsia="en-IE"/>
        </w:rPr>
        <w:t xml:space="preserve"> </w:t>
      </w:r>
      <w:r w:rsidRPr="00AB2246">
        <w:rPr>
          <w:color w:val="000000" w:themeColor="text1"/>
          <w:lang w:eastAsia="en-IE"/>
        </w:rPr>
        <w:t xml:space="preserve">on the numbers of people with disabilities living in homes with between 5 and 9 people. </w:t>
      </w:r>
    </w:p>
    <w:p w14:paraId="18CD52F7" w14:textId="77777777" w:rsidR="006640CA" w:rsidRPr="00AB2246" w:rsidRDefault="00425BD8" w:rsidP="001C08F2">
      <w:pPr>
        <w:autoSpaceDE w:val="0"/>
        <w:autoSpaceDN w:val="0"/>
        <w:adjustRightInd w:val="0"/>
        <w:spacing w:line="241" w:lineRule="atLeast"/>
        <w:rPr>
          <w:color w:val="000000" w:themeColor="text1"/>
          <w:lang w:eastAsia="en-IE"/>
        </w:rPr>
      </w:pPr>
      <w:r w:rsidRPr="00AB2246">
        <w:rPr>
          <w:color w:val="000000" w:themeColor="text1"/>
          <w:lang w:eastAsia="en-IE"/>
        </w:rPr>
        <w:t>More detailed information on decongregation for people with intellectual, physical or sensory disabilities can be found under indicator 7.1b below. Notably</w:t>
      </w:r>
      <w:r w:rsidR="00895423" w:rsidRPr="00AB2246">
        <w:rPr>
          <w:color w:val="000000" w:themeColor="text1"/>
          <w:lang w:eastAsia="en-IE"/>
        </w:rPr>
        <w:t>,</w:t>
      </w:r>
      <w:r w:rsidRPr="00AB2246">
        <w:rPr>
          <w:color w:val="000000" w:themeColor="text1"/>
          <w:lang w:eastAsia="en-IE"/>
        </w:rPr>
        <w:t xml:space="preserve"> transitions out of congregated settings </w:t>
      </w:r>
      <w:r w:rsidR="00895423" w:rsidRPr="00AB2246">
        <w:rPr>
          <w:color w:val="000000" w:themeColor="text1"/>
          <w:lang w:eastAsia="en-IE"/>
        </w:rPr>
        <w:t xml:space="preserve">have </w:t>
      </w:r>
      <w:r w:rsidRPr="00AB2246">
        <w:rPr>
          <w:color w:val="000000" w:themeColor="text1"/>
          <w:lang w:eastAsia="en-IE"/>
        </w:rPr>
        <w:t>been slow and we note with concern the high number of deaths relative to transitions</w:t>
      </w:r>
      <w:r w:rsidR="007023B5" w:rsidRPr="00AB2246">
        <w:rPr>
          <w:color w:val="000000" w:themeColor="text1"/>
          <w:lang w:eastAsia="en-IE"/>
        </w:rPr>
        <w:t xml:space="preserve"> each year. An acceleration of progress would give older </w:t>
      </w:r>
      <w:r w:rsidR="004B469A" w:rsidRPr="00AB2246">
        <w:rPr>
          <w:color w:val="000000" w:themeColor="text1"/>
          <w:lang w:eastAsia="en-IE"/>
        </w:rPr>
        <w:t>persons with disabilities</w:t>
      </w:r>
      <w:r w:rsidR="007023B5" w:rsidRPr="00AB2246">
        <w:rPr>
          <w:color w:val="000000" w:themeColor="text1"/>
          <w:lang w:eastAsia="en-IE"/>
        </w:rPr>
        <w:t xml:space="preserve"> a chance of community living and a better quality of life before their death.</w:t>
      </w:r>
    </w:p>
    <w:p w14:paraId="17F499A3" w14:textId="4A127D67" w:rsidR="00425BD8" w:rsidRDefault="00425BD8" w:rsidP="001C08F2">
      <w:pPr>
        <w:autoSpaceDE w:val="0"/>
        <w:autoSpaceDN w:val="0"/>
        <w:adjustRightInd w:val="0"/>
        <w:spacing w:line="241" w:lineRule="atLeast"/>
        <w:rPr>
          <w:szCs w:val="26"/>
        </w:rPr>
      </w:pPr>
      <w:r>
        <w:rPr>
          <w:lang w:eastAsia="en-IE"/>
        </w:rPr>
        <w:t>In a case study report</w:t>
      </w:r>
      <w:r w:rsidR="00853017">
        <w:rPr>
          <w:lang w:eastAsia="en-IE"/>
        </w:rPr>
        <w:t xml:space="preserve"> in 2019</w:t>
      </w:r>
      <w:r>
        <w:rPr>
          <w:lang w:eastAsia="en-IE"/>
        </w:rPr>
        <w:t xml:space="preserve"> on deinstitutionalisation in Ireland by the European Union Agency for Fundamental Rights </w:t>
      </w:r>
      <w:r w:rsidR="00EF51CC" w:rsidRPr="00425BD8">
        <w:rPr>
          <w:rStyle w:val="FootnoteReference"/>
          <w:szCs w:val="26"/>
          <w:lang w:eastAsia="en-IE"/>
        </w:rPr>
        <w:footnoteReference w:id="156"/>
      </w:r>
      <w:r w:rsidRPr="00425BD8">
        <w:rPr>
          <w:szCs w:val="26"/>
          <w:lang w:eastAsia="en-IE"/>
        </w:rPr>
        <w:t xml:space="preserve"> </w:t>
      </w:r>
      <w:r w:rsidRPr="00425BD8">
        <w:rPr>
          <w:szCs w:val="26"/>
        </w:rPr>
        <w:t>the authors found that despite the drivers for deinstitutionalisation in the 2011</w:t>
      </w:r>
      <w:r w:rsidR="001B2B7A">
        <w:rPr>
          <w:szCs w:val="26"/>
        </w:rPr>
        <w:t xml:space="preserve"> </w:t>
      </w:r>
      <w:r w:rsidR="006F6DC6">
        <w:rPr>
          <w:szCs w:val="26"/>
        </w:rPr>
        <w:t>policy ‘Time to Move on from Congregated Settings</w:t>
      </w:r>
      <w:r w:rsidR="00D569A4">
        <w:rPr>
          <w:szCs w:val="26"/>
        </w:rPr>
        <w:t>’</w:t>
      </w:r>
      <w:r w:rsidRPr="00425BD8">
        <w:rPr>
          <w:szCs w:val="26"/>
        </w:rPr>
        <w:t>, it took the establishment of HIQA and damning public reports on life in institutions to provide momentum to the decongregation process.</w:t>
      </w:r>
      <w:r w:rsidR="007023B5">
        <w:rPr>
          <w:szCs w:val="26"/>
        </w:rPr>
        <w:t xml:space="preserve"> The NDA would like to see accelerated transitions to the community and</w:t>
      </w:r>
      <w:r w:rsidR="00895423">
        <w:rPr>
          <w:szCs w:val="26"/>
        </w:rPr>
        <w:t>,</w:t>
      </w:r>
      <w:r w:rsidR="007023B5">
        <w:rPr>
          <w:szCs w:val="26"/>
        </w:rPr>
        <w:t xml:space="preserve"> as outlined</w:t>
      </w:r>
      <w:r w:rsidR="00FE28AA">
        <w:rPr>
          <w:szCs w:val="26"/>
        </w:rPr>
        <w:t xml:space="preserve"> </w:t>
      </w:r>
      <w:r w:rsidR="007023B5">
        <w:rPr>
          <w:szCs w:val="26"/>
        </w:rPr>
        <w:t>in 7</w:t>
      </w:r>
      <w:r w:rsidR="00FE28AA">
        <w:rPr>
          <w:szCs w:val="26"/>
        </w:rPr>
        <w:t>.</w:t>
      </w:r>
      <w:r w:rsidR="007023B5">
        <w:rPr>
          <w:szCs w:val="26"/>
        </w:rPr>
        <w:t>1b below</w:t>
      </w:r>
      <w:r w:rsidR="00895423">
        <w:rPr>
          <w:szCs w:val="26"/>
        </w:rPr>
        <w:t>,</w:t>
      </w:r>
      <w:r>
        <w:rPr>
          <w:szCs w:val="26"/>
        </w:rPr>
        <w:t xml:space="preserve"> </w:t>
      </w:r>
      <w:r w:rsidR="007023B5" w:rsidRPr="009E4ABD">
        <w:rPr>
          <w:szCs w:val="26"/>
        </w:rPr>
        <w:t>propose</w:t>
      </w:r>
      <w:r w:rsidR="007023B5">
        <w:rPr>
          <w:szCs w:val="26"/>
        </w:rPr>
        <w:t>s</w:t>
      </w:r>
      <w:r w:rsidR="007023B5" w:rsidRPr="009E4ABD">
        <w:rPr>
          <w:szCs w:val="26"/>
        </w:rPr>
        <w:t xml:space="preserve"> that a policy to close all admissions to congregated settings for </w:t>
      </w:r>
      <w:r w:rsidR="004B469A">
        <w:rPr>
          <w:szCs w:val="26"/>
        </w:rPr>
        <w:t>persons with disabilities</w:t>
      </w:r>
      <w:r w:rsidR="007023B5" w:rsidRPr="009E4ABD">
        <w:rPr>
          <w:szCs w:val="26"/>
        </w:rPr>
        <w:t xml:space="preserve"> falling under the </w:t>
      </w:r>
      <w:r w:rsidR="001B2B7A">
        <w:rPr>
          <w:szCs w:val="26"/>
        </w:rPr>
        <w:t>T</w:t>
      </w:r>
      <w:r w:rsidR="001B2B7A" w:rsidRPr="009E4ABD">
        <w:rPr>
          <w:szCs w:val="26"/>
        </w:rPr>
        <w:t xml:space="preserve">ransforming </w:t>
      </w:r>
      <w:r w:rsidR="001B2B7A">
        <w:rPr>
          <w:szCs w:val="26"/>
        </w:rPr>
        <w:t>L</w:t>
      </w:r>
      <w:r w:rsidR="008B618D">
        <w:rPr>
          <w:szCs w:val="26"/>
        </w:rPr>
        <w:t>i</w:t>
      </w:r>
      <w:r w:rsidR="007023B5" w:rsidRPr="009E4ABD">
        <w:rPr>
          <w:szCs w:val="26"/>
        </w:rPr>
        <w:t>ves pol</w:t>
      </w:r>
      <w:r w:rsidR="001E0213">
        <w:rPr>
          <w:szCs w:val="26"/>
        </w:rPr>
        <w:t xml:space="preserve">icy be considered to reduce new admissions or </w:t>
      </w:r>
      <w:r w:rsidR="007023B5" w:rsidRPr="009E4ABD">
        <w:rPr>
          <w:szCs w:val="26"/>
        </w:rPr>
        <w:t>readmissions which can currently arise in crisis situations.</w:t>
      </w:r>
      <w:r w:rsidR="007023B5">
        <w:rPr>
          <w:szCs w:val="26"/>
        </w:rPr>
        <w:t xml:space="preserve"> The NDA </w:t>
      </w:r>
      <w:r w:rsidR="00072BA9">
        <w:rPr>
          <w:szCs w:val="26"/>
        </w:rPr>
        <w:t>again notes the discrepancies between unit size and decongregation policies in</w:t>
      </w:r>
      <w:r w:rsidR="007023B5">
        <w:rPr>
          <w:szCs w:val="26"/>
        </w:rPr>
        <w:t xml:space="preserve"> the Time to Move on Policy and Mental Health’s Vision for Change</w:t>
      </w:r>
      <w:r w:rsidR="006F6DC6">
        <w:rPr>
          <w:rStyle w:val="FootnoteReference"/>
          <w:szCs w:val="26"/>
        </w:rPr>
        <w:footnoteReference w:id="157"/>
      </w:r>
      <w:r w:rsidR="007023B5">
        <w:rPr>
          <w:szCs w:val="26"/>
        </w:rPr>
        <w:t xml:space="preserve"> </w:t>
      </w:r>
      <w:r w:rsidR="00072BA9">
        <w:rPr>
          <w:szCs w:val="26"/>
        </w:rPr>
        <w:t xml:space="preserve">and advises that more research be conducted to see if the evidence based numbers used in Time to Move On are valid for mental health units. </w:t>
      </w:r>
    </w:p>
    <w:p w14:paraId="1DB6B5C5" w14:textId="1F604889" w:rsidR="001E0213" w:rsidRDefault="008B359C" w:rsidP="001E0213">
      <w:pPr>
        <w:rPr>
          <w:lang w:eastAsia="en-IE"/>
        </w:rPr>
      </w:pPr>
      <w:r w:rsidRPr="00D9183D">
        <w:rPr>
          <w:b/>
          <w:lang w:eastAsia="en-IE"/>
        </w:rPr>
        <w:t>Indicator 7.1b. Number of people leaving congregated settings to live self-directed lives within the community</w:t>
      </w:r>
      <w:r w:rsidR="00350A82">
        <w:rPr>
          <w:b/>
          <w:lang w:eastAsia="en-IE"/>
        </w:rPr>
        <w:t xml:space="preserve"> (Outcome):</w:t>
      </w:r>
      <w:r w:rsidR="00CF5D5C" w:rsidRPr="00D9183D">
        <w:rPr>
          <w:b/>
          <w:lang w:eastAsia="en-IE"/>
        </w:rPr>
        <w:t xml:space="preserve"> </w:t>
      </w:r>
      <w:r w:rsidR="002A7327">
        <w:rPr>
          <w:lang w:eastAsia="en-IE"/>
        </w:rPr>
        <w:t>(Note this indicator is the same as 1.2b)</w:t>
      </w:r>
      <w:r w:rsidR="007521F9" w:rsidRPr="007521F9">
        <w:rPr>
          <w:lang w:eastAsia="en-IE"/>
        </w:rPr>
        <w:t xml:space="preserve"> </w:t>
      </w:r>
      <w:r w:rsidR="001E0213">
        <w:rPr>
          <w:lang w:eastAsia="en-IE"/>
        </w:rPr>
        <w:t>Congregated settings are defined by the Time to Move on From Congregated Settings Report as</w:t>
      </w:r>
      <w:r w:rsidR="001E0213" w:rsidRPr="00EA6C95">
        <w:rPr>
          <w:szCs w:val="26"/>
          <w:lang w:eastAsia="en-IE"/>
        </w:rPr>
        <w:t xml:space="preserve"> </w:t>
      </w:r>
      <w:r w:rsidR="001E0213" w:rsidRPr="00EA6C95">
        <w:rPr>
          <w:szCs w:val="26"/>
        </w:rPr>
        <w:t xml:space="preserve">a residential setting where </w:t>
      </w:r>
      <w:r w:rsidR="001E0213">
        <w:rPr>
          <w:szCs w:val="26"/>
        </w:rPr>
        <w:t>people with disabilities</w:t>
      </w:r>
      <w:r w:rsidR="001E0213" w:rsidRPr="00EA6C95">
        <w:rPr>
          <w:szCs w:val="26"/>
        </w:rPr>
        <w:t xml:space="preserve"> </w:t>
      </w:r>
      <w:r w:rsidR="001E0213" w:rsidRPr="006640CA">
        <w:rPr>
          <w:szCs w:val="26"/>
        </w:rPr>
        <w:t>live with ten or more people.</w:t>
      </w:r>
      <w:r w:rsidR="001E0213" w:rsidRPr="006640CA">
        <w:rPr>
          <w:rStyle w:val="FootnoteReference"/>
          <w:szCs w:val="26"/>
        </w:rPr>
        <w:footnoteReference w:id="158"/>
      </w:r>
      <w:r w:rsidR="001E0213" w:rsidRPr="006640CA">
        <w:rPr>
          <w:szCs w:val="26"/>
        </w:rPr>
        <w:t xml:space="preserve"> </w:t>
      </w:r>
      <w:r w:rsidR="001E0213">
        <w:rPr>
          <w:lang w:eastAsia="en-IE"/>
        </w:rPr>
        <w:t>The number of people leaving congregated settings to live self-directed lives in the community has increased. In 2016, 74 individuals</w:t>
      </w:r>
      <w:r w:rsidR="007D4350">
        <w:rPr>
          <w:rStyle w:val="FootnoteReference"/>
          <w:lang w:eastAsia="en-IE"/>
        </w:rPr>
        <w:footnoteReference w:id="159"/>
      </w:r>
      <w:r w:rsidR="001E0213">
        <w:rPr>
          <w:lang w:eastAsia="en-IE"/>
        </w:rPr>
        <w:t xml:space="preserve"> transitioned out of congregated settings to live in the community, a figure which represented 2.7% of all individuals in congregated settings. In 2018, 165 individuals</w:t>
      </w:r>
      <w:r w:rsidR="007D4350">
        <w:rPr>
          <w:rStyle w:val="FootnoteReference"/>
          <w:lang w:eastAsia="en-IE"/>
        </w:rPr>
        <w:footnoteReference w:id="160"/>
      </w:r>
      <w:r w:rsidR="001E0213">
        <w:rPr>
          <w:lang w:eastAsia="en-IE"/>
        </w:rPr>
        <w:t xml:space="preserve"> transitioned which represented 7.1% per cent of all individuals in congregated settings, and HSE’s target for transitions </w:t>
      </w:r>
      <w:r w:rsidR="001E0213" w:rsidRPr="00D9183D">
        <w:rPr>
          <w:lang w:eastAsia="en-IE"/>
        </w:rPr>
        <w:t>(170 individuals) was almost met. However, it should be noted that during 2018, 94 residents died before they could transition to the community and 33 people were admitted or re-admitted to a congregated setting. At the end of 2018, 2,136 people remained in congregated settings. The pace of change is slow, the targets are low and it has been acknowledged that the original target of all 4,099 people being moved out by 2021 will not be met at the current pace.</w:t>
      </w:r>
      <w:r w:rsidR="001E0213">
        <w:rPr>
          <w:lang w:eastAsia="en-IE"/>
        </w:rPr>
        <w:t xml:space="preserve"> </w:t>
      </w:r>
      <w:r w:rsidR="001E0213" w:rsidRPr="00D9183D">
        <w:rPr>
          <w:lang w:eastAsia="en-IE"/>
        </w:rPr>
        <w:t>The NDA</w:t>
      </w:r>
      <w:r w:rsidR="001E0213">
        <w:rPr>
          <w:lang w:eastAsia="en-IE"/>
        </w:rPr>
        <w:t xml:space="preserve"> advises a continued focus on decongregation and notes with concern that the original target will not be met.</w:t>
      </w:r>
    </w:p>
    <w:p w14:paraId="0567F8D9" w14:textId="77777777" w:rsidR="001E0213" w:rsidRPr="009E4ABD" w:rsidRDefault="001E0213" w:rsidP="001E0213">
      <w:pPr>
        <w:autoSpaceDE w:val="0"/>
        <w:autoSpaceDN w:val="0"/>
        <w:adjustRightInd w:val="0"/>
        <w:rPr>
          <w:szCs w:val="26"/>
        </w:rPr>
      </w:pPr>
      <w:r>
        <w:rPr>
          <w:lang w:eastAsia="en-IE"/>
        </w:rPr>
        <w:t xml:space="preserve">Reasons for delays include difficulties in acquiring suitable houses due to limited availability and issues of affordability and challenges in securing revenue to ensure transitions are person-centred. </w:t>
      </w:r>
      <w:r w:rsidRPr="009E4ABD">
        <w:rPr>
          <w:szCs w:val="26"/>
        </w:rPr>
        <w:t>Preliminary findings from NDA research to evaluate the costs and benefits of new models of service suggest that, while some institutional practices can persist in community</w:t>
      </w:r>
      <w:r>
        <w:rPr>
          <w:szCs w:val="26"/>
        </w:rPr>
        <w:t>-</w:t>
      </w:r>
      <w:r w:rsidRPr="009E4ABD">
        <w:rPr>
          <w:szCs w:val="26"/>
        </w:rPr>
        <w:t>based residential settings, positive outcomes for residents do in general flow from moving to the community. The NDA looks forward to seeing continued and accelerated progress with regard to this indicator</w:t>
      </w:r>
      <w:r>
        <w:rPr>
          <w:szCs w:val="26"/>
        </w:rPr>
        <w:t xml:space="preserve">. In addition, the NDA </w:t>
      </w:r>
      <w:r w:rsidRPr="009E4ABD">
        <w:rPr>
          <w:szCs w:val="26"/>
        </w:rPr>
        <w:t>propose</w:t>
      </w:r>
      <w:r>
        <w:rPr>
          <w:szCs w:val="26"/>
        </w:rPr>
        <w:t>s</w:t>
      </w:r>
      <w:r w:rsidRPr="009E4ABD">
        <w:rPr>
          <w:szCs w:val="26"/>
        </w:rPr>
        <w:t xml:space="preserve"> that a policy to close all admissions to congregated settings for </w:t>
      </w:r>
      <w:r>
        <w:rPr>
          <w:szCs w:val="26"/>
        </w:rPr>
        <w:t>persons with disabilities</w:t>
      </w:r>
      <w:r w:rsidRPr="009E4ABD">
        <w:rPr>
          <w:szCs w:val="26"/>
        </w:rPr>
        <w:t xml:space="preserve"> falling under the </w:t>
      </w:r>
      <w:r>
        <w:rPr>
          <w:szCs w:val="26"/>
        </w:rPr>
        <w:t>T</w:t>
      </w:r>
      <w:r w:rsidRPr="009E4ABD">
        <w:rPr>
          <w:szCs w:val="26"/>
        </w:rPr>
        <w:t xml:space="preserve">ransforming </w:t>
      </w:r>
      <w:r>
        <w:rPr>
          <w:szCs w:val="26"/>
        </w:rPr>
        <w:t>L</w:t>
      </w:r>
      <w:r w:rsidRPr="009E4ABD">
        <w:rPr>
          <w:szCs w:val="26"/>
        </w:rPr>
        <w:t xml:space="preserve">ives policy be considered to reduce new/re admissions which can currently arise in crisis situations. </w:t>
      </w:r>
    </w:p>
    <w:p w14:paraId="5A71D725" w14:textId="7CDBAD4F" w:rsidR="00E0046D" w:rsidRDefault="0094367E" w:rsidP="00C2673A">
      <w:pPr>
        <w:autoSpaceDE w:val="0"/>
        <w:autoSpaceDN w:val="0"/>
        <w:adjustRightInd w:val="0"/>
        <w:rPr>
          <w:lang w:eastAsia="en-IE"/>
        </w:rPr>
      </w:pPr>
      <w:r w:rsidRPr="009E4ABD">
        <w:rPr>
          <w:b/>
          <w:lang w:eastAsia="en-IE"/>
        </w:rPr>
        <w:t>Indicator 7.1c. Number of people living in 24-hour supervised mental health residences and the percentage of residences with &gt; 10 beds</w:t>
      </w:r>
      <w:r w:rsidR="00350A82">
        <w:rPr>
          <w:b/>
          <w:lang w:eastAsia="en-IE"/>
        </w:rPr>
        <w:t xml:space="preserve"> </w:t>
      </w:r>
      <w:r w:rsidR="00350A82">
        <w:rPr>
          <w:b/>
          <w:szCs w:val="26"/>
          <w:lang w:eastAsia="en-IE"/>
        </w:rPr>
        <w:t>(Process)</w:t>
      </w:r>
      <w:r w:rsidRPr="009E4ABD">
        <w:rPr>
          <w:b/>
          <w:lang w:eastAsia="en-IE"/>
        </w:rPr>
        <w:t>:</w:t>
      </w:r>
      <w:r>
        <w:rPr>
          <w:lang w:eastAsia="en-IE"/>
        </w:rPr>
        <w:t xml:space="preserve"> </w:t>
      </w:r>
      <w:r w:rsidR="002A7327">
        <w:rPr>
          <w:lang w:eastAsia="en-IE"/>
        </w:rPr>
        <w:t xml:space="preserve">(Note this indicator is the same as 1.2c) </w:t>
      </w:r>
      <w:r w:rsidR="00C2673A">
        <w:rPr>
          <w:lang w:eastAsia="en-IE"/>
        </w:rPr>
        <w:t>It is not possible to report against this indicator precisely due to the way data are collected and reported. In 2016 1,355 people lived in 122 residences</w:t>
      </w:r>
      <w:r w:rsidR="00E0046D">
        <w:rPr>
          <w:rStyle w:val="FootnoteReference"/>
          <w:lang w:eastAsia="en-IE"/>
        </w:rPr>
        <w:footnoteReference w:id="161"/>
      </w:r>
      <w:r w:rsidR="00C2673A">
        <w:rPr>
          <w:lang w:eastAsia="en-IE"/>
        </w:rPr>
        <w:t xml:space="preserve"> and in 2018 this </w:t>
      </w:r>
      <w:r w:rsidR="00C2673A" w:rsidRPr="00BD2EB3">
        <w:rPr>
          <w:lang w:eastAsia="en-IE"/>
        </w:rPr>
        <w:t xml:space="preserve">decreased </w:t>
      </w:r>
      <w:r w:rsidR="00C2673A">
        <w:rPr>
          <w:lang w:eastAsia="en-IE"/>
        </w:rPr>
        <w:t xml:space="preserve">to 1,200 people living in 118 residences (estimate from the </w:t>
      </w:r>
      <w:r w:rsidR="002524EC">
        <w:rPr>
          <w:lang w:eastAsia="en-IE"/>
        </w:rPr>
        <w:t>MHC</w:t>
      </w:r>
      <w:r w:rsidR="00C2673A">
        <w:rPr>
          <w:lang w:eastAsia="en-IE"/>
        </w:rPr>
        <w:t>)</w:t>
      </w:r>
      <w:r w:rsidR="00E0046D">
        <w:rPr>
          <w:rStyle w:val="FootnoteReference"/>
          <w:lang w:eastAsia="en-IE"/>
        </w:rPr>
        <w:footnoteReference w:id="162"/>
      </w:r>
      <w:r w:rsidR="00C2673A">
        <w:rPr>
          <w:lang w:eastAsia="en-IE"/>
        </w:rPr>
        <w:t xml:space="preserve">. However, the proportion of residences with 10 beds or more remains largely unchanged. In 2016, 46% of 122 residences were reported to have at least 10 beds. In 2018 43% of 54 residences that were inspected had 10 or more beds. </w:t>
      </w:r>
    </w:p>
    <w:p w14:paraId="38E06043" w14:textId="78C2ADFA" w:rsidR="00C2673A" w:rsidRDefault="00C2673A" w:rsidP="00C2673A">
      <w:pPr>
        <w:autoSpaceDE w:val="0"/>
        <w:autoSpaceDN w:val="0"/>
        <w:adjustRightInd w:val="0"/>
        <w:rPr>
          <w:lang w:eastAsia="en-IE"/>
        </w:rPr>
      </w:pPr>
      <w:r>
        <w:rPr>
          <w:lang w:eastAsia="en-IE"/>
        </w:rPr>
        <w:t xml:space="preserve">The NDA notes that there is a discrepancy between the 10 or less bed units recommended by the </w:t>
      </w:r>
      <w:r w:rsidR="00853017">
        <w:rPr>
          <w:lang w:eastAsia="en-IE"/>
        </w:rPr>
        <w:t xml:space="preserve">2006 </w:t>
      </w:r>
      <w:r>
        <w:rPr>
          <w:lang w:eastAsia="en-IE"/>
        </w:rPr>
        <w:t>‘A Vision For Change’</w:t>
      </w:r>
      <w:r>
        <w:rPr>
          <w:rStyle w:val="FootnoteReference"/>
          <w:lang w:eastAsia="en-IE"/>
        </w:rPr>
        <w:footnoteReference w:id="163"/>
      </w:r>
      <w:r>
        <w:rPr>
          <w:lang w:eastAsia="en-IE"/>
        </w:rPr>
        <w:t xml:space="preserve"> document and the four or less bed units recommended by the</w:t>
      </w:r>
      <w:r w:rsidR="00853017">
        <w:rPr>
          <w:lang w:eastAsia="en-IE"/>
        </w:rPr>
        <w:t xml:space="preserve"> 2011</w:t>
      </w:r>
      <w:r>
        <w:rPr>
          <w:lang w:eastAsia="en-IE"/>
        </w:rPr>
        <w:t xml:space="preserve"> Transforming Lives Policy ‘Time to Move on from Congregated Settings’</w:t>
      </w:r>
      <w:r>
        <w:rPr>
          <w:rStyle w:val="FootnoteReference"/>
          <w:lang w:eastAsia="en-IE"/>
        </w:rPr>
        <w:footnoteReference w:id="164"/>
      </w:r>
      <w:r>
        <w:rPr>
          <w:lang w:eastAsia="en-IE"/>
        </w:rPr>
        <w:t xml:space="preserve">. Both are HSE documents. The four or less bed units came from NDA research that looked specifically at disability (physical, sensory and intellectual) and not mental health. We advise that research is conducted on the optimal unit size </w:t>
      </w:r>
      <w:r w:rsidR="00853017" w:rsidRPr="00853017">
        <w:rPr>
          <w:lang w:eastAsia="en-IE"/>
        </w:rPr>
        <w:t xml:space="preserve">for mental health units to ensure an appropriate approach while recognising choice of individuals. Progress on giving people their own room is reported as being slow. </w:t>
      </w:r>
      <w:r>
        <w:rPr>
          <w:lang w:eastAsia="en-IE"/>
        </w:rPr>
        <w:t xml:space="preserve"> </w:t>
      </w:r>
    </w:p>
    <w:p w14:paraId="12D9B293" w14:textId="3D1F9AE8" w:rsidR="00C2673A" w:rsidRPr="00AE10DB" w:rsidRDefault="00C2673A" w:rsidP="00C2673A">
      <w:pPr>
        <w:pStyle w:val="CommentText"/>
        <w:rPr>
          <w:rFonts w:eastAsiaTheme="minorHAnsi" w:cs="DIN-Light"/>
          <w:sz w:val="26"/>
          <w:szCs w:val="26"/>
        </w:rPr>
      </w:pPr>
      <w:r w:rsidRPr="00AE10DB">
        <w:rPr>
          <w:sz w:val="26"/>
          <w:szCs w:val="26"/>
          <w:lang w:eastAsia="en-IE"/>
        </w:rPr>
        <w:t xml:space="preserve">A key underlying contextual factor here is that the 24-hour supervised mental health residences are not regulated. </w:t>
      </w:r>
      <w:r w:rsidRPr="00AE10DB">
        <w:rPr>
          <w:sz w:val="26"/>
          <w:szCs w:val="26"/>
        </w:rPr>
        <w:t xml:space="preserve">Regulation would allow the </w:t>
      </w:r>
      <w:r>
        <w:rPr>
          <w:sz w:val="26"/>
          <w:szCs w:val="26"/>
        </w:rPr>
        <w:t>MHC</w:t>
      </w:r>
      <w:r w:rsidRPr="00AE10DB">
        <w:rPr>
          <w:sz w:val="26"/>
          <w:szCs w:val="26"/>
        </w:rPr>
        <w:t xml:space="preserve"> to enforce changes where deficits and risks are found, protect the human rights of people living in these residences and help mental health services to provide care and treatment in accordance with best practice </w:t>
      </w:r>
      <w:r w:rsidRPr="0024621A">
        <w:rPr>
          <w:sz w:val="26"/>
          <w:szCs w:val="26"/>
        </w:rPr>
        <w:t xml:space="preserve">standards. </w:t>
      </w:r>
      <w:r w:rsidRPr="0024621A">
        <w:rPr>
          <w:sz w:val="26"/>
          <w:szCs w:val="26"/>
          <w:lang w:eastAsia="en-IE"/>
        </w:rPr>
        <w:t>We echo the concerns of the Inspector of Mental Health Services who stated</w:t>
      </w:r>
      <w:r w:rsidR="00853017">
        <w:rPr>
          <w:sz w:val="26"/>
          <w:szCs w:val="26"/>
          <w:lang w:eastAsia="en-IE"/>
        </w:rPr>
        <w:t xml:space="preserve"> in 2019</w:t>
      </w:r>
      <w:r w:rsidRPr="0024621A">
        <w:rPr>
          <w:sz w:val="26"/>
          <w:szCs w:val="26"/>
          <w:lang w:eastAsia="en-IE"/>
        </w:rPr>
        <w:t xml:space="preserve"> ‘</w:t>
      </w:r>
      <w:r w:rsidRPr="0024621A">
        <w:rPr>
          <w:rFonts w:eastAsiaTheme="minorHAnsi" w:cs="DIN-Light"/>
          <w:sz w:val="26"/>
          <w:szCs w:val="26"/>
        </w:rPr>
        <w:t>This is a serious deficiency, leading to the risk of abuse and substandard living conditions and treatment.’</w:t>
      </w:r>
      <w:r w:rsidR="0024621A">
        <w:rPr>
          <w:rStyle w:val="FootnoteReference"/>
          <w:rFonts w:eastAsiaTheme="minorHAnsi" w:cs="DIN-Light"/>
          <w:sz w:val="26"/>
          <w:szCs w:val="26"/>
        </w:rPr>
        <w:footnoteReference w:id="165"/>
      </w:r>
      <w:r w:rsidRPr="00AE10DB">
        <w:rPr>
          <w:rFonts w:eastAsiaTheme="minorHAnsi" w:cs="DIN-Light"/>
          <w:sz w:val="26"/>
          <w:szCs w:val="26"/>
        </w:rPr>
        <w:t xml:space="preserve"> The NDA advises that these deficiencies in regulation and size of unit are addressed</w:t>
      </w:r>
      <w:r>
        <w:rPr>
          <w:rFonts w:eastAsiaTheme="minorHAnsi" w:cs="DIN-Light"/>
          <w:sz w:val="26"/>
          <w:szCs w:val="26"/>
        </w:rPr>
        <w:t xml:space="preserve"> and suggests the NDIS</w:t>
      </w:r>
      <w:r w:rsidR="00F57518">
        <w:rPr>
          <w:rFonts w:eastAsiaTheme="minorHAnsi" w:cs="DIN-Light"/>
          <w:sz w:val="26"/>
          <w:szCs w:val="26"/>
        </w:rPr>
        <w:t xml:space="preserve"> </w:t>
      </w:r>
      <w:r>
        <w:rPr>
          <w:rFonts w:eastAsiaTheme="minorHAnsi" w:cs="DIN-Light"/>
          <w:sz w:val="26"/>
          <w:szCs w:val="26"/>
        </w:rPr>
        <w:t>S</w:t>
      </w:r>
      <w:r w:rsidR="00F57518">
        <w:rPr>
          <w:rFonts w:eastAsiaTheme="minorHAnsi" w:cs="DIN-Light"/>
          <w:sz w:val="26"/>
          <w:szCs w:val="26"/>
        </w:rPr>
        <w:t xml:space="preserve">teering </w:t>
      </w:r>
      <w:r>
        <w:rPr>
          <w:rFonts w:eastAsiaTheme="minorHAnsi" w:cs="DIN-Light"/>
          <w:sz w:val="26"/>
          <w:szCs w:val="26"/>
        </w:rPr>
        <w:t>G</w:t>
      </w:r>
      <w:r w:rsidR="00F57518">
        <w:rPr>
          <w:rFonts w:eastAsiaTheme="minorHAnsi" w:cs="DIN-Light"/>
          <w:sz w:val="26"/>
          <w:szCs w:val="26"/>
        </w:rPr>
        <w:t>roup</w:t>
      </w:r>
      <w:r>
        <w:rPr>
          <w:rFonts w:eastAsiaTheme="minorHAnsi" w:cs="DIN-Light"/>
          <w:sz w:val="26"/>
          <w:szCs w:val="26"/>
        </w:rPr>
        <w:t xml:space="preserve"> give a focus to mental health accommodation and institutionalisation issues at future meetings.</w:t>
      </w:r>
      <w:r w:rsidRPr="00F34C82">
        <w:rPr>
          <w:sz w:val="26"/>
          <w:szCs w:val="26"/>
          <w:lang w:eastAsia="en-IE"/>
        </w:rPr>
        <w:t xml:space="preserve"> </w:t>
      </w:r>
      <w:r w:rsidRPr="00AE10DB">
        <w:rPr>
          <w:sz w:val="26"/>
          <w:szCs w:val="26"/>
          <w:lang w:eastAsia="en-IE"/>
        </w:rPr>
        <w:t>We also know that in 2016 there were 863 people resident for over a year in a psychiatric unit or psychiatric hospital</w:t>
      </w:r>
      <w:r>
        <w:rPr>
          <w:rStyle w:val="FootnoteReference"/>
          <w:sz w:val="26"/>
          <w:szCs w:val="26"/>
          <w:lang w:eastAsia="en-IE"/>
        </w:rPr>
        <w:footnoteReference w:id="166"/>
      </w:r>
      <w:r w:rsidRPr="00AE10DB">
        <w:rPr>
          <w:sz w:val="26"/>
          <w:szCs w:val="26"/>
          <w:lang w:eastAsia="en-IE"/>
        </w:rPr>
        <w:t xml:space="preserve"> and </w:t>
      </w:r>
      <w:r>
        <w:rPr>
          <w:sz w:val="26"/>
          <w:szCs w:val="26"/>
          <w:lang w:eastAsia="en-IE"/>
        </w:rPr>
        <w:t xml:space="preserve">the </w:t>
      </w:r>
      <w:r w:rsidRPr="00AE10DB">
        <w:rPr>
          <w:sz w:val="26"/>
          <w:szCs w:val="26"/>
          <w:lang w:eastAsia="en-IE"/>
        </w:rPr>
        <w:t xml:space="preserve">NDA advises that </w:t>
      </w:r>
      <w:r>
        <w:rPr>
          <w:sz w:val="26"/>
          <w:szCs w:val="26"/>
          <w:lang w:eastAsia="en-IE"/>
        </w:rPr>
        <w:t>research be conducted on the appropriateness of alternatives for this group</w:t>
      </w:r>
      <w:r w:rsidRPr="00AE10DB">
        <w:rPr>
          <w:sz w:val="26"/>
          <w:szCs w:val="26"/>
          <w:lang w:eastAsia="en-IE"/>
        </w:rPr>
        <w:t>.</w:t>
      </w:r>
    </w:p>
    <w:p w14:paraId="44A4743D" w14:textId="6AE419CD" w:rsidR="001C08F2" w:rsidRDefault="00794912" w:rsidP="00C2673A">
      <w:pPr>
        <w:rPr>
          <w:rFonts w:ascii="Calibri" w:hAnsi="Calibri"/>
          <w:sz w:val="22"/>
          <w:szCs w:val="22"/>
          <w:lang w:eastAsia="en-IE"/>
        </w:rPr>
      </w:pPr>
      <w:r w:rsidRPr="0092492A">
        <w:rPr>
          <w:b/>
          <w:lang w:eastAsia="en-IE"/>
        </w:rPr>
        <w:t>Indicator 7.1d. People in need of social housing due to a disability as a percentage of all people on the social housing waiting list</w:t>
      </w:r>
      <w:r w:rsidR="00350A82">
        <w:rPr>
          <w:b/>
          <w:lang w:eastAsia="en-IE"/>
        </w:rPr>
        <w:t xml:space="preserve"> </w:t>
      </w:r>
      <w:r w:rsidR="00702F4B">
        <w:rPr>
          <w:b/>
          <w:szCs w:val="26"/>
          <w:lang w:eastAsia="en-IE"/>
        </w:rPr>
        <w:t>(Process)</w:t>
      </w:r>
      <w:r w:rsidRPr="0092492A">
        <w:rPr>
          <w:b/>
          <w:lang w:eastAsia="en-IE"/>
        </w:rPr>
        <w:t>:</w:t>
      </w:r>
      <w:r>
        <w:rPr>
          <w:lang w:eastAsia="en-IE"/>
        </w:rPr>
        <w:t xml:space="preserve"> </w:t>
      </w:r>
      <w:r w:rsidR="0022280C">
        <w:rPr>
          <w:lang w:eastAsia="en-IE"/>
        </w:rPr>
        <w:t>The proportion of people whose main need for social housing support is related to their disability has increased from 6.3% in 2016</w:t>
      </w:r>
      <w:r w:rsidR="00FF5DB5">
        <w:rPr>
          <w:rStyle w:val="FootnoteReference"/>
          <w:lang w:eastAsia="en-IE"/>
        </w:rPr>
        <w:footnoteReference w:id="167"/>
      </w:r>
      <w:r w:rsidR="006640CA">
        <w:rPr>
          <w:lang w:eastAsia="en-IE"/>
        </w:rPr>
        <w:t xml:space="preserve"> to </w:t>
      </w:r>
      <w:r w:rsidR="0022280C">
        <w:rPr>
          <w:lang w:eastAsia="en-IE"/>
        </w:rPr>
        <w:t>7.</w:t>
      </w:r>
      <w:r w:rsidR="00FF5DB5">
        <w:rPr>
          <w:lang w:eastAsia="en-IE"/>
        </w:rPr>
        <w:t>8</w:t>
      </w:r>
      <w:r w:rsidR="0022280C">
        <w:rPr>
          <w:lang w:eastAsia="en-IE"/>
        </w:rPr>
        <w:t>% in 2019</w:t>
      </w:r>
      <w:r w:rsidR="006640CA">
        <w:rPr>
          <w:lang w:eastAsia="en-IE"/>
        </w:rPr>
        <w:t>.</w:t>
      </w:r>
      <w:r w:rsidR="00FF5DB5">
        <w:rPr>
          <w:rStyle w:val="FootnoteReference"/>
          <w:lang w:eastAsia="en-IE"/>
        </w:rPr>
        <w:footnoteReference w:id="168"/>
      </w:r>
      <w:r w:rsidR="006640CA">
        <w:rPr>
          <w:lang w:eastAsia="en-IE"/>
        </w:rPr>
        <w:t xml:space="preserve"> In 2019 there were </w:t>
      </w:r>
      <w:r w:rsidR="00895423" w:rsidRPr="00895423">
        <w:rPr>
          <w:lang w:eastAsia="en-IE"/>
        </w:rPr>
        <w:t xml:space="preserve">5,319 </w:t>
      </w:r>
      <w:r w:rsidR="006640CA">
        <w:rPr>
          <w:lang w:eastAsia="en-IE"/>
        </w:rPr>
        <w:t xml:space="preserve">people </w:t>
      </w:r>
      <w:r w:rsidR="002C4B3F" w:rsidRPr="00FE3004">
        <w:rPr>
          <w:lang w:eastAsia="en-IE"/>
        </w:rPr>
        <w:t xml:space="preserve">registered as needing </w:t>
      </w:r>
      <w:r w:rsidR="006640CA">
        <w:rPr>
          <w:lang w:eastAsia="en-IE"/>
        </w:rPr>
        <w:t xml:space="preserve">social housing support relating to their disability </w:t>
      </w:r>
      <w:r w:rsidR="00895423" w:rsidRPr="00895423">
        <w:rPr>
          <w:lang w:eastAsia="en-IE"/>
        </w:rPr>
        <w:t>out of a total waiting list of 68,693.</w:t>
      </w:r>
      <w:r w:rsidR="00895423">
        <w:rPr>
          <w:lang w:eastAsia="en-IE"/>
        </w:rPr>
        <w:t xml:space="preserve"> </w:t>
      </w:r>
      <w:r>
        <w:rPr>
          <w:lang w:eastAsia="en-IE"/>
        </w:rPr>
        <w:t>This increase</w:t>
      </w:r>
      <w:r w:rsidR="001C08F2">
        <w:rPr>
          <w:lang w:eastAsia="en-IE"/>
        </w:rPr>
        <w:t>, although minor,</w:t>
      </w:r>
      <w:r>
        <w:rPr>
          <w:lang w:eastAsia="en-IE"/>
        </w:rPr>
        <w:t xml:space="preserve"> may be due to a number of factors. </w:t>
      </w:r>
      <w:r w:rsidR="001C08F2">
        <w:rPr>
          <w:lang w:eastAsia="en-IE"/>
        </w:rPr>
        <w:t xml:space="preserve">There has been a move by some residential disability services to put residents on the housing list as part of the decongregation process. The </w:t>
      </w:r>
      <w:r w:rsidR="001B2B7A">
        <w:rPr>
          <w:lang w:eastAsia="en-IE"/>
        </w:rPr>
        <w:t xml:space="preserve">worsening </w:t>
      </w:r>
      <w:r w:rsidR="001C08F2">
        <w:rPr>
          <w:lang w:eastAsia="en-IE"/>
        </w:rPr>
        <w:t xml:space="preserve">housing crisis over the past number of years may also have influenced </w:t>
      </w:r>
      <w:r w:rsidR="001B2B7A">
        <w:rPr>
          <w:lang w:eastAsia="en-IE"/>
        </w:rPr>
        <w:t xml:space="preserve">this </w:t>
      </w:r>
      <w:r w:rsidR="001C08F2">
        <w:rPr>
          <w:lang w:eastAsia="en-IE"/>
        </w:rPr>
        <w:t>increase</w:t>
      </w:r>
      <w:r w:rsidR="001B2B7A">
        <w:rPr>
          <w:lang w:eastAsia="en-IE"/>
        </w:rPr>
        <w:t>,</w:t>
      </w:r>
      <w:r w:rsidR="001C08F2">
        <w:rPr>
          <w:lang w:eastAsia="en-IE"/>
        </w:rPr>
        <w:t xml:space="preserve"> with </w:t>
      </w:r>
      <w:r w:rsidR="004B469A">
        <w:rPr>
          <w:lang w:eastAsia="en-IE"/>
        </w:rPr>
        <w:t>persons with disabilities</w:t>
      </w:r>
      <w:r w:rsidR="001C08F2">
        <w:rPr>
          <w:lang w:eastAsia="en-IE"/>
        </w:rPr>
        <w:t xml:space="preserve"> more likely to be poorer and less likely to be working than the rest of the population and therefore may find access to housing more difficult. </w:t>
      </w:r>
      <w:r w:rsidR="001C08F2">
        <w:rPr>
          <w:lang w:val="en"/>
        </w:rPr>
        <w:t xml:space="preserve">The 2016 </w:t>
      </w:r>
      <w:r w:rsidR="00BD025B">
        <w:rPr>
          <w:lang w:val="en"/>
        </w:rPr>
        <w:t>census</w:t>
      </w:r>
      <w:r w:rsidR="001C08F2">
        <w:rPr>
          <w:lang w:val="en"/>
        </w:rPr>
        <w:t xml:space="preserve"> found that</w:t>
      </w:r>
      <w:r w:rsidR="001B2B7A">
        <w:rPr>
          <w:lang w:val="en"/>
        </w:rPr>
        <w:t xml:space="preserve"> the</w:t>
      </w:r>
      <w:r w:rsidR="001C08F2">
        <w:rPr>
          <w:lang w:val="en"/>
        </w:rPr>
        <w:t xml:space="preserve"> proportion of persons with a disability among the homeless population, at 27.1%, was higher than for the general population at 13.5%.</w:t>
      </w:r>
      <w:r w:rsidR="0012537F">
        <w:rPr>
          <w:rStyle w:val="FootnoteReference"/>
          <w:lang w:val="en"/>
        </w:rPr>
        <w:footnoteReference w:id="169"/>
      </w:r>
      <w:r w:rsidR="001C08F2">
        <w:rPr>
          <w:lang w:eastAsia="en-IE"/>
        </w:rPr>
        <w:t xml:space="preserve"> </w:t>
      </w:r>
      <w:r w:rsidR="00361FA0">
        <w:rPr>
          <w:lang w:eastAsia="en-IE"/>
        </w:rPr>
        <w:t>While we note this with concern</w:t>
      </w:r>
      <w:r w:rsidR="009F5E9C">
        <w:rPr>
          <w:lang w:eastAsia="en-IE"/>
        </w:rPr>
        <w:t>,</w:t>
      </w:r>
      <w:r w:rsidR="00361FA0">
        <w:rPr>
          <w:lang w:eastAsia="en-IE"/>
        </w:rPr>
        <w:t xml:space="preserve"> the</w:t>
      </w:r>
      <w:r w:rsidR="001C08F2">
        <w:rPr>
          <w:lang w:eastAsia="en-IE"/>
        </w:rPr>
        <w:t xml:space="preserve"> NDA welcomes continuing collaborations on housing including the Department of Housing Planning and Local Government working in conjunction with the HSE as part of the Implementation Monitoring Group of the National Housing Strategy for </w:t>
      </w:r>
      <w:r w:rsidR="00194BEB">
        <w:rPr>
          <w:lang w:eastAsia="en-IE"/>
        </w:rPr>
        <w:t xml:space="preserve">Persons with a </w:t>
      </w:r>
      <w:r w:rsidR="008B618D">
        <w:rPr>
          <w:lang w:eastAsia="en-IE"/>
        </w:rPr>
        <w:t>D</w:t>
      </w:r>
      <w:r w:rsidR="00194BEB">
        <w:rPr>
          <w:lang w:eastAsia="en-IE"/>
        </w:rPr>
        <w:t>isability</w:t>
      </w:r>
      <w:r w:rsidR="001C08F2">
        <w:rPr>
          <w:lang w:eastAsia="en-IE"/>
        </w:rPr>
        <w:t>.</w:t>
      </w:r>
      <w:r w:rsidR="004D502E">
        <w:rPr>
          <w:rStyle w:val="FootnoteReference"/>
          <w:lang w:eastAsia="en-IE"/>
        </w:rPr>
        <w:footnoteReference w:id="170"/>
      </w:r>
      <w:r w:rsidR="001C08F2">
        <w:rPr>
          <w:lang w:eastAsia="en-IE"/>
        </w:rPr>
        <w:t xml:space="preserve"> </w:t>
      </w:r>
    </w:p>
    <w:p w14:paraId="740C22E5" w14:textId="06D13BDB" w:rsidR="00343F8A" w:rsidRPr="00343F8A" w:rsidRDefault="00402AFB" w:rsidP="009E4ABD">
      <w:pPr>
        <w:spacing w:after="120"/>
        <w:rPr>
          <w:lang w:eastAsia="en-IE"/>
        </w:rPr>
      </w:pPr>
      <w:r w:rsidRPr="00343F8A">
        <w:rPr>
          <w:b/>
          <w:lang w:eastAsia="en-IE"/>
        </w:rPr>
        <w:t xml:space="preserve">Indicator </w:t>
      </w:r>
      <w:r w:rsidR="005525F1" w:rsidRPr="00343F8A">
        <w:rPr>
          <w:b/>
          <w:lang w:eastAsia="en-IE"/>
        </w:rPr>
        <w:t xml:space="preserve">7.1e. Public attitudes to </w:t>
      </w:r>
      <w:r w:rsidR="00194BEB" w:rsidRPr="00343F8A">
        <w:rPr>
          <w:b/>
          <w:lang w:eastAsia="en-IE"/>
        </w:rPr>
        <w:t>persons with a disability</w:t>
      </w:r>
      <w:r w:rsidR="005525F1" w:rsidRPr="00343F8A">
        <w:rPr>
          <w:b/>
          <w:lang w:eastAsia="en-IE"/>
        </w:rPr>
        <w:t xml:space="preserve"> living within the community remain stable or improve</w:t>
      </w:r>
      <w:r w:rsidR="00702F4B">
        <w:rPr>
          <w:lang w:eastAsia="en-IE"/>
        </w:rPr>
        <w:t xml:space="preserve"> </w:t>
      </w:r>
      <w:r w:rsidR="00702F4B" w:rsidRPr="00702F4B">
        <w:rPr>
          <w:b/>
          <w:lang w:eastAsia="en-IE"/>
        </w:rPr>
        <w:t>(Outcome):</w:t>
      </w:r>
      <w:r w:rsidR="00FE6309">
        <w:rPr>
          <w:lang w:eastAsia="en-IE"/>
        </w:rPr>
        <w:t xml:space="preserve"> </w:t>
      </w:r>
      <w:r w:rsidR="003719F3">
        <w:rPr>
          <w:lang w:eastAsia="en-IE"/>
        </w:rPr>
        <w:t xml:space="preserve">The NDA </w:t>
      </w:r>
      <w:r w:rsidR="005525F1" w:rsidRPr="00343F8A">
        <w:rPr>
          <w:lang w:eastAsia="en-IE"/>
        </w:rPr>
        <w:t>Public Attitudes to Disability Survey was conducted in 2017.</w:t>
      </w:r>
      <w:r w:rsidR="00C54E39">
        <w:rPr>
          <w:rStyle w:val="FootnoteReference"/>
          <w:lang w:eastAsia="en-IE"/>
        </w:rPr>
        <w:footnoteReference w:id="171"/>
      </w:r>
      <w:r w:rsidR="005525F1" w:rsidRPr="00343F8A">
        <w:rPr>
          <w:lang w:eastAsia="en-IE"/>
        </w:rPr>
        <w:t xml:space="preserve"> People were asked to score out of 10 how comfortable they would be with having a person with a disability as their neighbour</w:t>
      </w:r>
      <w:r w:rsidR="00FE28AA" w:rsidRPr="00343F8A">
        <w:rPr>
          <w:lang w:eastAsia="en-IE"/>
        </w:rPr>
        <w:t xml:space="preserve"> on a scale from</w:t>
      </w:r>
      <w:r w:rsidR="00B37362" w:rsidRPr="00343F8A">
        <w:rPr>
          <w:lang w:eastAsia="en-IE"/>
        </w:rPr>
        <w:t xml:space="preserve"> </w:t>
      </w:r>
      <w:r w:rsidR="005525F1" w:rsidRPr="00343F8A">
        <w:rPr>
          <w:lang w:eastAsia="en-IE"/>
        </w:rPr>
        <w:t xml:space="preserve">10 </w:t>
      </w:r>
      <w:r w:rsidR="00FE28AA" w:rsidRPr="00343F8A">
        <w:rPr>
          <w:lang w:eastAsia="en-IE"/>
        </w:rPr>
        <w:t>‘</w:t>
      </w:r>
      <w:r w:rsidR="005525F1" w:rsidRPr="00343F8A">
        <w:rPr>
          <w:lang w:eastAsia="en-IE"/>
        </w:rPr>
        <w:t>very comfortable</w:t>
      </w:r>
      <w:r w:rsidR="00FE28AA" w:rsidRPr="00343F8A">
        <w:rPr>
          <w:lang w:eastAsia="en-IE"/>
        </w:rPr>
        <w:t>’ to</w:t>
      </w:r>
      <w:r w:rsidR="005525F1" w:rsidRPr="00343F8A">
        <w:rPr>
          <w:lang w:eastAsia="en-IE"/>
        </w:rPr>
        <w:t xml:space="preserve"> 1 </w:t>
      </w:r>
      <w:r w:rsidR="00FE28AA" w:rsidRPr="00343F8A">
        <w:rPr>
          <w:lang w:eastAsia="en-IE"/>
        </w:rPr>
        <w:t>‘</w:t>
      </w:r>
      <w:r w:rsidR="005525F1" w:rsidRPr="00343F8A">
        <w:rPr>
          <w:lang w:eastAsia="en-IE"/>
        </w:rPr>
        <w:t>very uncomfortable</w:t>
      </w:r>
      <w:r w:rsidR="00FE28AA" w:rsidRPr="00343F8A">
        <w:rPr>
          <w:lang w:eastAsia="en-IE"/>
        </w:rPr>
        <w:t>’</w:t>
      </w:r>
      <w:r w:rsidR="005525F1" w:rsidRPr="00343F8A">
        <w:rPr>
          <w:lang w:eastAsia="en-IE"/>
        </w:rPr>
        <w:t xml:space="preserve">. The scores ranged from 8.8 to 9.3 with the variance based on type of disability. </w:t>
      </w:r>
      <w:r w:rsidR="00B37362" w:rsidRPr="00343F8A">
        <w:rPr>
          <w:lang w:eastAsia="en-IE"/>
        </w:rPr>
        <w:t>People were least comfortable h</w:t>
      </w:r>
      <w:r w:rsidR="005525F1" w:rsidRPr="00343F8A">
        <w:rPr>
          <w:lang w:eastAsia="en-IE"/>
        </w:rPr>
        <w:t xml:space="preserve">aving </w:t>
      </w:r>
      <w:r w:rsidR="00B37362" w:rsidRPr="00343F8A">
        <w:rPr>
          <w:lang w:eastAsia="en-IE"/>
        </w:rPr>
        <w:t xml:space="preserve">a neighbour </w:t>
      </w:r>
      <w:r w:rsidR="005525F1" w:rsidRPr="00343F8A">
        <w:rPr>
          <w:lang w:eastAsia="en-IE"/>
        </w:rPr>
        <w:t>with a mental health difficulty</w:t>
      </w:r>
      <w:r w:rsidR="00895423" w:rsidRPr="00343F8A">
        <w:rPr>
          <w:lang w:eastAsia="en-IE"/>
        </w:rPr>
        <w:t>.</w:t>
      </w:r>
      <w:r w:rsidR="00CF5D5C" w:rsidRPr="00343F8A">
        <w:rPr>
          <w:lang w:eastAsia="en-IE"/>
        </w:rPr>
        <w:t xml:space="preserve"> </w:t>
      </w:r>
      <w:r w:rsidR="005525F1" w:rsidRPr="00343F8A">
        <w:rPr>
          <w:lang w:eastAsia="en-IE"/>
        </w:rPr>
        <w:t xml:space="preserve">This survey will be repeated in 2022. While </w:t>
      </w:r>
      <w:r w:rsidR="006B4B1C">
        <w:rPr>
          <w:lang w:eastAsia="en-IE"/>
        </w:rPr>
        <w:t>these are already</w:t>
      </w:r>
      <w:r w:rsidR="005525F1" w:rsidRPr="00343F8A">
        <w:rPr>
          <w:lang w:eastAsia="en-IE"/>
        </w:rPr>
        <w:t xml:space="preserve"> high score</w:t>
      </w:r>
      <w:r w:rsidR="006B4B1C">
        <w:rPr>
          <w:lang w:eastAsia="en-IE"/>
        </w:rPr>
        <w:t>s</w:t>
      </w:r>
      <w:r w:rsidR="007340BA" w:rsidRPr="00343F8A">
        <w:rPr>
          <w:lang w:eastAsia="en-IE"/>
        </w:rPr>
        <w:t>,</w:t>
      </w:r>
      <w:r w:rsidR="005525F1" w:rsidRPr="00343F8A">
        <w:rPr>
          <w:lang w:eastAsia="en-IE"/>
        </w:rPr>
        <w:t xml:space="preserve"> an increase may still be possible, particularly for people with mental health difficulties. </w:t>
      </w:r>
    </w:p>
    <w:p w14:paraId="10A3AA20" w14:textId="26D2B490" w:rsidR="00EA6C95" w:rsidRPr="00663712" w:rsidRDefault="005525F1" w:rsidP="009E4ABD">
      <w:pPr>
        <w:spacing w:after="120"/>
        <w:rPr>
          <w:rFonts w:ascii="Calibri" w:hAnsi="Calibri"/>
          <w:sz w:val="22"/>
          <w:szCs w:val="22"/>
        </w:rPr>
      </w:pPr>
      <w:r w:rsidRPr="00343F8A">
        <w:rPr>
          <w:lang w:eastAsia="en-IE"/>
        </w:rPr>
        <w:t xml:space="preserve">Various campaigns and initiatives such as </w:t>
      </w:r>
      <w:r w:rsidR="006B4B1C">
        <w:rPr>
          <w:lang w:eastAsia="en-IE"/>
        </w:rPr>
        <w:t>IHREC’s</w:t>
      </w:r>
      <w:r w:rsidR="00206FDD">
        <w:rPr>
          <w:lang w:eastAsia="en-IE"/>
        </w:rPr>
        <w:t xml:space="preserve"> 2019</w:t>
      </w:r>
      <w:r w:rsidRPr="00343F8A">
        <w:rPr>
          <w:lang w:eastAsia="en-IE"/>
        </w:rPr>
        <w:t xml:space="preserve"> ‘All Human All Equal’ campaign</w:t>
      </w:r>
      <w:r w:rsidR="007D153A">
        <w:rPr>
          <w:rStyle w:val="FootnoteReference"/>
          <w:lang w:eastAsia="en-IE"/>
        </w:rPr>
        <w:footnoteReference w:id="172"/>
      </w:r>
      <w:r w:rsidRPr="00343F8A">
        <w:rPr>
          <w:lang w:eastAsia="en-IE"/>
        </w:rPr>
        <w:t xml:space="preserve"> may influence attitudes and lead to increased scores in the next survey. Attitudes are linked with discrimination so any improvements in attitudes are likely to be reflected in rates of discrimination.</w:t>
      </w:r>
      <w:r w:rsidR="00343F8A" w:rsidRPr="00343F8A">
        <w:rPr>
          <w:lang w:eastAsia="en-IE"/>
        </w:rPr>
        <w:t xml:space="preserve"> I</w:t>
      </w:r>
      <w:r w:rsidR="00EA6C95" w:rsidRPr="00343F8A">
        <w:t xml:space="preserve">ncreasing the number of persons with disabilities in employment will also impact on attitudes as research has consistently shown that there is a relationship between attitudes and personal experience of disability and that contact in a context of equality </w:t>
      </w:r>
      <w:r w:rsidR="006B4B1C">
        <w:t>like</w:t>
      </w:r>
      <w:r w:rsidR="00EA6C95" w:rsidRPr="00343F8A">
        <w:t xml:space="preserve"> in the workplace is particularly important</w:t>
      </w:r>
      <w:r w:rsidR="003719F3">
        <w:t>.</w:t>
      </w:r>
      <w:r w:rsidR="00361FA0">
        <w:t xml:space="preserve"> The NDA welcomes the inclusion of a new action in the revised NDIS </w:t>
      </w:r>
      <w:r w:rsidR="00361FA0">
        <w:rPr>
          <w:rFonts w:cs="Arial"/>
          <w:szCs w:val="21"/>
        </w:rPr>
        <w:t>that comm</w:t>
      </w:r>
      <w:r w:rsidR="00FE6309">
        <w:rPr>
          <w:rFonts w:cs="Arial"/>
          <w:szCs w:val="21"/>
        </w:rPr>
        <w:t>its to develop</w:t>
      </w:r>
      <w:r w:rsidR="00361FA0">
        <w:rPr>
          <w:rFonts w:cs="Arial"/>
          <w:szCs w:val="21"/>
        </w:rPr>
        <w:t>ing</w:t>
      </w:r>
      <w:r w:rsidR="00361FA0" w:rsidRPr="00AE33FD">
        <w:rPr>
          <w:rFonts w:cs="Arial"/>
          <w:szCs w:val="21"/>
        </w:rPr>
        <w:t xml:space="preserve"> programmes to promote awareness within the general public of the lived experience of, and to support more positive attitudes towards, people with disabilities.</w:t>
      </w:r>
    </w:p>
    <w:p w14:paraId="71C235B5" w14:textId="0588C46B" w:rsidR="00343F8A" w:rsidRDefault="00402AFB" w:rsidP="00361FA0">
      <w:pPr>
        <w:spacing w:after="0"/>
        <w:rPr>
          <w:lang w:eastAsia="en-IE"/>
        </w:rPr>
      </w:pPr>
      <w:r w:rsidRPr="009E4ABD">
        <w:rPr>
          <w:b/>
          <w:lang w:eastAsia="en-IE"/>
        </w:rPr>
        <w:t xml:space="preserve">Indicator </w:t>
      </w:r>
      <w:r w:rsidR="005525F1" w:rsidRPr="009E4ABD">
        <w:rPr>
          <w:b/>
          <w:lang w:eastAsia="en-IE"/>
        </w:rPr>
        <w:t xml:space="preserve">7.1f. Percentage of </w:t>
      </w:r>
      <w:r w:rsidR="00194BEB">
        <w:rPr>
          <w:b/>
          <w:lang w:eastAsia="en-IE"/>
        </w:rPr>
        <w:t>persons with a disability</w:t>
      </w:r>
      <w:r w:rsidR="005525F1" w:rsidRPr="009E4ABD">
        <w:rPr>
          <w:b/>
          <w:lang w:eastAsia="en-IE"/>
        </w:rPr>
        <w:t xml:space="preserve"> compared to those without a disability who are members of a social group or club</w:t>
      </w:r>
      <w:r w:rsidR="00702F4B">
        <w:rPr>
          <w:b/>
          <w:lang w:eastAsia="en-IE"/>
        </w:rPr>
        <w:t xml:space="preserve"> </w:t>
      </w:r>
      <w:r w:rsidR="00702F4B">
        <w:rPr>
          <w:b/>
          <w:szCs w:val="26"/>
          <w:lang w:eastAsia="en-IE"/>
        </w:rPr>
        <w:t>(Process)</w:t>
      </w:r>
      <w:r w:rsidR="005525F1" w:rsidRPr="009E4ABD">
        <w:rPr>
          <w:b/>
          <w:lang w:eastAsia="en-IE"/>
        </w:rPr>
        <w:t xml:space="preserve">: </w:t>
      </w:r>
      <w:r w:rsidR="00CF38B6" w:rsidRPr="00CF38B6">
        <w:rPr>
          <w:lang w:eastAsia="en-IE"/>
        </w:rPr>
        <w:t xml:space="preserve">This indicator attempts to measure social inclusion of </w:t>
      </w:r>
      <w:r w:rsidR="004B469A">
        <w:rPr>
          <w:lang w:eastAsia="en-IE"/>
        </w:rPr>
        <w:t>persons with disabilities</w:t>
      </w:r>
      <w:r w:rsidR="00CF38B6" w:rsidRPr="00CF38B6">
        <w:rPr>
          <w:lang w:eastAsia="en-IE"/>
        </w:rPr>
        <w:t xml:space="preserve"> compared to </w:t>
      </w:r>
      <w:r w:rsidR="005105D7">
        <w:rPr>
          <w:lang w:eastAsia="en-IE"/>
        </w:rPr>
        <w:t>persons without disabilities</w:t>
      </w:r>
      <w:r w:rsidR="00CF38B6" w:rsidRPr="00CF38B6">
        <w:rPr>
          <w:lang w:eastAsia="en-IE"/>
        </w:rPr>
        <w:t>.</w:t>
      </w:r>
      <w:r w:rsidR="00CF38B6">
        <w:rPr>
          <w:b/>
          <w:lang w:eastAsia="en-IE"/>
        </w:rPr>
        <w:t xml:space="preserve"> </w:t>
      </w:r>
      <w:r w:rsidR="009A6C66" w:rsidRPr="00CF38B6">
        <w:rPr>
          <w:lang w:eastAsia="en-IE"/>
        </w:rPr>
        <w:t>The 2018 Positive Ageing Indicators report finds that</w:t>
      </w:r>
      <w:r w:rsidR="009A6C66">
        <w:rPr>
          <w:b/>
          <w:lang w:eastAsia="en-IE"/>
        </w:rPr>
        <w:t xml:space="preserve"> </w:t>
      </w:r>
      <w:r w:rsidR="005525F1">
        <w:rPr>
          <w:lang w:eastAsia="en-IE"/>
        </w:rPr>
        <w:t>96%</w:t>
      </w:r>
      <w:r w:rsidR="005525F1" w:rsidRPr="0022280C">
        <w:rPr>
          <w:lang w:eastAsia="en-IE"/>
        </w:rPr>
        <w:t xml:space="preserve"> of people with a</w:t>
      </w:r>
      <w:r w:rsidR="005525F1">
        <w:rPr>
          <w:lang w:eastAsia="en-IE"/>
        </w:rPr>
        <w:t>n intellectual</w:t>
      </w:r>
      <w:r w:rsidR="005525F1" w:rsidRPr="0022280C">
        <w:rPr>
          <w:lang w:eastAsia="en-IE"/>
        </w:rPr>
        <w:t xml:space="preserve"> disability</w:t>
      </w:r>
      <w:r w:rsidR="005525F1">
        <w:rPr>
          <w:lang w:eastAsia="en-IE"/>
        </w:rPr>
        <w:t xml:space="preserve"> (aged 48+)</w:t>
      </w:r>
      <w:r w:rsidR="005525F1" w:rsidRPr="0022280C">
        <w:rPr>
          <w:lang w:eastAsia="en-IE"/>
        </w:rPr>
        <w:t xml:space="preserve"> compared to</w:t>
      </w:r>
      <w:r w:rsidR="005525F1">
        <w:rPr>
          <w:lang w:eastAsia="en-IE"/>
        </w:rPr>
        <w:t xml:space="preserve"> 52% of people without an intellectual disability (aged 56+) engage</w:t>
      </w:r>
      <w:r w:rsidR="00534832">
        <w:rPr>
          <w:lang w:eastAsia="en-IE"/>
        </w:rPr>
        <w:t>d</w:t>
      </w:r>
      <w:r w:rsidR="005525F1" w:rsidRPr="0022280C">
        <w:rPr>
          <w:lang w:eastAsia="en-IE"/>
        </w:rPr>
        <w:t xml:space="preserve"> in at least one social leisure activity on a weekly basis</w:t>
      </w:r>
      <w:r w:rsidR="009A6C66">
        <w:rPr>
          <w:lang w:eastAsia="en-IE"/>
        </w:rPr>
        <w:t>.</w:t>
      </w:r>
      <w:r w:rsidR="00C92619">
        <w:rPr>
          <w:rStyle w:val="FootnoteReference"/>
          <w:lang w:eastAsia="en-IE"/>
        </w:rPr>
        <w:footnoteReference w:id="173"/>
      </w:r>
      <w:r w:rsidR="009A6C66">
        <w:rPr>
          <w:lang w:eastAsia="en-IE"/>
        </w:rPr>
        <w:t xml:space="preserve"> We know that the intellectual disability sector organises many social events for </w:t>
      </w:r>
      <w:r w:rsidR="009A6C66" w:rsidRPr="00361FA0">
        <w:rPr>
          <w:lang w:eastAsia="en-IE"/>
        </w:rPr>
        <w:t xml:space="preserve">their </w:t>
      </w:r>
      <w:r w:rsidR="00853914" w:rsidRPr="00361FA0">
        <w:rPr>
          <w:lang w:eastAsia="en-IE"/>
        </w:rPr>
        <w:t xml:space="preserve">service users </w:t>
      </w:r>
      <w:r w:rsidR="009A6C66" w:rsidRPr="00361FA0">
        <w:rPr>
          <w:lang w:eastAsia="en-IE"/>
        </w:rPr>
        <w:t xml:space="preserve">some </w:t>
      </w:r>
      <w:r w:rsidR="009A6C66">
        <w:rPr>
          <w:lang w:eastAsia="en-IE"/>
        </w:rPr>
        <w:t>of which are within the service rather than in the mainstream community</w:t>
      </w:r>
      <w:r w:rsidR="00CF5D5C">
        <w:rPr>
          <w:lang w:eastAsia="en-IE"/>
        </w:rPr>
        <w:t xml:space="preserve">. </w:t>
      </w:r>
      <w:r w:rsidR="009A6C66">
        <w:rPr>
          <w:lang w:eastAsia="en-IE"/>
        </w:rPr>
        <w:t xml:space="preserve">As the Positive Ageing Indicators report does not differentiate it is difficult to know whether this indicator is showing more social isolation among people without an intellectual disability. </w:t>
      </w:r>
      <w:r w:rsidR="00CF38B6">
        <w:rPr>
          <w:lang w:eastAsia="en-IE"/>
        </w:rPr>
        <w:t xml:space="preserve">The report also includes an indicator on loneliness with 8.2% of people with an intellectual disability (aged 50+) reporting being lonely compared with 5.4% of </w:t>
      </w:r>
      <w:r w:rsidR="00194BEB">
        <w:rPr>
          <w:lang w:eastAsia="en-IE"/>
        </w:rPr>
        <w:t>persons without a disability</w:t>
      </w:r>
      <w:r w:rsidR="00CF38B6">
        <w:rPr>
          <w:lang w:eastAsia="en-IE"/>
        </w:rPr>
        <w:t xml:space="preserve"> (aged 50+). </w:t>
      </w:r>
    </w:p>
    <w:p w14:paraId="429367C6" w14:textId="5511C3C3" w:rsidR="005525F1" w:rsidRDefault="009A6C66" w:rsidP="00361FA0">
      <w:pPr>
        <w:spacing w:before="240" w:after="120"/>
        <w:rPr>
          <w:lang w:eastAsia="en-IE"/>
        </w:rPr>
      </w:pPr>
      <w:r>
        <w:rPr>
          <w:lang w:eastAsia="en-IE"/>
        </w:rPr>
        <w:t>The NDA’s 5 yearly Public Attitudes to Disability Survey</w:t>
      </w:r>
      <w:r w:rsidR="00C166BF">
        <w:rPr>
          <w:rStyle w:val="FootnoteReference"/>
          <w:lang w:eastAsia="en-IE"/>
        </w:rPr>
        <w:footnoteReference w:id="174"/>
      </w:r>
      <w:r>
        <w:rPr>
          <w:lang w:eastAsia="en-IE"/>
        </w:rPr>
        <w:t xml:space="preserve">, last conducted in 2017, </w:t>
      </w:r>
      <w:r w:rsidR="00CF38B6">
        <w:rPr>
          <w:lang w:eastAsia="en-IE"/>
        </w:rPr>
        <w:t xml:space="preserve">used the Lubben Social Network Scale-6 to measure the size of </w:t>
      </w:r>
      <w:r w:rsidR="00B37362">
        <w:rPr>
          <w:lang w:eastAsia="en-IE"/>
        </w:rPr>
        <w:t xml:space="preserve">respondents’ </w:t>
      </w:r>
      <w:r w:rsidR="00CF38B6">
        <w:rPr>
          <w:lang w:eastAsia="en-IE"/>
        </w:rPr>
        <w:t>social network</w:t>
      </w:r>
      <w:r w:rsidR="00B37362">
        <w:rPr>
          <w:lang w:eastAsia="en-IE"/>
        </w:rPr>
        <w:t>s</w:t>
      </w:r>
      <w:r w:rsidR="00CF38B6">
        <w:rPr>
          <w:lang w:eastAsia="en-IE"/>
        </w:rPr>
        <w:t xml:space="preserve"> in terms of </w:t>
      </w:r>
      <w:r w:rsidR="00B37362">
        <w:rPr>
          <w:lang w:eastAsia="en-IE"/>
        </w:rPr>
        <w:t xml:space="preserve">their </w:t>
      </w:r>
      <w:r w:rsidR="00CF38B6">
        <w:rPr>
          <w:lang w:eastAsia="en-IE"/>
        </w:rPr>
        <w:t xml:space="preserve">contact with friends and relatives. It found </w:t>
      </w:r>
      <w:r w:rsidR="00343F8A">
        <w:rPr>
          <w:lang w:eastAsia="en-IE"/>
        </w:rPr>
        <w:t xml:space="preserve">a statistically significant difference between the </w:t>
      </w:r>
      <w:r w:rsidR="00CF38B6">
        <w:rPr>
          <w:lang w:eastAsia="en-IE"/>
        </w:rPr>
        <w:t xml:space="preserve">32% of </w:t>
      </w:r>
      <w:r w:rsidR="00194BEB">
        <w:rPr>
          <w:lang w:eastAsia="en-IE"/>
        </w:rPr>
        <w:t>persons with a disability</w:t>
      </w:r>
      <w:r w:rsidR="00CF38B6">
        <w:rPr>
          <w:lang w:eastAsia="en-IE"/>
        </w:rPr>
        <w:t xml:space="preserve"> </w:t>
      </w:r>
      <w:r w:rsidR="00343F8A">
        <w:rPr>
          <w:lang w:eastAsia="en-IE"/>
        </w:rPr>
        <w:t>who were</w:t>
      </w:r>
      <w:r w:rsidR="00CF38B6">
        <w:rPr>
          <w:lang w:eastAsia="en-IE"/>
        </w:rPr>
        <w:t xml:space="preserve"> at risk of being socially isolated compared to </w:t>
      </w:r>
      <w:r w:rsidR="00343F8A">
        <w:rPr>
          <w:lang w:eastAsia="en-IE"/>
        </w:rPr>
        <w:t xml:space="preserve">the </w:t>
      </w:r>
      <w:r w:rsidR="00CF38B6">
        <w:rPr>
          <w:lang w:eastAsia="en-IE"/>
        </w:rPr>
        <w:t xml:space="preserve">22% of </w:t>
      </w:r>
      <w:r w:rsidR="00194BEB">
        <w:rPr>
          <w:lang w:eastAsia="en-IE"/>
        </w:rPr>
        <w:t>persons without a disability</w:t>
      </w:r>
      <w:r w:rsidR="00CF38B6">
        <w:rPr>
          <w:lang w:eastAsia="en-IE"/>
        </w:rPr>
        <w:t xml:space="preserve">. With regard to having a hobby or pastime there was </w:t>
      </w:r>
      <w:r w:rsidR="00343F8A">
        <w:rPr>
          <w:lang w:eastAsia="en-IE"/>
        </w:rPr>
        <w:t xml:space="preserve">also </w:t>
      </w:r>
      <w:r w:rsidR="00CF38B6">
        <w:rPr>
          <w:lang w:eastAsia="en-IE"/>
        </w:rPr>
        <w:t>a statistically significant difference between the two groups</w:t>
      </w:r>
      <w:r w:rsidR="00B37362">
        <w:rPr>
          <w:lang w:eastAsia="en-IE"/>
        </w:rPr>
        <w:t>,</w:t>
      </w:r>
      <w:r w:rsidR="00CF38B6">
        <w:rPr>
          <w:lang w:eastAsia="en-IE"/>
        </w:rPr>
        <w:t xml:space="preserve"> with 67% of </w:t>
      </w:r>
      <w:r w:rsidR="00194BEB">
        <w:rPr>
          <w:lang w:eastAsia="en-IE"/>
        </w:rPr>
        <w:t>persons with a disability</w:t>
      </w:r>
      <w:r w:rsidR="00CF38B6">
        <w:rPr>
          <w:lang w:eastAsia="en-IE"/>
        </w:rPr>
        <w:t xml:space="preserve"> having a hobby or pastime compared with 82% of </w:t>
      </w:r>
      <w:r w:rsidR="00194BEB">
        <w:rPr>
          <w:lang w:eastAsia="en-IE"/>
        </w:rPr>
        <w:t>persons without a disability</w:t>
      </w:r>
      <w:r w:rsidR="00CF5D5C">
        <w:rPr>
          <w:lang w:eastAsia="en-IE"/>
        </w:rPr>
        <w:t>.</w:t>
      </w:r>
      <w:r w:rsidR="00BA03A5">
        <w:rPr>
          <w:lang w:eastAsia="en-IE"/>
        </w:rPr>
        <w:t xml:space="preserve"> </w:t>
      </w:r>
    </w:p>
    <w:p w14:paraId="2C00FD0F" w14:textId="4A0F8982" w:rsidR="00402AFB" w:rsidRDefault="00402AFB" w:rsidP="00FB405A">
      <w:pPr>
        <w:spacing w:after="120"/>
        <w:rPr>
          <w:lang w:eastAsia="en-IE"/>
        </w:rPr>
      </w:pPr>
      <w:r w:rsidRPr="009E4ABD">
        <w:rPr>
          <w:b/>
          <w:lang w:eastAsia="en-IE"/>
        </w:rPr>
        <w:t xml:space="preserve">Indicator 7.2a: Evidence that houses, including social houses, are being </w:t>
      </w:r>
      <w:r w:rsidR="00B25371" w:rsidRPr="009E4ABD">
        <w:rPr>
          <w:b/>
          <w:lang w:eastAsia="en-IE"/>
        </w:rPr>
        <w:t>buil</w:t>
      </w:r>
      <w:r w:rsidR="00B25371">
        <w:rPr>
          <w:b/>
          <w:lang w:eastAsia="en-IE"/>
        </w:rPr>
        <w:t>t</w:t>
      </w:r>
      <w:r w:rsidR="00B25371" w:rsidRPr="009E4ABD">
        <w:rPr>
          <w:b/>
          <w:lang w:eastAsia="en-IE"/>
        </w:rPr>
        <w:t xml:space="preserve"> </w:t>
      </w:r>
      <w:r w:rsidRPr="009E4ABD">
        <w:rPr>
          <w:b/>
          <w:lang w:eastAsia="en-IE"/>
        </w:rPr>
        <w:t>incorporating Universal Design Principles</w:t>
      </w:r>
      <w:r w:rsidR="00702F4B">
        <w:rPr>
          <w:b/>
          <w:lang w:eastAsia="en-IE"/>
        </w:rPr>
        <w:t xml:space="preserve"> </w:t>
      </w:r>
      <w:r w:rsidR="00702F4B">
        <w:rPr>
          <w:b/>
          <w:szCs w:val="26"/>
          <w:lang w:eastAsia="en-IE"/>
        </w:rPr>
        <w:t>(Process)</w:t>
      </w:r>
      <w:r w:rsidRPr="009E4ABD">
        <w:rPr>
          <w:b/>
          <w:lang w:eastAsia="en-IE"/>
        </w:rPr>
        <w:t>:</w:t>
      </w:r>
      <w:r w:rsidR="00E8126B" w:rsidRPr="009E4ABD">
        <w:rPr>
          <w:b/>
          <w:lang w:eastAsia="en-IE"/>
        </w:rPr>
        <w:t xml:space="preserve"> </w:t>
      </w:r>
      <w:r w:rsidR="00E8126B">
        <w:t xml:space="preserve">NDA’s Centre for Excellence in Universal Design </w:t>
      </w:r>
      <w:r w:rsidRPr="001A4AF0">
        <w:t>has developed design guidance</w:t>
      </w:r>
      <w:r w:rsidR="00361FA0">
        <w:t xml:space="preserve"> to achieve </w:t>
      </w:r>
      <w:r w:rsidR="00534832">
        <w:t>UD</w:t>
      </w:r>
      <w:r w:rsidR="00361FA0">
        <w:t xml:space="preserve"> in the building of social housing</w:t>
      </w:r>
      <w:r w:rsidRPr="001A4AF0">
        <w:t xml:space="preserve"> and works with stakeholders to promote designing from a </w:t>
      </w:r>
      <w:r w:rsidR="00534832">
        <w:t>UD</w:t>
      </w:r>
      <w:r w:rsidRPr="001A4AF0">
        <w:t xml:space="preserve"> approach in the context of the built environment, in line with its statutory functions. </w:t>
      </w:r>
      <w:r w:rsidR="00FB405A">
        <w:t>While there is no national database that monitors the use of UD in housing we know from our interactions with Local Government that a</w:t>
      </w:r>
      <w:r w:rsidRPr="001A4AF0">
        <w:t xml:space="preserve"> </w:t>
      </w:r>
      <w:r w:rsidR="00534832">
        <w:t>UD</w:t>
      </w:r>
      <w:r w:rsidRPr="001A4AF0">
        <w:t xml:space="preserve"> approach has been recognised and adopted in a number of </w:t>
      </w:r>
      <w:r w:rsidR="00D571CE">
        <w:t>Local Authorities</w:t>
      </w:r>
      <w:r w:rsidRPr="001A4AF0">
        <w:t xml:space="preserve"> across the country</w:t>
      </w:r>
      <w:r w:rsidR="00361FA0">
        <w:t>.</w:t>
      </w:r>
      <w:r w:rsidR="004E0885">
        <w:rPr>
          <w:rStyle w:val="FootnoteReference"/>
        </w:rPr>
        <w:footnoteReference w:id="175"/>
      </w:r>
      <w:r w:rsidR="00361FA0">
        <w:t xml:space="preserve"> This includes a number of County Councils (for example, Wexford, Fingal, Louth and Westmeath) who are leading the way</w:t>
      </w:r>
      <w:r w:rsidR="00587F09">
        <w:t xml:space="preserve"> </w:t>
      </w:r>
      <w:r w:rsidR="00361FA0">
        <w:t>either including targets for UD build housing</w:t>
      </w:r>
      <w:r w:rsidR="00534832">
        <w:t>,</w:t>
      </w:r>
      <w:r w:rsidR="00361FA0">
        <w:t xml:space="preserve"> promoting UD as best practice or incorporating UD into their </w:t>
      </w:r>
      <w:r w:rsidR="00225063">
        <w:t xml:space="preserve">previous and/or current </w:t>
      </w:r>
      <w:r w:rsidR="00361FA0">
        <w:t xml:space="preserve">development plans. A number of housing projects </w:t>
      </w:r>
      <w:r w:rsidR="00E7255A" w:rsidRPr="00E7255A">
        <w:t>have adopted a UD approach</w:t>
      </w:r>
      <w:r w:rsidR="00E7255A">
        <w:t>, including Colivet Court, Limerick by ABK Architects/Clancy Construction in 2014, Broome Lodge, Dublin</w:t>
      </w:r>
      <w:r w:rsidR="00E7255A" w:rsidRPr="00E7255A">
        <w:t xml:space="preserve"> by </w:t>
      </w:r>
      <w:r w:rsidR="00E7255A">
        <w:t>COADY Architects/</w:t>
      </w:r>
      <w:r w:rsidR="00E7255A" w:rsidRPr="00E7255A">
        <w:t>Clúid Housing</w:t>
      </w:r>
      <w:r w:rsidR="00E7255A">
        <w:t xml:space="preserve"> in 2017, as well as Ava</w:t>
      </w:r>
      <w:r w:rsidR="00361FA0" w:rsidRPr="001A4AF0">
        <w:t xml:space="preserve"> Housing</w:t>
      </w:r>
      <w:r w:rsidR="00E7255A">
        <w:t xml:space="preserve"> since 2017</w:t>
      </w:r>
      <w:r w:rsidR="00E8126B" w:rsidRPr="001A4AF0">
        <w:t>.</w:t>
      </w:r>
    </w:p>
    <w:p w14:paraId="3CF8F208" w14:textId="77777777" w:rsidR="0022280C" w:rsidRDefault="00E8126B" w:rsidP="00E22F03">
      <w:r w:rsidRPr="00FB405A">
        <w:t>Although</w:t>
      </w:r>
      <w:r w:rsidR="00402AFB" w:rsidRPr="00FB405A">
        <w:t xml:space="preserve"> </w:t>
      </w:r>
      <w:r w:rsidR="00853914" w:rsidRPr="00FB405A">
        <w:t xml:space="preserve">it is not mandatory to adopt </w:t>
      </w:r>
      <w:r w:rsidR="00811B61" w:rsidRPr="00FB405A">
        <w:t xml:space="preserve">a </w:t>
      </w:r>
      <w:r w:rsidR="00534832">
        <w:t>UD</w:t>
      </w:r>
      <w:r w:rsidR="00402AFB" w:rsidRPr="001A4AF0">
        <w:t xml:space="preserve"> approach to planning, design and construction, </w:t>
      </w:r>
      <w:r>
        <w:t>the success of some of the examples outlined above</w:t>
      </w:r>
      <w:r w:rsidR="00402AFB" w:rsidRPr="001A4AF0">
        <w:t xml:space="preserve"> sets a good example for other </w:t>
      </w:r>
      <w:r w:rsidR="00D571CE">
        <w:t>Local Authorities</w:t>
      </w:r>
      <w:r w:rsidR="00402AFB" w:rsidRPr="001A4AF0">
        <w:t xml:space="preserve"> to follow.</w:t>
      </w:r>
      <w:r>
        <w:t xml:space="preserve"> </w:t>
      </w:r>
      <w:r w:rsidRPr="001A4AF0">
        <w:t xml:space="preserve">NDA advises that there should be scope for all the other </w:t>
      </w:r>
      <w:r w:rsidR="00D571CE">
        <w:t>Local Authorities</w:t>
      </w:r>
      <w:r w:rsidRPr="001A4AF0">
        <w:t xml:space="preserve"> to consider adopting the objective</w:t>
      </w:r>
      <w:r w:rsidR="00534832">
        <w:t>.</w:t>
      </w:r>
      <w:r w:rsidRPr="001A4AF0">
        <w:t xml:space="preserve"> A comprehensive, nationwide approach to planning and building control would create consistency and certainty and make building, based on a Universal Design approach, more attractive to developers. </w:t>
      </w:r>
    </w:p>
    <w:p w14:paraId="3569DE9F" w14:textId="3E73F3B4" w:rsidR="00E22F03" w:rsidRDefault="00E22F03" w:rsidP="00E22F03">
      <w:pPr>
        <w:pStyle w:val="Heading1"/>
        <w:rPr>
          <w:lang w:eastAsia="en-IE"/>
        </w:rPr>
      </w:pPr>
      <w:r>
        <w:rPr>
          <w:lang w:eastAsia="en-IE"/>
        </w:rPr>
        <w:t xml:space="preserve">Theme 8: </w:t>
      </w:r>
      <w:r w:rsidRPr="00E22F03">
        <w:rPr>
          <w:lang w:eastAsia="en-IE"/>
        </w:rPr>
        <w:t xml:space="preserve">Transport and </w:t>
      </w:r>
      <w:r w:rsidR="00517B67">
        <w:rPr>
          <w:lang w:eastAsia="en-IE"/>
        </w:rPr>
        <w:t>A</w:t>
      </w:r>
      <w:r w:rsidRPr="00E22F03">
        <w:rPr>
          <w:lang w:eastAsia="en-IE"/>
        </w:rPr>
        <w:t xml:space="preserve">ccess to </w:t>
      </w:r>
      <w:r w:rsidR="00517B67">
        <w:rPr>
          <w:lang w:eastAsia="en-IE"/>
        </w:rPr>
        <w:t>P</w:t>
      </w:r>
      <w:r w:rsidRPr="00E22F03">
        <w:rPr>
          <w:lang w:eastAsia="en-IE"/>
        </w:rPr>
        <w:t>laces</w:t>
      </w:r>
    </w:p>
    <w:p w14:paraId="398E38B4" w14:textId="77777777" w:rsidR="005F3492" w:rsidRDefault="00502D1A" w:rsidP="009E4ABD">
      <w:pPr>
        <w:autoSpaceDE w:val="0"/>
        <w:autoSpaceDN w:val="0"/>
        <w:adjustRightInd w:val="0"/>
        <w:spacing w:line="241" w:lineRule="atLeast"/>
        <w:rPr>
          <w:rStyle w:val="A01"/>
          <w:sz w:val="26"/>
          <w:szCs w:val="26"/>
        </w:rPr>
      </w:pPr>
      <w:r w:rsidRPr="00502D1A">
        <w:rPr>
          <w:rFonts w:eastAsiaTheme="minorHAnsi" w:cs="YFEWFP+ArialMT"/>
          <w:color w:val="000000"/>
          <w:szCs w:val="26"/>
        </w:rPr>
        <w:t>This theme is committed to i</w:t>
      </w:r>
      <w:r w:rsidR="005F3492" w:rsidRPr="00502D1A">
        <w:rPr>
          <w:rFonts w:eastAsiaTheme="minorHAnsi" w:cs="YFEWFP+ArialMT"/>
          <w:color w:val="000000"/>
          <w:szCs w:val="26"/>
        </w:rPr>
        <w:t>mprov</w:t>
      </w:r>
      <w:r w:rsidRPr="00502D1A">
        <w:rPr>
          <w:rFonts w:eastAsiaTheme="minorHAnsi" w:cs="YFEWFP+ArialMT"/>
          <w:color w:val="000000"/>
          <w:szCs w:val="26"/>
        </w:rPr>
        <w:t>ing</w:t>
      </w:r>
      <w:r w:rsidR="005F3492" w:rsidRPr="00502D1A">
        <w:rPr>
          <w:rFonts w:eastAsiaTheme="minorHAnsi" w:cs="YFEWFP+ArialMT"/>
          <w:color w:val="000000"/>
          <w:szCs w:val="26"/>
        </w:rPr>
        <w:t xml:space="preserve"> the accessibility and availability </w:t>
      </w:r>
      <w:r w:rsidR="005F3492" w:rsidRPr="00502D1A">
        <w:rPr>
          <w:rFonts w:eastAsiaTheme="minorHAnsi" w:cs="Arial"/>
          <w:color w:val="000000"/>
          <w:szCs w:val="26"/>
        </w:rPr>
        <w:t xml:space="preserve">of public transport for </w:t>
      </w:r>
      <w:r w:rsidR="005F3492" w:rsidRPr="00502D1A">
        <w:rPr>
          <w:rFonts w:eastAsiaTheme="minorHAnsi" w:cs="YFEWFP+ArialMT"/>
          <w:color w:val="000000"/>
          <w:szCs w:val="26"/>
        </w:rPr>
        <w:t>persons with disabilities.</w:t>
      </w:r>
      <w:r w:rsidR="00702F4B">
        <w:rPr>
          <w:rFonts w:eastAsiaTheme="minorHAnsi" w:cs="YFEWFP+ArialMT"/>
          <w:color w:val="000000"/>
          <w:szCs w:val="26"/>
        </w:rPr>
        <w:t xml:space="preserve"> There are three indicators associated with this theme all of which are process indicators. The aims of this theme are that persons with disabilities </w:t>
      </w:r>
      <w:r w:rsidRPr="00502D1A">
        <w:rPr>
          <w:rFonts w:eastAsiaTheme="minorHAnsi" w:cs="YFEWFP+ArialMT"/>
          <w:color w:val="000000"/>
          <w:szCs w:val="26"/>
        </w:rPr>
        <w:t xml:space="preserve">should be able to get </w:t>
      </w:r>
      <w:r w:rsidR="005F3492" w:rsidRPr="00502D1A">
        <w:rPr>
          <w:rStyle w:val="A01"/>
          <w:sz w:val="26"/>
          <w:szCs w:val="26"/>
        </w:rPr>
        <w:t xml:space="preserve">to and from their chosen destination </w:t>
      </w:r>
      <w:r w:rsidR="005F3492" w:rsidRPr="00502D1A">
        <w:rPr>
          <w:rStyle w:val="A01"/>
          <w:rFonts w:cs="YFEWFP+ArialMT"/>
          <w:sz w:val="26"/>
          <w:szCs w:val="26"/>
        </w:rPr>
        <w:t>independently (without driving a car) in transport that is accessible to them.</w:t>
      </w:r>
      <w:r w:rsidRPr="00502D1A">
        <w:rPr>
          <w:rStyle w:val="A01"/>
          <w:rFonts w:cs="YFEWFP+ArialMT"/>
          <w:sz w:val="26"/>
          <w:szCs w:val="26"/>
        </w:rPr>
        <w:t xml:space="preserve"> This should apply to </w:t>
      </w:r>
      <w:r w:rsidR="005F3492" w:rsidRPr="00502D1A">
        <w:rPr>
          <w:rFonts w:eastAsiaTheme="minorHAnsi" w:cs="YFEWFP+ArialMT"/>
          <w:color w:val="000000"/>
          <w:szCs w:val="26"/>
        </w:rPr>
        <w:t>both urban and rural areas</w:t>
      </w:r>
      <w:r w:rsidRPr="00502D1A">
        <w:rPr>
          <w:rFonts w:eastAsiaTheme="minorHAnsi" w:cs="YFEWFP+ArialMT"/>
          <w:color w:val="000000"/>
          <w:szCs w:val="26"/>
        </w:rPr>
        <w:t xml:space="preserve">. </w:t>
      </w:r>
      <w:r w:rsidR="005F3492" w:rsidRPr="00502D1A">
        <w:rPr>
          <w:rStyle w:val="A01"/>
          <w:sz w:val="26"/>
          <w:szCs w:val="26"/>
        </w:rPr>
        <w:t xml:space="preserve">Persons with disabilities </w:t>
      </w:r>
      <w:r w:rsidRPr="00502D1A">
        <w:rPr>
          <w:rStyle w:val="A01"/>
          <w:sz w:val="26"/>
          <w:szCs w:val="26"/>
        </w:rPr>
        <w:t xml:space="preserve">should also be </w:t>
      </w:r>
      <w:r w:rsidR="005F3492" w:rsidRPr="00502D1A">
        <w:rPr>
          <w:rStyle w:val="A01"/>
          <w:sz w:val="26"/>
          <w:szCs w:val="26"/>
        </w:rPr>
        <w:t xml:space="preserve">able to access buildings and their facilities </w:t>
      </w:r>
      <w:r w:rsidR="005F3492" w:rsidRPr="00502D1A">
        <w:rPr>
          <w:rStyle w:val="A01"/>
          <w:rFonts w:cs="YFEWFP+ArialMT"/>
          <w:sz w:val="26"/>
          <w:szCs w:val="26"/>
        </w:rPr>
        <w:t>on the same basis as everyone else.</w:t>
      </w:r>
      <w:r w:rsidRPr="00502D1A">
        <w:rPr>
          <w:rStyle w:val="A01"/>
          <w:rFonts w:cs="YFEWFP+ArialMT"/>
          <w:sz w:val="26"/>
          <w:szCs w:val="26"/>
        </w:rPr>
        <w:t xml:space="preserve"> </w:t>
      </w:r>
      <w:r w:rsidR="005F3492" w:rsidRPr="00502D1A">
        <w:rPr>
          <w:rStyle w:val="A01"/>
          <w:sz w:val="26"/>
          <w:szCs w:val="26"/>
        </w:rPr>
        <w:t xml:space="preserve">Planning and design of public buildings and public spaces </w:t>
      </w:r>
      <w:r w:rsidRPr="00502D1A">
        <w:rPr>
          <w:rStyle w:val="A01"/>
          <w:sz w:val="26"/>
          <w:szCs w:val="26"/>
        </w:rPr>
        <w:t>needs to be</w:t>
      </w:r>
      <w:r w:rsidR="005F3492" w:rsidRPr="00502D1A">
        <w:rPr>
          <w:rStyle w:val="A01"/>
          <w:sz w:val="26"/>
          <w:szCs w:val="26"/>
        </w:rPr>
        <w:t xml:space="preserve"> informed by </w:t>
      </w:r>
      <w:r w:rsidR="005F3492" w:rsidRPr="00502D1A">
        <w:rPr>
          <w:rStyle w:val="A01"/>
          <w:rFonts w:cs="YFEWFP+ArialMT"/>
          <w:sz w:val="26"/>
          <w:szCs w:val="26"/>
        </w:rPr>
        <w:t xml:space="preserve">engagement with </w:t>
      </w:r>
      <w:r w:rsidR="004B469A">
        <w:rPr>
          <w:rStyle w:val="A01"/>
          <w:rFonts w:cs="YFEWFP+ArialMT"/>
          <w:sz w:val="26"/>
          <w:szCs w:val="26"/>
        </w:rPr>
        <w:t>persons with disabilities</w:t>
      </w:r>
      <w:r w:rsidR="005F3492" w:rsidRPr="00502D1A">
        <w:rPr>
          <w:rStyle w:val="A01"/>
          <w:rFonts w:cs="YFEWFP+ArialMT"/>
          <w:sz w:val="26"/>
          <w:szCs w:val="26"/>
        </w:rPr>
        <w:t xml:space="preserve"> and other users across </w:t>
      </w:r>
      <w:r w:rsidR="005F3492" w:rsidRPr="00502D1A">
        <w:rPr>
          <w:rStyle w:val="A01"/>
          <w:sz w:val="26"/>
          <w:szCs w:val="26"/>
        </w:rPr>
        <w:t>the spectrum of age, size, ability and disability</w:t>
      </w:r>
      <w:r w:rsidR="00595F1A">
        <w:rPr>
          <w:rStyle w:val="A01"/>
          <w:sz w:val="26"/>
          <w:szCs w:val="26"/>
        </w:rPr>
        <w:t>.</w:t>
      </w:r>
    </w:p>
    <w:p w14:paraId="20221B0C" w14:textId="77777777" w:rsidR="007521F9" w:rsidRPr="007521F9" w:rsidRDefault="0094367E" w:rsidP="009E4ABD">
      <w:pPr>
        <w:pStyle w:val="Default"/>
        <w:rPr>
          <w:rFonts w:ascii="Gill Sans MT" w:hAnsi="Gill Sans MT"/>
          <w:color w:val="auto"/>
          <w:sz w:val="26"/>
          <w:szCs w:val="26"/>
        </w:rPr>
      </w:pPr>
      <w:r w:rsidRPr="00DE17C3">
        <w:rPr>
          <w:rFonts w:ascii="Gill Sans MT" w:hAnsi="Gill Sans MT"/>
          <w:b/>
          <w:sz w:val="26"/>
          <w:szCs w:val="26"/>
        </w:rPr>
        <w:t>Indicator 8.1a Improvement of public transport accessibility:</w:t>
      </w:r>
      <w:r w:rsidRPr="00DE17C3">
        <w:rPr>
          <w:rFonts w:ascii="Gill Sans MT" w:hAnsi="Gill Sans MT"/>
          <w:sz w:val="26"/>
          <w:szCs w:val="26"/>
        </w:rPr>
        <w:t xml:space="preserve"> </w:t>
      </w:r>
      <w:r w:rsidR="009A6C66">
        <w:rPr>
          <w:rFonts w:ascii="Gill Sans MT" w:hAnsi="Gill Sans MT"/>
          <w:sz w:val="26"/>
          <w:szCs w:val="26"/>
        </w:rPr>
        <w:t>There have been a number of impro</w:t>
      </w:r>
      <w:r w:rsidR="007521F9">
        <w:rPr>
          <w:rFonts w:ascii="Gill Sans MT" w:hAnsi="Gill Sans MT"/>
          <w:sz w:val="26"/>
          <w:szCs w:val="26"/>
        </w:rPr>
        <w:t>vements in public transport accessibility including</w:t>
      </w:r>
      <w:r w:rsidR="00595F1A">
        <w:rPr>
          <w:rFonts w:ascii="Gill Sans MT" w:hAnsi="Gill Sans MT"/>
          <w:sz w:val="26"/>
          <w:szCs w:val="26"/>
        </w:rPr>
        <w:t>:</w:t>
      </w:r>
    </w:p>
    <w:p w14:paraId="21F5BB50" w14:textId="77F9D1F7" w:rsidR="007D1A41" w:rsidRDefault="007D1A41" w:rsidP="007D1A41">
      <w:pPr>
        <w:pStyle w:val="Default"/>
        <w:numPr>
          <w:ilvl w:val="0"/>
          <w:numId w:val="23"/>
        </w:numPr>
        <w:rPr>
          <w:rFonts w:ascii="Gill Sans MT" w:hAnsi="Gill Sans MT"/>
          <w:sz w:val="26"/>
          <w:szCs w:val="26"/>
          <w:lang w:eastAsia="en-IE"/>
        </w:rPr>
      </w:pPr>
      <w:r w:rsidRPr="007D1A41">
        <w:rPr>
          <w:rFonts w:ascii="Gill Sans MT" w:hAnsi="Gill Sans MT"/>
          <w:sz w:val="26"/>
          <w:szCs w:val="26"/>
          <w:lang w:eastAsia="en-IE"/>
        </w:rPr>
        <w:t>In 2019, the Just a Minute (JAM) Card was launched to enable people with a communication barrier, including for example, a learning difficulty or autism, to tell others that they need may need a little extra time in what they’re doing. This could include when using public transport or in any customer facing context. NTA, Dublin Bus, Go Ahead, Irish Rail, Transdev (LUAS), Bus Éireann and Local Link will be JAM Card friendly.</w:t>
      </w:r>
      <w:r w:rsidR="00B20D16">
        <w:rPr>
          <w:rStyle w:val="FootnoteReference"/>
          <w:rFonts w:ascii="Gill Sans MT" w:hAnsi="Gill Sans MT"/>
          <w:sz w:val="26"/>
          <w:szCs w:val="26"/>
          <w:lang w:eastAsia="en-IE"/>
        </w:rPr>
        <w:footnoteReference w:id="176"/>
      </w:r>
    </w:p>
    <w:p w14:paraId="5774640A" w14:textId="54BFC752" w:rsidR="003719F3" w:rsidRPr="00534832" w:rsidRDefault="003719F3" w:rsidP="007D1A41">
      <w:pPr>
        <w:pStyle w:val="Default"/>
        <w:numPr>
          <w:ilvl w:val="0"/>
          <w:numId w:val="23"/>
        </w:numPr>
        <w:rPr>
          <w:rFonts w:ascii="Gill Sans MT" w:hAnsi="Gill Sans MT"/>
          <w:sz w:val="26"/>
          <w:szCs w:val="26"/>
          <w:lang w:eastAsia="en-IE"/>
        </w:rPr>
      </w:pPr>
      <w:r w:rsidRPr="00534832">
        <w:rPr>
          <w:rFonts w:ascii="Gill Sans MT" w:hAnsi="Gill Sans MT"/>
          <w:sz w:val="26"/>
          <w:szCs w:val="26"/>
          <w:lang w:eastAsia="en-IE"/>
        </w:rPr>
        <w:t xml:space="preserve">The DART pilot project </w:t>
      </w:r>
      <w:r w:rsidR="00EF6AF7">
        <w:rPr>
          <w:rFonts w:ascii="Gill Sans MT" w:hAnsi="Gill Sans MT"/>
          <w:sz w:val="26"/>
          <w:szCs w:val="26"/>
          <w:lang w:eastAsia="en-IE"/>
        </w:rPr>
        <w:t xml:space="preserve">was introduced in 2018 and </w:t>
      </w:r>
      <w:r w:rsidRPr="00534832">
        <w:rPr>
          <w:rFonts w:ascii="Gill Sans MT" w:hAnsi="Gill Sans MT"/>
          <w:sz w:val="26"/>
          <w:szCs w:val="26"/>
          <w:lang w:eastAsia="en-IE"/>
        </w:rPr>
        <w:t>has</w:t>
      </w:r>
      <w:r w:rsidR="00EF6AF7">
        <w:rPr>
          <w:rFonts w:ascii="Gill Sans MT" w:hAnsi="Gill Sans MT"/>
          <w:sz w:val="26"/>
          <w:szCs w:val="26"/>
          <w:lang w:eastAsia="en-IE"/>
        </w:rPr>
        <w:t xml:space="preserve"> now</w:t>
      </w:r>
      <w:r w:rsidRPr="00534832">
        <w:rPr>
          <w:rFonts w:ascii="Gill Sans MT" w:hAnsi="Gill Sans MT"/>
          <w:sz w:val="26"/>
          <w:szCs w:val="26"/>
          <w:lang w:eastAsia="en-IE"/>
        </w:rPr>
        <w:t xml:space="preserve"> been completed resulting in the reduction in advance notice from 24 hours to 4 hours. In addition, this reduced notice period has been extended to the commuter routes in the Greater Dublin Area and Cork commuter routes.</w:t>
      </w:r>
      <w:r w:rsidR="005C7719">
        <w:rPr>
          <w:rStyle w:val="FootnoteReference"/>
          <w:rFonts w:ascii="Gill Sans MT" w:hAnsi="Gill Sans MT"/>
          <w:sz w:val="26"/>
          <w:szCs w:val="26"/>
          <w:lang w:eastAsia="en-IE"/>
        </w:rPr>
        <w:footnoteReference w:id="177"/>
      </w:r>
      <w:r w:rsidRPr="00534832">
        <w:rPr>
          <w:rFonts w:ascii="Gill Sans MT" w:hAnsi="Gill Sans MT"/>
          <w:sz w:val="26"/>
          <w:szCs w:val="26"/>
          <w:lang w:eastAsia="en-IE"/>
        </w:rPr>
        <w:t xml:space="preserve"> </w:t>
      </w:r>
    </w:p>
    <w:p w14:paraId="272EB4D1" w14:textId="68FF3E8E" w:rsidR="003719F3" w:rsidRPr="00534832" w:rsidRDefault="005B4AEB" w:rsidP="00534832">
      <w:pPr>
        <w:pStyle w:val="Default"/>
        <w:numPr>
          <w:ilvl w:val="0"/>
          <w:numId w:val="23"/>
        </w:numPr>
        <w:rPr>
          <w:rFonts w:ascii="Gill Sans MT" w:hAnsi="Gill Sans MT"/>
          <w:sz w:val="26"/>
          <w:szCs w:val="26"/>
          <w:lang w:eastAsia="en-IE"/>
        </w:rPr>
      </w:pPr>
      <w:r>
        <w:rPr>
          <w:rFonts w:ascii="Gill Sans MT" w:hAnsi="Gill Sans MT"/>
          <w:sz w:val="26"/>
          <w:szCs w:val="26"/>
          <w:lang w:eastAsia="en-IE"/>
        </w:rPr>
        <w:t xml:space="preserve">In around 2019, </w:t>
      </w:r>
      <w:r w:rsidR="003719F3" w:rsidRPr="00534832">
        <w:rPr>
          <w:rFonts w:ascii="Gill Sans MT" w:hAnsi="Gill Sans MT"/>
          <w:sz w:val="26"/>
          <w:szCs w:val="26"/>
          <w:lang w:eastAsia="en-IE"/>
        </w:rPr>
        <w:t xml:space="preserve">Irish Rail </w:t>
      </w:r>
      <w:r>
        <w:rPr>
          <w:rFonts w:ascii="Gill Sans MT" w:hAnsi="Gill Sans MT"/>
          <w:sz w:val="26"/>
          <w:szCs w:val="26"/>
          <w:lang w:eastAsia="en-IE"/>
        </w:rPr>
        <w:t>began rolling out</w:t>
      </w:r>
      <w:r w:rsidR="003719F3" w:rsidRPr="00534832">
        <w:rPr>
          <w:rFonts w:ascii="Gill Sans MT" w:hAnsi="Gill Sans MT"/>
          <w:sz w:val="26"/>
          <w:szCs w:val="26"/>
          <w:lang w:eastAsia="en-IE"/>
        </w:rPr>
        <w:t xml:space="preserve"> Customer Service Officers on all Inter-city routes throughout the country</w:t>
      </w:r>
      <w:r>
        <w:rPr>
          <w:rFonts w:ascii="Gill Sans MT" w:hAnsi="Gill Sans MT"/>
          <w:sz w:val="26"/>
          <w:szCs w:val="26"/>
          <w:lang w:eastAsia="en-IE"/>
        </w:rPr>
        <w:t xml:space="preserve">. This </w:t>
      </w:r>
      <w:r w:rsidR="003719F3" w:rsidRPr="00534832">
        <w:rPr>
          <w:rFonts w:ascii="Gill Sans MT" w:hAnsi="Gill Sans MT"/>
          <w:sz w:val="26"/>
          <w:szCs w:val="26"/>
          <w:lang w:eastAsia="en-IE"/>
        </w:rPr>
        <w:t>will eliminate advance notice requirement on such services. Forty-three out of the 115 required Officers are in place</w:t>
      </w:r>
      <w:r>
        <w:rPr>
          <w:rFonts w:ascii="Gill Sans MT" w:hAnsi="Gill Sans MT"/>
          <w:sz w:val="26"/>
          <w:szCs w:val="26"/>
          <w:lang w:eastAsia="en-IE"/>
        </w:rPr>
        <w:t>, more staff are being trained and recruitment campaign is planned for early 2020</w:t>
      </w:r>
      <w:r w:rsidR="003719F3" w:rsidRPr="00534832">
        <w:rPr>
          <w:rFonts w:ascii="Gill Sans MT" w:hAnsi="Gill Sans MT"/>
          <w:sz w:val="26"/>
          <w:szCs w:val="26"/>
          <w:lang w:eastAsia="en-IE"/>
        </w:rPr>
        <w:t>.</w:t>
      </w:r>
      <w:r>
        <w:rPr>
          <w:rStyle w:val="FootnoteReference"/>
          <w:rFonts w:ascii="Gill Sans MT" w:hAnsi="Gill Sans MT"/>
          <w:sz w:val="26"/>
          <w:szCs w:val="26"/>
          <w:lang w:eastAsia="en-IE"/>
        </w:rPr>
        <w:footnoteReference w:id="178"/>
      </w:r>
      <w:r w:rsidR="003719F3" w:rsidRPr="00534832">
        <w:rPr>
          <w:rFonts w:ascii="Gill Sans MT" w:hAnsi="Gill Sans MT"/>
          <w:sz w:val="26"/>
          <w:szCs w:val="26"/>
          <w:lang w:eastAsia="en-IE"/>
        </w:rPr>
        <w:t xml:space="preserve"> The NDA has advised the NTA and Irish Rail that they need to monitor the effectiveness of this Customer Service Officer service. </w:t>
      </w:r>
    </w:p>
    <w:p w14:paraId="45DB7FF4" w14:textId="3A51B7DF" w:rsidR="004B2679" w:rsidRPr="004B2679" w:rsidRDefault="0094367E" w:rsidP="009A6C66">
      <w:pPr>
        <w:pStyle w:val="Default"/>
        <w:numPr>
          <w:ilvl w:val="0"/>
          <w:numId w:val="23"/>
        </w:numPr>
        <w:rPr>
          <w:rFonts w:ascii="Gill Sans MT" w:hAnsi="Gill Sans MT"/>
          <w:color w:val="auto"/>
          <w:sz w:val="26"/>
          <w:szCs w:val="26"/>
        </w:rPr>
      </w:pPr>
      <w:r w:rsidRPr="00DE17C3">
        <w:rPr>
          <w:rFonts w:ascii="Gill Sans MT" w:hAnsi="Gill Sans MT"/>
          <w:sz w:val="26"/>
          <w:szCs w:val="26"/>
          <w:lang w:eastAsia="en-IE"/>
        </w:rPr>
        <w:t>The</w:t>
      </w:r>
      <w:r w:rsidR="00041A71">
        <w:rPr>
          <w:rFonts w:ascii="Gill Sans MT" w:hAnsi="Gill Sans MT"/>
          <w:sz w:val="26"/>
          <w:szCs w:val="26"/>
          <w:lang w:eastAsia="en-IE"/>
        </w:rPr>
        <w:t xml:space="preserve"> National Transport Authority (</w:t>
      </w:r>
      <w:r w:rsidRPr="00DE17C3">
        <w:rPr>
          <w:rFonts w:ascii="Gill Sans MT" w:hAnsi="Gill Sans MT"/>
          <w:sz w:val="26"/>
          <w:szCs w:val="26"/>
          <w:lang w:eastAsia="en-IE"/>
        </w:rPr>
        <w:t>NTA</w:t>
      </w:r>
      <w:r w:rsidR="00041A71">
        <w:rPr>
          <w:rFonts w:ascii="Gill Sans MT" w:hAnsi="Gill Sans MT"/>
          <w:sz w:val="26"/>
          <w:szCs w:val="26"/>
          <w:lang w:eastAsia="en-IE"/>
        </w:rPr>
        <w:t>)</w:t>
      </w:r>
      <w:r w:rsidRPr="00DE17C3">
        <w:rPr>
          <w:rFonts w:ascii="Gill Sans MT" w:hAnsi="Gill Sans MT"/>
          <w:sz w:val="26"/>
          <w:szCs w:val="26"/>
          <w:lang w:eastAsia="en-IE"/>
        </w:rPr>
        <w:t xml:space="preserve"> reported that in 2020, it will roll out bus poles throughout the country that will have yellow carousels and flags at the top of each poles.</w:t>
      </w:r>
      <w:r w:rsidR="005C7719">
        <w:rPr>
          <w:rStyle w:val="FootnoteReference"/>
          <w:rFonts w:ascii="Gill Sans MT" w:hAnsi="Gill Sans MT"/>
          <w:sz w:val="26"/>
          <w:szCs w:val="26"/>
          <w:lang w:eastAsia="en-IE"/>
        </w:rPr>
        <w:footnoteReference w:id="179"/>
      </w:r>
      <w:r w:rsidRPr="00DE17C3">
        <w:rPr>
          <w:rFonts w:ascii="Gill Sans MT" w:hAnsi="Gill Sans MT"/>
          <w:sz w:val="26"/>
          <w:szCs w:val="26"/>
          <w:lang w:eastAsia="en-IE"/>
        </w:rPr>
        <w:t xml:space="preserve"> These poles will therefore be more visible and more recognisable to persons with sight loss, persons with intellectual disabilities, and persons with autism spectrum disorder, older people, visitors and tourists. </w:t>
      </w:r>
      <w:r w:rsidR="00EB783A">
        <w:rPr>
          <w:rFonts w:ascii="Gill Sans MT" w:hAnsi="Gill Sans MT"/>
          <w:sz w:val="26"/>
          <w:szCs w:val="26"/>
          <w:lang w:eastAsia="en-IE"/>
        </w:rPr>
        <w:t xml:space="preserve">The NTA is engaging with </w:t>
      </w:r>
      <w:r w:rsidR="004357A2">
        <w:rPr>
          <w:rFonts w:ascii="Gill Sans MT" w:hAnsi="Gill Sans MT"/>
          <w:sz w:val="26"/>
          <w:szCs w:val="26"/>
          <w:lang w:eastAsia="en-IE"/>
        </w:rPr>
        <w:t>a number of organisations</w:t>
      </w:r>
      <w:r w:rsidR="00EB783A">
        <w:rPr>
          <w:rFonts w:ascii="Gill Sans MT" w:hAnsi="Gill Sans MT"/>
          <w:sz w:val="26"/>
          <w:szCs w:val="26"/>
          <w:lang w:eastAsia="en-IE"/>
        </w:rPr>
        <w:t xml:space="preserve"> in this regard. </w:t>
      </w:r>
      <w:r w:rsidRPr="00DE17C3">
        <w:rPr>
          <w:rFonts w:ascii="Gill Sans MT" w:hAnsi="Gill Sans MT"/>
          <w:sz w:val="26"/>
          <w:szCs w:val="26"/>
          <w:lang w:eastAsia="en-IE"/>
        </w:rPr>
        <w:t xml:space="preserve">The NDA welcomes the above developments, as we have </w:t>
      </w:r>
      <w:r w:rsidR="0066297D">
        <w:rPr>
          <w:rFonts w:ascii="Gill Sans MT" w:hAnsi="Gill Sans MT"/>
          <w:sz w:val="26"/>
          <w:szCs w:val="26"/>
          <w:lang w:eastAsia="en-IE"/>
        </w:rPr>
        <w:t xml:space="preserve">previously </w:t>
      </w:r>
      <w:r w:rsidRPr="00DE17C3">
        <w:rPr>
          <w:rFonts w:ascii="Gill Sans MT" w:hAnsi="Gill Sans MT"/>
          <w:sz w:val="26"/>
          <w:szCs w:val="26"/>
          <w:lang w:eastAsia="en-IE"/>
        </w:rPr>
        <w:t xml:space="preserve">advised the NTA </w:t>
      </w:r>
      <w:r w:rsidR="0066297D">
        <w:rPr>
          <w:rFonts w:ascii="Gill Sans MT" w:hAnsi="Gill Sans MT"/>
          <w:sz w:val="26"/>
          <w:szCs w:val="26"/>
          <w:lang w:eastAsia="en-IE"/>
        </w:rPr>
        <w:t>on</w:t>
      </w:r>
      <w:r w:rsidR="0066297D" w:rsidRPr="00DE17C3">
        <w:rPr>
          <w:rFonts w:ascii="Gill Sans MT" w:hAnsi="Gill Sans MT"/>
          <w:sz w:val="26"/>
          <w:szCs w:val="26"/>
          <w:lang w:eastAsia="en-IE"/>
        </w:rPr>
        <w:t xml:space="preserve"> </w:t>
      </w:r>
      <w:r w:rsidRPr="00DE17C3">
        <w:rPr>
          <w:rFonts w:ascii="Gill Sans MT" w:hAnsi="Gill Sans MT"/>
          <w:sz w:val="26"/>
          <w:szCs w:val="26"/>
          <w:lang w:eastAsia="en-IE"/>
        </w:rPr>
        <w:t xml:space="preserve">working in </w:t>
      </w:r>
      <w:r w:rsidRPr="00534832">
        <w:rPr>
          <w:rFonts w:ascii="Gill Sans MT" w:hAnsi="Gill Sans MT"/>
          <w:sz w:val="26"/>
          <w:szCs w:val="26"/>
          <w:lang w:eastAsia="en-IE"/>
        </w:rPr>
        <w:t>collaboration with the Local Authorities to improve the accessibility of bus stops around</w:t>
      </w:r>
      <w:r w:rsidRPr="004B2679">
        <w:rPr>
          <w:rFonts w:ascii="Gill Sans MT" w:hAnsi="Gill Sans MT"/>
          <w:color w:val="auto"/>
          <w:sz w:val="26"/>
          <w:szCs w:val="26"/>
          <w:lang w:eastAsia="en-IE"/>
        </w:rPr>
        <w:t xml:space="preserve"> the country. </w:t>
      </w:r>
    </w:p>
    <w:p w14:paraId="10C89F2A" w14:textId="185E6D09" w:rsidR="00502D1A" w:rsidRPr="004B2679" w:rsidRDefault="00DE17C3" w:rsidP="009A6C66">
      <w:pPr>
        <w:pStyle w:val="Default"/>
        <w:numPr>
          <w:ilvl w:val="0"/>
          <w:numId w:val="23"/>
        </w:numPr>
        <w:rPr>
          <w:rFonts w:ascii="Gill Sans MT" w:hAnsi="Gill Sans MT"/>
          <w:color w:val="auto"/>
          <w:sz w:val="26"/>
          <w:szCs w:val="26"/>
        </w:rPr>
      </w:pPr>
      <w:r w:rsidRPr="004B2679">
        <w:rPr>
          <w:rFonts w:ascii="Gill Sans MT" w:hAnsi="Gill Sans MT" w:cs="Calibri"/>
          <w:bCs/>
          <w:color w:val="auto"/>
          <w:sz w:val="26"/>
          <w:szCs w:val="26"/>
        </w:rPr>
        <w:t xml:space="preserve">Works on accessible bus bays at bus stations/train stations have been completed in </w:t>
      </w:r>
      <w:r w:rsidRPr="004B2679">
        <w:rPr>
          <w:rFonts w:ascii="Gill Sans MT" w:hAnsi="Gill Sans MT" w:cs="Calibri"/>
          <w:color w:val="auto"/>
          <w:sz w:val="26"/>
          <w:szCs w:val="26"/>
        </w:rPr>
        <w:t xml:space="preserve">Cavan, Monaghan and Drogheda stations </w:t>
      </w:r>
      <w:r w:rsidR="00F37A9D">
        <w:rPr>
          <w:rFonts w:ascii="Gill Sans MT" w:hAnsi="Gill Sans MT" w:cs="Calibri"/>
          <w:color w:val="auto"/>
          <w:sz w:val="26"/>
          <w:szCs w:val="26"/>
        </w:rPr>
        <w:t xml:space="preserve">in 2019 </w:t>
      </w:r>
      <w:r w:rsidRPr="004B2679">
        <w:rPr>
          <w:rFonts w:ascii="Gill Sans MT" w:hAnsi="Gill Sans MT" w:cs="Calibri"/>
          <w:color w:val="auto"/>
          <w:sz w:val="26"/>
          <w:szCs w:val="26"/>
        </w:rPr>
        <w:t xml:space="preserve">with works </w:t>
      </w:r>
      <w:r w:rsidR="0066297D" w:rsidRPr="004B2679">
        <w:rPr>
          <w:rFonts w:ascii="Gill Sans MT" w:hAnsi="Gill Sans MT" w:cs="Calibri"/>
          <w:color w:val="auto"/>
          <w:sz w:val="26"/>
          <w:szCs w:val="26"/>
        </w:rPr>
        <w:t>in Ballyshannon</w:t>
      </w:r>
      <w:r w:rsidRPr="004B2679">
        <w:rPr>
          <w:rFonts w:ascii="Gill Sans MT" w:hAnsi="Gill Sans MT" w:cs="Calibri"/>
          <w:color w:val="auto"/>
          <w:sz w:val="26"/>
          <w:szCs w:val="26"/>
        </w:rPr>
        <w:t xml:space="preserve"> and Sligo stations underway and a number of tenders for other towns and cities underway.</w:t>
      </w:r>
      <w:r w:rsidR="005C7719">
        <w:rPr>
          <w:rStyle w:val="FootnoteReference"/>
          <w:rFonts w:ascii="Gill Sans MT" w:hAnsi="Gill Sans MT" w:cs="Calibri"/>
          <w:color w:val="auto"/>
          <w:sz w:val="26"/>
          <w:szCs w:val="26"/>
        </w:rPr>
        <w:footnoteReference w:id="180"/>
      </w:r>
      <w:r w:rsidRPr="004B2679">
        <w:rPr>
          <w:rFonts w:ascii="Gill Sans MT" w:hAnsi="Gill Sans MT" w:cs="Calibri"/>
          <w:color w:val="auto"/>
          <w:sz w:val="26"/>
          <w:szCs w:val="26"/>
        </w:rPr>
        <w:t xml:space="preserve"> </w:t>
      </w:r>
    </w:p>
    <w:p w14:paraId="7B8EDAD5" w14:textId="16E0D971" w:rsidR="004B2679" w:rsidRPr="004B2679" w:rsidRDefault="004B2679" w:rsidP="009A6C66">
      <w:pPr>
        <w:pStyle w:val="ListParagraph"/>
        <w:numPr>
          <w:ilvl w:val="0"/>
          <w:numId w:val="23"/>
        </w:numPr>
        <w:autoSpaceDE w:val="0"/>
        <w:autoSpaceDN w:val="0"/>
        <w:rPr>
          <w:rFonts w:ascii="Calibri" w:hAnsi="Calibri"/>
          <w:szCs w:val="26"/>
          <w:lang w:eastAsia="en-IE"/>
        </w:rPr>
      </w:pPr>
      <w:r w:rsidRPr="004B2679">
        <w:rPr>
          <w:szCs w:val="26"/>
        </w:rPr>
        <w:t xml:space="preserve">In 2019, Irish </w:t>
      </w:r>
      <w:r w:rsidR="002A7327">
        <w:rPr>
          <w:szCs w:val="26"/>
        </w:rPr>
        <w:t>Rail began user testing a DART D</w:t>
      </w:r>
      <w:r w:rsidRPr="004B2679">
        <w:rPr>
          <w:szCs w:val="26"/>
        </w:rPr>
        <w:t xml:space="preserve">isability </w:t>
      </w:r>
      <w:r w:rsidR="002A7327">
        <w:rPr>
          <w:szCs w:val="26"/>
        </w:rPr>
        <w:t>A</w:t>
      </w:r>
      <w:r w:rsidRPr="004B2679">
        <w:rPr>
          <w:szCs w:val="26"/>
        </w:rPr>
        <w:t>pp</w:t>
      </w:r>
      <w:r w:rsidR="002A7327">
        <w:rPr>
          <w:rStyle w:val="FootnoteReference"/>
          <w:szCs w:val="26"/>
        </w:rPr>
        <w:footnoteReference w:id="181"/>
      </w:r>
      <w:r w:rsidRPr="004B2679">
        <w:rPr>
          <w:szCs w:val="26"/>
        </w:rPr>
        <w:t xml:space="preserve"> to help persons with disabilities pre</w:t>
      </w:r>
      <w:r>
        <w:rPr>
          <w:szCs w:val="26"/>
        </w:rPr>
        <w:t>-</w:t>
      </w:r>
      <w:r w:rsidRPr="004B2679">
        <w:rPr>
          <w:szCs w:val="26"/>
        </w:rPr>
        <w:t xml:space="preserve">book assistance and to manage their journey. A new </w:t>
      </w:r>
      <w:r w:rsidRPr="004B2679">
        <w:rPr>
          <w:szCs w:val="26"/>
          <w:lang w:eastAsia="en-IE"/>
        </w:rPr>
        <w:t>pilot application to assist customers arriving in major train stations was also being developed which will be live in early 202</w:t>
      </w:r>
      <w:r w:rsidR="00820EEE">
        <w:rPr>
          <w:szCs w:val="26"/>
          <w:lang w:eastAsia="en-IE"/>
        </w:rPr>
        <w:t>0.</w:t>
      </w:r>
      <w:r w:rsidRPr="004B2679">
        <w:rPr>
          <w:szCs w:val="26"/>
          <w:lang w:eastAsia="en-IE"/>
        </w:rPr>
        <w:t xml:space="preserve"> </w:t>
      </w:r>
      <w:r w:rsidRPr="004B2679">
        <w:rPr>
          <w:szCs w:val="26"/>
        </w:rPr>
        <w:t>The NDA has provided Irish Rail and the NTA with guidance and advice that will help them to ensure that these apps are universally designed</w:t>
      </w:r>
      <w:r w:rsidR="007340BA">
        <w:rPr>
          <w:szCs w:val="26"/>
        </w:rPr>
        <w:t>.</w:t>
      </w:r>
    </w:p>
    <w:p w14:paraId="326E0FA5" w14:textId="46191A16" w:rsidR="00E95BF9" w:rsidRPr="00E95BF9" w:rsidRDefault="00E61A61" w:rsidP="00E95BF9">
      <w:pPr>
        <w:pStyle w:val="ListParagraph"/>
        <w:numPr>
          <w:ilvl w:val="0"/>
          <w:numId w:val="23"/>
        </w:numPr>
        <w:rPr>
          <w:szCs w:val="26"/>
        </w:rPr>
      </w:pPr>
      <w:r>
        <w:rPr>
          <w:rFonts w:eastAsiaTheme="minorHAnsi" w:cs="Helvetica"/>
          <w:szCs w:val="26"/>
        </w:rPr>
        <w:t>It has been</w:t>
      </w:r>
      <w:r w:rsidR="00E95BF9" w:rsidRPr="009A6C66">
        <w:rPr>
          <w:rFonts w:eastAsiaTheme="minorHAnsi" w:cs="Helvetica"/>
          <w:szCs w:val="26"/>
        </w:rPr>
        <w:t xml:space="preserve"> recently highlighted that many lifts on the rail and DART network are out of service for long periods of time</w:t>
      </w:r>
      <w:r w:rsidR="00E95BF9">
        <w:rPr>
          <w:rFonts w:eastAsiaTheme="minorHAnsi" w:cs="Helvetica"/>
          <w:szCs w:val="26"/>
        </w:rPr>
        <w:t xml:space="preserve">. </w:t>
      </w:r>
      <w:r w:rsidR="00E95BF9" w:rsidRPr="009A6C66">
        <w:rPr>
          <w:rFonts w:eastAsiaTheme="minorHAnsi" w:cs="Helvetica"/>
          <w:szCs w:val="26"/>
        </w:rPr>
        <w:t>Irish Rail plans to replace and upgrade lifts at all Dart and commuter rail stations over the next five years.</w:t>
      </w:r>
      <w:r w:rsidR="00E73523">
        <w:rPr>
          <w:rStyle w:val="FootnoteReference"/>
          <w:rFonts w:eastAsiaTheme="minorHAnsi" w:cs="Helvetica"/>
          <w:szCs w:val="26"/>
        </w:rPr>
        <w:footnoteReference w:id="182"/>
      </w:r>
    </w:p>
    <w:p w14:paraId="435B06EE" w14:textId="48501A94" w:rsidR="00E95BF9" w:rsidRPr="003E017E" w:rsidRDefault="00E95BF9" w:rsidP="00E95BF9">
      <w:pPr>
        <w:pStyle w:val="ListParagraph"/>
        <w:numPr>
          <w:ilvl w:val="0"/>
          <w:numId w:val="23"/>
        </w:numPr>
        <w:rPr>
          <w:i/>
          <w:szCs w:val="26"/>
        </w:rPr>
      </w:pPr>
      <w:r w:rsidRPr="00E95BF9">
        <w:rPr>
          <w:szCs w:val="26"/>
        </w:rPr>
        <w:t>Persons with disabilities in urban and rural areas have stated that they have issues with booking wheelchair accessible taxis and taxis not showing up despite booking in advance. The NTA provides a grant for wheelchair accessible vehicles. The number of wheelchair accessible taxis in Ireland has increased from 2,220 wheelchair accessible vehicles (taxis and hackneys) in 2018</w:t>
      </w:r>
      <w:r w:rsidR="00E73523">
        <w:rPr>
          <w:rStyle w:val="FootnoteReference"/>
          <w:szCs w:val="26"/>
        </w:rPr>
        <w:footnoteReference w:id="183"/>
      </w:r>
      <w:r w:rsidR="00C14C4B">
        <w:rPr>
          <w:szCs w:val="26"/>
        </w:rPr>
        <w:t xml:space="preserve"> to 3,100 in 2020</w:t>
      </w:r>
      <w:r w:rsidR="00632257">
        <w:rPr>
          <w:szCs w:val="26"/>
        </w:rPr>
        <w:t xml:space="preserve"> (</w:t>
      </w:r>
      <w:r w:rsidR="00C14C4B">
        <w:rPr>
          <w:szCs w:val="26"/>
        </w:rPr>
        <w:t>February</w:t>
      </w:r>
      <w:r w:rsidR="00632257">
        <w:rPr>
          <w:szCs w:val="26"/>
        </w:rPr>
        <w:t>)</w:t>
      </w:r>
      <w:r w:rsidRPr="00E95BF9">
        <w:rPr>
          <w:szCs w:val="26"/>
        </w:rPr>
        <w:t>.</w:t>
      </w:r>
      <w:r w:rsidR="00E73523">
        <w:rPr>
          <w:rStyle w:val="FootnoteReference"/>
          <w:szCs w:val="26"/>
        </w:rPr>
        <w:footnoteReference w:id="184"/>
      </w:r>
      <w:r w:rsidRPr="00E95BF9">
        <w:rPr>
          <w:szCs w:val="26"/>
        </w:rPr>
        <w:t xml:space="preserve"> This corresponds to an increase in the overall fleet that is wheelchair accessible from 10% to 14.3%. The NTA has published a register of wheelchair accessible vehicles in every county with the drivers’ phone number and email address on the Transport for Ireland’s website.</w:t>
      </w:r>
      <w:r w:rsidR="00063DDA">
        <w:rPr>
          <w:rStyle w:val="FootnoteReference"/>
          <w:szCs w:val="26"/>
        </w:rPr>
        <w:footnoteReference w:id="185"/>
      </w:r>
      <w:r w:rsidRPr="00E95BF9">
        <w:rPr>
          <w:szCs w:val="26"/>
        </w:rPr>
        <w:t xml:space="preserve"> A comparison of the number of wheelchair accessible vehicles and the population of persons with a disability in each county (based on </w:t>
      </w:r>
      <w:r w:rsidR="00BD025B">
        <w:rPr>
          <w:szCs w:val="26"/>
        </w:rPr>
        <w:t>census</w:t>
      </w:r>
      <w:r w:rsidRPr="00E95BF9">
        <w:rPr>
          <w:szCs w:val="26"/>
        </w:rPr>
        <w:t xml:space="preserve"> 2016) shows notable divers</w:t>
      </w:r>
      <w:r>
        <w:rPr>
          <w:szCs w:val="26"/>
        </w:rPr>
        <w:t xml:space="preserve">ity across the country. </w:t>
      </w:r>
      <w:r w:rsidR="00FB405A">
        <w:rPr>
          <w:szCs w:val="26"/>
        </w:rPr>
        <w:t>The</w:t>
      </w:r>
      <w:r w:rsidRPr="00E95BF9">
        <w:rPr>
          <w:szCs w:val="26"/>
        </w:rPr>
        <w:t xml:space="preserve"> number of persons with disabilities to the number of accessible taxis/hackneys ranges from 86 in Dublin to 1,685 persons with disabil</w:t>
      </w:r>
      <w:r w:rsidR="00EE3446">
        <w:rPr>
          <w:szCs w:val="26"/>
        </w:rPr>
        <w:t>ities for every accessible taxi</w:t>
      </w:r>
      <w:r w:rsidRPr="00E95BF9">
        <w:rPr>
          <w:szCs w:val="26"/>
        </w:rPr>
        <w:t xml:space="preserve">/hackney in Tipperary. </w:t>
      </w:r>
      <w:r w:rsidR="00FB405A">
        <w:rPr>
          <w:szCs w:val="26"/>
        </w:rPr>
        <w:t>When restricted to persons with disabilities who have a condition that substantially limits one or</w:t>
      </w:r>
      <w:r w:rsidR="00EE3446">
        <w:rPr>
          <w:szCs w:val="26"/>
        </w:rPr>
        <w:t xml:space="preserve"> more basic physical activities, the</w:t>
      </w:r>
      <w:r w:rsidR="00FB405A">
        <w:rPr>
          <w:szCs w:val="26"/>
        </w:rPr>
        <w:t xml:space="preserve"> ratio ranges from 33 in Du</w:t>
      </w:r>
      <w:r w:rsidR="005F15C5">
        <w:rPr>
          <w:szCs w:val="26"/>
        </w:rPr>
        <w:t>blin to 741 in Tipperary (Table</w:t>
      </w:r>
      <w:r w:rsidR="00FB405A">
        <w:rPr>
          <w:szCs w:val="26"/>
        </w:rPr>
        <w:t xml:space="preserve"> </w:t>
      </w:r>
      <w:r w:rsidR="005F15C5">
        <w:rPr>
          <w:szCs w:val="26"/>
        </w:rPr>
        <w:t>4</w:t>
      </w:r>
      <w:r w:rsidR="00FB405A">
        <w:rPr>
          <w:szCs w:val="26"/>
        </w:rPr>
        <w:t>)</w:t>
      </w:r>
      <w:r w:rsidR="00EE3446">
        <w:rPr>
          <w:szCs w:val="26"/>
        </w:rPr>
        <w:t>.</w:t>
      </w:r>
      <w:r w:rsidR="00FB405A">
        <w:rPr>
          <w:szCs w:val="26"/>
        </w:rPr>
        <w:t xml:space="preserve"> </w:t>
      </w:r>
      <w:r>
        <w:rPr>
          <w:szCs w:val="26"/>
        </w:rPr>
        <w:t>Clearly, not all per</w:t>
      </w:r>
      <w:r w:rsidR="00577D6B">
        <w:rPr>
          <w:szCs w:val="26"/>
        </w:rPr>
        <w:t xml:space="preserve">sons with a disability require </w:t>
      </w:r>
      <w:r>
        <w:rPr>
          <w:szCs w:val="26"/>
        </w:rPr>
        <w:t>wheelchair accessible taxi</w:t>
      </w:r>
      <w:r w:rsidR="00577D6B">
        <w:rPr>
          <w:szCs w:val="26"/>
        </w:rPr>
        <w:t>s</w:t>
      </w:r>
      <w:r>
        <w:rPr>
          <w:szCs w:val="26"/>
        </w:rPr>
        <w:t xml:space="preserve"> but this analysis gives some indication of the inequity in taxi distribution. </w:t>
      </w:r>
      <w:r w:rsidRPr="00E95BF9">
        <w:rPr>
          <w:szCs w:val="26"/>
        </w:rPr>
        <w:t xml:space="preserve">The NDA would like to see a continued increase in numbers of wheelchair accessible vehicles, a more equitable distribution </w:t>
      </w:r>
      <w:r w:rsidRPr="0092495F">
        <w:rPr>
          <w:szCs w:val="26"/>
        </w:rPr>
        <w:t xml:space="preserve">across the country, and increased </w:t>
      </w:r>
      <w:r w:rsidR="00F5394C" w:rsidRPr="0092495F">
        <w:rPr>
          <w:szCs w:val="26"/>
        </w:rPr>
        <w:t xml:space="preserve">performance by taxi services showing improved access </w:t>
      </w:r>
      <w:r w:rsidRPr="0092495F">
        <w:rPr>
          <w:szCs w:val="26"/>
        </w:rPr>
        <w:t xml:space="preserve">by customers with disabilities. </w:t>
      </w:r>
    </w:p>
    <w:p w14:paraId="6E30701C" w14:textId="77777777" w:rsidR="003E017E" w:rsidRPr="003E017E" w:rsidRDefault="003E017E" w:rsidP="003E017E">
      <w:pPr>
        <w:ind w:left="360"/>
        <w:rPr>
          <w:szCs w:val="26"/>
        </w:rPr>
      </w:pPr>
      <w:r w:rsidRPr="003E017E">
        <w:rPr>
          <w:szCs w:val="26"/>
        </w:rPr>
        <w:t>Table 4: The ratio of the number of persons with a condition that substantially limits one or more basic activities to number of wheelchair accessible taxis in their county, 2020</w:t>
      </w:r>
    </w:p>
    <w:p w14:paraId="44187CC0" w14:textId="77777777" w:rsidR="003E017E" w:rsidRPr="0092495F" w:rsidRDefault="003E017E" w:rsidP="003E017E"/>
    <w:tbl>
      <w:tblPr>
        <w:tblStyle w:val="TableGrid"/>
        <w:tblW w:w="0" w:type="auto"/>
        <w:tblLook w:val="06A0" w:firstRow="1" w:lastRow="0" w:firstColumn="1" w:lastColumn="0" w:noHBand="1" w:noVBand="1"/>
        <w:tblCaption w:val="Ratio of persons with a limiting condition to number of wheelchair accessible taxis by county"/>
        <w:tblDescription w:val="Ratio of persons with a limiting condition to number of wheelchair accessible taxis"/>
      </w:tblPr>
      <w:tblGrid>
        <w:gridCol w:w="4508"/>
        <w:gridCol w:w="4508"/>
      </w:tblGrid>
      <w:tr w:rsidR="005F15C5" w:rsidRPr="00524691" w14:paraId="1B3F8C12" w14:textId="77777777" w:rsidTr="00B531FB">
        <w:trPr>
          <w:cantSplit/>
          <w:tblHeader/>
        </w:trPr>
        <w:tc>
          <w:tcPr>
            <w:tcW w:w="4508" w:type="dxa"/>
          </w:tcPr>
          <w:p w14:paraId="40224DA2" w14:textId="77777777" w:rsidR="005F15C5" w:rsidRPr="00524691" w:rsidRDefault="005F15C5" w:rsidP="008D386E">
            <w:pPr>
              <w:rPr>
                <w:b/>
                <w:szCs w:val="26"/>
              </w:rPr>
            </w:pPr>
            <w:r w:rsidRPr="00524691">
              <w:rPr>
                <w:b/>
                <w:szCs w:val="26"/>
              </w:rPr>
              <w:t>County</w:t>
            </w:r>
            <w:bookmarkStart w:id="4" w:name="Table_4"/>
            <w:bookmarkEnd w:id="4"/>
          </w:p>
        </w:tc>
        <w:tc>
          <w:tcPr>
            <w:tcW w:w="4508" w:type="dxa"/>
          </w:tcPr>
          <w:p w14:paraId="7F091A36" w14:textId="77777777" w:rsidR="005F15C5" w:rsidRPr="00524691" w:rsidRDefault="005F15C5" w:rsidP="008D386E">
            <w:pPr>
              <w:jc w:val="right"/>
              <w:rPr>
                <w:b/>
                <w:szCs w:val="26"/>
              </w:rPr>
            </w:pPr>
            <w:r w:rsidRPr="00524691">
              <w:rPr>
                <w:b/>
                <w:szCs w:val="26"/>
              </w:rPr>
              <w:t>Ratio of persons with a limiting condition to number of wheelchair accessible taxis</w:t>
            </w:r>
          </w:p>
        </w:tc>
      </w:tr>
      <w:tr w:rsidR="005F15C5" w:rsidRPr="000864F0" w14:paraId="4364CCAD" w14:textId="77777777" w:rsidTr="00B531FB">
        <w:tc>
          <w:tcPr>
            <w:tcW w:w="4508" w:type="dxa"/>
          </w:tcPr>
          <w:p w14:paraId="6FED4B27" w14:textId="77777777" w:rsidR="005F15C5" w:rsidRPr="000864F0" w:rsidRDefault="005F15C5" w:rsidP="008D386E">
            <w:pPr>
              <w:rPr>
                <w:szCs w:val="26"/>
              </w:rPr>
            </w:pPr>
            <w:r w:rsidRPr="000864F0">
              <w:rPr>
                <w:szCs w:val="26"/>
              </w:rPr>
              <w:t>Tipperary</w:t>
            </w:r>
          </w:p>
        </w:tc>
        <w:tc>
          <w:tcPr>
            <w:tcW w:w="4508" w:type="dxa"/>
          </w:tcPr>
          <w:p w14:paraId="7D691558" w14:textId="77777777" w:rsidR="005F15C5" w:rsidRPr="000864F0" w:rsidRDefault="005F15C5" w:rsidP="008D386E">
            <w:pPr>
              <w:jc w:val="right"/>
              <w:rPr>
                <w:szCs w:val="26"/>
              </w:rPr>
            </w:pPr>
            <w:r w:rsidRPr="000864F0">
              <w:rPr>
                <w:szCs w:val="26"/>
              </w:rPr>
              <w:t>741</w:t>
            </w:r>
          </w:p>
        </w:tc>
      </w:tr>
      <w:tr w:rsidR="005F15C5" w:rsidRPr="000864F0" w14:paraId="0A374F30" w14:textId="77777777" w:rsidTr="00B531FB">
        <w:tc>
          <w:tcPr>
            <w:tcW w:w="4508" w:type="dxa"/>
          </w:tcPr>
          <w:p w14:paraId="0D0CDE7E" w14:textId="77777777" w:rsidR="005F15C5" w:rsidRPr="000864F0" w:rsidRDefault="005F15C5" w:rsidP="008D386E">
            <w:pPr>
              <w:rPr>
                <w:szCs w:val="26"/>
              </w:rPr>
            </w:pPr>
            <w:r w:rsidRPr="000864F0">
              <w:rPr>
                <w:szCs w:val="26"/>
              </w:rPr>
              <w:t>Clare</w:t>
            </w:r>
          </w:p>
        </w:tc>
        <w:tc>
          <w:tcPr>
            <w:tcW w:w="4508" w:type="dxa"/>
          </w:tcPr>
          <w:p w14:paraId="41C052DA" w14:textId="77777777" w:rsidR="005F15C5" w:rsidRPr="000864F0" w:rsidRDefault="005F15C5" w:rsidP="008D386E">
            <w:pPr>
              <w:jc w:val="right"/>
              <w:rPr>
                <w:szCs w:val="26"/>
              </w:rPr>
            </w:pPr>
            <w:r w:rsidRPr="000864F0">
              <w:rPr>
                <w:szCs w:val="26"/>
              </w:rPr>
              <w:t>363</w:t>
            </w:r>
          </w:p>
        </w:tc>
      </w:tr>
      <w:tr w:rsidR="005F15C5" w:rsidRPr="000864F0" w14:paraId="56046F2E" w14:textId="77777777" w:rsidTr="00B531FB">
        <w:tc>
          <w:tcPr>
            <w:tcW w:w="4508" w:type="dxa"/>
          </w:tcPr>
          <w:p w14:paraId="06E59DB0" w14:textId="77777777" w:rsidR="005F15C5" w:rsidRPr="000864F0" w:rsidRDefault="005F15C5" w:rsidP="008D386E">
            <w:pPr>
              <w:rPr>
                <w:szCs w:val="26"/>
              </w:rPr>
            </w:pPr>
            <w:r w:rsidRPr="000864F0">
              <w:rPr>
                <w:szCs w:val="26"/>
              </w:rPr>
              <w:t>Wexford</w:t>
            </w:r>
          </w:p>
        </w:tc>
        <w:tc>
          <w:tcPr>
            <w:tcW w:w="4508" w:type="dxa"/>
          </w:tcPr>
          <w:p w14:paraId="31DF13B9" w14:textId="77777777" w:rsidR="005F15C5" w:rsidRPr="000864F0" w:rsidRDefault="005F15C5" w:rsidP="008D386E">
            <w:pPr>
              <w:jc w:val="right"/>
              <w:rPr>
                <w:szCs w:val="26"/>
              </w:rPr>
            </w:pPr>
            <w:r w:rsidRPr="000864F0">
              <w:rPr>
                <w:szCs w:val="26"/>
              </w:rPr>
              <w:t>359</w:t>
            </w:r>
          </w:p>
        </w:tc>
      </w:tr>
      <w:tr w:rsidR="005F15C5" w:rsidRPr="000864F0" w14:paraId="4D47906F" w14:textId="77777777" w:rsidTr="00B531FB">
        <w:tc>
          <w:tcPr>
            <w:tcW w:w="4508" w:type="dxa"/>
          </w:tcPr>
          <w:p w14:paraId="032A22CA" w14:textId="77777777" w:rsidR="005F15C5" w:rsidRPr="000864F0" w:rsidRDefault="005F15C5" w:rsidP="008D386E">
            <w:pPr>
              <w:rPr>
                <w:szCs w:val="26"/>
              </w:rPr>
            </w:pPr>
            <w:r w:rsidRPr="000864F0">
              <w:rPr>
                <w:szCs w:val="26"/>
              </w:rPr>
              <w:t>Mayo</w:t>
            </w:r>
          </w:p>
        </w:tc>
        <w:tc>
          <w:tcPr>
            <w:tcW w:w="4508" w:type="dxa"/>
          </w:tcPr>
          <w:p w14:paraId="02854227" w14:textId="77777777" w:rsidR="005F15C5" w:rsidRPr="000864F0" w:rsidRDefault="005F15C5" w:rsidP="008D386E">
            <w:pPr>
              <w:jc w:val="right"/>
              <w:rPr>
                <w:szCs w:val="26"/>
              </w:rPr>
            </w:pPr>
            <w:r w:rsidRPr="000864F0">
              <w:rPr>
                <w:szCs w:val="26"/>
              </w:rPr>
              <w:t>299</w:t>
            </w:r>
          </w:p>
        </w:tc>
      </w:tr>
      <w:tr w:rsidR="005F15C5" w:rsidRPr="000864F0" w14:paraId="2E73E8DD" w14:textId="77777777" w:rsidTr="00B531FB">
        <w:tc>
          <w:tcPr>
            <w:tcW w:w="4508" w:type="dxa"/>
          </w:tcPr>
          <w:p w14:paraId="4D7CE0FD" w14:textId="77777777" w:rsidR="005F15C5" w:rsidRPr="000864F0" w:rsidRDefault="005F15C5" w:rsidP="008D386E">
            <w:pPr>
              <w:rPr>
                <w:szCs w:val="26"/>
              </w:rPr>
            </w:pPr>
            <w:r w:rsidRPr="000864F0">
              <w:rPr>
                <w:szCs w:val="26"/>
              </w:rPr>
              <w:t>Kerry</w:t>
            </w:r>
          </w:p>
        </w:tc>
        <w:tc>
          <w:tcPr>
            <w:tcW w:w="4508" w:type="dxa"/>
          </w:tcPr>
          <w:p w14:paraId="4AD026F9" w14:textId="77777777" w:rsidR="005F15C5" w:rsidRPr="000864F0" w:rsidRDefault="005F15C5" w:rsidP="008D386E">
            <w:pPr>
              <w:jc w:val="right"/>
              <w:rPr>
                <w:szCs w:val="26"/>
              </w:rPr>
            </w:pPr>
            <w:r w:rsidRPr="000864F0">
              <w:rPr>
                <w:szCs w:val="26"/>
              </w:rPr>
              <w:t>256</w:t>
            </w:r>
          </w:p>
        </w:tc>
      </w:tr>
      <w:tr w:rsidR="005F15C5" w:rsidRPr="000864F0" w14:paraId="67A7EB50" w14:textId="77777777" w:rsidTr="00B531FB">
        <w:tc>
          <w:tcPr>
            <w:tcW w:w="4508" w:type="dxa"/>
          </w:tcPr>
          <w:p w14:paraId="2FB927EC" w14:textId="77777777" w:rsidR="005F15C5" w:rsidRPr="000864F0" w:rsidRDefault="005F15C5" w:rsidP="008D386E">
            <w:pPr>
              <w:rPr>
                <w:szCs w:val="26"/>
              </w:rPr>
            </w:pPr>
            <w:r w:rsidRPr="000864F0">
              <w:rPr>
                <w:szCs w:val="26"/>
              </w:rPr>
              <w:t>Donegal</w:t>
            </w:r>
          </w:p>
        </w:tc>
        <w:tc>
          <w:tcPr>
            <w:tcW w:w="4508" w:type="dxa"/>
          </w:tcPr>
          <w:p w14:paraId="6D3D6711" w14:textId="77777777" w:rsidR="005F15C5" w:rsidRPr="000864F0" w:rsidRDefault="005F15C5" w:rsidP="008D386E">
            <w:pPr>
              <w:jc w:val="right"/>
              <w:rPr>
                <w:szCs w:val="26"/>
              </w:rPr>
            </w:pPr>
            <w:r w:rsidRPr="000864F0">
              <w:rPr>
                <w:szCs w:val="26"/>
              </w:rPr>
              <w:t>223</w:t>
            </w:r>
          </w:p>
        </w:tc>
      </w:tr>
      <w:tr w:rsidR="005F15C5" w:rsidRPr="000864F0" w14:paraId="503A3BA1" w14:textId="77777777" w:rsidTr="00B531FB">
        <w:tc>
          <w:tcPr>
            <w:tcW w:w="4508" w:type="dxa"/>
          </w:tcPr>
          <w:p w14:paraId="2FFB4AE2" w14:textId="77777777" w:rsidR="005F15C5" w:rsidRPr="000864F0" w:rsidRDefault="005F15C5" w:rsidP="008D386E">
            <w:pPr>
              <w:rPr>
                <w:szCs w:val="26"/>
              </w:rPr>
            </w:pPr>
            <w:r w:rsidRPr="000864F0">
              <w:rPr>
                <w:szCs w:val="26"/>
              </w:rPr>
              <w:t>Sligo</w:t>
            </w:r>
          </w:p>
        </w:tc>
        <w:tc>
          <w:tcPr>
            <w:tcW w:w="4508" w:type="dxa"/>
          </w:tcPr>
          <w:p w14:paraId="56748C61" w14:textId="77777777" w:rsidR="005F15C5" w:rsidRPr="000864F0" w:rsidRDefault="005F15C5" w:rsidP="008D386E">
            <w:pPr>
              <w:jc w:val="right"/>
              <w:rPr>
                <w:szCs w:val="26"/>
              </w:rPr>
            </w:pPr>
            <w:r w:rsidRPr="000864F0">
              <w:rPr>
                <w:szCs w:val="26"/>
              </w:rPr>
              <w:t>210</w:t>
            </w:r>
          </w:p>
        </w:tc>
      </w:tr>
      <w:tr w:rsidR="005F15C5" w:rsidRPr="000864F0" w14:paraId="3E5DADAA" w14:textId="77777777" w:rsidTr="00B531FB">
        <w:tc>
          <w:tcPr>
            <w:tcW w:w="4508" w:type="dxa"/>
          </w:tcPr>
          <w:p w14:paraId="650E79E2" w14:textId="77777777" w:rsidR="005F15C5" w:rsidRPr="000864F0" w:rsidRDefault="005F15C5" w:rsidP="008D386E">
            <w:pPr>
              <w:rPr>
                <w:szCs w:val="26"/>
              </w:rPr>
            </w:pPr>
            <w:r w:rsidRPr="000864F0">
              <w:rPr>
                <w:szCs w:val="26"/>
              </w:rPr>
              <w:t>Longford</w:t>
            </w:r>
          </w:p>
        </w:tc>
        <w:tc>
          <w:tcPr>
            <w:tcW w:w="4508" w:type="dxa"/>
          </w:tcPr>
          <w:p w14:paraId="7766D09A" w14:textId="77777777" w:rsidR="005F15C5" w:rsidRPr="000864F0" w:rsidRDefault="005F15C5" w:rsidP="008D386E">
            <w:pPr>
              <w:jc w:val="right"/>
              <w:rPr>
                <w:szCs w:val="26"/>
              </w:rPr>
            </w:pPr>
            <w:r w:rsidRPr="000864F0">
              <w:rPr>
                <w:szCs w:val="26"/>
              </w:rPr>
              <w:t>185</w:t>
            </w:r>
          </w:p>
        </w:tc>
      </w:tr>
      <w:tr w:rsidR="005F15C5" w:rsidRPr="000864F0" w14:paraId="48F9BDE0" w14:textId="77777777" w:rsidTr="00B531FB">
        <w:tc>
          <w:tcPr>
            <w:tcW w:w="4508" w:type="dxa"/>
          </w:tcPr>
          <w:p w14:paraId="2ADC2734" w14:textId="77777777" w:rsidR="005F15C5" w:rsidRPr="000864F0" w:rsidRDefault="005F15C5" w:rsidP="008D386E">
            <w:pPr>
              <w:rPr>
                <w:szCs w:val="26"/>
              </w:rPr>
            </w:pPr>
            <w:r w:rsidRPr="000864F0">
              <w:rPr>
                <w:szCs w:val="26"/>
              </w:rPr>
              <w:t>Offaly</w:t>
            </w:r>
          </w:p>
        </w:tc>
        <w:tc>
          <w:tcPr>
            <w:tcW w:w="4508" w:type="dxa"/>
          </w:tcPr>
          <w:p w14:paraId="5AD8C490" w14:textId="77777777" w:rsidR="005F15C5" w:rsidRPr="000864F0" w:rsidRDefault="005F15C5" w:rsidP="008D386E">
            <w:pPr>
              <w:jc w:val="right"/>
              <w:rPr>
                <w:szCs w:val="26"/>
              </w:rPr>
            </w:pPr>
            <w:r w:rsidRPr="000864F0">
              <w:rPr>
                <w:szCs w:val="26"/>
              </w:rPr>
              <w:t>176</w:t>
            </w:r>
          </w:p>
        </w:tc>
      </w:tr>
      <w:tr w:rsidR="005F15C5" w:rsidRPr="000864F0" w14:paraId="082CC964" w14:textId="77777777" w:rsidTr="00B531FB">
        <w:tc>
          <w:tcPr>
            <w:tcW w:w="4508" w:type="dxa"/>
          </w:tcPr>
          <w:p w14:paraId="2FF613FE" w14:textId="77777777" w:rsidR="005F15C5" w:rsidRPr="000864F0" w:rsidRDefault="005F15C5" w:rsidP="008D386E">
            <w:pPr>
              <w:rPr>
                <w:szCs w:val="26"/>
              </w:rPr>
            </w:pPr>
            <w:r w:rsidRPr="000864F0">
              <w:rPr>
                <w:szCs w:val="26"/>
              </w:rPr>
              <w:t>Wicklow</w:t>
            </w:r>
          </w:p>
        </w:tc>
        <w:tc>
          <w:tcPr>
            <w:tcW w:w="4508" w:type="dxa"/>
          </w:tcPr>
          <w:p w14:paraId="0E69B40B" w14:textId="77777777" w:rsidR="005F15C5" w:rsidRPr="000864F0" w:rsidRDefault="005F15C5" w:rsidP="008D386E">
            <w:pPr>
              <w:jc w:val="right"/>
              <w:rPr>
                <w:szCs w:val="26"/>
              </w:rPr>
            </w:pPr>
            <w:r w:rsidRPr="000864F0">
              <w:rPr>
                <w:szCs w:val="26"/>
              </w:rPr>
              <w:t>164</w:t>
            </w:r>
          </w:p>
        </w:tc>
      </w:tr>
      <w:tr w:rsidR="005F15C5" w:rsidRPr="000864F0" w14:paraId="56344734" w14:textId="77777777" w:rsidTr="00B531FB">
        <w:tc>
          <w:tcPr>
            <w:tcW w:w="4508" w:type="dxa"/>
          </w:tcPr>
          <w:p w14:paraId="3936A811" w14:textId="77777777" w:rsidR="005F15C5" w:rsidRPr="000864F0" w:rsidRDefault="005F15C5" w:rsidP="008D386E">
            <w:pPr>
              <w:rPr>
                <w:szCs w:val="26"/>
              </w:rPr>
            </w:pPr>
            <w:r w:rsidRPr="000864F0">
              <w:rPr>
                <w:szCs w:val="26"/>
              </w:rPr>
              <w:t>Limerick</w:t>
            </w:r>
          </w:p>
        </w:tc>
        <w:tc>
          <w:tcPr>
            <w:tcW w:w="4508" w:type="dxa"/>
          </w:tcPr>
          <w:p w14:paraId="00DA6A7F" w14:textId="77777777" w:rsidR="005F15C5" w:rsidRPr="000864F0" w:rsidRDefault="005F15C5" w:rsidP="008D386E">
            <w:pPr>
              <w:jc w:val="right"/>
              <w:rPr>
                <w:szCs w:val="26"/>
              </w:rPr>
            </w:pPr>
            <w:r w:rsidRPr="000864F0">
              <w:rPr>
                <w:szCs w:val="26"/>
              </w:rPr>
              <w:t>163</w:t>
            </w:r>
          </w:p>
        </w:tc>
      </w:tr>
      <w:tr w:rsidR="005F15C5" w:rsidRPr="000864F0" w14:paraId="219BFDD6" w14:textId="77777777" w:rsidTr="00B531FB">
        <w:tc>
          <w:tcPr>
            <w:tcW w:w="4508" w:type="dxa"/>
          </w:tcPr>
          <w:p w14:paraId="2E9C7128" w14:textId="77777777" w:rsidR="005F15C5" w:rsidRPr="000864F0" w:rsidRDefault="005F15C5" w:rsidP="008D386E">
            <w:pPr>
              <w:rPr>
                <w:szCs w:val="26"/>
              </w:rPr>
            </w:pPr>
            <w:r w:rsidRPr="000864F0">
              <w:rPr>
                <w:szCs w:val="26"/>
              </w:rPr>
              <w:t>Louth</w:t>
            </w:r>
          </w:p>
        </w:tc>
        <w:tc>
          <w:tcPr>
            <w:tcW w:w="4508" w:type="dxa"/>
          </w:tcPr>
          <w:p w14:paraId="42ADD39D" w14:textId="77777777" w:rsidR="005F15C5" w:rsidRPr="000864F0" w:rsidRDefault="005F15C5" w:rsidP="008D386E">
            <w:pPr>
              <w:jc w:val="right"/>
              <w:rPr>
                <w:szCs w:val="26"/>
              </w:rPr>
            </w:pPr>
            <w:r w:rsidRPr="000864F0">
              <w:rPr>
                <w:szCs w:val="26"/>
              </w:rPr>
              <w:t>153</w:t>
            </w:r>
          </w:p>
        </w:tc>
      </w:tr>
      <w:tr w:rsidR="005F15C5" w:rsidRPr="000864F0" w14:paraId="280E67E2" w14:textId="77777777" w:rsidTr="00B531FB">
        <w:tc>
          <w:tcPr>
            <w:tcW w:w="4508" w:type="dxa"/>
          </w:tcPr>
          <w:p w14:paraId="7865BF60" w14:textId="77777777" w:rsidR="005F15C5" w:rsidRPr="000864F0" w:rsidRDefault="005F15C5" w:rsidP="008D386E">
            <w:pPr>
              <w:rPr>
                <w:szCs w:val="26"/>
              </w:rPr>
            </w:pPr>
            <w:r w:rsidRPr="000864F0">
              <w:rPr>
                <w:szCs w:val="26"/>
              </w:rPr>
              <w:t>Cork</w:t>
            </w:r>
          </w:p>
        </w:tc>
        <w:tc>
          <w:tcPr>
            <w:tcW w:w="4508" w:type="dxa"/>
          </w:tcPr>
          <w:p w14:paraId="726BAE66" w14:textId="77777777" w:rsidR="005F15C5" w:rsidRPr="000864F0" w:rsidRDefault="005F15C5" w:rsidP="008D386E">
            <w:pPr>
              <w:jc w:val="right"/>
              <w:rPr>
                <w:szCs w:val="26"/>
              </w:rPr>
            </w:pPr>
            <w:r w:rsidRPr="000864F0">
              <w:rPr>
                <w:szCs w:val="26"/>
              </w:rPr>
              <w:t>150</w:t>
            </w:r>
          </w:p>
        </w:tc>
      </w:tr>
      <w:tr w:rsidR="005F15C5" w:rsidRPr="000864F0" w14:paraId="568BF284" w14:textId="77777777" w:rsidTr="00B531FB">
        <w:tc>
          <w:tcPr>
            <w:tcW w:w="4508" w:type="dxa"/>
          </w:tcPr>
          <w:p w14:paraId="4BB40113" w14:textId="77777777" w:rsidR="005F15C5" w:rsidRPr="000864F0" w:rsidRDefault="005F15C5" w:rsidP="008D386E">
            <w:pPr>
              <w:rPr>
                <w:szCs w:val="26"/>
              </w:rPr>
            </w:pPr>
            <w:r w:rsidRPr="000864F0">
              <w:rPr>
                <w:szCs w:val="26"/>
              </w:rPr>
              <w:t>Waterford</w:t>
            </w:r>
          </w:p>
        </w:tc>
        <w:tc>
          <w:tcPr>
            <w:tcW w:w="4508" w:type="dxa"/>
          </w:tcPr>
          <w:p w14:paraId="539A03AD" w14:textId="77777777" w:rsidR="005F15C5" w:rsidRPr="000864F0" w:rsidRDefault="005F15C5" w:rsidP="008D386E">
            <w:pPr>
              <w:jc w:val="right"/>
              <w:rPr>
                <w:szCs w:val="26"/>
              </w:rPr>
            </w:pPr>
            <w:r w:rsidRPr="000864F0">
              <w:rPr>
                <w:szCs w:val="26"/>
              </w:rPr>
              <w:t>144</w:t>
            </w:r>
          </w:p>
        </w:tc>
      </w:tr>
      <w:tr w:rsidR="005F15C5" w:rsidRPr="000864F0" w14:paraId="59092868" w14:textId="77777777" w:rsidTr="00B531FB">
        <w:tc>
          <w:tcPr>
            <w:tcW w:w="4508" w:type="dxa"/>
          </w:tcPr>
          <w:p w14:paraId="51E396A8" w14:textId="77777777" w:rsidR="005F15C5" w:rsidRPr="000864F0" w:rsidRDefault="005F15C5" w:rsidP="008D386E">
            <w:pPr>
              <w:rPr>
                <w:szCs w:val="26"/>
              </w:rPr>
            </w:pPr>
            <w:r w:rsidRPr="000864F0">
              <w:rPr>
                <w:szCs w:val="26"/>
              </w:rPr>
              <w:t>Cavan</w:t>
            </w:r>
          </w:p>
        </w:tc>
        <w:tc>
          <w:tcPr>
            <w:tcW w:w="4508" w:type="dxa"/>
          </w:tcPr>
          <w:p w14:paraId="231789AB" w14:textId="77777777" w:rsidR="005F15C5" w:rsidRPr="000864F0" w:rsidRDefault="005F15C5" w:rsidP="008D386E">
            <w:pPr>
              <w:jc w:val="right"/>
              <w:rPr>
                <w:szCs w:val="26"/>
              </w:rPr>
            </w:pPr>
            <w:r w:rsidRPr="000864F0">
              <w:rPr>
                <w:szCs w:val="26"/>
              </w:rPr>
              <w:t>140</w:t>
            </w:r>
          </w:p>
        </w:tc>
      </w:tr>
      <w:tr w:rsidR="005F15C5" w:rsidRPr="000864F0" w14:paraId="5893595F" w14:textId="77777777" w:rsidTr="00B531FB">
        <w:tc>
          <w:tcPr>
            <w:tcW w:w="4508" w:type="dxa"/>
          </w:tcPr>
          <w:p w14:paraId="4F5FFBF7" w14:textId="77777777" w:rsidR="005F15C5" w:rsidRPr="000864F0" w:rsidRDefault="005F15C5" w:rsidP="008D386E">
            <w:pPr>
              <w:rPr>
                <w:szCs w:val="26"/>
              </w:rPr>
            </w:pPr>
            <w:r w:rsidRPr="000864F0">
              <w:rPr>
                <w:szCs w:val="26"/>
              </w:rPr>
              <w:t>Meath</w:t>
            </w:r>
          </w:p>
        </w:tc>
        <w:tc>
          <w:tcPr>
            <w:tcW w:w="4508" w:type="dxa"/>
          </w:tcPr>
          <w:p w14:paraId="305218EF" w14:textId="77777777" w:rsidR="005F15C5" w:rsidRPr="000864F0" w:rsidRDefault="005F15C5" w:rsidP="008D386E">
            <w:pPr>
              <w:jc w:val="right"/>
              <w:rPr>
                <w:szCs w:val="26"/>
              </w:rPr>
            </w:pPr>
            <w:r w:rsidRPr="000864F0">
              <w:rPr>
                <w:szCs w:val="26"/>
              </w:rPr>
              <w:t>137</w:t>
            </w:r>
          </w:p>
        </w:tc>
      </w:tr>
      <w:tr w:rsidR="005F15C5" w:rsidRPr="000864F0" w14:paraId="674A1FC6" w14:textId="77777777" w:rsidTr="00B531FB">
        <w:tc>
          <w:tcPr>
            <w:tcW w:w="4508" w:type="dxa"/>
          </w:tcPr>
          <w:p w14:paraId="27D87578" w14:textId="77777777" w:rsidR="005F15C5" w:rsidRPr="000864F0" w:rsidRDefault="005F15C5" w:rsidP="008D386E">
            <w:pPr>
              <w:rPr>
                <w:szCs w:val="26"/>
              </w:rPr>
            </w:pPr>
            <w:r w:rsidRPr="000864F0">
              <w:rPr>
                <w:szCs w:val="26"/>
              </w:rPr>
              <w:t>Monaghan</w:t>
            </w:r>
          </w:p>
        </w:tc>
        <w:tc>
          <w:tcPr>
            <w:tcW w:w="4508" w:type="dxa"/>
          </w:tcPr>
          <w:p w14:paraId="361F3BE9" w14:textId="77777777" w:rsidR="005F15C5" w:rsidRPr="000864F0" w:rsidRDefault="005F15C5" w:rsidP="008D386E">
            <w:pPr>
              <w:jc w:val="right"/>
              <w:rPr>
                <w:szCs w:val="26"/>
              </w:rPr>
            </w:pPr>
            <w:r w:rsidRPr="000864F0">
              <w:rPr>
                <w:szCs w:val="26"/>
              </w:rPr>
              <w:t>137</w:t>
            </w:r>
          </w:p>
        </w:tc>
      </w:tr>
      <w:tr w:rsidR="005F15C5" w:rsidRPr="000864F0" w14:paraId="2EA6B7B2" w14:textId="77777777" w:rsidTr="00B531FB">
        <w:tc>
          <w:tcPr>
            <w:tcW w:w="4508" w:type="dxa"/>
          </w:tcPr>
          <w:p w14:paraId="21B1EFBC" w14:textId="77777777" w:rsidR="005F15C5" w:rsidRPr="000864F0" w:rsidRDefault="005F15C5" w:rsidP="008D386E">
            <w:pPr>
              <w:rPr>
                <w:szCs w:val="26"/>
              </w:rPr>
            </w:pPr>
            <w:r w:rsidRPr="000864F0">
              <w:rPr>
                <w:szCs w:val="26"/>
              </w:rPr>
              <w:t>Kilkenny</w:t>
            </w:r>
          </w:p>
        </w:tc>
        <w:tc>
          <w:tcPr>
            <w:tcW w:w="4508" w:type="dxa"/>
          </w:tcPr>
          <w:p w14:paraId="4246BBFD" w14:textId="77777777" w:rsidR="005F15C5" w:rsidRPr="000864F0" w:rsidRDefault="005F15C5" w:rsidP="008D386E">
            <w:pPr>
              <w:jc w:val="right"/>
              <w:rPr>
                <w:szCs w:val="26"/>
              </w:rPr>
            </w:pPr>
            <w:r w:rsidRPr="000864F0">
              <w:rPr>
                <w:szCs w:val="26"/>
              </w:rPr>
              <w:t>136</w:t>
            </w:r>
          </w:p>
        </w:tc>
      </w:tr>
      <w:tr w:rsidR="005F15C5" w:rsidRPr="000864F0" w14:paraId="290166BC" w14:textId="77777777" w:rsidTr="00B531FB">
        <w:tc>
          <w:tcPr>
            <w:tcW w:w="4508" w:type="dxa"/>
          </w:tcPr>
          <w:p w14:paraId="4CE1F8E3" w14:textId="77777777" w:rsidR="005F15C5" w:rsidRPr="000864F0" w:rsidRDefault="005F15C5" w:rsidP="008D386E">
            <w:pPr>
              <w:rPr>
                <w:szCs w:val="26"/>
              </w:rPr>
            </w:pPr>
            <w:r w:rsidRPr="000864F0">
              <w:rPr>
                <w:szCs w:val="26"/>
              </w:rPr>
              <w:t>Kildare</w:t>
            </w:r>
          </w:p>
        </w:tc>
        <w:tc>
          <w:tcPr>
            <w:tcW w:w="4508" w:type="dxa"/>
          </w:tcPr>
          <w:p w14:paraId="1415F269" w14:textId="77777777" w:rsidR="005F15C5" w:rsidRPr="000864F0" w:rsidRDefault="005F15C5" w:rsidP="008D386E">
            <w:pPr>
              <w:jc w:val="right"/>
              <w:rPr>
                <w:szCs w:val="26"/>
              </w:rPr>
            </w:pPr>
            <w:r w:rsidRPr="000864F0">
              <w:rPr>
                <w:szCs w:val="26"/>
              </w:rPr>
              <w:t>134</w:t>
            </w:r>
          </w:p>
        </w:tc>
      </w:tr>
      <w:tr w:rsidR="005F15C5" w:rsidRPr="000864F0" w14:paraId="44700731" w14:textId="77777777" w:rsidTr="00B531FB">
        <w:tc>
          <w:tcPr>
            <w:tcW w:w="4508" w:type="dxa"/>
          </w:tcPr>
          <w:p w14:paraId="35CF03CD" w14:textId="77777777" w:rsidR="005F15C5" w:rsidRPr="000864F0" w:rsidRDefault="005F15C5" w:rsidP="008D386E">
            <w:pPr>
              <w:rPr>
                <w:szCs w:val="26"/>
              </w:rPr>
            </w:pPr>
            <w:r w:rsidRPr="000864F0">
              <w:rPr>
                <w:szCs w:val="26"/>
              </w:rPr>
              <w:t>Roscommon</w:t>
            </w:r>
          </w:p>
        </w:tc>
        <w:tc>
          <w:tcPr>
            <w:tcW w:w="4508" w:type="dxa"/>
          </w:tcPr>
          <w:p w14:paraId="61D1B094" w14:textId="77777777" w:rsidR="005F15C5" w:rsidRPr="000864F0" w:rsidRDefault="005F15C5" w:rsidP="008D386E">
            <w:pPr>
              <w:jc w:val="right"/>
              <w:rPr>
                <w:szCs w:val="26"/>
              </w:rPr>
            </w:pPr>
            <w:r w:rsidRPr="000864F0">
              <w:rPr>
                <w:szCs w:val="26"/>
              </w:rPr>
              <w:t>132</w:t>
            </w:r>
          </w:p>
        </w:tc>
      </w:tr>
      <w:tr w:rsidR="005F15C5" w:rsidRPr="000864F0" w14:paraId="2C9053CE" w14:textId="77777777" w:rsidTr="00B531FB">
        <w:tc>
          <w:tcPr>
            <w:tcW w:w="4508" w:type="dxa"/>
          </w:tcPr>
          <w:p w14:paraId="18D0AC15" w14:textId="77777777" w:rsidR="005F15C5" w:rsidRPr="000864F0" w:rsidRDefault="005F15C5" w:rsidP="008D386E">
            <w:pPr>
              <w:rPr>
                <w:szCs w:val="26"/>
              </w:rPr>
            </w:pPr>
            <w:r w:rsidRPr="000864F0">
              <w:rPr>
                <w:szCs w:val="26"/>
              </w:rPr>
              <w:t>Westmeath</w:t>
            </w:r>
          </w:p>
        </w:tc>
        <w:tc>
          <w:tcPr>
            <w:tcW w:w="4508" w:type="dxa"/>
          </w:tcPr>
          <w:p w14:paraId="18666DD5" w14:textId="77777777" w:rsidR="005F15C5" w:rsidRPr="000864F0" w:rsidRDefault="005F15C5" w:rsidP="008D386E">
            <w:pPr>
              <w:jc w:val="right"/>
              <w:rPr>
                <w:szCs w:val="26"/>
              </w:rPr>
            </w:pPr>
            <w:r w:rsidRPr="000864F0">
              <w:rPr>
                <w:szCs w:val="26"/>
              </w:rPr>
              <w:t>112</w:t>
            </w:r>
          </w:p>
        </w:tc>
      </w:tr>
      <w:tr w:rsidR="005F15C5" w:rsidRPr="000864F0" w14:paraId="7C534682" w14:textId="77777777" w:rsidTr="00B531FB">
        <w:tc>
          <w:tcPr>
            <w:tcW w:w="4508" w:type="dxa"/>
          </w:tcPr>
          <w:p w14:paraId="37EBCDFE" w14:textId="77777777" w:rsidR="005F15C5" w:rsidRPr="000864F0" w:rsidRDefault="005F15C5" w:rsidP="008D386E">
            <w:pPr>
              <w:rPr>
                <w:szCs w:val="26"/>
              </w:rPr>
            </w:pPr>
            <w:r w:rsidRPr="000864F0">
              <w:rPr>
                <w:szCs w:val="26"/>
              </w:rPr>
              <w:t>Leitrim</w:t>
            </w:r>
          </w:p>
        </w:tc>
        <w:tc>
          <w:tcPr>
            <w:tcW w:w="4508" w:type="dxa"/>
          </w:tcPr>
          <w:p w14:paraId="6C4A600A" w14:textId="77777777" w:rsidR="005F15C5" w:rsidRPr="000864F0" w:rsidRDefault="005F15C5" w:rsidP="008D386E">
            <w:pPr>
              <w:jc w:val="right"/>
              <w:rPr>
                <w:szCs w:val="26"/>
              </w:rPr>
            </w:pPr>
            <w:r w:rsidRPr="000864F0">
              <w:rPr>
                <w:szCs w:val="26"/>
              </w:rPr>
              <w:t>102</w:t>
            </w:r>
          </w:p>
        </w:tc>
      </w:tr>
      <w:tr w:rsidR="005F15C5" w:rsidRPr="000864F0" w14:paraId="7F96B001" w14:textId="77777777" w:rsidTr="00B531FB">
        <w:tc>
          <w:tcPr>
            <w:tcW w:w="4508" w:type="dxa"/>
          </w:tcPr>
          <w:p w14:paraId="21C4D234" w14:textId="77777777" w:rsidR="005F15C5" w:rsidRPr="000864F0" w:rsidRDefault="005F15C5" w:rsidP="008D386E">
            <w:pPr>
              <w:rPr>
                <w:szCs w:val="26"/>
              </w:rPr>
            </w:pPr>
            <w:r w:rsidRPr="000864F0">
              <w:rPr>
                <w:szCs w:val="26"/>
              </w:rPr>
              <w:t>Laois</w:t>
            </w:r>
          </w:p>
        </w:tc>
        <w:tc>
          <w:tcPr>
            <w:tcW w:w="4508" w:type="dxa"/>
          </w:tcPr>
          <w:p w14:paraId="16C0DACD" w14:textId="77777777" w:rsidR="005F15C5" w:rsidRPr="000864F0" w:rsidRDefault="005F15C5" w:rsidP="008D386E">
            <w:pPr>
              <w:jc w:val="right"/>
              <w:rPr>
                <w:szCs w:val="26"/>
              </w:rPr>
            </w:pPr>
            <w:r w:rsidRPr="000864F0">
              <w:rPr>
                <w:szCs w:val="26"/>
              </w:rPr>
              <w:t>99</w:t>
            </w:r>
          </w:p>
        </w:tc>
      </w:tr>
      <w:tr w:rsidR="005F15C5" w:rsidRPr="000864F0" w14:paraId="2DA78A16" w14:textId="77777777" w:rsidTr="00B531FB">
        <w:tc>
          <w:tcPr>
            <w:tcW w:w="4508" w:type="dxa"/>
          </w:tcPr>
          <w:p w14:paraId="52EB05C8" w14:textId="7ED5DC9E" w:rsidR="005F15C5" w:rsidRPr="000864F0" w:rsidRDefault="003E017E" w:rsidP="008D386E">
            <w:pPr>
              <w:rPr>
                <w:szCs w:val="26"/>
              </w:rPr>
            </w:pPr>
            <w:r>
              <w:rPr>
                <w:szCs w:val="26"/>
              </w:rPr>
              <w:t>Carlow</w:t>
            </w:r>
          </w:p>
        </w:tc>
        <w:tc>
          <w:tcPr>
            <w:tcW w:w="4508" w:type="dxa"/>
          </w:tcPr>
          <w:p w14:paraId="1D49A765" w14:textId="77777777" w:rsidR="005F15C5" w:rsidRPr="000864F0" w:rsidRDefault="005F15C5" w:rsidP="008D386E">
            <w:pPr>
              <w:jc w:val="right"/>
              <w:rPr>
                <w:szCs w:val="26"/>
              </w:rPr>
            </w:pPr>
            <w:r w:rsidRPr="000864F0">
              <w:rPr>
                <w:szCs w:val="26"/>
              </w:rPr>
              <w:t>90</w:t>
            </w:r>
          </w:p>
        </w:tc>
      </w:tr>
      <w:tr w:rsidR="005F15C5" w:rsidRPr="000864F0" w14:paraId="1A46A192" w14:textId="77777777" w:rsidTr="00B531FB">
        <w:tc>
          <w:tcPr>
            <w:tcW w:w="4508" w:type="dxa"/>
          </w:tcPr>
          <w:p w14:paraId="0F6930E8" w14:textId="77777777" w:rsidR="005F15C5" w:rsidRPr="000864F0" w:rsidRDefault="005F15C5" w:rsidP="008D386E">
            <w:pPr>
              <w:rPr>
                <w:szCs w:val="26"/>
              </w:rPr>
            </w:pPr>
            <w:r w:rsidRPr="000864F0">
              <w:rPr>
                <w:szCs w:val="26"/>
              </w:rPr>
              <w:t>Ireland</w:t>
            </w:r>
          </w:p>
        </w:tc>
        <w:tc>
          <w:tcPr>
            <w:tcW w:w="4508" w:type="dxa"/>
          </w:tcPr>
          <w:p w14:paraId="5185EFA0" w14:textId="77777777" w:rsidR="005F15C5" w:rsidRPr="000864F0" w:rsidRDefault="005F15C5" w:rsidP="008D386E">
            <w:pPr>
              <w:jc w:val="right"/>
              <w:rPr>
                <w:szCs w:val="26"/>
              </w:rPr>
            </w:pPr>
            <w:r w:rsidRPr="000864F0">
              <w:rPr>
                <w:szCs w:val="26"/>
              </w:rPr>
              <w:t>78</w:t>
            </w:r>
          </w:p>
        </w:tc>
      </w:tr>
      <w:tr w:rsidR="005F15C5" w:rsidRPr="000864F0" w14:paraId="501DE7D3" w14:textId="77777777" w:rsidTr="00B531FB">
        <w:tc>
          <w:tcPr>
            <w:tcW w:w="4508" w:type="dxa"/>
          </w:tcPr>
          <w:p w14:paraId="22B12CB7" w14:textId="77777777" w:rsidR="005F15C5" w:rsidRPr="000864F0" w:rsidRDefault="005F15C5" w:rsidP="008D386E">
            <w:pPr>
              <w:rPr>
                <w:szCs w:val="26"/>
              </w:rPr>
            </w:pPr>
            <w:r w:rsidRPr="000864F0">
              <w:rPr>
                <w:szCs w:val="26"/>
              </w:rPr>
              <w:t>Galway</w:t>
            </w:r>
          </w:p>
        </w:tc>
        <w:tc>
          <w:tcPr>
            <w:tcW w:w="4508" w:type="dxa"/>
          </w:tcPr>
          <w:p w14:paraId="020D37AF" w14:textId="77777777" w:rsidR="005F15C5" w:rsidRPr="000864F0" w:rsidRDefault="005F15C5" w:rsidP="008D386E">
            <w:pPr>
              <w:jc w:val="right"/>
              <w:rPr>
                <w:szCs w:val="26"/>
              </w:rPr>
            </w:pPr>
            <w:r w:rsidRPr="000864F0">
              <w:rPr>
                <w:szCs w:val="26"/>
              </w:rPr>
              <w:t>63</w:t>
            </w:r>
          </w:p>
        </w:tc>
      </w:tr>
      <w:tr w:rsidR="005F15C5" w:rsidRPr="000864F0" w14:paraId="1C51738C" w14:textId="77777777" w:rsidTr="00B531FB">
        <w:tc>
          <w:tcPr>
            <w:tcW w:w="4508" w:type="dxa"/>
          </w:tcPr>
          <w:p w14:paraId="26536CC9" w14:textId="77777777" w:rsidR="005F15C5" w:rsidRPr="000864F0" w:rsidRDefault="005F15C5" w:rsidP="008D386E">
            <w:pPr>
              <w:rPr>
                <w:szCs w:val="26"/>
              </w:rPr>
            </w:pPr>
            <w:r w:rsidRPr="000864F0">
              <w:rPr>
                <w:szCs w:val="26"/>
              </w:rPr>
              <w:t>Dublin</w:t>
            </w:r>
          </w:p>
        </w:tc>
        <w:tc>
          <w:tcPr>
            <w:tcW w:w="4508" w:type="dxa"/>
          </w:tcPr>
          <w:p w14:paraId="69813169" w14:textId="77777777" w:rsidR="005F15C5" w:rsidRPr="000864F0" w:rsidRDefault="005F15C5" w:rsidP="008D386E">
            <w:pPr>
              <w:jc w:val="right"/>
              <w:rPr>
                <w:szCs w:val="26"/>
              </w:rPr>
            </w:pPr>
            <w:r w:rsidRPr="000864F0">
              <w:rPr>
                <w:szCs w:val="26"/>
              </w:rPr>
              <w:t>33</w:t>
            </w:r>
          </w:p>
        </w:tc>
      </w:tr>
    </w:tbl>
    <w:p w14:paraId="1625B813" w14:textId="785C09D3" w:rsidR="00062473" w:rsidRDefault="00062473" w:rsidP="001C08F2">
      <w:pPr>
        <w:pStyle w:val="Default"/>
        <w:spacing w:after="240"/>
        <w:rPr>
          <w:rFonts w:ascii="Gill Sans MT" w:hAnsi="Gill Sans MT"/>
          <w:b/>
          <w:sz w:val="26"/>
          <w:szCs w:val="26"/>
        </w:rPr>
      </w:pPr>
    </w:p>
    <w:p w14:paraId="40135BB0" w14:textId="6F468E4F" w:rsidR="00C26979" w:rsidRDefault="0094367E" w:rsidP="001C08F2">
      <w:pPr>
        <w:pStyle w:val="Default"/>
        <w:spacing w:after="240"/>
        <w:rPr>
          <w:rFonts w:ascii="Gill Sans MT" w:hAnsi="Gill Sans MT"/>
          <w:sz w:val="26"/>
          <w:szCs w:val="26"/>
        </w:rPr>
      </w:pPr>
      <w:r w:rsidRPr="00DE17C3">
        <w:rPr>
          <w:rFonts w:ascii="Gill Sans MT" w:hAnsi="Gill Sans MT"/>
          <w:b/>
          <w:sz w:val="26"/>
          <w:szCs w:val="26"/>
        </w:rPr>
        <w:t>Indicator 8.1b Percentage of bus stops that are accessible according to a Universal Design Audit Tool:</w:t>
      </w:r>
      <w:r w:rsidRPr="00DE17C3">
        <w:rPr>
          <w:rFonts w:ascii="Gill Sans MT" w:hAnsi="Gill Sans MT"/>
          <w:sz w:val="26"/>
          <w:szCs w:val="26"/>
        </w:rPr>
        <w:t xml:space="preserve"> </w:t>
      </w:r>
      <w:r w:rsidR="00B878F7" w:rsidRPr="00DE17C3">
        <w:rPr>
          <w:rFonts w:ascii="Gill Sans MT" w:hAnsi="Gill Sans MT"/>
          <w:sz w:val="26"/>
          <w:szCs w:val="26"/>
        </w:rPr>
        <w:t xml:space="preserve">There are currently 12,000 bus stops throughout the country. </w:t>
      </w:r>
      <w:r w:rsidR="00317A98">
        <w:rPr>
          <w:rFonts w:ascii="Gill Sans MT" w:hAnsi="Gill Sans MT" w:cs="Calibri"/>
          <w:sz w:val="26"/>
          <w:szCs w:val="26"/>
        </w:rPr>
        <w:t>In 2018, t</w:t>
      </w:r>
      <w:r w:rsidR="00C26979">
        <w:rPr>
          <w:rFonts w:ascii="Gill Sans MT" w:hAnsi="Gill Sans MT" w:cs="Calibri"/>
          <w:sz w:val="26"/>
          <w:szCs w:val="26"/>
        </w:rPr>
        <w:t>he NTA conducted an</w:t>
      </w:r>
      <w:r w:rsidR="00DE17C3" w:rsidRPr="00DE17C3">
        <w:rPr>
          <w:rFonts w:ascii="Gill Sans MT" w:hAnsi="Gill Sans MT" w:cs="Calibri"/>
          <w:sz w:val="26"/>
          <w:szCs w:val="26"/>
        </w:rPr>
        <w:t xml:space="preserve"> accessibility audit</w:t>
      </w:r>
      <w:r w:rsidR="00C26979">
        <w:rPr>
          <w:rFonts w:ascii="Gill Sans MT" w:hAnsi="Gill Sans MT" w:cs="Calibri"/>
          <w:sz w:val="26"/>
          <w:szCs w:val="26"/>
        </w:rPr>
        <w:t xml:space="preserve"> of </w:t>
      </w:r>
      <w:r w:rsidR="00C26979" w:rsidRPr="00DE17C3">
        <w:rPr>
          <w:rFonts w:ascii="Gill Sans MT" w:hAnsi="Gill Sans MT" w:cs="Calibri"/>
          <w:sz w:val="26"/>
          <w:szCs w:val="26"/>
        </w:rPr>
        <w:t xml:space="preserve">bus stops serviced by high floor coaches </w:t>
      </w:r>
      <w:r w:rsidR="00C26979">
        <w:rPr>
          <w:rFonts w:ascii="Gill Sans MT" w:hAnsi="Gill Sans MT" w:cs="Calibri"/>
          <w:sz w:val="26"/>
          <w:szCs w:val="26"/>
        </w:rPr>
        <w:t>in</w:t>
      </w:r>
      <w:r w:rsidR="00DE17C3" w:rsidRPr="00DE17C3">
        <w:rPr>
          <w:rFonts w:ascii="Gill Sans MT" w:hAnsi="Gill Sans MT" w:cs="Calibri"/>
          <w:sz w:val="26"/>
          <w:szCs w:val="26"/>
        </w:rPr>
        <w:t xml:space="preserve"> towns </w:t>
      </w:r>
      <w:r w:rsidR="00C26979">
        <w:rPr>
          <w:rFonts w:ascii="Gill Sans MT" w:hAnsi="Gill Sans MT" w:cs="Calibri"/>
          <w:sz w:val="26"/>
          <w:szCs w:val="26"/>
        </w:rPr>
        <w:t xml:space="preserve">with a </w:t>
      </w:r>
      <w:r w:rsidR="00C26979" w:rsidRPr="00DE17C3">
        <w:rPr>
          <w:rFonts w:ascii="Gill Sans MT" w:hAnsi="Gill Sans MT" w:cs="Calibri"/>
          <w:sz w:val="26"/>
          <w:szCs w:val="26"/>
        </w:rPr>
        <w:t xml:space="preserve">population </w:t>
      </w:r>
      <w:r w:rsidR="00C26979">
        <w:rPr>
          <w:rFonts w:ascii="Gill Sans MT" w:hAnsi="Gill Sans MT" w:cs="Calibri"/>
          <w:sz w:val="26"/>
          <w:szCs w:val="26"/>
        </w:rPr>
        <w:t xml:space="preserve">of </w:t>
      </w:r>
      <w:r w:rsidR="00DE17C3" w:rsidRPr="00DE17C3">
        <w:rPr>
          <w:rFonts w:ascii="Gill Sans MT" w:hAnsi="Gill Sans MT" w:cs="Calibri"/>
          <w:sz w:val="26"/>
          <w:szCs w:val="26"/>
        </w:rPr>
        <w:t>over 5,000</w:t>
      </w:r>
      <w:r w:rsidR="00C26979">
        <w:rPr>
          <w:rFonts w:ascii="Gill Sans MT" w:hAnsi="Gill Sans MT" w:cs="Calibri"/>
          <w:sz w:val="26"/>
          <w:szCs w:val="26"/>
        </w:rPr>
        <w:t>.</w:t>
      </w:r>
      <w:r w:rsidR="008E482B">
        <w:rPr>
          <w:rStyle w:val="FootnoteReference"/>
          <w:rFonts w:ascii="Gill Sans MT" w:hAnsi="Gill Sans MT" w:cs="Calibri"/>
          <w:sz w:val="26"/>
          <w:szCs w:val="26"/>
        </w:rPr>
        <w:footnoteReference w:id="186"/>
      </w:r>
      <w:r w:rsidR="00C26979">
        <w:rPr>
          <w:rFonts w:ascii="Gill Sans MT" w:hAnsi="Gill Sans MT" w:cs="Calibri"/>
          <w:sz w:val="26"/>
          <w:szCs w:val="26"/>
        </w:rPr>
        <w:t xml:space="preserve"> This audit identified</w:t>
      </w:r>
      <w:r w:rsidR="00DE17C3" w:rsidRPr="00DE17C3">
        <w:rPr>
          <w:rFonts w:ascii="Gill Sans MT" w:hAnsi="Gill Sans MT" w:cs="Calibri"/>
          <w:sz w:val="26"/>
          <w:szCs w:val="26"/>
        </w:rPr>
        <w:t xml:space="preserve"> 43 towns requiring accessibility enhancements to accommodate 2 stops (one in </w:t>
      </w:r>
      <w:r w:rsidR="003719F3">
        <w:rPr>
          <w:rFonts w:ascii="Gill Sans MT" w:hAnsi="Gill Sans MT" w:cs="Calibri"/>
          <w:sz w:val="26"/>
          <w:szCs w:val="26"/>
        </w:rPr>
        <w:t xml:space="preserve">each </w:t>
      </w:r>
      <w:r w:rsidR="00DE17C3" w:rsidRPr="00DE17C3">
        <w:rPr>
          <w:rFonts w:ascii="Gill Sans MT" w:hAnsi="Gill Sans MT" w:cs="Calibri"/>
          <w:sz w:val="26"/>
          <w:szCs w:val="26"/>
        </w:rPr>
        <w:t xml:space="preserve">direction). </w:t>
      </w:r>
      <w:r w:rsidR="00B878F7" w:rsidRPr="00DE17C3">
        <w:rPr>
          <w:rFonts w:ascii="Gill Sans MT" w:hAnsi="Gill Sans MT"/>
          <w:sz w:val="26"/>
          <w:szCs w:val="26"/>
        </w:rPr>
        <w:t xml:space="preserve">The NTA estimates that work on these projects will be completed by the end of 2021 subject to funding. </w:t>
      </w:r>
    </w:p>
    <w:p w14:paraId="41B13DEA" w14:textId="77777777" w:rsidR="00011E3E" w:rsidRPr="00C26979" w:rsidRDefault="005066F0" w:rsidP="001C08F2">
      <w:pPr>
        <w:pStyle w:val="Default"/>
        <w:spacing w:after="240"/>
        <w:rPr>
          <w:rFonts w:ascii="Gill Sans MT" w:hAnsi="Gill Sans MT" w:cs="Calibri"/>
          <w:sz w:val="26"/>
          <w:szCs w:val="26"/>
        </w:rPr>
      </w:pPr>
      <w:r w:rsidRPr="00DE17C3">
        <w:rPr>
          <w:rFonts w:ascii="Gill Sans MT" w:hAnsi="Gill Sans MT"/>
          <w:sz w:val="26"/>
          <w:szCs w:val="26"/>
          <w:lang w:eastAsia="en-IE"/>
        </w:rPr>
        <w:t>The NDA will be discussing with the NTA the most effective approach for improving the accessibility of the remaining 11</w:t>
      </w:r>
      <w:r w:rsidR="007340BA">
        <w:rPr>
          <w:rFonts w:ascii="Gill Sans MT" w:hAnsi="Gill Sans MT"/>
          <w:sz w:val="26"/>
          <w:szCs w:val="26"/>
          <w:lang w:eastAsia="en-IE"/>
        </w:rPr>
        <w:t>,</w:t>
      </w:r>
      <w:r w:rsidRPr="00DE17C3">
        <w:rPr>
          <w:rFonts w:ascii="Gill Sans MT" w:hAnsi="Gill Sans MT"/>
          <w:sz w:val="26"/>
          <w:szCs w:val="26"/>
          <w:lang w:eastAsia="en-IE"/>
        </w:rPr>
        <w:t xml:space="preserve">917 bus stops across the country. </w:t>
      </w:r>
      <w:r w:rsidR="00DE17C3" w:rsidRPr="00DE17C3">
        <w:rPr>
          <w:rFonts w:ascii="Gill Sans MT" w:hAnsi="Gill Sans MT" w:cs="Calibri"/>
          <w:sz w:val="26"/>
          <w:szCs w:val="26"/>
        </w:rPr>
        <w:t>The NDA welcomes the fact that work has been progressed on increasing the number of w</w:t>
      </w:r>
      <w:r w:rsidR="005878CD">
        <w:rPr>
          <w:rFonts w:ascii="Gill Sans MT" w:hAnsi="Gill Sans MT" w:cs="Calibri"/>
          <w:sz w:val="26"/>
          <w:szCs w:val="26"/>
        </w:rPr>
        <w:t xml:space="preserve">heelchair accessible bus stops </w:t>
      </w:r>
      <w:r w:rsidR="00DE17C3" w:rsidRPr="00DE17C3">
        <w:rPr>
          <w:rFonts w:ascii="Gill Sans MT" w:hAnsi="Gill Sans MT" w:cs="Calibri"/>
          <w:sz w:val="26"/>
          <w:szCs w:val="26"/>
        </w:rPr>
        <w:t>but advises the NTA that</w:t>
      </w:r>
      <w:r w:rsidR="007340BA">
        <w:rPr>
          <w:rFonts w:ascii="Gill Sans MT" w:hAnsi="Gill Sans MT" w:cs="Calibri"/>
          <w:sz w:val="26"/>
          <w:szCs w:val="26"/>
        </w:rPr>
        <w:t xml:space="preserve"> </w:t>
      </w:r>
      <w:r w:rsidR="00DE17C3" w:rsidRPr="00DE17C3">
        <w:rPr>
          <w:rFonts w:ascii="Gill Sans MT" w:hAnsi="Gill Sans MT" w:cs="Calibri"/>
          <w:sz w:val="26"/>
          <w:szCs w:val="26"/>
        </w:rPr>
        <w:t>these stops</w:t>
      </w:r>
      <w:r w:rsidR="00397A26">
        <w:rPr>
          <w:rFonts w:ascii="Gill Sans MT" w:hAnsi="Gill Sans MT" w:cs="Calibri"/>
          <w:sz w:val="26"/>
          <w:szCs w:val="26"/>
        </w:rPr>
        <w:t xml:space="preserve"> will</w:t>
      </w:r>
      <w:r w:rsidR="00DE17C3" w:rsidRPr="00DE17C3">
        <w:rPr>
          <w:rFonts w:ascii="Gill Sans MT" w:hAnsi="Gill Sans MT" w:cs="Calibri"/>
          <w:sz w:val="26"/>
          <w:szCs w:val="26"/>
        </w:rPr>
        <w:t xml:space="preserve"> need to be user tested by persons with different disabilities to ensure they are easy </w:t>
      </w:r>
      <w:r w:rsidR="00C26979">
        <w:rPr>
          <w:rFonts w:ascii="Gill Sans MT" w:hAnsi="Gill Sans MT" w:cs="Calibri"/>
          <w:sz w:val="26"/>
          <w:szCs w:val="26"/>
        </w:rPr>
        <w:t xml:space="preserve">for a diverse range of users </w:t>
      </w:r>
      <w:r w:rsidR="00DE17C3" w:rsidRPr="00DE17C3">
        <w:rPr>
          <w:rFonts w:ascii="Gill Sans MT" w:hAnsi="Gill Sans MT" w:cs="Calibri"/>
          <w:sz w:val="26"/>
          <w:szCs w:val="26"/>
        </w:rPr>
        <w:t>to access</w:t>
      </w:r>
      <w:r w:rsidR="00577D6B">
        <w:rPr>
          <w:rFonts w:ascii="Gill Sans MT" w:hAnsi="Gill Sans MT" w:cs="Calibri"/>
          <w:sz w:val="26"/>
          <w:szCs w:val="26"/>
        </w:rPr>
        <w:t>.</w:t>
      </w:r>
      <w:r w:rsidR="00DE17C3" w:rsidRPr="00DE17C3">
        <w:rPr>
          <w:rFonts w:ascii="Gill Sans MT" w:hAnsi="Gill Sans MT" w:cs="Calibri"/>
          <w:sz w:val="26"/>
          <w:szCs w:val="26"/>
        </w:rPr>
        <w:t xml:space="preserve"> </w:t>
      </w:r>
      <w:r w:rsidR="005878CD">
        <w:rPr>
          <w:rFonts w:ascii="Gill Sans MT" w:hAnsi="Gill Sans MT" w:cs="Calibri"/>
          <w:sz w:val="26"/>
          <w:szCs w:val="26"/>
        </w:rPr>
        <w:t xml:space="preserve">The NDA </w:t>
      </w:r>
      <w:r w:rsidR="00DE17C3" w:rsidRPr="00DE17C3">
        <w:rPr>
          <w:rFonts w:ascii="Gill Sans MT" w:hAnsi="Gill Sans MT" w:cs="Calibri"/>
          <w:sz w:val="26"/>
          <w:szCs w:val="26"/>
        </w:rPr>
        <w:t xml:space="preserve">also suggests that the NTA </w:t>
      </w:r>
      <w:r w:rsidR="00397A26">
        <w:rPr>
          <w:rFonts w:ascii="Gill Sans MT" w:hAnsi="Gill Sans MT" w:cs="Calibri"/>
          <w:sz w:val="26"/>
          <w:szCs w:val="26"/>
        </w:rPr>
        <w:t>and /</w:t>
      </w:r>
      <w:r w:rsidR="00DE17C3" w:rsidRPr="00DE17C3">
        <w:rPr>
          <w:rFonts w:ascii="Gill Sans MT" w:hAnsi="Gill Sans MT" w:cs="Calibri"/>
          <w:sz w:val="26"/>
          <w:szCs w:val="26"/>
        </w:rPr>
        <w:t>or the Local Authorities should monitor these bus stop</w:t>
      </w:r>
      <w:r w:rsidR="00D571CE">
        <w:rPr>
          <w:rFonts w:ascii="Gill Sans MT" w:hAnsi="Gill Sans MT" w:cs="Calibri"/>
          <w:sz w:val="26"/>
          <w:szCs w:val="26"/>
        </w:rPr>
        <w:t>s</w:t>
      </w:r>
      <w:r w:rsidR="007340BA">
        <w:rPr>
          <w:rFonts w:ascii="Gill Sans MT" w:hAnsi="Gill Sans MT" w:cs="Calibri"/>
          <w:sz w:val="26"/>
          <w:szCs w:val="26"/>
        </w:rPr>
        <w:t xml:space="preserve"> </w:t>
      </w:r>
      <w:r w:rsidR="00DE17C3" w:rsidRPr="00DE17C3">
        <w:rPr>
          <w:rFonts w:ascii="Gill Sans MT" w:hAnsi="Gill Sans MT" w:cs="Calibri"/>
          <w:sz w:val="26"/>
          <w:szCs w:val="26"/>
        </w:rPr>
        <w:t>on an annual basis to ensure they are maintained and still accessible</w:t>
      </w:r>
      <w:r w:rsidR="00CF5D5C">
        <w:rPr>
          <w:rFonts w:ascii="Gill Sans MT" w:hAnsi="Gill Sans MT" w:cs="Calibri"/>
          <w:sz w:val="26"/>
          <w:szCs w:val="26"/>
        </w:rPr>
        <w:t xml:space="preserve">. </w:t>
      </w:r>
    </w:p>
    <w:p w14:paraId="47A0FEB8" w14:textId="77EAF865" w:rsidR="00E168B5" w:rsidRPr="00E168B5" w:rsidRDefault="00397A26" w:rsidP="00E168B5">
      <w:pPr>
        <w:rPr>
          <w:szCs w:val="26"/>
          <w:lang w:eastAsia="en-IE"/>
        </w:rPr>
      </w:pPr>
      <w:r w:rsidRPr="009E4ABD">
        <w:rPr>
          <w:b/>
          <w:szCs w:val="26"/>
          <w:lang w:eastAsia="en-IE"/>
        </w:rPr>
        <w:t>Indicator 8.2a. Level of accessibility of public buildings:</w:t>
      </w:r>
      <w:r w:rsidRPr="009E4ABD">
        <w:rPr>
          <w:szCs w:val="26"/>
          <w:lang w:eastAsia="en-IE"/>
        </w:rPr>
        <w:t xml:space="preserve"> </w:t>
      </w:r>
      <w:r w:rsidR="00C26979">
        <w:rPr>
          <w:lang w:eastAsia="en-IE"/>
        </w:rPr>
        <w:t xml:space="preserve">(Note this indicator is the same as 1.5b) </w:t>
      </w:r>
      <w:r w:rsidR="00E168B5" w:rsidRPr="00E168B5">
        <w:rPr>
          <w:szCs w:val="26"/>
          <w:lang w:eastAsia="en-IE"/>
        </w:rPr>
        <w:t>The NDA in partnership with the Office of Public Works (OPW) published a report in 2019 entitled ‘An Operational Review of the Effectiveness of Section 25 of the Disability Act 2005’.</w:t>
      </w:r>
      <w:r w:rsidR="006D092B">
        <w:rPr>
          <w:rStyle w:val="FootnoteReference"/>
          <w:szCs w:val="26"/>
          <w:lang w:eastAsia="en-IE"/>
        </w:rPr>
        <w:footnoteReference w:id="187"/>
      </w:r>
      <w:r w:rsidR="00E168B5" w:rsidRPr="00E168B5">
        <w:rPr>
          <w:szCs w:val="26"/>
          <w:lang w:eastAsia="en-IE"/>
        </w:rPr>
        <w:t xml:space="preserve"> This review was carried out under Action 26 of the National Disability Inclusion Strategy. The review makes recommendations to facilitate public bodies to make their public buildings accessible, by bringing them into compliance with Part M 2010 of the building regulations by 2022, as required under Section 25 of the Disability Act. The review found that currently, there appears to be low awareness, enforcement and understanding among public bodies of their obligations under Section 25 of the Disability Act, particularly of the obligation to bring public buildings into compliance with the Building Regulations, Part M 2010 by 2022. </w:t>
      </w:r>
      <w:r w:rsidR="00E168B5" w:rsidRPr="00E168B5">
        <w:rPr>
          <w:szCs w:val="26"/>
        </w:rPr>
        <w:t>There was a general consensus among the public bodies interviewed, as part of the review, that the 2022 deadline would be very challenging to achieve It should be noted that only a small number of public bodies participated in the review.</w:t>
      </w:r>
      <w:r w:rsidR="00E168B5" w:rsidRPr="00E168B5">
        <w:rPr>
          <w:szCs w:val="26"/>
          <w:lang w:eastAsia="en-IE"/>
        </w:rPr>
        <w:t xml:space="preserve"> </w:t>
      </w:r>
    </w:p>
    <w:p w14:paraId="0658A1FA" w14:textId="77777777" w:rsidR="00E168B5" w:rsidRPr="00E168B5" w:rsidRDefault="00E168B5" w:rsidP="00E168B5">
      <w:pPr>
        <w:rPr>
          <w:szCs w:val="26"/>
          <w:lang w:eastAsia="en-IE"/>
        </w:rPr>
      </w:pPr>
      <w:r w:rsidRPr="00E168B5">
        <w:rPr>
          <w:szCs w:val="26"/>
          <w:lang w:eastAsia="en-IE"/>
        </w:rPr>
        <w:t>The review recommends that public bodies should prioritise buildings that are open to the public for improvement and take a targeted approach to carrying out access audits and improvement works, based on a building’s use and existing levels of accessibility. It also states that embedding and integrating Universal Design principles and accessibility into building design, alterations, leasing, management and maintenance processes is central to achieving compliance with Section 25 of the Disability Act.</w:t>
      </w:r>
    </w:p>
    <w:p w14:paraId="114AB217" w14:textId="77777777" w:rsidR="00E168B5" w:rsidRPr="00E168B5" w:rsidRDefault="00E168B5" w:rsidP="00E168B5">
      <w:pPr>
        <w:rPr>
          <w:lang w:eastAsia="en-IE"/>
        </w:rPr>
      </w:pPr>
      <w:r w:rsidRPr="00E168B5">
        <w:rPr>
          <w:szCs w:val="26"/>
          <w:lang w:eastAsia="en-IE"/>
        </w:rPr>
        <w:t>Action 25 of the National Disability Inclusion Strategy states that the OPW, and all departments and public bodies will bring all public sector buildings into compliance with the revised (2010) Part M accessibility standards by 2022. This will require each Department and body to identify what works are required and to have an action plan with specific timeframes to progress compliance and budget for same.</w:t>
      </w:r>
      <w:r w:rsidR="00587F09">
        <w:rPr>
          <w:szCs w:val="26"/>
          <w:lang w:eastAsia="en-IE"/>
        </w:rPr>
        <w:t xml:space="preserve"> </w:t>
      </w:r>
      <w:r w:rsidRPr="00E168B5">
        <w:rPr>
          <w:szCs w:val="26"/>
          <w:lang w:eastAsia="en-IE"/>
        </w:rPr>
        <w:t>The NDA will continue to engage with the OPW and others with a view to establishing mechanisms to monitor progress.</w:t>
      </w:r>
    </w:p>
    <w:p w14:paraId="799ECDA8" w14:textId="77777777" w:rsidR="00FB463C" w:rsidRPr="000B3135" w:rsidRDefault="00FB463C" w:rsidP="00FB463C">
      <w:pPr>
        <w:pStyle w:val="Heading1"/>
        <w:rPr>
          <w:b/>
          <w:color w:val="auto"/>
          <w:lang w:eastAsia="en-IE"/>
        </w:rPr>
      </w:pPr>
      <w:r w:rsidRPr="000B3135">
        <w:rPr>
          <w:b/>
          <w:color w:val="auto"/>
          <w:lang w:eastAsia="en-IE"/>
        </w:rPr>
        <w:t xml:space="preserve">Conclusions and Recommendations </w:t>
      </w:r>
    </w:p>
    <w:p w14:paraId="5C4493CD" w14:textId="77777777" w:rsidR="00FB463C" w:rsidRPr="00BB11E4" w:rsidRDefault="00FB463C" w:rsidP="00FB463C">
      <w:pPr>
        <w:rPr>
          <w:lang w:eastAsia="en-IE"/>
        </w:rPr>
      </w:pPr>
      <w:r w:rsidRPr="00BB11E4">
        <w:rPr>
          <w:lang w:eastAsia="en-IE"/>
        </w:rPr>
        <w:t>This review of NDIS indicators has shown areas of progress</w:t>
      </w:r>
      <w:r w:rsidR="005F4FA8" w:rsidRPr="00BB11E4">
        <w:rPr>
          <w:lang w:eastAsia="en-IE"/>
        </w:rPr>
        <w:t xml:space="preserve"> in reaching the aims of the NDIS strategy</w:t>
      </w:r>
      <w:r w:rsidRPr="00BB11E4">
        <w:rPr>
          <w:lang w:eastAsia="en-IE"/>
        </w:rPr>
        <w:t xml:space="preserve"> and areas in need of improvement. The ratification of the UNCRPD was an important milestone in the life time of this strategy and </w:t>
      </w:r>
      <w:r w:rsidR="009E55C9" w:rsidRPr="00BB11E4">
        <w:rPr>
          <w:lang w:eastAsia="en-IE"/>
        </w:rPr>
        <w:t xml:space="preserve">the commitment to develop a fuller national </w:t>
      </w:r>
      <w:r w:rsidR="00577D6B">
        <w:rPr>
          <w:lang w:eastAsia="en-IE"/>
        </w:rPr>
        <w:t>a</w:t>
      </w:r>
      <w:r w:rsidR="009E55C9" w:rsidRPr="00BB11E4">
        <w:rPr>
          <w:lang w:eastAsia="en-IE"/>
        </w:rPr>
        <w:t xml:space="preserve">ction </w:t>
      </w:r>
      <w:r w:rsidR="00577D6B">
        <w:rPr>
          <w:lang w:eastAsia="en-IE"/>
        </w:rPr>
        <w:t xml:space="preserve">plan and </w:t>
      </w:r>
      <w:r w:rsidR="009E55C9" w:rsidRPr="00BB11E4">
        <w:rPr>
          <w:lang w:eastAsia="en-IE"/>
        </w:rPr>
        <w:t xml:space="preserve">action plans by each </w:t>
      </w:r>
      <w:r w:rsidR="00577D6B">
        <w:rPr>
          <w:lang w:eastAsia="en-IE"/>
        </w:rPr>
        <w:t>d</w:t>
      </w:r>
      <w:r w:rsidR="00FB405A" w:rsidRPr="00BB11E4">
        <w:rPr>
          <w:lang w:eastAsia="en-IE"/>
        </w:rPr>
        <w:t>epartment</w:t>
      </w:r>
      <w:r w:rsidR="009E55C9" w:rsidRPr="00BB11E4">
        <w:rPr>
          <w:lang w:eastAsia="en-IE"/>
        </w:rPr>
        <w:t xml:space="preserve"> and body is important to supporting more detailed indicators, and supporting enhanced data sources. </w:t>
      </w:r>
      <w:r w:rsidRPr="00BB11E4">
        <w:rPr>
          <w:lang w:eastAsia="en-IE"/>
        </w:rPr>
        <w:t xml:space="preserve">The Irish Sign Language Act is one piece of recent legislation that will impact the lives of the deaf community. While this is welcomed by the NDA we are concerned that there is a lack of awareness in the public sector around their obligations to comply with this legislation. </w:t>
      </w:r>
      <w:r>
        <w:rPr>
          <w:lang w:eastAsia="en-IE"/>
        </w:rPr>
        <w:t>There are some key pieces of legislation that are outstanding and advancing them in the remaining years of the strategy is crucial. These include Deprivation of Liberty legislation, fully commencing the Assisted Decision Making (Capacity) Act</w:t>
      </w:r>
      <w:r w:rsidR="003719F3">
        <w:rPr>
          <w:lang w:eastAsia="en-IE"/>
        </w:rPr>
        <w:t>,</w:t>
      </w:r>
      <w:r>
        <w:rPr>
          <w:lang w:eastAsia="en-IE"/>
        </w:rPr>
        <w:t xml:space="preserve"> which would then allow full operation </w:t>
      </w:r>
      <w:r w:rsidRPr="00BB11E4">
        <w:rPr>
          <w:lang w:eastAsia="en-IE"/>
        </w:rPr>
        <w:t xml:space="preserve">of the Decision Support Service, and reform of Mental Health Legislation. </w:t>
      </w:r>
    </w:p>
    <w:p w14:paraId="4DE6FD5B" w14:textId="77777777" w:rsidR="001B7D74" w:rsidRPr="00BB11E4" w:rsidRDefault="00FB463C" w:rsidP="00FB463C">
      <w:pPr>
        <w:rPr>
          <w:lang w:eastAsia="en-IE"/>
        </w:rPr>
      </w:pPr>
      <w:r w:rsidRPr="00BB11E4">
        <w:rPr>
          <w:lang w:eastAsia="en-IE"/>
        </w:rPr>
        <w:t>The indicators in this report</w:t>
      </w:r>
      <w:r w:rsidR="009E55C9" w:rsidRPr="00BB11E4">
        <w:rPr>
          <w:lang w:eastAsia="en-IE"/>
        </w:rPr>
        <w:t>, while limited,</w:t>
      </w:r>
      <w:r w:rsidR="00811B61" w:rsidRPr="00BB11E4">
        <w:rPr>
          <w:lang w:eastAsia="en-IE"/>
        </w:rPr>
        <w:t xml:space="preserve"> </w:t>
      </w:r>
      <w:r w:rsidRPr="00BB11E4">
        <w:rPr>
          <w:lang w:eastAsia="en-IE"/>
        </w:rPr>
        <w:t xml:space="preserve">have again highlighted the gap between people with and without a disability in terms of </w:t>
      </w:r>
      <w:r w:rsidR="001B7D74" w:rsidRPr="00BB11E4">
        <w:rPr>
          <w:lang w:eastAsia="en-IE"/>
        </w:rPr>
        <w:t xml:space="preserve">lower </w:t>
      </w:r>
      <w:r w:rsidRPr="00BB11E4">
        <w:rPr>
          <w:lang w:eastAsia="en-IE"/>
        </w:rPr>
        <w:t>l</w:t>
      </w:r>
      <w:r w:rsidR="00577D6B">
        <w:rPr>
          <w:lang w:eastAsia="en-IE"/>
        </w:rPr>
        <w:t xml:space="preserve">evels of employment, education </w:t>
      </w:r>
      <w:r w:rsidR="001B7D74" w:rsidRPr="00BB11E4">
        <w:rPr>
          <w:lang w:eastAsia="en-IE"/>
        </w:rPr>
        <w:t>and</w:t>
      </w:r>
      <w:r w:rsidRPr="00BB11E4">
        <w:rPr>
          <w:lang w:eastAsia="en-IE"/>
        </w:rPr>
        <w:t xml:space="preserve"> self-reported health, </w:t>
      </w:r>
      <w:r w:rsidR="001B7D74" w:rsidRPr="00BB11E4">
        <w:rPr>
          <w:lang w:eastAsia="en-IE"/>
        </w:rPr>
        <w:t xml:space="preserve">and higher </w:t>
      </w:r>
      <w:r w:rsidRPr="00BB11E4">
        <w:rPr>
          <w:lang w:eastAsia="en-IE"/>
        </w:rPr>
        <w:t>standardized mortality rates</w:t>
      </w:r>
      <w:r w:rsidR="001B7D74" w:rsidRPr="00BB11E4">
        <w:rPr>
          <w:lang w:eastAsia="en-IE"/>
        </w:rPr>
        <w:t xml:space="preserve">, </w:t>
      </w:r>
      <w:r w:rsidR="00577D6B">
        <w:rPr>
          <w:lang w:eastAsia="en-IE"/>
        </w:rPr>
        <w:t xml:space="preserve">rates of poverty </w:t>
      </w:r>
      <w:r w:rsidR="001B7D74" w:rsidRPr="00BB11E4">
        <w:rPr>
          <w:lang w:eastAsia="en-IE"/>
        </w:rPr>
        <w:t xml:space="preserve">and </w:t>
      </w:r>
      <w:r w:rsidR="005F4FA8" w:rsidRPr="00BB11E4">
        <w:rPr>
          <w:lang w:eastAsia="en-IE"/>
        </w:rPr>
        <w:t xml:space="preserve">experiences of </w:t>
      </w:r>
      <w:r w:rsidR="001B7D74" w:rsidRPr="00BB11E4">
        <w:rPr>
          <w:lang w:eastAsia="en-IE"/>
        </w:rPr>
        <w:t xml:space="preserve">discrimination for </w:t>
      </w:r>
      <w:r w:rsidR="005F4FA8" w:rsidRPr="00BB11E4">
        <w:rPr>
          <w:lang w:eastAsia="en-IE"/>
        </w:rPr>
        <w:t>persons</w:t>
      </w:r>
      <w:r w:rsidR="001B7D74" w:rsidRPr="00BB11E4">
        <w:rPr>
          <w:lang w:eastAsia="en-IE"/>
        </w:rPr>
        <w:t xml:space="preserve"> with disabilities</w:t>
      </w:r>
      <w:r w:rsidRPr="00BB11E4">
        <w:rPr>
          <w:lang w:eastAsia="en-IE"/>
        </w:rPr>
        <w:t xml:space="preserve">. While there are </w:t>
      </w:r>
      <w:r w:rsidR="00FB405A" w:rsidRPr="00BB11E4">
        <w:rPr>
          <w:lang w:eastAsia="en-IE"/>
        </w:rPr>
        <w:t xml:space="preserve">improvements in some areas, for example, a reduction </w:t>
      </w:r>
      <w:r w:rsidRPr="00BB11E4">
        <w:rPr>
          <w:lang w:eastAsia="en-IE"/>
        </w:rPr>
        <w:t>the consistent poverty rate</w:t>
      </w:r>
      <w:r w:rsidR="00577D6B">
        <w:rPr>
          <w:lang w:eastAsia="en-IE"/>
        </w:rPr>
        <w:t xml:space="preserve"> over time</w:t>
      </w:r>
      <w:r w:rsidRPr="00BB11E4">
        <w:rPr>
          <w:lang w:eastAsia="en-IE"/>
        </w:rPr>
        <w:t xml:space="preserve">, this reduction has been found for both people with and without disabilities and therefore the gap between the two groups persists. The indicators also highlighted that access to services for people with disabilities </w:t>
      </w:r>
      <w:r w:rsidR="009E55C9" w:rsidRPr="00BB11E4">
        <w:rPr>
          <w:lang w:eastAsia="en-IE"/>
        </w:rPr>
        <w:t>has not adequately progressed, nor is there clear information of a planned approach for improvements by all bodies.</w:t>
      </w:r>
      <w:r w:rsidR="00577D6B">
        <w:rPr>
          <w:lang w:eastAsia="en-IE"/>
        </w:rPr>
        <w:t xml:space="preserve"> M</w:t>
      </w:r>
      <w:r w:rsidR="00577D6B" w:rsidRPr="00BB11E4">
        <w:rPr>
          <w:lang w:eastAsia="en-IE"/>
        </w:rPr>
        <w:t xml:space="preserve">any children under 18 years of age are still being admitted to adult psychiatric units. </w:t>
      </w:r>
      <w:r w:rsidR="00BB11E4" w:rsidRPr="00BB11E4">
        <w:rPr>
          <w:lang w:eastAsia="en-IE"/>
        </w:rPr>
        <w:t xml:space="preserve">The timely completion of </w:t>
      </w:r>
      <w:r w:rsidRPr="00BB11E4">
        <w:rPr>
          <w:lang w:eastAsia="en-IE"/>
        </w:rPr>
        <w:t>Assessment of Need</w:t>
      </w:r>
      <w:r w:rsidR="00577D6B">
        <w:rPr>
          <w:lang w:eastAsia="en-IE"/>
        </w:rPr>
        <w:t>s for children</w:t>
      </w:r>
      <w:r w:rsidR="00BB11E4" w:rsidRPr="00BB11E4">
        <w:rPr>
          <w:lang w:eastAsia="en-IE"/>
        </w:rPr>
        <w:t xml:space="preserve"> was very poor</w:t>
      </w:r>
      <w:r w:rsidR="00577D6B">
        <w:rPr>
          <w:lang w:eastAsia="en-IE"/>
        </w:rPr>
        <w:t xml:space="preserve">, </w:t>
      </w:r>
      <w:r w:rsidR="00FB405A" w:rsidRPr="00BB11E4">
        <w:rPr>
          <w:lang w:eastAsia="en-IE"/>
        </w:rPr>
        <w:t>many children requiring CAMHS wait more than three months for an appointment</w:t>
      </w:r>
      <w:r w:rsidR="00577D6B">
        <w:rPr>
          <w:lang w:eastAsia="en-IE"/>
        </w:rPr>
        <w:t>, and the availability of these services is not equitable across the country, differing widely across CHO areas. However, t</w:t>
      </w:r>
      <w:r w:rsidR="00DD0A30" w:rsidRPr="00BB11E4">
        <w:rPr>
          <w:lang w:eastAsia="en-IE"/>
        </w:rPr>
        <w:t xml:space="preserve">he Access and Inclusion Model for pre-school children has been a success story with an evaluation showing positive impacts for children. </w:t>
      </w:r>
    </w:p>
    <w:p w14:paraId="31927CC0" w14:textId="77777777" w:rsidR="001B7D74" w:rsidRDefault="001B7D74" w:rsidP="00FB463C">
      <w:pPr>
        <w:rPr>
          <w:lang w:eastAsia="en-IE"/>
        </w:rPr>
      </w:pPr>
      <w:r>
        <w:rPr>
          <w:lang w:eastAsia="en-IE"/>
        </w:rPr>
        <w:t xml:space="preserve">The indicators highlighted the slow pace of decongregation, a HSE policy since 2011. They also highlighted </w:t>
      </w:r>
      <w:r w:rsidR="00BB11E4">
        <w:rPr>
          <w:lang w:eastAsia="en-IE"/>
        </w:rPr>
        <w:t>discrepancies</w:t>
      </w:r>
      <w:r>
        <w:rPr>
          <w:lang w:eastAsia="en-IE"/>
        </w:rPr>
        <w:t xml:space="preserve"> between HSE policies for residential disability services (for persons with intellectual, physical and sensory disabilities) and residential services for people with mental health d</w:t>
      </w:r>
      <w:r w:rsidR="00DD0A30">
        <w:rPr>
          <w:lang w:eastAsia="en-IE"/>
        </w:rPr>
        <w:t>ifficulties</w:t>
      </w:r>
      <w:r w:rsidR="00BB11E4">
        <w:rPr>
          <w:lang w:eastAsia="en-IE"/>
        </w:rPr>
        <w:t xml:space="preserve"> for which more research is required</w:t>
      </w:r>
      <w:r w:rsidR="00DD0A30">
        <w:rPr>
          <w:lang w:eastAsia="en-IE"/>
        </w:rPr>
        <w:t xml:space="preserve">. Lack of regulation of 24-hour community </w:t>
      </w:r>
      <w:r w:rsidR="005F4FA8">
        <w:rPr>
          <w:lang w:eastAsia="en-IE"/>
        </w:rPr>
        <w:t>psychiatric</w:t>
      </w:r>
      <w:r w:rsidR="00DD0A30">
        <w:rPr>
          <w:lang w:eastAsia="en-IE"/>
        </w:rPr>
        <w:t xml:space="preserve"> residences is also of concern. </w:t>
      </w:r>
    </w:p>
    <w:p w14:paraId="5BC8B2C8" w14:textId="77777777" w:rsidR="001B7D74" w:rsidRDefault="001B7D74" w:rsidP="00FB463C">
      <w:pPr>
        <w:rPr>
          <w:lang w:eastAsia="en-IE"/>
        </w:rPr>
      </w:pPr>
      <w:r>
        <w:rPr>
          <w:lang w:eastAsia="en-IE"/>
        </w:rPr>
        <w:t xml:space="preserve">While there are still issues in relation to accessing transport there have been a number of improvements such as shorter notice periods for using rail services, </w:t>
      </w:r>
      <w:r w:rsidR="005F4FA8">
        <w:rPr>
          <w:lang w:eastAsia="en-IE"/>
        </w:rPr>
        <w:t>improvements in</w:t>
      </w:r>
      <w:r>
        <w:rPr>
          <w:lang w:eastAsia="en-IE"/>
        </w:rPr>
        <w:t xml:space="preserve"> accessibility of stations and bus stops and the introduction of Customer Services Officers. </w:t>
      </w:r>
      <w:r w:rsidR="00BB11E4">
        <w:rPr>
          <w:lang w:eastAsia="en-IE"/>
        </w:rPr>
        <w:t xml:space="preserve">The NDA are working on a set of indicators specifically to monitor the transport sector. </w:t>
      </w:r>
      <w:r>
        <w:rPr>
          <w:lang w:eastAsia="en-IE"/>
        </w:rPr>
        <w:t>A number of pilot or demonstration projects are underway examining personalised budgets and implementation of the person-centred framework. It is important that once the demonstration projects are completed</w:t>
      </w:r>
      <w:r w:rsidR="00BB11E4">
        <w:rPr>
          <w:lang w:eastAsia="en-IE"/>
        </w:rPr>
        <w:t>,</w:t>
      </w:r>
      <w:r>
        <w:rPr>
          <w:lang w:eastAsia="en-IE"/>
        </w:rPr>
        <w:t xml:space="preserve"> roll out commences as soon as possible following the relevant programme modifications. </w:t>
      </w:r>
    </w:p>
    <w:p w14:paraId="3D7F851D" w14:textId="405CA15D" w:rsidR="00577D6B" w:rsidRDefault="00577D6B" w:rsidP="00FB463C">
      <w:pPr>
        <w:rPr>
          <w:lang w:eastAsia="en-IE"/>
        </w:rPr>
      </w:pPr>
      <w:r w:rsidRPr="00BB11E4">
        <w:rPr>
          <w:lang w:eastAsia="en-IE"/>
        </w:rPr>
        <w:t>A key weakness in this indicator report is that for most indicators there are no targets</w:t>
      </w:r>
      <w:r>
        <w:rPr>
          <w:lang w:eastAsia="en-IE"/>
        </w:rPr>
        <w:t xml:space="preserve"> in the current strategy against which to measure any incremental changes. </w:t>
      </w:r>
      <w:r w:rsidR="001B7D74" w:rsidRPr="00BB11E4">
        <w:rPr>
          <w:lang w:eastAsia="en-IE"/>
        </w:rPr>
        <w:t xml:space="preserve">There were </w:t>
      </w:r>
      <w:r>
        <w:rPr>
          <w:lang w:eastAsia="en-IE"/>
        </w:rPr>
        <w:t xml:space="preserve">also </w:t>
      </w:r>
      <w:r w:rsidR="001B7D74" w:rsidRPr="00BB11E4">
        <w:rPr>
          <w:lang w:eastAsia="en-IE"/>
        </w:rPr>
        <w:t xml:space="preserve">some indicators for which there were </w:t>
      </w:r>
      <w:r>
        <w:rPr>
          <w:lang w:eastAsia="en-IE"/>
        </w:rPr>
        <w:t>little or no</w:t>
      </w:r>
      <w:r w:rsidR="001B7D74" w:rsidRPr="00BB11E4">
        <w:rPr>
          <w:lang w:eastAsia="en-IE"/>
        </w:rPr>
        <w:t xml:space="preserve"> data available. </w:t>
      </w:r>
      <w:r w:rsidR="005F4FA8" w:rsidRPr="00BB11E4">
        <w:rPr>
          <w:lang w:eastAsia="en-IE"/>
        </w:rPr>
        <w:t>For the</w:t>
      </w:r>
      <w:r w:rsidR="001B7D74" w:rsidRPr="00BB11E4">
        <w:rPr>
          <w:lang w:eastAsia="en-IE"/>
        </w:rPr>
        <w:t xml:space="preserve"> </w:t>
      </w:r>
      <w:r w:rsidR="003719F3" w:rsidRPr="00BB11E4">
        <w:rPr>
          <w:lang w:eastAsia="en-IE"/>
        </w:rPr>
        <w:t xml:space="preserve">next </w:t>
      </w:r>
      <w:r w:rsidR="005F4FA8" w:rsidRPr="00BB11E4">
        <w:rPr>
          <w:lang w:eastAsia="en-IE"/>
        </w:rPr>
        <w:t xml:space="preserve">NDIS </w:t>
      </w:r>
      <w:r w:rsidR="001B7D74" w:rsidRPr="00BB11E4">
        <w:rPr>
          <w:lang w:eastAsia="en-IE"/>
        </w:rPr>
        <w:t>indicator report</w:t>
      </w:r>
      <w:r w:rsidR="005F4FA8" w:rsidRPr="00BB11E4">
        <w:rPr>
          <w:lang w:eastAsia="en-IE"/>
        </w:rPr>
        <w:t xml:space="preserve"> which will be developed at the end of the strategy</w:t>
      </w:r>
      <w:r w:rsidR="003719F3" w:rsidRPr="00BB11E4">
        <w:rPr>
          <w:lang w:eastAsia="en-IE"/>
        </w:rPr>
        <w:t>,</w:t>
      </w:r>
      <w:r w:rsidR="001B7D74" w:rsidRPr="00BB11E4">
        <w:rPr>
          <w:lang w:eastAsia="en-IE"/>
        </w:rPr>
        <w:t xml:space="preserve"> data from </w:t>
      </w:r>
      <w:r w:rsidR="00BD025B">
        <w:rPr>
          <w:lang w:eastAsia="en-IE"/>
        </w:rPr>
        <w:t>census</w:t>
      </w:r>
      <w:r w:rsidR="001B7D74" w:rsidRPr="00BB11E4">
        <w:rPr>
          <w:lang w:eastAsia="en-IE"/>
        </w:rPr>
        <w:t xml:space="preserve"> 2021 should be available which will fill some of these gaps. The NDA will </w:t>
      </w:r>
      <w:r w:rsidR="009E55C9" w:rsidRPr="00BB11E4">
        <w:rPr>
          <w:lang w:eastAsia="en-IE"/>
        </w:rPr>
        <w:t xml:space="preserve">continue to </w:t>
      </w:r>
      <w:r w:rsidR="001B7D74" w:rsidRPr="00BB11E4">
        <w:rPr>
          <w:lang w:eastAsia="en-IE"/>
        </w:rPr>
        <w:t xml:space="preserve">work with relevant government departments and agencies to </w:t>
      </w:r>
      <w:r>
        <w:rPr>
          <w:lang w:eastAsia="en-IE"/>
        </w:rPr>
        <w:t>make every effort to</w:t>
      </w:r>
      <w:r w:rsidR="001B7D74" w:rsidRPr="00BB11E4">
        <w:rPr>
          <w:lang w:eastAsia="en-IE"/>
        </w:rPr>
        <w:t xml:space="preserve"> fill the other gaps. </w:t>
      </w:r>
    </w:p>
    <w:p w14:paraId="602276EF" w14:textId="77777777" w:rsidR="00FB463C" w:rsidRPr="00BB11E4" w:rsidRDefault="00577D6B" w:rsidP="00FB463C">
      <w:pPr>
        <w:rPr>
          <w:lang w:eastAsia="en-IE"/>
        </w:rPr>
      </w:pPr>
      <w:r>
        <w:rPr>
          <w:lang w:eastAsia="en-IE"/>
        </w:rPr>
        <w:t xml:space="preserve">Issues raised in this report on any activities in the NDIS which are not progressing as expected will be explored in more depth in the NDA’s </w:t>
      </w:r>
      <w:r w:rsidR="00BB11E4" w:rsidRPr="00BB11E4">
        <w:rPr>
          <w:lang w:eastAsia="en-IE"/>
        </w:rPr>
        <w:t xml:space="preserve">annual independent assessment. </w:t>
      </w:r>
      <w:r>
        <w:rPr>
          <w:lang w:eastAsia="en-IE"/>
        </w:rPr>
        <w:t>Th</w:t>
      </w:r>
      <w:r w:rsidR="00BB11E4" w:rsidRPr="00BB11E4">
        <w:rPr>
          <w:lang w:eastAsia="en-IE"/>
        </w:rPr>
        <w:t>is mid-term indicator</w:t>
      </w:r>
      <w:r>
        <w:rPr>
          <w:lang w:eastAsia="en-IE"/>
        </w:rPr>
        <w:t xml:space="preserve"> report should be considered </w:t>
      </w:r>
      <w:r w:rsidR="00BB11E4" w:rsidRPr="00BB11E4">
        <w:rPr>
          <w:lang w:eastAsia="en-IE"/>
        </w:rPr>
        <w:t>a compl</w:t>
      </w:r>
      <w:r>
        <w:rPr>
          <w:lang w:eastAsia="en-IE"/>
        </w:rPr>
        <w:t>e</w:t>
      </w:r>
      <w:r w:rsidR="00BB11E4" w:rsidRPr="00BB11E4">
        <w:rPr>
          <w:lang w:eastAsia="en-IE"/>
        </w:rPr>
        <w:t xml:space="preserve">ment to that annual report. </w:t>
      </w:r>
    </w:p>
    <w:p w14:paraId="2539A104" w14:textId="77777777" w:rsidR="00FB463C" w:rsidRDefault="00FB463C" w:rsidP="00FB463C">
      <w:pPr>
        <w:pStyle w:val="Heading2"/>
        <w:rPr>
          <w:b/>
          <w:color w:val="auto"/>
          <w:lang w:eastAsia="en-IE"/>
        </w:rPr>
      </w:pPr>
      <w:r w:rsidRPr="00926B30">
        <w:t>Recommendations</w:t>
      </w:r>
      <w:r>
        <w:rPr>
          <w:b/>
          <w:color w:val="auto"/>
          <w:lang w:eastAsia="en-IE"/>
        </w:rPr>
        <w:t>:</w:t>
      </w:r>
    </w:p>
    <w:p w14:paraId="2EE2E966" w14:textId="0163495D" w:rsidR="00FB463C" w:rsidRDefault="00FB463C" w:rsidP="00FB463C">
      <w:pPr>
        <w:rPr>
          <w:lang w:eastAsia="en-IE"/>
        </w:rPr>
      </w:pPr>
      <w:r>
        <w:rPr>
          <w:lang w:eastAsia="en-IE"/>
        </w:rPr>
        <w:t xml:space="preserve">Based on the findings of this review and </w:t>
      </w:r>
      <w:r w:rsidR="00BB11E4">
        <w:rPr>
          <w:lang w:eastAsia="en-IE"/>
        </w:rPr>
        <w:t>focusing on the data rather than the substantive issues which are covered in the NDA’s independent assessment the</w:t>
      </w:r>
      <w:r>
        <w:rPr>
          <w:lang w:eastAsia="en-IE"/>
        </w:rPr>
        <w:t xml:space="preserve"> NDA </w:t>
      </w:r>
      <w:r w:rsidR="00BB11E4">
        <w:rPr>
          <w:lang w:eastAsia="en-IE"/>
        </w:rPr>
        <w:t xml:space="preserve">offers advice in a number of areas below. These are presented under the heading of the responsible </w:t>
      </w:r>
      <w:r w:rsidR="00366480">
        <w:rPr>
          <w:lang w:eastAsia="en-IE"/>
        </w:rPr>
        <w:t>d</w:t>
      </w:r>
      <w:r w:rsidR="00BB11E4">
        <w:rPr>
          <w:lang w:eastAsia="en-IE"/>
        </w:rPr>
        <w:t>epartment o</w:t>
      </w:r>
      <w:r w:rsidR="00366480">
        <w:rPr>
          <w:lang w:eastAsia="en-IE"/>
        </w:rPr>
        <w:t>r a</w:t>
      </w:r>
      <w:r w:rsidR="00BB11E4">
        <w:rPr>
          <w:lang w:eastAsia="en-IE"/>
        </w:rPr>
        <w:t xml:space="preserve">gency. </w:t>
      </w:r>
    </w:p>
    <w:p w14:paraId="5220CAD1" w14:textId="77777777" w:rsidR="00BB4A8A" w:rsidRPr="00E52B32" w:rsidRDefault="00BB4A8A" w:rsidP="003E017E">
      <w:pPr>
        <w:pStyle w:val="Heading3"/>
      </w:pPr>
      <w:r w:rsidRPr="00E52B32">
        <w:t>All Government Departments and Agencies/ NDIS Steering Group</w:t>
      </w:r>
    </w:p>
    <w:p w14:paraId="4F1188D2" w14:textId="77777777" w:rsidR="00BB4A8A" w:rsidRPr="00DD0A30" w:rsidRDefault="00BB4A8A" w:rsidP="00FE6309">
      <w:pPr>
        <w:pStyle w:val="ListBullet"/>
        <w:numPr>
          <w:ilvl w:val="0"/>
          <w:numId w:val="32"/>
        </w:numPr>
        <w:rPr>
          <w:lang w:eastAsia="en-IE"/>
        </w:rPr>
      </w:pPr>
      <w:r>
        <w:rPr>
          <w:szCs w:val="26"/>
        </w:rPr>
        <w:t xml:space="preserve">Use the revised NDIS and the findings of this </w:t>
      </w:r>
      <w:r w:rsidRPr="00FE6309">
        <w:rPr>
          <w:szCs w:val="26"/>
        </w:rPr>
        <w:t>report</w:t>
      </w:r>
      <w:r w:rsidR="00BB11E4" w:rsidRPr="00FE6309">
        <w:rPr>
          <w:szCs w:val="26"/>
        </w:rPr>
        <w:t xml:space="preserve"> to</w:t>
      </w:r>
      <w:r w:rsidRPr="00FE6309">
        <w:rPr>
          <w:szCs w:val="26"/>
        </w:rPr>
        <w:t xml:space="preserve"> </w:t>
      </w:r>
      <w:r w:rsidR="00BB11E4" w:rsidRPr="00FE6309">
        <w:rPr>
          <w:szCs w:val="26"/>
        </w:rPr>
        <w:t>help</w:t>
      </w:r>
      <w:r w:rsidRPr="00FE6309">
        <w:rPr>
          <w:szCs w:val="26"/>
        </w:rPr>
        <w:t xml:space="preserve"> inform </w:t>
      </w:r>
      <w:r>
        <w:rPr>
          <w:szCs w:val="26"/>
        </w:rPr>
        <w:t>an over-arching UNCRPD implementation plan that includes SMART indicators with targets.</w:t>
      </w:r>
    </w:p>
    <w:p w14:paraId="6EBAB268" w14:textId="77777777" w:rsidR="00BB4A8A" w:rsidRDefault="00BB11E4" w:rsidP="00FE6309">
      <w:pPr>
        <w:pStyle w:val="ListBullet"/>
        <w:numPr>
          <w:ilvl w:val="0"/>
          <w:numId w:val="32"/>
        </w:numPr>
        <w:rPr>
          <w:lang w:eastAsia="en-IE"/>
        </w:rPr>
      </w:pPr>
      <w:r>
        <w:rPr>
          <w:szCs w:val="26"/>
        </w:rPr>
        <w:t>Where d</w:t>
      </w:r>
      <w:r w:rsidR="00BB4A8A">
        <w:rPr>
          <w:szCs w:val="26"/>
        </w:rPr>
        <w:t>epartmental disability action plans</w:t>
      </w:r>
      <w:r w:rsidR="00BB4A8A">
        <w:rPr>
          <w:lang w:eastAsia="en-IE"/>
        </w:rPr>
        <w:t xml:space="preserve"> </w:t>
      </w:r>
      <w:r>
        <w:rPr>
          <w:lang w:eastAsia="en-IE"/>
        </w:rPr>
        <w:t xml:space="preserve">are developed </w:t>
      </w:r>
      <w:r w:rsidR="00BB4A8A">
        <w:rPr>
          <w:szCs w:val="26"/>
        </w:rPr>
        <w:t>under an over-arching UNCRPD implementation plan</w:t>
      </w:r>
      <w:r>
        <w:rPr>
          <w:szCs w:val="26"/>
        </w:rPr>
        <w:t xml:space="preserve"> the actions and indicators should be developed in tandem</w:t>
      </w:r>
      <w:r w:rsidR="00BB4A8A">
        <w:rPr>
          <w:szCs w:val="26"/>
        </w:rPr>
        <w:t>.</w:t>
      </w:r>
    </w:p>
    <w:p w14:paraId="0B5B42FC" w14:textId="77777777" w:rsidR="00BB4A8A" w:rsidRPr="00FE6309" w:rsidRDefault="00BB4A8A" w:rsidP="00FE6309">
      <w:pPr>
        <w:pStyle w:val="ListBullet"/>
        <w:numPr>
          <w:ilvl w:val="0"/>
          <w:numId w:val="32"/>
        </w:numPr>
        <w:rPr>
          <w:szCs w:val="26"/>
          <w:lang w:eastAsia="en-IE"/>
        </w:rPr>
      </w:pPr>
      <w:r>
        <w:rPr>
          <w:lang w:eastAsia="en-IE"/>
        </w:rPr>
        <w:t>All public bodies need to make themselves aware of their obligations under the EU Web Accessibility Directive, and commence measures to achieve compliance.</w:t>
      </w:r>
      <w:r w:rsidR="00FE6309">
        <w:rPr>
          <w:lang w:eastAsia="en-IE"/>
        </w:rPr>
        <w:t xml:space="preserve"> Reports on this compliance will be used in future indicator reports. </w:t>
      </w:r>
    </w:p>
    <w:p w14:paraId="4725731F" w14:textId="77777777" w:rsidR="00BB4A8A" w:rsidRPr="00FE6309" w:rsidRDefault="00BB4A8A" w:rsidP="00FE6309">
      <w:pPr>
        <w:pStyle w:val="ListBullet"/>
        <w:numPr>
          <w:ilvl w:val="0"/>
          <w:numId w:val="32"/>
        </w:numPr>
        <w:rPr>
          <w:szCs w:val="26"/>
          <w:lang w:eastAsia="en-IE"/>
        </w:rPr>
      </w:pPr>
      <w:r>
        <w:rPr>
          <w:lang w:eastAsia="en-IE"/>
        </w:rPr>
        <w:t>All public bodies need to make themselves aware of their obligations under the ISL Act 2017 and commence measure to achieve compliance.</w:t>
      </w:r>
      <w:r w:rsidR="00FE6309">
        <w:rPr>
          <w:lang w:eastAsia="en-IE"/>
        </w:rPr>
        <w:t xml:space="preserve"> Reports on this compliance will be used in future indicator reports. </w:t>
      </w:r>
    </w:p>
    <w:p w14:paraId="02BE413C" w14:textId="5324BEDE" w:rsidR="00FE6309" w:rsidRPr="00DD0A30" w:rsidRDefault="00BB4A8A" w:rsidP="00FE6309">
      <w:pPr>
        <w:pStyle w:val="ListBullet"/>
        <w:numPr>
          <w:ilvl w:val="0"/>
          <w:numId w:val="32"/>
        </w:numPr>
        <w:rPr>
          <w:szCs w:val="26"/>
          <w:lang w:eastAsia="en-IE"/>
        </w:rPr>
      </w:pPr>
      <w:r>
        <w:rPr>
          <w:szCs w:val="26"/>
          <w:lang w:eastAsia="en-IE"/>
        </w:rPr>
        <w:t>Implement the recommendations set out in the Operational Review of Section 25 of the Disability Act which relates to accessibility of public sector buildings</w:t>
      </w:r>
      <w:r w:rsidR="00D149FF">
        <w:rPr>
          <w:szCs w:val="26"/>
          <w:lang w:eastAsia="en-IE"/>
        </w:rPr>
        <w:t xml:space="preserve"> taking a Universal Design approach</w:t>
      </w:r>
      <w:r>
        <w:rPr>
          <w:szCs w:val="26"/>
          <w:lang w:eastAsia="en-IE"/>
        </w:rPr>
        <w:t>.</w:t>
      </w:r>
      <w:r w:rsidRPr="005F4FA8">
        <w:rPr>
          <w:lang w:eastAsia="en-IE"/>
        </w:rPr>
        <w:t xml:space="preserve"> </w:t>
      </w:r>
      <w:r w:rsidR="00FE6309">
        <w:rPr>
          <w:lang w:eastAsia="en-IE"/>
        </w:rPr>
        <w:t xml:space="preserve">Reports on this compliance will be used in future indicator reports. </w:t>
      </w:r>
    </w:p>
    <w:p w14:paraId="57D94D86" w14:textId="77777777" w:rsidR="00DD0A30" w:rsidRPr="003E017E" w:rsidRDefault="00DD0A30" w:rsidP="003E017E">
      <w:pPr>
        <w:pStyle w:val="Heading3"/>
      </w:pPr>
      <w:r w:rsidRPr="003E017E">
        <w:t>HSE</w:t>
      </w:r>
    </w:p>
    <w:p w14:paraId="467FE666" w14:textId="77777777" w:rsidR="00DD0A30" w:rsidRDefault="006A7FB1" w:rsidP="00FE6309">
      <w:pPr>
        <w:pStyle w:val="ListParagraph"/>
        <w:numPr>
          <w:ilvl w:val="0"/>
          <w:numId w:val="33"/>
        </w:numPr>
        <w:spacing w:before="120" w:after="120"/>
        <w:contextualSpacing w:val="0"/>
        <w:rPr>
          <w:lang w:eastAsia="en-IE"/>
        </w:rPr>
      </w:pPr>
      <w:r>
        <w:rPr>
          <w:lang w:eastAsia="en-IE"/>
        </w:rPr>
        <w:t xml:space="preserve">Avoid static targets in KPIs and review regularly, </w:t>
      </w:r>
      <w:r w:rsidR="00BB4A8A">
        <w:rPr>
          <w:lang w:eastAsia="en-IE"/>
        </w:rPr>
        <w:t>particularly</w:t>
      </w:r>
      <w:r>
        <w:rPr>
          <w:lang w:eastAsia="en-IE"/>
        </w:rPr>
        <w:t xml:space="preserve"> upwards once a target is met. </w:t>
      </w:r>
    </w:p>
    <w:p w14:paraId="33B6A3EF" w14:textId="77777777" w:rsidR="00DD0A30" w:rsidRPr="003E017E" w:rsidRDefault="00BB4A8A" w:rsidP="003E017E">
      <w:pPr>
        <w:pStyle w:val="Heading3"/>
      </w:pPr>
      <w:r w:rsidRPr="003E017E">
        <w:t>Department of C</w:t>
      </w:r>
      <w:r w:rsidR="00DD0A30" w:rsidRPr="003E017E">
        <w:t>ommunications</w:t>
      </w:r>
      <w:r w:rsidRPr="003E017E">
        <w:t>, Climate Action and Environment</w:t>
      </w:r>
    </w:p>
    <w:p w14:paraId="00BBC93E" w14:textId="77777777" w:rsidR="00FB463C" w:rsidRDefault="00FB463C" w:rsidP="00366480">
      <w:pPr>
        <w:pStyle w:val="ListBullet"/>
        <w:numPr>
          <w:ilvl w:val="0"/>
          <w:numId w:val="33"/>
        </w:numPr>
        <w:rPr>
          <w:lang w:eastAsia="en-IE"/>
        </w:rPr>
      </w:pPr>
      <w:r>
        <w:rPr>
          <w:lang w:eastAsia="en-IE"/>
        </w:rPr>
        <w:t>Transpose the EU Web Accessibility Directive and set up a monitoring body.</w:t>
      </w:r>
      <w:r w:rsidR="00FE6309">
        <w:rPr>
          <w:lang w:eastAsia="en-IE"/>
        </w:rPr>
        <w:t xml:space="preserve"> The monitoring body will be used as a source of data for the next indicators report. </w:t>
      </w:r>
    </w:p>
    <w:p w14:paraId="3F23F297" w14:textId="77777777" w:rsidR="00BB4A8A" w:rsidRPr="003E017E" w:rsidRDefault="00366480" w:rsidP="003E017E">
      <w:pPr>
        <w:pStyle w:val="Heading3"/>
      </w:pPr>
      <w:r w:rsidRPr="003E017E">
        <w:t>NDA</w:t>
      </w:r>
    </w:p>
    <w:p w14:paraId="611E64FE" w14:textId="77777777" w:rsidR="00FB463C" w:rsidRDefault="00BB4A8A" w:rsidP="00BB4A8A">
      <w:pPr>
        <w:pStyle w:val="ListBullet"/>
        <w:numPr>
          <w:ilvl w:val="0"/>
          <w:numId w:val="30"/>
        </w:numPr>
        <w:rPr>
          <w:lang w:eastAsia="en-IE"/>
        </w:rPr>
      </w:pPr>
      <w:r>
        <w:rPr>
          <w:szCs w:val="26"/>
        </w:rPr>
        <w:t xml:space="preserve">Develop a list of data sources where there are gaps in data collected, for example, some databases do not collect data by gender or disability. </w:t>
      </w:r>
      <w:r w:rsidR="00811B61">
        <w:rPr>
          <w:szCs w:val="26"/>
        </w:rPr>
        <w:t>Continue</w:t>
      </w:r>
      <w:r w:rsidR="0033408C">
        <w:rPr>
          <w:szCs w:val="26"/>
        </w:rPr>
        <w:t xml:space="preserve"> to w</w:t>
      </w:r>
      <w:r>
        <w:rPr>
          <w:szCs w:val="26"/>
        </w:rPr>
        <w:t>ork with the collecting organisations to see if these gaps can be addressed</w:t>
      </w:r>
      <w:r w:rsidR="00811B61">
        <w:rPr>
          <w:szCs w:val="26"/>
        </w:rPr>
        <w:t>.</w:t>
      </w:r>
    </w:p>
    <w:p w14:paraId="66155D48" w14:textId="77777777" w:rsidR="00FB463C" w:rsidRPr="00926B30" w:rsidRDefault="00FB463C" w:rsidP="00B531FB">
      <w:pPr>
        <w:pStyle w:val="Heading2"/>
      </w:pPr>
      <w:r w:rsidRPr="00926B30">
        <w:t>Next steps</w:t>
      </w:r>
    </w:p>
    <w:p w14:paraId="5CA87A68" w14:textId="77777777" w:rsidR="00FB463C" w:rsidRPr="00FE6309" w:rsidRDefault="00E5490F" w:rsidP="00FB463C">
      <w:pPr>
        <w:rPr>
          <w:strike/>
          <w:lang w:eastAsia="en-IE"/>
        </w:rPr>
      </w:pPr>
      <w:r w:rsidRPr="00FE6309">
        <w:rPr>
          <w:lang w:eastAsia="en-IE"/>
        </w:rPr>
        <w:t>This report is available to the NDIS</w:t>
      </w:r>
      <w:r w:rsidR="00F57518">
        <w:rPr>
          <w:lang w:eastAsia="en-IE"/>
        </w:rPr>
        <w:t xml:space="preserve"> </w:t>
      </w:r>
      <w:r w:rsidRPr="00FE6309">
        <w:rPr>
          <w:lang w:eastAsia="en-IE"/>
        </w:rPr>
        <w:t>S</w:t>
      </w:r>
      <w:r w:rsidR="00F57518">
        <w:rPr>
          <w:lang w:eastAsia="en-IE"/>
        </w:rPr>
        <w:t xml:space="preserve">teering </w:t>
      </w:r>
      <w:r w:rsidRPr="00FE6309">
        <w:rPr>
          <w:lang w:eastAsia="en-IE"/>
        </w:rPr>
        <w:t>G</w:t>
      </w:r>
      <w:r w:rsidR="00F57518">
        <w:rPr>
          <w:lang w:eastAsia="en-IE"/>
        </w:rPr>
        <w:t>roup</w:t>
      </w:r>
      <w:r w:rsidRPr="00FE6309">
        <w:rPr>
          <w:lang w:eastAsia="en-IE"/>
        </w:rPr>
        <w:t xml:space="preserve"> to guide considerations and will be published at a later date. </w:t>
      </w:r>
      <w:r w:rsidR="00FB463C" w:rsidRPr="00FE6309">
        <w:rPr>
          <w:lang w:eastAsia="en-IE"/>
        </w:rPr>
        <w:t xml:space="preserve">The suite of indicators will be revised </w:t>
      </w:r>
      <w:r w:rsidRPr="00FE6309">
        <w:rPr>
          <w:lang w:eastAsia="en-IE"/>
        </w:rPr>
        <w:t>in light of the mid-term review and forthcoming UNCRPD national implementation plan.</w:t>
      </w:r>
      <w:r w:rsidR="00587F09">
        <w:rPr>
          <w:lang w:eastAsia="en-IE"/>
        </w:rPr>
        <w:t xml:space="preserve"> </w:t>
      </w:r>
      <w:r w:rsidRPr="00FE6309">
        <w:rPr>
          <w:lang w:eastAsia="en-IE"/>
        </w:rPr>
        <w:t>The NDA</w:t>
      </w:r>
      <w:r w:rsidR="00811B61" w:rsidRPr="00FE6309">
        <w:rPr>
          <w:lang w:eastAsia="en-IE"/>
        </w:rPr>
        <w:t xml:space="preserve"> </w:t>
      </w:r>
      <w:r w:rsidRPr="00FE6309">
        <w:rPr>
          <w:lang w:eastAsia="en-IE"/>
        </w:rPr>
        <w:t>will</w:t>
      </w:r>
      <w:r w:rsidR="00811B61" w:rsidRPr="00FE6309">
        <w:rPr>
          <w:lang w:eastAsia="en-IE"/>
        </w:rPr>
        <w:t xml:space="preserve"> </w:t>
      </w:r>
      <w:r w:rsidRPr="00FE6309">
        <w:rPr>
          <w:lang w:eastAsia="en-IE"/>
        </w:rPr>
        <w:t>continue to work to build access to more data sources</w:t>
      </w:r>
      <w:r w:rsidRPr="00FE6309">
        <w:rPr>
          <w:strike/>
          <w:lang w:eastAsia="en-IE"/>
        </w:rPr>
        <w:t>.</w:t>
      </w:r>
      <w:r w:rsidR="00587F09">
        <w:rPr>
          <w:strike/>
          <w:lang w:eastAsia="en-IE"/>
        </w:rPr>
        <w:t xml:space="preserve"> </w:t>
      </w:r>
      <w:r w:rsidRPr="00FE6309">
        <w:rPr>
          <w:strike/>
          <w:lang w:eastAsia="en-IE"/>
        </w:rPr>
        <w:t xml:space="preserve"> </w:t>
      </w:r>
    </w:p>
    <w:p w14:paraId="74D238CB" w14:textId="02DB1B6F" w:rsidR="002E0D69" w:rsidRPr="003E017E" w:rsidRDefault="00A036DC" w:rsidP="003E017E">
      <w:pPr>
        <w:spacing w:after="120"/>
        <w:rPr>
          <w:szCs w:val="26"/>
        </w:rPr>
      </w:pPr>
      <w:r w:rsidRPr="00FE6309">
        <w:rPr>
          <w:szCs w:val="26"/>
        </w:rPr>
        <w:t>It is recognised that a survey with persons with disabilities would supplement this information, particularly in relation to gaps in sources of information e.g. accessibility of buildings and services. Such a survey could be undertaken at relevant intervals to measure change. The NDA has also advised that the CSO conduct a large</w:t>
      </w:r>
      <w:r w:rsidR="00366480">
        <w:rPr>
          <w:szCs w:val="26"/>
        </w:rPr>
        <w:t>-</w:t>
      </w:r>
      <w:r w:rsidRPr="00FE6309">
        <w:rPr>
          <w:szCs w:val="26"/>
        </w:rPr>
        <w:t>scale national disa</w:t>
      </w:r>
      <w:r w:rsidR="00366480">
        <w:rPr>
          <w:szCs w:val="26"/>
        </w:rPr>
        <w:t>bility survey to maximise input from those with disabilities.</w:t>
      </w:r>
    </w:p>
    <w:sectPr w:rsidR="002E0D69" w:rsidRPr="003E017E" w:rsidSect="003901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AF91" w14:textId="77777777" w:rsidR="00267385" w:rsidRDefault="00267385">
      <w:pPr>
        <w:spacing w:after="0"/>
      </w:pPr>
      <w:r>
        <w:separator/>
      </w:r>
    </w:p>
  </w:endnote>
  <w:endnote w:type="continuationSeparator" w:id="0">
    <w:p w14:paraId="4824EF3B" w14:textId="77777777" w:rsidR="00267385" w:rsidRDefault="00267385">
      <w:pPr>
        <w:spacing w:after="0"/>
      </w:pPr>
      <w:r>
        <w:continuationSeparator/>
      </w:r>
    </w:p>
  </w:endnote>
  <w:endnote w:type="continuationNotice" w:id="1">
    <w:p w14:paraId="66A28CBA" w14:textId="77777777" w:rsidR="00267385" w:rsidRDefault="002673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FEWFP+ArialMT">
    <w:altName w:val="YFEWFP+ArialMT"/>
    <w:panose1 w:val="00000000000000000000"/>
    <w:charset w:val="00"/>
    <w:family w:val="swiss"/>
    <w:notTrueType/>
    <w:pitch w:val="default"/>
    <w:sig w:usb0="00000003" w:usb1="00000000" w:usb2="00000000" w:usb3="00000000" w:csb0="00000001" w:csb1="00000000"/>
  </w:font>
  <w:font w:name="Kohinoor Bangla">
    <w:altName w:val="Kohinoor Bangla"/>
    <w:panose1 w:val="00000000000000000000"/>
    <w:charset w:val="00"/>
    <w:family w:val="swiss"/>
    <w:notTrueType/>
    <w:pitch w:val="default"/>
    <w:sig w:usb0="00000003" w:usb1="00000000" w:usb2="00000000" w:usb3="00000000" w:csb0="00000001" w:csb1="00000000"/>
  </w:font>
  <w:font w:name="Gill Sans MT,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EF-Book">
    <w:panose1 w:val="00000000000000000000"/>
    <w:charset w:val="00"/>
    <w:family w:val="swiss"/>
    <w:notTrueType/>
    <w:pitch w:val="default"/>
    <w:sig w:usb0="00000003" w:usb1="00000000" w:usb2="00000000" w:usb3="00000000" w:csb0="00000001" w:csb1="00000000"/>
  </w:font>
  <w:font w:name="Interstate-Regular">
    <w:altName w:val="Yu Gothic UI"/>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noPro-Regular">
    <w:altName w:val="Times New Roman"/>
    <w:panose1 w:val="00000000000000000000"/>
    <w:charset w:val="EE"/>
    <w:family w:val="roman"/>
    <w:notTrueType/>
    <w:pitch w:val="default"/>
    <w:sig w:usb0="00000005" w:usb1="00000000" w:usb2="00000000" w:usb3="00000000" w:csb0="00000002" w:csb1="00000000"/>
  </w:font>
  <w:font w:name="Rawline">
    <w:altName w:val="Rawline"/>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4BD9" w14:textId="77777777" w:rsidR="0055377A" w:rsidRDefault="00553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B40D" w14:textId="6417A19A" w:rsidR="00267385" w:rsidRPr="0055377A" w:rsidRDefault="00267385" w:rsidP="00553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3DE0" w14:textId="77777777" w:rsidR="0055377A" w:rsidRDefault="0055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AF03" w14:textId="77777777" w:rsidR="00267385" w:rsidRDefault="00267385">
      <w:pPr>
        <w:spacing w:after="0"/>
      </w:pPr>
      <w:r>
        <w:separator/>
      </w:r>
    </w:p>
  </w:footnote>
  <w:footnote w:type="continuationSeparator" w:id="0">
    <w:p w14:paraId="11CB8EA8" w14:textId="77777777" w:rsidR="00267385" w:rsidRDefault="00267385">
      <w:pPr>
        <w:spacing w:after="0"/>
      </w:pPr>
      <w:r>
        <w:continuationSeparator/>
      </w:r>
    </w:p>
  </w:footnote>
  <w:footnote w:type="continuationNotice" w:id="1">
    <w:p w14:paraId="4918F2EB" w14:textId="77777777" w:rsidR="00267385" w:rsidRDefault="00267385">
      <w:pPr>
        <w:spacing w:after="0"/>
      </w:pPr>
    </w:p>
  </w:footnote>
  <w:footnote w:id="2">
    <w:p w14:paraId="5BBE4F5D" w14:textId="139BE021" w:rsidR="00267385" w:rsidRDefault="00267385">
      <w:pPr>
        <w:pStyle w:val="FootnoteText"/>
      </w:pPr>
      <w:r>
        <w:rPr>
          <w:rStyle w:val="FootnoteReference"/>
        </w:rPr>
        <w:footnoteRef/>
      </w:r>
      <w:r>
        <w:t xml:space="preserve"> Department of Justice and Equality. </w:t>
      </w:r>
      <w:r w:rsidRPr="00971552">
        <w:rPr>
          <w:i/>
        </w:rPr>
        <w:t>National Disability Inclusion Strategy 2017-2021</w:t>
      </w:r>
      <w:r>
        <w:t xml:space="preserve">. 2017. </w:t>
      </w:r>
      <w:hyperlink r:id="rId1" w:history="1">
        <w:r>
          <w:rPr>
            <w:rStyle w:val="Hyperlink"/>
          </w:rPr>
          <w:t>https://assets.gov.ie/18901/26182a87ecf84ddd8d60c215c0ce2520.pdf</w:t>
        </w:r>
      </w:hyperlink>
    </w:p>
  </w:footnote>
  <w:footnote w:id="3">
    <w:p w14:paraId="5026ADCD" w14:textId="5F1F6C85" w:rsidR="00267385" w:rsidRDefault="00267385" w:rsidP="005F2C89">
      <w:pPr>
        <w:autoSpaceDE w:val="0"/>
        <w:autoSpaceDN w:val="0"/>
        <w:adjustRightInd w:val="0"/>
        <w:spacing w:after="0"/>
      </w:pPr>
      <w:r>
        <w:rPr>
          <w:rStyle w:val="FootnoteReference"/>
        </w:rPr>
        <w:footnoteRef/>
      </w:r>
      <w:r>
        <w:t xml:space="preserve"> </w:t>
      </w:r>
      <w:r w:rsidRPr="001A7D28">
        <w:rPr>
          <w:rFonts w:eastAsia="SimSun" w:cs="FuturaEF-Book"/>
          <w:sz w:val="20"/>
          <w:szCs w:val="20"/>
          <w:lang w:eastAsia="en-IE"/>
        </w:rPr>
        <w:t xml:space="preserve">United </w:t>
      </w:r>
      <w:r>
        <w:rPr>
          <w:rFonts w:eastAsia="SimSun" w:cs="FuturaEF-Book"/>
          <w:sz w:val="20"/>
          <w:szCs w:val="20"/>
          <w:lang w:eastAsia="en-IE"/>
        </w:rPr>
        <w:t>N</w:t>
      </w:r>
      <w:r w:rsidRPr="001A7D28">
        <w:rPr>
          <w:rFonts w:eastAsia="SimSun" w:cs="FuturaEF-Book"/>
          <w:sz w:val="20"/>
          <w:szCs w:val="20"/>
          <w:lang w:eastAsia="en-IE"/>
        </w:rPr>
        <w:t>ations Human Rights, Office of the High Commission</w:t>
      </w:r>
      <w:r>
        <w:rPr>
          <w:rFonts w:eastAsia="SimSun" w:cs="FuturaEF-Book"/>
          <w:sz w:val="20"/>
          <w:szCs w:val="20"/>
          <w:lang w:eastAsia="en-IE"/>
        </w:rPr>
        <w:t>.</w:t>
      </w:r>
      <w:r w:rsidRPr="001A7D28">
        <w:rPr>
          <w:rFonts w:eastAsia="SimSun" w:cs="FuturaEF-Book"/>
          <w:sz w:val="20"/>
          <w:szCs w:val="20"/>
          <w:lang w:eastAsia="en-IE"/>
        </w:rPr>
        <w:t xml:space="preserve"> </w:t>
      </w:r>
      <w:r w:rsidRPr="00971552">
        <w:rPr>
          <w:rFonts w:eastAsia="SimSun" w:cs="FuturaEF-Book"/>
          <w:i/>
          <w:sz w:val="20"/>
          <w:szCs w:val="20"/>
          <w:lang w:eastAsia="en-IE"/>
        </w:rPr>
        <w:t>Human Rights Indicators. A Guide to Measurement and Implementation.</w:t>
      </w:r>
      <w:r w:rsidRPr="001A7D28">
        <w:rPr>
          <w:rFonts w:eastAsia="SimSun" w:cs="FuturaEF-Book"/>
          <w:sz w:val="20"/>
          <w:szCs w:val="20"/>
          <w:lang w:eastAsia="en-IE"/>
        </w:rPr>
        <w:t xml:space="preserve"> </w:t>
      </w:r>
      <w:r>
        <w:rPr>
          <w:rFonts w:eastAsia="SimSun" w:cs="FuturaEF-Book"/>
          <w:sz w:val="20"/>
          <w:szCs w:val="20"/>
          <w:lang w:eastAsia="en-IE"/>
        </w:rPr>
        <w:t xml:space="preserve">2012. </w:t>
      </w:r>
      <w:r w:rsidRPr="001A7D28">
        <w:rPr>
          <w:rFonts w:eastAsia="SimSun" w:cs="FuturaEF-Book"/>
          <w:sz w:val="20"/>
          <w:szCs w:val="20"/>
          <w:lang w:eastAsia="en-IE"/>
        </w:rPr>
        <w:t>New York and Geneva</w:t>
      </w:r>
      <w:r>
        <w:rPr>
          <w:rFonts w:eastAsia="SimSun" w:cs="FuturaEF-Book"/>
          <w:sz w:val="20"/>
          <w:szCs w:val="20"/>
          <w:lang w:eastAsia="en-IE"/>
        </w:rPr>
        <w:t xml:space="preserve">: </w:t>
      </w:r>
      <w:r w:rsidRPr="001A7D28">
        <w:rPr>
          <w:rFonts w:eastAsia="SimSun" w:cs="FuturaEF-Book"/>
          <w:sz w:val="20"/>
          <w:szCs w:val="20"/>
          <w:lang w:eastAsia="en-IE"/>
        </w:rPr>
        <w:t xml:space="preserve">United </w:t>
      </w:r>
      <w:r>
        <w:rPr>
          <w:rFonts w:eastAsia="SimSun" w:cs="FuturaEF-Book"/>
          <w:sz w:val="20"/>
          <w:szCs w:val="20"/>
          <w:lang w:eastAsia="en-IE"/>
        </w:rPr>
        <w:t>N</w:t>
      </w:r>
      <w:r w:rsidRPr="001A7D28">
        <w:rPr>
          <w:rFonts w:eastAsia="SimSun" w:cs="FuturaEF-Book"/>
          <w:sz w:val="20"/>
          <w:szCs w:val="20"/>
          <w:lang w:eastAsia="en-IE"/>
        </w:rPr>
        <w:t xml:space="preserve">ations Human Rights, Office of the High Commission. </w:t>
      </w:r>
      <w:hyperlink r:id="rId2" w:history="1">
        <w:r w:rsidRPr="00DF7A42">
          <w:rPr>
            <w:rStyle w:val="Hyperlink"/>
            <w:rFonts w:eastAsia="SimSun" w:cs="FuturaEF-Book"/>
            <w:sz w:val="20"/>
            <w:szCs w:val="20"/>
            <w:lang w:eastAsia="en-IE"/>
          </w:rPr>
          <w:t>https://www.ohchr.org/Documents/Publications/Human_rights_indicators_en.pdf</w:t>
        </w:r>
      </w:hyperlink>
    </w:p>
  </w:footnote>
  <w:footnote w:id="4">
    <w:p w14:paraId="76E67CD8" w14:textId="716338E3" w:rsidR="00267385" w:rsidRDefault="00267385" w:rsidP="00626DBC">
      <w:pPr>
        <w:pStyle w:val="FootnoteText"/>
      </w:pPr>
      <w:r>
        <w:rPr>
          <w:rStyle w:val="FootnoteReference"/>
        </w:rPr>
        <w:footnoteRef/>
      </w:r>
      <w:r>
        <w:t xml:space="preserve"> HSE. </w:t>
      </w:r>
      <w:r w:rsidRPr="00491128">
        <w:rPr>
          <w:i/>
        </w:rPr>
        <w:t>Time to Move on from Congregated Settings: A Strategy for Community Inclusion.</w:t>
      </w:r>
      <w:r>
        <w:t xml:space="preserve"> 2011. </w:t>
      </w:r>
      <w:hyperlink r:id="rId3" w:history="1">
        <w:r w:rsidRPr="003B6642">
          <w:rPr>
            <w:rStyle w:val="Hyperlink"/>
          </w:rPr>
          <w:t>https://www.hse.ie/eng/services/list/4/disability/congregatedsettings/time-to-move-on-from-congregated-settings-%E2%80%93-a-strategy-for-community-inclusion.pdf</w:t>
        </w:r>
      </w:hyperlink>
    </w:p>
  </w:footnote>
  <w:footnote w:id="5">
    <w:p w14:paraId="03504F7A" w14:textId="660BF3DC" w:rsidR="00267385" w:rsidRDefault="00267385">
      <w:pPr>
        <w:pStyle w:val="FootnoteText"/>
      </w:pPr>
      <w:r>
        <w:rPr>
          <w:rStyle w:val="FootnoteReference"/>
        </w:rPr>
        <w:footnoteRef/>
      </w:r>
      <w:r>
        <w:t xml:space="preserve"> Department of Health. </w:t>
      </w:r>
      <w:r w:rsidRPr="00491128">
        <w:rPr>
          <w:i/>
        </w:rPr>
        <w:t>Towards Personalised Budgets for People with a Disability in Ireland. Report of the Task Force on Personalised Budgets</w:t>
      </w:r>
      <w:r>
        <w:rPr>
          <w:i/>
        </w:rPr>
        <w:t>.</w:t>
      </w:r>
      <w:r w:rsidRPr="00491128">
        <w:rPr>
          <w:i/>
        </w:rPr>
        <w:t xml:space="preserve"> </w:t>
      </w:r>
      <w:r w:rsidRPr="004B6886">
        <w:t>2018</w:t>
      </w:r>
      <w:r>
        <w:rPr>
          <w:i/>
        </w:rPr>
        <w:t>.</w:t>
      </w:r>
      <w:r>
        <w:t xml:space="preserve"> </w:t>
      </w:r>
      <w:hyperlink r:id="rId4" w:history="1">
        <w:r w:rsidRPr="003B6642">
          <w:rPr>
            <w:rStyle w:val="Hyperlink"/>
          </w:rPr>
          <w:t>https://assets.gov.ie/9931/17cdb50249ef4927b2e7186f3714f8ab.pdf</w:t>
        </w:r>
      </w:hyperlink>
    </w:p>
  </w:footnote>
  <w:footnote w:id="6">
    <w:p w14:paraId="3B05A91A" w14:textId="01787AE2" w:rsidR="00267385" w:rsidRDefault="00267385">
      <w:pPr>
        <w:pStyle w:val="FootnoteText"/>
      </w:pPr>
      <w:r>
        <w:rPr>
          <w:rStyle w:val="FootnoteReference"/>
        </w:rPr>
        <w:footnoteRef/>
      </w:r>
      <w:r>
        <w:t xml:space="preserve"> Government of Ireland. </w:t>
      </w:r>
      <w:r w:rsidRPr="00491128">
        <w:rPr>
          <w:i/>
        </w:rPr>
        <w:t>Comprehensive Employment Strategy for People with Disabilities 2015-2024</w:t>
      </w:r>
      <w:r>
        <w:t>. 2015.</w:t>
      </w:r>
      <w:hyperlink r:id="rId5" w:history="1">
        <w:r w:rsidRPr="003B6642">
          <w:rPr>
            <w:rStyle w:val="Hyperlink"/>
          </w:rPr>
          <w:t>http://www.justice.ie/en/JELR/Comprehensive%20Employment%20Strategy%20for%20People%20with%20Disabilities%20-%20FINAL.pdf/Files/Comprehensive%20Employment%20Strategy%20for%20People%20with%20Disabilities%20-%20FINAL.pdf</w:t>
        </w:r>
      </w:hyperlink>
    </w:p>
  </w:footnote>
  <w:footnote w:id="7">
    <w:p w14:paraId="6335239C" w14:textId="09528359" w:rsidR="00267385" w:rsidRDefault="00267385">
      <w:pPr>
        <w:pStyle w:val="FootnoteText"/>
      </w:pPr>
      <w:r>
        <w:rPr>
          <w:rStyle w:val="FootnoteReference"/>
        </w:rPr>
        <w:footnoteRef/>
      </w:r>
      <w:r>
        <w:t xml:space="preserve"> NDA. </w:t>
      </w:r>
      <w:r w:rsidRPr="00491128">
        <w:rPr>
          <w:i/>
        </w:rPr>
        <w:t xml:space="preserve">An Indicator Set to Monitor the National Disability Inclusion Strategy. 2017-2021. </w:t>
      </w:r>
      <w:r>
        <w:t xml:space="preserve">2018. </w:t>
      </w:r>
      <w:hyperlink r:id="rId6" w:history="1">
        <w:r>
          <w:rPr>
            <w:rStyle w:val="Hyperlink"/>
          </w:rPr>
          <w:t>http://nda.ie/Publications/Justice-and-Safeguarding/National-Disability-Inclusion-Strategy/An-Indicator-Set-to-Monitor-the-NDIS1.pdf</w:t>
        </w:r>
      </w:hyperlink>
    </w:p>
  </w:footnote>
  <w:footnote w:id="8">
    <w:p w14:paraId="25C58B47" w14:textId="44D23E94" w:rsidR="00267385" w:rsidRPr="00491128" w:rsidRDefault="00267385" w:rsidP="00491128">
      <w:pPr>
        <w:spacing w:after="0"/>
        <w:rPr>
          <w:rFonts w:ascii="Lucida Sans Unicode" w:hAnsi="Lucida Sans Unicode" w:cs="Lucida Sans Unicode"/>
          <w:color w:val="000000"/>
          <w:lang w:val="en"/>
        </w:rPr>
      </w:pPr>
      <w:r w:rsidRPr="00AA4DB2">
        <w:rPr>
          <w:rStyle w:val="FootnoteReference"/>
          <w:sz w:val="20"/>
          <w:szCs w:val="20"/>
        </w:rPr>
        <w:footnoteRef/>
      </w:r>
      <w:r w:rsidRPr="00AA4DB2">
        <w:rPr>
          <w:sz w:val="20"/>
          <w:szCs w:val="20"/>
        </w:rPr>
        <w:t xml:space="preserve"> </w:t>
      </w:r>
      <w:r w:rsidRPr="00491128">
        <w:rPr>
          <w:rFonts w:cs="Lucida Sans Unicode"/>
          <w:color w:val="000000"/>
          <w:sz w:val="20"/>
          <w:szCs w:val="20"/>
          <w:lang w:val="en"/>
        </w:rPr>
        <w:t xml:space="preserve">Dáil Deb. 7 Mar 2018, vol 966, no 4. </w:t>
      </w:r>
      <w:hyperlink r:id="rId7" w:history="1">
        <w:r w:rsidRPr="00971552">
          <w:rPr>
            <w:rStyle w:val="Hyperlink"/>
            <w:sz w:val="20"/>
            <w:szCs w:val="20"/>
          </w:rPr>
          <w:t>https://www.oireachtas.ie/en/debates/debate/dail/2018-03-07/17</w:t>
        </w:r>
      </w:hyperlink>
    </w:p>
  </w:footnote>
  <w:footnote w:id="9">
    <w:p w14:paraId="15761C2F" w14:textId="78F66E2F" w:rsidR="00267385" w:rsidRPr="00AA4DB2" w:rsidRDefault="00267385" w:rsidP="00AA4DB2">
      <w:pPr>
        <w:pStyle w:val="FootnoteText"/>
      </w:pPr>
      <w:r>
        <w:rPr>
          <w:rStyle w:val="FootnoteReference"/>
        </w:rPr>
        <w:footnoteRef/>
      </w:r>
      <w:r>
        <w:t xml:space="preserve"> Department of Health. </w:t>
      </w:r>
      <w:r w:rsidRPr="00491128">
        <w:rPr>
          <w:i/>
        </w:rPr>
        <w:t>Report of the Expert Group on the Review of the Mental Health Act 2001.</w:t>
      </w:r>
      <w:r>
        <w:rPr>
          <w:i/>
        </w:rPr>
        <w:t xml:space="preserve"> </w:t>
      </w:r>
      <w:r>
        <w:t xml:space="preserve">2014. </w:t>
      </w:r>
      <w:hyperlink r:id="rId8" w:history="1">
        <w:r w:rsidRPr="001067D4">
          <w:rPr>
            <w:rStyle w:val="Hyperlink"/>
          </w:rPr>
          <w:t>https://www.mhcirl.ie/File/rpt_expgroupreview_mha2001.pdf</w:t>
        </w:r>
      </w:hyperlink>
      <w:r>
        <w:t xml:space="preserve"> </w:t>
      </w:r>
    </w:p>
  </w:footnote>
  <w:footnote w:id="10">
    <w:p w14:paraId="08A40E5D" w14:textId="018AB925" w:rsidR="00267385" w:rsidRPr="00D53DFC" w:rsidRDefault="00267385">
      <w:pPr>
        <w:pStyle w:val="FootnoteText"/>
      </w:pPr>
      <w:r w:rsidRPr="00D53DFC">
        <w:rPr>
          <w:rStyle w:val="FootnoteReference"/>
        </w:rPr>
        <w:footnoteRef/>
      </w:r>
      <w:r w:rsidRPr="00D53DFC">
        <w:t xml:space="preserve"> CSO. Table 1.1. QNHS Equality Module 2014. </w:t>
      </w:r>
      <w:hyperlink r:id="rId9" w:history="1">
        <w:r w:rsidRPr="00D53DFC">
          <w:rPr>
            <w:rStyle w:val="Hyperlink"/>
          </w:rPr>
          <w:t>https://www.cso.ie/en/releasesandpublications/er/q-eq/qnhsequalitymodulequarter32014/</w:t>
        </w:r>
      </w:hyperlink>
    </w:p>
  </w:footnote>
  <w:footnote w:id="11">
    <w:p w14:paraId="18C7AE79" w14:textId="74008986" w:rsidR="00267385" w:rsidRDefault="00267385">
      <w:pPr>
        <w:pStyle w:val="FootnoteText"/>
      </w:pPr>
      <w:r w:rsidRPr="00D53DFC">
        <w:rPr>
          <w:rStyle w:val="FootnoteReference"/>
        </w:rPr>
        <w:footnoteRef/>
      </w:r>
      <w:r w:rsidRPr="00D53DFC">
        <w:t xml:space="preserve"> CSO. Table 1. Equality and Discrimination 2019. </w:t>
      </w:r>
      <w:hyperlink r:id="rId10" w:history="1">
        <w:r w:rsidRPr="00D53DFC">
          <w:rPr>
            <w:rStyle w:val="Hyperlink"/>
          </w:rPr>
          <w:t>https://www.cso.ie/en/statistics/socialconditions/equalityanddiscrimination/</w:t>
        </w:r>
      </w:hyperlink>
    </w:p>
  </w:footnote>
  <w:footnote w:id="12">
    <w:p w14:paraId="3F7D23A3" w14:textId="27E5BA33" w:rsidR="00267385" w:rsidRPr="008B4AC7" w:rsidRDefault="00267385" w:rsidP="008B4AC7">
      <w:pPr>
        <w:autoSpaceDE w:val="0"/>
        <w:autoSpaceDN w:val="0"/>
        <w:adjustRightInd w:val="0"/>
        <w:spacing w:after="0"/>
        <w:rPr>
          <w:sz w:val="20"/>
          <w:szCs w:val="20"/>
        </w:rPr>
      </w:pPr>
      <w:r w:rsidRPr="008B4AC7">
        <w:rPr>
          <w:rStyle w:val="FootnoteReference"/>
          <w:sz w:val="20"/>
          <w:szCs w:val="20"/>
        </w:rPr>
        <w:footnoteRef/>
      </w:r>
      <w:r w:rsidRPr="008B4AC7">
        <w:rPr>
          <w:sz w:val="20"/>
          <w:szCs w:val="20"/>
        </w:rPr>
        <w:t xml:space="preserve"> </w:t>
      </w:r>
      <w:r w:rsidRPr="008B4AC7">
        <w:rPr>
          <w:rFonts w:eastAsiaTheme="minorHAnsi" w:cs="ArialMT"/>
          <w:sz w:val="20"/>
          <w:szCs w:val="20"/>
        </w:rPr>
        <w:t>The survey instrument used to carry out the Equality and Discrimination survey has</w:t>
      </w:r>
      <w:r>
        <w:rPr>
          <w:rFonts w:eastAsiaTheme="minorHAnsi" w:cs="ArialMT"/>
          <w:sz w:val="20"/>
          <w:szCs w:val="20"/>
        </w:rPr>
        <w:t xml:space="preserve"> </w:t>
      </w:r>
      <w:r w:rsidRPr="008B4AC7">
        <w:rPr>
          <w:rFonts w:eastAsiaTheme="minorHAnsi" w:cs="ArialMT"/>
          <w:sz w:val="20"/>
          <w:szCs w:val="20"/>
        </w:rPr>
        <w:t xml:space="preserve">changed since the survey was last carried out in Quarter 3 2014. Previously it was carried out as a module of the </w:t>
      </w:r>
      <w:r>
        <w:rPr>
          <w:rFonts w:eastAsiaTheme="minorHAnsi" w:cs="ArialMT"/>
          <w:sz w:val="20"/>
          <w:szCs w:val="20"/>
        </w:rPr>
        <w:t>QNHS</w:t>
      </w:r>
      <w:r w:rsidRPr="008B4AC7">
        <w:rPr>
          <w:rFonts w:eastAsiaTheme="minorHAnsi" w:cs="ArialMT"/>
          <w:sz w:val="20"/>
          <w:szCs w:val="20"/>
        </w:rPr>
        <w:t>. The Labour Force Survey (LFS) has now replaced the QNHS. With this change, surveys previously carried out as modules of the QNHS, are now carried out for the most part in the General Household Survey (GHS). This change has affected sample size. The achieved sample size for the Q1 2019 survey was 3,971 respondents compared to 14,868 in the 2014 Q3 survey. Therefore the results may not be directly comparable.</w:t>
      </w:r>
    </w:p>
  </w:footnote>
  <w:footnote w:id="13">
    <w:p w14:paraId="66DD1D3C" w14:textId="2E5B9D7E" w:rsidR="00267385" w:rsidRDefault="00267385">
      <w:pPr>
        <w:pStyle w:val="FootnoteText"/>
      </w:pPr>
      <w:r>
        <w:rPr>
          <w:rStyle w:val="FootnoteReference"/>
        </w:rPr>
        <w:footnoteRef/>
      </w:r>
      <w:r>
        <w:t xml:space="preserve"> CSO. Annex 3. Equality and Discrimination 2019. </w:t>
      </w:r>
      <w:hyperlink r:id="rId11" w:history="1">
        <w:r w:rsidRPr="001067D4">
          <w:rPr>
            <w:rStyle w:val="Hyperlink"/>
          </w:rPr>
          <w:t>https://www.cso.ie/en/statistics/socialconditions/equalityanddiscrimination/</w:t>
        </w:r>
      </w:hyperlink>
      <w:r>
        <w:t xml:space="preserve"> </w:t>
      </w:r>
    </w:p>
  </w:footnote>
  <w:footnote w:id="14">
    <w:p w14:paraId="6DCD2656" w14:textId="30EF0D96" w:rsidR="00267385" w:rsidRDefault="00267385">
      <w:pPr>
        <w:pStyle w:val="FootnoteText"/>
      </w:pPr>
      <w:r>
        <w:rPr>
          <w:rStyle w:val="FootnoteReference"/>
        </w:rPr>
        <w:footnoteRef/>
      </w:r>
      <w:r>
        <w:t xml:space="preserve"> CSO. Table 2.1. Equality and Discrimination 2019. </w:t>
      </w:r>
      <w:hyperlink r:id="rId12" w:history="1">
        <w:r w:rsidRPr="00F67D25">
          <w:rPr>
            <w:rStyle w:val="Hyperlink"/>
          </w:rPr>
          <w:t>https://www.cso.ie/en/statistics/socialconditions/equalityanddiscrimination/</w:t>
        </w:r>
      </w:hyperlink>
    </w:p>
  </w:footnote>
  <w:footnote w:id="15">
    <w:p w14:paraId="3ECCE939" w14:textId="5F558276" w:rsidR="00267385" w:rsidRDefault="00267385" w:rsidP="00AA082C">
      <w:pPr>
        <w:pStyle w:val="FootnoteText"/>
      </w:pPr>
      <w:r w:rsidRPr="008B4AC7">
        <w:rPr>
          <w:rStyle w:val="FootnoteReference"/>
        </w:rPr>
        <w:footnoteRef/>
      </w:r>
      <w:r w:rsidRPr="008B4AC7">
        <w:t xml:space="preserve"> Services include places like shops, pubs or restaurants, financial institutions, education, housing, health, transport, law enforcement and other local and national services</w:t>
      </w:r>
      <w:r>
        <w:t>.</w:t>
      </w:r>
    </w:p>
  </w:footnote>
  <w:footnote w:id="16">
    <w:p w14:paraId="0A3821DF" w14:textId="4045C897" w:rsidR="00267385" w:rsidRPr="00491128" w:rsidRDefault="00267385" w:rsidP="00491128">
      <w:pPr>
        <w:spacing w:after="0"/>
        <w:rPr>
          <w:rFonts w:cs="Calibri"/>
          <w:color w:val="0563C1"/>
          <w:u w:val="single"/>
          <w:lang w:eastAsia="en-IE"/>
        </w:rPr>
      </w:pPr>
      <w:r w:rsidRPr="00EA6CB9">
        <w:rPr>
          <w:rStyle w:val="FootnoteReference"/>
          <w:sz w:val="20"/>
          <w:szCs w:val="20"/>
        </w:rPr>
        <w:footnoteRef/>
      </w:r>
      <w:r w:rsidRPr="00EA6CB9">
        <w:rPr>
          <w:sz w:val="20"/>
          <w:szCs w:val="20"/>
        </w:rPr>
        <w:t xml:space="preserve"> </w:t>
      </w:r>
      <w:r w:rsidRPr="00971552">
        <w:rPr>
          <w:sz w:val="20"/>
          <w:szCs w:val="20"/>
        </w:rPr>
        <w:t xml:space="preserve">WRC. </w:t>
      </w:r>
      <w:r w:rsidRPr="00971552">
        <w:rPr>
          <w:i/>
          <w:sz w:val="20"/>
          <w:szCs w:val="20"/>
        </w:rPr>
        <w:t>Workplace Relations Commission. Annual Report 2017</w:t>
      </w:r>
      <w:r w:rsidRPr="00971552">
        <w:rPr>
          <w:sz w:val="20"/>
          <w:szCs w:val="20"/>
        </w:rPr>
        <w:t xml:space="preserve">. 2018. </w:t>
      </w:r>
      <w:hyperlink r:id="rId13" w:history="1">
        <w:r w:rsidRPr="00971552">
          <w:rPr>
            <w:rStyle w:val="Hyperlink"/>
            <w:sz w:val="20"/>
            <w:szCs w:val="20"/>
          </w:rPr>
          <w:t>https://www.workplacerelations.ie/en/publications_forms/workplace_relations_commission_-_annual_report_2017.pdf</w:t>
        </w:r>
      </w:hyperlink>
      <w:r>
        <w:rPr>
          <w:rFonts w:cs="Calibri"/>
          <w:color w:val="000000" w:themeColor="text1"/>
          <w:sz w:val="20"/>
          <w:szCs w:val="20"/>
          <w:lang w:eastAsia="en-IE"/>
        </w:rPr>
        <w:t xml:space="preserve"> </w:t>
      </w:r>
      <w:r w:rsidRPr="00EA6CB9">
        <w:rPr>
          <w:rFonts w:cs="Calibri"/>
          <w:color w:val="000000" w:themeColor="text1"/>
          <w:sz w:val="20"/>
          <w:szCs w:val="20"/>
          <w:lang w:eastAsia="en-IE"/>
        </w:rPr>
        <w:t xml:space="preserve"> </w:t>
      </w:r>
    </w:p>
  </w:footnote>
  <w:footnote w:id="17">
    <w:p w14:paraId="1806CAE0" w14:textId="2F63B7D7" w:rsidR="00267385" w:rsidRDefault="00267385">
      <w:pPr>
        <w:pStyle w:val="FootnoteText"/>
      </w:pPr>
      <w:r>
        <w:rPr>
          <w:rStyle w:val="FootnoteReference"/>
        </w:rPr>
        <w:footnoteRef/>
      </w:r>
      <w:r>
        <w:t xml:space="preserve"> WRC. </w:t>
      </w:r>
      <w:r w:rsidRPr="00EA6CB9">
        <w:rPr>
          <w:i/>
        </w:rPr>
        <w:t>Workplace Relations Commission. Annual Report 201</w:t>
      </w:r>
      <w:r>
        <w:rPr>
          <w:i/>
        </w:rPr>
        <w:t>8</w:t>
      </w:r>
      <w:r w:rsidRPr="00EA6CB9">
        <w:t>.</w:t>
      </w:r>
      <w:r>
        <w:t xml:space="preserve"> 2019. </w:t>
      </w:r>
      <w:hyperlink r:id="rId14" w:history="1">
        <w:r w:rsidRPr="00971552">
          <w:rPr>
            <w:rStyle w:val="Hyperlink"/>
          </w:rPr>
          <w:t>https://www.workplacerelations.ie/en/news-media/workplace_relations_notices/annual-report-2018.pdf</w:t>
        </w:r>
      </w:hyperlink>
      <w:r>
        <w:rPr>
          <w:rFonts w:cs="Calibri"/>
          <w:color w:val="000000" w:themeColor="text1"/>
          <w:lang w:eastAsia="en-IE"/>
        </w:rPr>
        <w:t xml:space="preserve"> </w:t>
      </w:r>
    </w:p>
  </w:footnote>
  <w:footnote w:id="18">
    <w:p w14:paraId="2F540981" w14:textId="3DBAD33D" w:rsidR="00267385" w:rsidRDefault="00267385">
      <w:pPr>
        <w:pStyle w:val="FootnoteText"/>
      </w:pPr>
      <w:r>
        <w:rPr>
          <w:rStyle w:val="FootnoteReference"/>
        </w:rPr>
        <w:footnoteRef/>
      </w:r>
      <w:r>
        <w:t xml:space="preserve"> WRC. Decisions and Determinations. </w:t>
      </w:r>
      <w:hyperlink r:id="rId15" w:history="1">
        <w:r>
          <w:rPr>
            <w:rStyle w:val="Hyperlink"/>
          </w:rPr>
          <w:t>https://www.workplacerelations.ie/en/search/?advance=true</w:t>
        </w:r>
      </w:hyperlink>
    </w:p>
  </w:footnote>
  <w:footnote w:id="19">
    <w:p w14:paraId="348D0D87" w14:textId="77777777" w:rsidR="00267385" w:rsidRDefault="00267385" w:rsidP="00E32D10">
      <w:pPr>
        <w:pStyle w:val="FootnoteText"/>
      </w:pPr>
      <w:r>
        <w:rPr>
          <w:rStyle w:val="FootnoteReference"/>
        </w:rPr>
        <w:footnoteRef/>
      </w:r>
      <w:r>
        <w:t xml:space="preserve"> </w:t>
      </w:r>
      <w:r>
        <w:rPr>
          <w:lang w:eastAsia="en-IE"/>
        </w:rPr>
        <w:t>This analysis omitted case that were outside the statutory time limit of the Acts, those outside the jurisdiction of the adjudicator, those referred to the District Court and those where the complainant was found not to have a disability.</w:t>
      </w:r>
    </w:p>
  </w:footnote>
  <w:footnote w:id="20">
    <w:p w14:paraId="45FD798C" w14:textId="4E124FEA" w:rsidR="00267385" w:rsidRDefault="00267385">
      <w:pPr>
        <w:pStyle w:val="FootnoteText"/>
      </w:pPr>
      <w:r>
        <w:rPr>
          <w:rStyle w:val="FootnoteReference"/>
        </w:rPr>
        <w:footnoteRef/>
      </w:r>
      <w:r>
        <w:t xml:space="preserve"> IHREC. </w:t>
      </w:r>
      <w:r w:rsidRPr="00491128">
        <w:rPr>
          <w:i/>
        </w:rPr>
        <w:t>Annual Report 2018</w:t>
      </w:r>
      <w:r>
        <w:t xml:space="preserve">. 2019. </w:t>
      </w:r>
      <w:hyperlink r:id="rId16" w:history="1">
        <w:r w:rsidRPr="00BE1D34">
          <w:rPr>
            <w:rStyle w:val="Hyperlink"/>
          </w:rPr>
          <w:t>https://www.ihrec.ie/app/uploads/2019/06/IHREC_2018_AR_English_Digital.pdf</w:t>
        </w:r>
      </w:hyperlink>
    </w:p>
  </w:footnote>
  <w:footnote w:id="21">
    <w:p w14:paraId="41506A3B" w14:textId="155040B9" w:rsidR="00267385" w:rsidRDefault="00267385">
      <w:pPr>
        <w:pStyle w:val="FootnoteText"/>
      </w:pPr>
      <w:r>
        <w:rPr>
          <w:rStyle w:val="FootnoteReference"/>
        </w:rPr>
        <w:footnoteRef/>
      </w:r>
      <w:r>
        <w:t xml:space="preserve"> IHREC. Annual Report 2017, 2018 </w:t>
      </w:r>
      <w:hyperlink r:id="rId17" w:history="1">
        <w:r w:rsidRPr="00BE1D34">
          <w:rPr>
            <w:rStyle w:val="Hyperlink"/>
          </w:rPr>
          <w:t>https://www.ihrec.ie/app/uploads/2018/06/Annual-Report-2017.pdf</w:t>
        </w:r>
      </w:hyperlink>
    </w:p>
  </w:footnote>
  <w:footnote w:id="22">
    <w:p w14:paraId="132FF67E" w14:textId="7E34AB89" w:rsidR="00267385" w:rsidRDefault="00267385">
      <w:pPr>
        <w:pStyle w:val="FootnoteText"/>
      </w:pPr>
      <w:r>
        <w:rPr>
          <w:rStyle w:val="FootnoteReference"/>
        </w:rPr>
        <w:footnoteRef/>
      </w:r>
      <w:r>
        <w:t xml:space="preserve"> Mental Health Commission Annual Report, 2018. </w:t>
      </w:r>
      <w:hyperlink r:id="rId18" w:history="1">
        <w:r w:rsidRPr="00BE1D34">
          <w:rPr>
            <w:rStyle w:val="Hyperlink"/>
          </w:rPr>
          <w:t>https://www.mhcirl.ie/File/2018_AR_Incl_OIMS.pdf</w:t>
        </w:r>
      </w:hyperlink>
    </w:p>
  </w:footnote>
  <w:footnote w:id="23">
    <w:p w14:paraId="282CC7FA" w14:textId="4ACA8CCD" w:rsidR="00267385" w:rsidRPr="00F440A7" w:rsidRDefault="00267385" w:rsidP="00E45EEB">
      <w:pPr>
        <w:pStyle w:val="FootnoteText"/>
      </w:pPr>
      <w:r w:rsidRPr="00F440A7">
        <w:rPr>
          <w:rStyle w:val="FootnoteReference"/>
        </w:rPr>
        <w:footnoteRef/>
      </w:r>
      <w:r w:rsidRPr="00F440A7">
        <w:t xml:space="preserve"> HSE. </w:t>
      </w:r>
      <w:r w:rsidRPr="00491128">
        <w:rPr>
          <w:i/>
        </w:rPr>
        <w:t>Time to Move on from Congregated Settings: A Strategy for Community Inclusion.</w:t>
      </w:r>
      <w:r w:rsidRPr="00F440A7">
        <w:t xml:space="preserve"> 2011. </w:t>
      </w:r>
      <w:hyperlink r:id="rId19" w:history="1">
        <w:r w:rsidRPr="00F440A7">
          <w:rPr>
            <w:rStyle w:val="Hyperlink"/>
          </w:rPr>
          <w:t>https://www.hse.ie/eng/services/list/4/disability/congregatedsettings/time-to-move-on-from-congregated-settings-%E2%80%93-a-strategy-for-community-inclusion.pdf</w:t>
        </w:r>
      </w:hyperlink>
      <w:r w:rsidRPr="00F440A7">
        <w:t xml:space="preserve"> </w:t>
      </w:r>
    </w:p>
  </w:footnote>
  <w:footnote w:id="24">
    <w:p w14:paraId="5B9F6DDF" w14:textId="1640B916" w:rsidR="00267385" w:rsidRPr="00F440A7" w:rsidRDefault="00267385" w:rsidP="00F440A7">
      <w:pPr>
        <w:pStyle w:val="FootnoteText"/>
      </w:pPr>
      <w:r w:rsidRPr="00F440A7">
        <w:rPr>
          <w:rStyle w:val="FootnoteReference"/>
        </w:rPr>
        <w:footnoteRef/>
      </w:r>
      <w:r w:rsidRPr="00F440A7">
        <w:t xml:space="preserve"> HSE. </w:t>
      </w:r>
      <w:r w:rsidRPr="00491128">
        <w:rPr>
          <w:i/>
        </w:rPr>
        <w:t>Progress Report on the Implementation of Time to Move on from Congregated Settings: A Strategy for Community Inclusion. Annual Report 2016.</w:t>
      </w:r>
      <w:r>
        <w:rPr>
          <w:i/>
        </w:rPr>
        <w:t xml:space="preserve"> </w:t>
      </w:r>
      <w:r w:rsidRPr="004619E4">
        <w:t>2016.</w:t>
      </w:r>
      <w:r w:rsidRPr="00F440A7">
        <w:t xml:space="preserve"> </w:t>
      </w:r>
      <w:hyperlink r:id="rId20" w:history="1">
        <w:r w:rsidRPr="00F440A7">
          <w:rPr>
            <w:rStyle w:val="Hyperlink"/>
          </w:rPr>
          <w:t>https://www.hse.ie/eng/services/publications/disability/progress-report-on-the-implementation-of-time-to-move-on-from-congregated-settings-a-strategy-for-community-inclusion-annual-report-2016.pdf</w:t>
        </w:r>
      </w:hyperlink>
      <w:r w:rsidRPr="00F440A7">
        <w:t xml:space="preserve"> </w:t>
      </w:r>
    </w:p>
  </w:footnote>
  <w:footnote w:id="25">
    <w:p w14:paraId="694956FF" w14:textId="135EA0A6" w:rsidR="00267385" w:rsidRPr="00EA6CB9" w:rsidRDefault="00267385" w:rsidP="00F440A7">
      <w:pPr>
        <w:spacing w:after="0"/>
        <w:rPr>
          <w:rFonts w:ascii="Calibri" w:hAnsi="Calibri" w:cs="Calibri"/>
          <w:color w:val="0563C1"/>
          <w:sz w:val="22"/>
          <w:szCs w:val="22"/>
          <w:u w:val="single"/>
          <w:lang w:eastAsia="en-IE"/>
        </w:rPr>
      </w:pPr>
      <w:r w:rsidRPr="00491128">
        <w:rPr>
          <w:rStyle w:val="FootnoteReference"/>
          <w:sz w:val="20"/>
          <w:szCs w:val="20"/>
        </w:rPr>
        <w:footnoteRef/>
      </w:r>
      <w:r w:rsidRPr="00491128">
        <w:rPr>
          <w:sz w:val="20"/>
          <w:szCs w:val="20"/>
        </w:rPr>
        <w:t xml:space="preserve">  HSE. </w:t>
      </w:r>
      <w:r w:rsidRPr="00491128">
        <w:rPr>
          <w:i/>
          <w:sz w:val="20"/>
          <w:szCs w:val="20"/>
        </w:rPr>
        <w:t>Progress Report on the Implementation of Time to Move on from Congregated Settings: A Strategy for Community Inclusion. Annual Report 201</w:t>
      </w:r>
      <w:r>
        <w:rPr>
          <w:i/>
          <w:sz w:val="20"/>
          <w:szCs w:val="20"/>
        </w:rPr>
        <w:t>8</w:t>
      </w:r>
      <w:r w:rsidRPr="00491128">
        <w:rPr>
          <w:i/>
          <w:sz w:val="20"/>
          <w:szCs w:val="20"/>
        </w:rPr>
        <w:t>.</w:t>
      </w:r>
      <w:r w:rsidRPr="00491128">
        <w:rPr>
          <w:sz w:val="20"/>
          <w:szCs w:val="20"/>
        </w:rPr>
        <w:t xml:space="preserve"> </w:t>
      </w:r>
      <w:r>
        <w:rPr>
          <w:sz w:val="20"/>
          <w:szCs w:val="20"/>
        </w:rPr>
        <w:t xml:space="preserve">2019. </w:t>
      </w:r>
      <w:hyperlink r:id="rId21" w:history="1">
        <w:r w:rsidRPr="00DF7A42">
          <w:rPr>
            <w:rStyle w:val="Hyperlink"/>
            <w:rFonts w:cs="Calibri"/>
            <w:sz w:val="20"/>
            <w:szCs w:val="20"/>
            <w:lang w:eastAsia="en-IE"/>
          </w:rPr>
          <w:t>https://www.hse.ie/eng/services/list/4/disability/congregatedsettings/time-to-move-on-annual-progress-report-2018.pdf</w:t>
        </w:r>
      </w:hyperlink>
      <w:r>
        <w:rPr>
          <w:rFonts w:cs="Calibri"/>
          <w:color w:val="000000" w:themeColor="text1"/>
          <w:sz w:val="20"/>
          <w:szCs w:val="20"/>
          <w:lang w:eastAsia="en-IE"/>
        </w:rPr>
        <w:t xml:space="preserve">  </w:t>
      </w:r>
    </w:p>
  </w:footnote>
  <w:footnote w:id="26">
    <w:p w14:paraId="4B352324" w14:textId="66B95FD5" w:rsidR="00267385" w:rsidRPr="00491128" w:rsidRDefault="00267385" w:rsidP="00491128">
      <w:pPr>
        <w:spacing w:after="0"/>
        <w:rPr>
          <w:rFonts w:cs="Calibri"/>
          <w:color w:val="0563C1"/>
          <w:u w:val="single"/>
          <w:lang w:eastAsia="en-IE"/>
        </w:rPr>
      </w:pPr>
      <w:r w:rsidRPr="006C7BF6">
        <w:rPr>
          <w:rStyle w:val="FootnoteReference"/>
          <w:sz w:val="20"/>
          <w:szCs w:val="20"/>
        </w:rPr>
        <w:footnoteRef/>
      </w:r>
      <w:r w:rsidRPr="006C7BF6">
        <w:rPr>
          <w:sz w:val="20"/>
          <w:szCs w:val="20"/>
        </w:rPr>
        <w:t xml:space="preserve"> </w:t>
      </w:r>
      <w:r w:rsidRPr="00273266">
        <w:rPr>
          <w:sz w:val="20"/>
          <w:szCs w:val="20"/>
        </w:rPr>
        <w:t xml:space="preserve">MHC. </w:t>
      </w:r>
      <w:r w:rsidRPr="00971552">
        <w:rPr>
          <w:i/>
          <w:sz w:val="20"/>
          <w:szCs w:val="20"/>
        </w:rPr>
        <w:t>Mental Health Commission. Annual Report 2016. Including Report of the Inspector of Mental Health Services.</w:t>
      </w:r>
      <w:r>
        <w:rPr>
          <w:i/>
          <w:sz w:val="20"/>
          <w:szCs w:val="20"/>
        </w:rPr>
        <w:t xml:space="preserve"> </w:t>
      </w:r>
      <w:r>
        <w:rPr>
          <w:sz w:val="20"/>
          <w:szCs w:val="20"/>
        </w:rPr>
        <w:t>2017.</w:t>
      </w:r>
      <w:r w:rsidRPr="00273266">
        <w:rPr>
          <w:sz w:val="20"/>
          <w:szCs w:val="20"/>
        </w:rPr>
        <w:t xml:space="preserve"> </w:t>
      </w:r>
      <w:hyperlink r:id="rId22" w:history="1">
        <w:r w:rsidRPr="00971552">
          <w:rPr>
            <w:rStyle w:val="Hyperlink"/>
            <w:sz w:val="20"/>
            <w:szCs w:val="20"/>
          </w:rPr>
          <w:t>https://www.mhcirl.ie/File/2016_AR_Incl_OIMS.pdf</w:t>
        </w:r>
      </w:hyperlink>
      <w:r>
        <w:rPr>
          <w:rFonts w:cs="Calibri"/>
          <w:color w:val="000000" w:themeColor="text1"/>
          <w:sz w:val="20"/>
          <w:szCs w:val="20"/>
          <w:lang w:eastAsia="en-IE"/>
        </w:rPr>
        <w:t xml:space="preserve">  </w:t>
      </w:r>
    </w:p>
  </w:footnote>
  <w:footnote w:id="27">
    <w:p w14:paraId="137D6935" w14:textId="31ADEBA8" w:rsidR="00267385" w:rsidRPr="00491128" w:rsidRDefault="00267385" w:rsidP="00491128">
      <w:pPr>
        <w:spacing w:after="0"/>
        <w:rPr>
          <w:rFonts w:cs="Calibri"/>
          <w:color w:val="0563C1"/>
          <w:u w:val="single"/>
          <w:lang w:eastAsia="en-IE"/>
        </w:rPr>
      </w:pPr>
      <w:r w:rsidRPr="006C7BF6">
        <w:rPr>
          <w:rStyle w:val="FootnoteReference"/>
          <w:sz w:val="20"/>
          <w:szCs w:val="20"/>
        </w:rPr>
        <w:footnoteRef/>
      </w:r>
      <w:r w:rsidRPr="006C7BF6">
        <w:rPr>
          <w:sz w:val="20"/>
          <w:szCs w:val="20"/>
        </w:rPr>
        <w:t xml:space="preserve"> </w:t>
      </w:r>
      <w:r w:rsidRPr="00971552">
        <w:rPr>
          <w:color w:val="000000" w:themeColor="text1"/>
          <w:sz w:val="20"/>
          <w:szCs w:val="20"/>
        </w:rPr>
        <w:t xml:space="preserve">MHC. </w:t>
      </w:r>
      <w:r w:rsidRPr="00971552">
        <w:rPr>
          <w:i/>
          <w:color w:val="000000" w:themeColor="text1"/>
          <w:sz w:val="20"/>
          <w:szCs w:val="20"/>
        </w:rPr>
        <w:t>Mental Health Commission. Annual Report 2018. Including Report of the Inspector of Mental Health Services.</w:t>
      </w:r>
      <w:r w:rsidRPr="00971552">
        <w:rPr>
          <w:color w:val="000000" w:themeColor="text1"/>
          <w:sz w:val="20"/>
          <w:szCs w:val="20"/>
        </w:rPr>
        <w:t xml:space="preserve"> </w:t>
      </w:r>
      <w:r>
        <w:rPr>
          <w:color w:val="000000" w:themeColor="text1"/>
          <w:sz w:val="20"/>
          <w:szCs w:val="20"/>
        </w:rPr>
        <w:t xml:space="preserve">2019. </w:t>
      </w:r>
      <w:hyperlink r:id="rId23" w:history="1">
        <w:r w:rsidRPr="00971552">
          <w:rPr>
            <w:rStyle w:val="Hyperlink"/>
            <w:sz w:val="20"/>
            <w:szCs w:val="20"/>
          </w:rPr>
          <w:t>https://www.mhcirl.ie/File/2018_AR_Incl_OIMS.pdf</w:t>
        </w:r>
      </w:hyperlink>
    </w:p>
  </w:footnote>
  <w:footnote w:id="28">
    <w:p w14:paraId="59008CAC" w14:textId="5240CB7E" w:rsidR="00267385" w:rsidRDefault="00267385">
      <w:pPr>
        <w:pStyle w:val="FootnoteText"/>
      </w:pPr>
      <w:r>
        <w:rPr>
          <w:rStyle w:val="FootnoteReference"/>
        </w:rPr>
        <w:footnoteRef/>
      </w:r>
      <w:r>
        <w:t xml:space="preserve"> </w:t>
      </w:r>
      <w:r w:rsidRPr="00273266">
        <w:t xml:space="preserve">Government of Ireland. </w:t>
      </w:r>
      <w:r w:rsidRPr="00971552">
        <w:rPr>
          <w:i/>
        </w:rPr>
        <w:t>A Vision for Change. Report of the Expert Group on Mental Health Policy</w:t>
      </w:r>
      <w:r w:rsidRPr="00273266">
        <w:t xml:space="preserve">. Dublin: The Stationary Office. 2006. </w:t>
      </w:r>
      <w:hyperlink r:id="rId24" w:history="1">
        <w:r w:rsidRPr="00273266">
          <w:rPr>
            <w:rStyle w:val="Hyperlink"/>
          </w:rPr>
          <w:t>https://www.hse.ie/eng/services/publications/mentalhealth/mental-health---a-vision-for-change.pdf</w:t>
        </w:r>
      </w:hyperlink>
    </w:p>
  </w:footnote>
  <w:footnote w:id="29">
    <w:p w14:paraId="05218DEF" w14:textId="3DB6435D" w:rsidR="00267385" w:rsidRDefault="00267385">
      <w:pPr>
        <w:pStyle w:val="FootnoteText"/>
      </w:pPr>
      <w:r>
        <w:rPr>
          <w:rStyle w:val="FootnoteReference"/>
        </w:rPr>
        <w:footnoteRef/>
      </w:r>
      <w:r>
        <w:t xml:space="preserve"> </w:t>
      </w:r>
      <w:r w:rsidRPr="00F440A7">
        <w:t xml:space="preserve">HSE. </w:t>
      </w:r>
      <w:r w:rsidRPr="00EA6CB9">
        <w:rPr>
          <w:i/>
        </w:rPr>
        <w:t>Time to Move on from Congregated Settings: A Strategy for Community Inclusion.</w:t>
      </w:r>
      <w:r w:rsidRPr="00F440A7">
        <w:t xml:space="preserve"> 2011. </w:t>
      </w:r>
      <w:hyperlink r:id="rId25" w:history="1">
        <w:r w:rsidRPr="00F440A7">
          <w:rPr>
            <w:rStyle w:val="Hyperlink"/>
          </w:rPr>
          <w:t>https://www.hse.ie/eng/services/list/4/disability/congregatedsettings/time-to-move-on-from-congregated-settings-%E2%80%93-a-strategy-for-community-inclusion.pdf</w:t>
        </w:r>
      </w:hyperlink>
    </w:p>
  </w:footnote>
  <w:footnote w:id="30">
    <w:p w14:paraId="734ECF6E" w14:textId="0B968D14" w:rsidR="00267385" w:rsidRDefault="00267385">
      <w:pPr>
        <w:pStyle w:val="FootnoteText"/>
      </w:pPr>
      <w:r>
        <w:rPr>
          <w:rStyle w:val="FootnoteReference"/>
        </w:rPr>
        <w:footnoteRef/>
      </w:r>
      <w:r>
        <w:t xml:space="preserve"> MHC. </w:t>
      </w:r>
      <w:r w:rsidRPr="00491128">
        <w:rPr>
          <w:i/>
        </w:rPr>
        <w:t>2018 Inspection of 24-hour Supervised Residences for People with Mental Illness.</w:t>
      </w:r>
      <w:r>
        <w:rPr>
          <w:i/>
        </w:rPr>
        <w:t xml:space="preserve"> </w:t>
      </w:r>
      <w:r w:rsidRPr="004619E4">
        <w:t>2019.</w:t>
      </w:r>
      <w:r w:rsidRPr="00491128">
        <w:rPr>
          <w:i/>
        </w:rPr>
        <w:t xml:space="preserve"> </w:t>
      </w:r>
      <w:hyperlink r:id="rId26" w:history="1">
        <w:r>
          <w:rPr>
            <w:rStyle w:val="Hyperlink"/>
          </w:rPr>
          <w:t>https://www.mhcirl.ie/File/2018ResidencesReport.pdf</w:t>
        </w:r>
      </w:hyperlink>
    </w:p>
  </w:footnote>
  <w:footnote w:id="31">
    <w:p w14:paraId="3178A559" w14:textId="1708E6FC" w:rsidR="00267385" w:rsidRDefault="00267385" w:rsidP="006D4AFB">
      <w:pPr>
        <w:pStyle w:val="FootnoteText"/>
      </w:pPr>
      <w:r>
        <w:rPr>
          <w:rStyle w:val="FootnoteReference"/>
        </w:rPr>
        <w:footnoteRef/>
      </w:r>
      <w:r>
        <w:t xml:space="preserve"> Antoinette Daly and Sarah Craig. </w:t>
      </w:r>
      <w:r w:rsidRPr="00971552">
        <w:rPr>
          <w:i/>
        </w:rPr>
        <w:t>HRB Statistics Series 40. Irish Psychiatric Units and Hospitals Census 2019</w:t>
      </w:r>
      <w:r>
        <w:t xml:space="preserve">. </w:t>
      </w:r>
      <w:r w:rsidRPr="00971552">
        <w:t>2019.</w:t>
      </w:r>
      <w:r>
        <w:t xml:space="preserve"> </w:t>
      </w:r>
      <w:hyperlink r:id="rId27" w:history="1">
        <w:r w:rsidRPr="00F67D25">
          <w:rPr>
            <w:rStyle w:val="Hyperlink"/>
          </w:rPr>
          <w:t>https://www.hrb.ie/fileadmin/2._Plugin_related_files/Publications/2019_Publication_files/2019_HIE/NPIRS/Census/Irish_Psychiatric_In-patient_Census_2019_Main_Findings.pdf</w:t>
        </w:r>
      </w:hyperlink>
    </w:p>
  </w:footnote>
  <w:footnote w:id="32">
    <w:p w14:paraId="37B24E15" w14:textId="66B997B3" w:rsidR="00267385" w:rsidRPr="00491128" w:rsidRDefault="00267385">
      <w:pPr>
        <w:pStyle w:val="FootnoteText"/>
        <w:rPr>
          <w:rFonts w:cs="Calibri"/>
          <w:color w:val="0563C1"/>
          <w:u w:val="single"/>
          <w:lang w:eastAsia="en-IE"/>
        </w:rPr>
      </w:pPr>
      <w:r>
        <w:rPr>
          <w:rStyle w:val="FootnoteReference"/>
        </w:rPr>
        <w:footnoteRef/>
      </w:r>
      <w:r>
        <w:t xml:space="preserve"> </w:t>
      </w:r>
      <w:r w:rsidRPr="001D43C2">
        <w:t xml:space="preserve">MHC. </w:t>
      </w:r>
      <w:r w:rsidRPr="001D43C2">
        <w:rPr>
          <w:i/>
        </w:rPr>
        <w:t>Mental Health Commission. Annual Report 2016. Including Report of the Inspector of Mental Health Services.</w:t>
      </w:r>
      <w:r>
        <w:rPr>
          <w:i/>
        </w:rPr>
        <w:t xml:space="preserve"> </w:t>
      </w:r>
      <w:r>
        <w:t>2017.</w:t>
      </w:r>
      <w:r w:rsidRPr="001D43C2">
        <w:t xml:space="preserve"> </w:t>
      </w:r>
      <w:hyperlink r:id="rId28" w:history="1">
        <w:r w:rsidRPr="001D43C2">
          <w:rPr>
            <w:rStyle w:val="Hyperlink"/>
            <w:rFonts w:cs="Calibri"/>
            <w:lang w:eastAsia="en-IE"/>
          </w:rPr>
          <w:t>https://www.mhcirl.ie/File/2016_AR_Incl_OIMS.pdf</w:t>
        </w:r>
      </w:hyperlink>
    </w:p>
  </w:footnote>
  <w:footnote w:id="33">
    <w:p w14:paraId="0795027A" w14:textId="04B69276" w:rsidR="00267385" w:rsidRPr="00491128" w:rsidRDefault="00267385" w:rsidP="00491128">
      <w:pPr>
        <w:spacing w:after="0"/>
        <w:rPr>
          <w:rFonts w:ascii="Calibri" w:hAnsi="Calibri" w:cs="Calibri"/>
          <w:color w:val="0563C1"/>
          <w:sz w:val="22"/>
          <w:szCs w:val="22"/>
          <w:u w:val="single"/>
          <w:lang w:eastAsia="en-IE"/>
        </w:rPr>
      </w:pPr>
      <w:r>
        <w:rPr>
          <w:rStyle w:val="FootnoteReference"/>
        </w:rPr>
        <w:footnoteRef/>
      </w:r>
      <w:r>
        <w:t xml:space="preserve"> </w:t>
      </w:r>
      <w:r w:rsidRPr="001D43C2">
        <w:rPr>
          <w:color w:val="000000" w:themeColor="text1"/>
          <w:sz w:val="20"/>
          <w:szCs w:val="20"/>
        </w:rPr>
        <w:t xml:space="preserve">MHC. </w:t>
      </w:r>
      <w:r w:rsidRPr="001D43C2">
        <w:rPr>
          <w:i/>
          <w:color w:val="000000" w:themeColor="text1"/>
          <w:sz w:val="20"/>
          <w:szCs w:val="20"/>
        </w:rPr>
        <w:t>Mental Health Commission. Annual Report 2018. Including Report of the Inspector of Mental Health Services.</w:t>
      </w:r>
      <w:r w:rsidRPr="001D43C2">
        <w:rPr>
          <w:color w:val="000000" w:themeColor="text1"/>
          <w:sz w:val="20"/>
          <w:szCs w:val="20"/>
        </w:rPr>
        <w:t xml:space="preserve"> </w:t>
      </w:r>
      <w:r>
        <w:rPr>
          <w:color w:val="000000" w:themeColor="text1"/>
          <w:sz w:val="20"/>
          <w:szCs w:val="20"/>
        </w:rPr>
        <w:t xml:space="preserve">2019. </w:t>
      </w:r>
      <w:hyperlink r:id="rId29" w:history="1">
        <w:r w:rsidRPr="001D43C2">
          <w:rPr>
            <w:rStyle w:val="Hyperlink"/>
            <w:rFonts w:cs="Calibri"/>
            <w:sz w:val="20"/>
            <w:szCs w:val="20"/>
            <w:lang w:eastAsia="en-IE"/>
          </w:rPr>
          <w:t>https://www.mhcirl.ie/File/2018_AR_Incl_OIMS.pdf</w:t>
        </w:r>
      </w:hyperlink>
    </w:p>
  </w:footnote>
  <w:footnote w:id="34">
    <w:p w14:paraId="16FC5D46" w14:textId="769A380A" w:rsidR="00267385" w:rsidRPr="00491128" w:rsidRDefault="00267385" w:rsidP="00491128">
      <w:pPr>
        <w:spacing w:after="0"/>
        <w:rPr>
          <w:rFonts w:cs="Calibri"/>
          <w:color w:val="0563C1"/>
          <w:u w:val="single"/>
          <w:lang w:eastAsia="en-IE"/>
        </w:rPr>
      </w:pPr>
      <w:r w:rsidRPr="00D431B3">
        <w:rPr>
          <w:rStyle w:val="FootnoteReference"/>
          <w:sz w:val="20"/>
          <w:szCs w:val="20"/>
        </w:rPr>
        <w:footnoteRef/>
      </w:r>
      <w:r w:rsidRPr="00D431B3">
        <w:rPr>
          <w:sz w:val="20"/>
          <w:szCs w:val="20"/>
        </w:rPr>
        <w:t xml:space="preserve"> </w:t>
      </w:r>
      <w:r w:rsidRPr="007374D0">
        <w:rPr>
          <w:sz w:val="20"/>
          <w:szCs w:val="20"/>
        </w:rPr>
        <w:t>Citizen</w:t>
      </w:r>
      <w:r w:rsidRPr="00D431B3">
        <w:rPr>
          <w:sz w:val="20"/>
          <w:szCs w:val="20"/>
        </w:rPr>
        <w:t xml:space="preserve">s Information Board. </w:t>
      </w:r>
      <w:r w:rsidRPr="00971552">
        <w:rPr>
          <w:i/>
          <w:sz w:val="20"/>
          <w:szCs w:val="20"/>
        </w:rPr>
        <w:t>Annual Report 2016.</w:t>
      </w:r>
      <w:r w:rsidRPr="00D431B3">
        <w:rPr>
          <w:sz w:val="20"/>
          <w:szCs w:val="20"/>
        </w:rPr>
        <w:t xml:space="preserve"> </w:t>
      </w:r>
      <w:r>
        <w:rPr>
          <w:sz w:val="20"/>
          <w:szCs w:val="20"/>
        </w:rPr>
        <w:t xml:space="preserve">2017. </w:t>
      </w:r>
      <w:hyperlink r:id="rId30" w:history="1">
        <w:r w:rsidRPr="00971552">
          <w:rPr>
            <w:rStyle w:val="Hyperlink"/>
            <w:sz w:val="20"/>
            <w:szCs w:val="20"/>
          </w:rPr>
          <w:t>https://www.citizensinformationboard.ie/downloads/cib/annual_report_2016_en.pdf</w:t>
        </w:r>
      </w:hyperlink>
      <w:r>
        <w:rPr>
          <w:rFonts w:cs="Calibri"/>
          <w:color w:val="000000" w:themeColor="text1"/>
          <w:sz w:val="20"/>
          <w:szCs w:val="20"/>
          <w:lang w:eastAsia="en-IE"/>
        </w:rPr>
        <w:t xml:space="preserve"> </w:t>
      </w:r>
    </w:p>
  </w:footnote>
  <w:footnote w:id="35">
    <w:p w14:paraId="7C6C20DE" w14:textId="31FC69E4" w:rsidR="00267385" w:rsidRDefault="00267385">
      <w:pPr>
        <w:pStyle w:val="FootnoteText"/>
      </w:pPr>
      <w:r>
        <w:rPr>
          <w:rStyle w:val="FootnoteReference"/>
        </w:rPr>
        <w:footnoteRef/>
      </w:r>
      <w:r>
        <w:t xml:space="preserve"> Citizens Information Board. </w:t>
      </w:r>
      <w:r w:rsidRPr="00491128">
        <w:rPr>
          <w:i/>
        </w:rPr>
        <w:t>Annual Report 2018.</w:t>
      </w:r>
      <w:r>
        <w:t xml:space="preserve"> 2019. </w:t>
      </w:r>
      <w:hyperlink r:id="rId31" w:history="1">
        <w:r>
          <w:rPr>
            <w:rStyle w:val="Hyperlink"/>
          </w:rPr>
          <w:t>https://www.citizensinformationboard.ie/downloads/cib/annual_report_2018_en.pdf</w:t>
        </w:r>
      </w:hyperlink>
    </w:p>
  </w:footnote>
  <w:footnote w:id="36">
    <w:p w14:paraId="2F3B82E3" w14:textId="2CA916A3" w:rsidR="00267385" w:rsidRDefault="00267385">
      <w:pPr>
        <w:pStyle w:val="FootnoteText"/>
      </w:pPr>
      <w:r>
        <w:rPr>
          <w:rStyle w:val="FootnoteReference"/>
        </w:rPr>
        <w:footnoteRef/>
      </w:r>
      <w:r>
        <w:t xml:space="preserve"> National Advocacy Service. </w:t>
      </w:r>
      <w:r w:rsidRPr="00491128">
        <w:rPr>
          <w:i/>
        </w:rPr>
        <w:t>Annual Report 2018.</w:t>
      </w:r>
      <w:r>
        <w:rPr>
          <w:i/>
        </w:rPr>
        <w:t xml:space="preserve"> </w:t>
      </w:r>
      <w:r w:rsidRPr="004619E4">
        <w:t>2019.</w:t>
      </w:r>
      <w:r>
        <w:t xml:space="preserve"> </w:t>
      </w:r>
      <w:hyperlink r:id="rId32" w:history="1">
        <w:r>
          <w:rPr>
            <w:rStyle w:val="Hyperlink"/>
          </w:rPr>
          <w:t>https://advocacy.ie/app/uploads/2019/09/NAS-Annual-Report-2018-published-September-2019.pdf</w:t>
        </w:r>
      </w:hyperlink>
    </w:p>
  </w:footnote>
  <w:footnote w:id="37">
    <w:p w14:paraId="3389662B" w14:textId="704717AF" w:rsidR="00267385" w:rsidRPr="00491128" w:rsidRDefault="00267385" w:rsidP="00491128">
      <w:pPr>
        <w:spacing w:after="0"/>
        <w:rPr>
          <w:rFonts w:cs="Calibri"/>
          <w:color w:val="0563C1"/>
          <w:u w:val="single"/>
          <w:lang w:eastAsia="en-IE"/>
        </w:rPr>
      </w:pPr>
      <w:r w:rsidRPr="009D1C0F">
        <w:rPr>
          <w:rStyle w:val="FootnoteReference"/>
          <w:sz w:val="20"/>
          <w:szCs w:val="20"/>
        </w:rPr>
        <w:footnoteRef/>
      </w:r>
      <w:r w:rsidRPr="009D1C0F">
        <w:rPr>
          <w:sz w:val="20"/>
          <w:szCs w:val="20"/>
        </w:rPr>
        <w:t xml:space="preserve"> </w:t>
      </w:r>
      <w:r w:rsidRPr="00971552">
        <w:rPr>
          <w:color w:val="000000" w:themeColor="text1"/>
          <w:sz w:val="20"/>
          <w:szCs w:val="20"/>
        </w:rPr>
        <w:t xml:space="preserve">HSE. </w:t>
      </w:r>
      <w:r w:rsidRPr="00971552">
        <w:rPr>
          <w:i/>
          <w:color w:val="000000" w:themeColor="text1"/>
          <w:sz w:val="20"/>
          <w:szCs w:val="20"/>
        </w:rPr>
        <w:t>2016 Safeguarding Data Report. The National Safeguarding Office.</w:t>
      </w:r>
      <w:r>
        <w:rPr>
          <w:color w:val="000000" w:themeColor="text1"/>
          <w:sz w:val="20"/>
          <w:szCs w:val="20"/>
        </w:rPr>
        <w:t xml:space="preserve"> 2017.</w:t>
      </w:r>
      <w:r w:rsidRPr="00971552">
        <w:rPr>
          <w:color w:val="000000" w:themeColor="text1"/>
          <w:sz w:val="20"/>
          <w:szCs w:val="20"/>
        </w:rPr>
        <w:t xml:space="preserve"> </w:t>
      </w:r>
      <w:hyperlink r:id="rId33" w:history="1">
        <w:r w:rsidRPr="00971552">
          <w:rPr>
            <w:rStyle w:val="Hyperlink"/>
            <w:sz w:val="20"/>
            <w:szCs w:val="20"/>
          </w:rPr>
          <w:t>https://www.hse.ie/eng/services/publications/olderpeople/safeguarding-data-report-2016.pdf</w:t>
        </w:r>
      </w:hyperlink>
    </w:p>
  </w:footnote>
  <w:footnote w:id="38">
    <w:p w14:paraId="3884B59C" w14:textId="78754A0C" w:rsidR="00267385" w:rsidRDefault="00267385" w:rsidP="004619E4">
      <w:pPr>
        <w:spacing w:after="0"/>
      </w:pPr>
      <w:r w:rsidRPr="00491128">
        <w:rPr>
          <w:rStyle w:val="FootnoteReference"/>
          <w:sz w:val="20"/>
          <w:szCs w:val="20"/>
        </w:rPr>
        <w:footnoteRef/>
      </w:r>
      <w:r w:rsidRPr="00971552">
        <w:rPr>
          <w:color w:val="000000" w:themeColor="text1"/>
          <w:sz w:val="20"/>
          <w:szCs w:val="20"/>
        </w:rPr>
        <w:t xml:space="preserve">HSE. </w:t>
      </w:r>
      <w:r w:rsidRPr="00971552">
        <w:rPr>
          <w:i/>
          <w:color w:val="000000" w:themeColor="text1"/>
          <w:sz w:val="20"/>
          <w:szCs w:val="20"/>
        </w:rPr>
        <w:t>2018 Safeguarding Data Report. The National Safeguarding Office.</w:t>
      </w:r>
      <w:r w:rsidRPr="00971552">
        <w:rPr>
          <w:color w:val="000000" w:themeColor="text1"/>
          <w:sz w:val="20"/>
          <w:szCs w:val="20"/>
        </w:rPr>
        <w:t xml:space="preserve"> </w:t>
      </w:r>
      <w:r>
        <w:rPr>
          <w:color w:val="000000" w:themeColor="text1"/>
          <w:sz w:val="20"/>
          <w:szCs w:val="20"/>
        </w:rPr>
        <w:t xml:space="preserve">2019. </w:t>
      </w:r>
      <w:hyperlink r:id="rId34" w:history="1">
        <w:r w:rsidRPr="00971552">
          <w:rPr>
            <w:rStyle w:val="Hyperlink"/>
            <w:sz w:val="20"/>
            <w:szCs w:val="20"/>
          </w:rPr>
          <w:t>https://www.hse.ie/eng/about/who/socialcare/safeguardingvulnerableadults/safeguarding%20report%202018.pdf</w:t>
        </w:r>
      </w:hyperlink>
    </w:p>
  </w:footnote>
  <w:footnote w:id="39">
    <w:p w14:paraId="1E5CB526" w14:textId="148546DF" w:rsidR="00267385" w:rsidRDefault="00267385" w:rsidP="004168BA">
      <w:pPr>
        <w:pStyle w:val="FootnoteText"/>
      </w:pPr>
      <w:r>
        <w:rPr>
          <w:rStyle w:val="FootnoteReference"/>
        </w:rPr>
        <w:footnoteRef/>
      </w:r>
      <w:r>
        <w:t xml:space="preserve"> HSE. </w:t>
      </w:r>
      <w:r w:rsidRPr="00491128">
        <w:rPr>
          <w:i/>
        </w:rPr>
        <w:t>Confidential Recipient. Annual Report 2018.</w:t>
      </w:r>
      <w:r>
        <w:t xml:space="preserve"> 2019. </w:t>
      </w:r>
      <w:hyperlink r:id="rId35" w:history="1">
        <w:r w:rsidRPr="00A76D37">
          <w:rPr>
            <w:rStyle w:val="Hyperlink"/>
          </w:rPr>
          <w:t>https://www.hse.ie/eng/services/publications/disability/confidential-recipient-annual-report-2018.pdf</w:t>
        </w:r>
      </w:hyperlink>
      <w:r>
        <w:t xml:space="preserve"> </w:t>
      </w:r>
    </w:p>
  </w:footnote>
  <w:footnote w:id="40">
    <w:p w14:paraId="40A76DD1" w14:textId="5B11D353" w:rsidR="00267385" w:rsidRDefault="00267385">
      <w:pPr>
        <w:pStyle w:val="FootnoteText"/>
      </w:pPr>
      <w:r>
        <w:rPr>
          <w:rStyle w:val="FootnoteReference"/>
        </w:rPr>
        <w:footnoteRef/>
      </w:r>
      <w:r>
        <w:t xml:space="preserve"> Law Reform Commission. </w:t>
      </w:r>
      <w:r w:rsidRPr="00491128">
        <w:rPr>
          <w:i/>
        </w:rPr>
        <w:t>Issues Paper. A Regulatory Framework for Adult Safeguarding.</w:t>
      </w:r>
      <w:r>
        <w:t xml:space="preserve"> 2019. </w:t>
      </w:r>
      <w:hyperlink r:id="rId36" w:history="1">
        <w:r>
          <w:rPr>
            <w:rStyle w:val="Hyperlink"/>
          </w:rPr>
          <w:t>https://www.lawreform.ie/_fileupload/Issues%20Papers/LRC%20IP%2018-2019%20A%20Regulatory%20Framework%20For%20Adult%20Safegaurding.pdf</w:t>
        </w:r>
      </w:hyperlink>
    </w:p>
  </w:footnote>
  <w:footnote w:id="41">
    <w:p w14:paraId="19C08E90" w14:textId="44ABDF3D" w:rsidR="00267385" w:rsidRPr="00491128" w:rsidRDefault="00267385">
      <w:pPr>
        <w:pStyle w:val="FootnoteText"/>
        <w:rPr>
          <w:highlight w:val="yellow"/>
        </w:rPr>
      </w:pPr>
      <w:r w:rsidRPr="005973AE">
        <w:rPr>
          <w:rStyle w:val="FootnoteReference"/>
        </w:rPr>
        <w:footnoteRef/>
      </w:r>
      <w:r w:rsidRPr="005973AE">
        <w:t xml:space="preserve"> </w:t>
      </w:r>
      <w:r>
        <w:t>Sign Language Interpreting Service (</w:t>
      </w:r>
      <w:r w:rsidRPr="005973AE">
        <w:t>SLIS</w:t>
      </w:r>
      <w:r>
        <w:t>), 2016 (received directly from SLIS)</w:t>
      </w:r>
      <w:r w:rsidRPr="005973AE">
        <w:t>.</w:t>
      </w:r>
    </w:p>
  </w:footnote>
  <w:footnote w:id="42">
    <w:p w14:paraId="68AB8A30" w14:textId="089A7932" w:rsidR="00267385" w:rsidRDefault="00267385">
      <w:pPr>
        <w:pStyle w:val="FootnoteText"/>
      </w:pPr>
      <w:r w:rsidRPr="005973AE">
        <w:rPr>
          <w:rStyle w:val="FootnoteReference"/>
        </w:rPr>
        <w:footnoteRef/>
      </w:r>
      <w:r w:rsidRPr="005973AE">
        <w:t xml:space="preserve"> </w:t>
      </w:r>
      <w:r>
        <w:t>Sign Language Interpreting Service (</w:t>
      </w:r>
      <w:r w:rsidRPr="005973AE">
        <w:t>SLIS</w:t>
      </w:r>
      <w:r>
        <w:t>), 2018 (received directly from SLIS)</w:t>
      </w:r>
      <w:r w:rsidRPr="005973AE">
        <w:t>.</w:t>
      </w:r>
    </w:p>
  </w:footnote>
  <w:footnote w:id="43">
    <w:p w14:paraId="1846872D" w14:textId="70254A1E" w:rsidR="00267385" w:rsidRDefault="00267385" w:rsidP="00552E61">
      <w:pPr>
        <w:spacing w:after="0"/>
      </w:pPr>
      <w:r>
        <w:rPr>
          <w:rStyle w:val="FootnoteReference"/>
        </w:rPr>
        <w:footnoteRef/>
      </w:r>
      <w:r>
        <w:t xml:space="preserve"> </w:t>
      </w:r>
      <w:r w:rsidRPr="007374D0">
        <w:rPr>
          <w:sz w:val="20"/>
          <w:szCs w:val="20"/>
        </w:rPr>
        <w:t>Citizen</w:t>
      </w:r>
      <w:r w:rsidRPr="00D431B3">
        <w:rPr>
          <w:sz w:val="20"/>
          <w:szCs w:val="20"/>
        </w:rPr>
        <w:t xml:space="preserve">s Information Board. </w:t>
      </w:r>
      <w:r w:rsidRPr="001D43C2">
        <w:rPr>
          <w:i/>
          <w:sz w:val="20"/>
          <w:szCs w:val="20"/>
        </w:rPr>
        <w:t>Annual Report 2016.</w:t>
      </w:r>
      <w:r w:rsidRPr="00D431B3">
        <w:rPr>
          <w:sz w:val="20"/>
          <w:szCs w:val="20"/>
        </w:rPr>
        <w:t xml:space="preserve"> </w:t>
      </w:r>
      <w:r>
        <w:rPr>
          <w:sz w:val="20"/>
          <w:szCs w:val="20"/>
        </w:rPr>
        <w:t xml:space="preserve">2017. </w:t>
      </w:r>
      <w:hyperlink r:id="rId37" w:history="1">
        <w:r w:rsidRPr="001D43C2">
          <w:rPr>
            <w:rStyle w:val="Hyperlink"/>
            <w:rFonts w:cs="Calibri"/>
            <w:sz w:val="20"/>
            <w:szCs w:val="20"/>
            <w:lang w:eastAsia="en-IE"/>
          </w:rPr>
          <w:t>https://www.citizensinformationboard.ie/downloads/cib/annual_report_2016_en.pdf</w:t>
        </w:r>
      </w:hyperlink>
    </w:p>
  </w:footnote>
  <w:footnote w:id="44">
    <w:p w14:paraId="15AED827" w14:textId="5254D994" w:rsidR="00267385" w:rsidRDefault="00267385">
      <w:pPr>
        <w:pStyle w:val="FootnoteText"/>
      </w:pPr>
      <w:r>
        <w:rPr>
          <w:rStyle w:val="FootnoteReference"/>
        </w:rPr>
        <w:footnoteRef/>
      </w:r>
      <w:r>
        <w:t xml:space="preserve"> Citizens Information Board. </w:t>
      </w:r>
      <w:r w:rsidRPr="00A77256">
        <w:rPr>
          <w:i/>
        </w:rPr>
        <w:t>Annual Report 2018.</w:t>
      </w:r>
      <w:r>
        <w:t xml:space="preserve"> 2019. </w:t>
      </w:r>
      <w:hyperlink r:id="rId38" w:history="1">
        <w:r>
          <w:rPr>
            <w:rStyle w:val="Hyperlink"/>
          </w:rPr>
          <w:t>https://www.citizensinformationboard.ie/downloads/cib/annual_report_2018_en.pdf</w:t>
        </w:r>
      </w:hyperlink>
    </w:p>
  </w:footnote>
  <w:footnote w:id="45">
    <w:p w14:paraId="4CE1DA13" w14:textId="61995470" w:rsidR="00267385" w:rsidRPr="00491128" w:rsidRDefault="00267385" w:rsidP="00491128">
      <w:pPr>
        <w:spacing w:after="0"/>
        <w:rPr>
          <w:rFonts w:cs="Calibri"/>
          <w:color w:val="0563C1"/>
          <w:u w:val="single"/>
          <w:lang w:eastAsia="en-IE"/>
        </w:rPr>
      </w:pPr>
      <w:r w:rsidRPr="00E21FBE">
        <w:rPr>
          <w:rStyle w:val="FootnoteReference"/>
          <w:sz w:val="20"/>
          <w:szCs w:val="20"/>
        </w:rPr>
        <w:footnoteRef/>
      </w:r>
      <w:r w:rsidRPr="00E21FBE">
        <w:rPr>
          <w:sz w:val="20"/>
          <w:szCs w:val="20"/>
        </w:rPr>
        <w:t xml:space="preserve"> Ireland, </w:t>
      </w:r>
      <w:r w:rsidRPr="00E21FBE">
        <w:rPr>
          <w:i/>
          <w:sz w:val="20"/>
          <w:szCs w:val="20"/>
        </w:rPr>
        <w:t xml:space="preserve">Irish Sign Language Act 2017. </w:t>
      </w:r>
      <w:hyperlink r:id="rId39" w:history="1">
        <w:r w:rsidRPr="00667A1A">
          <w:rPr>
            <w:rStyle w:val="Hyperlink"/>
            <w:sz w:val="20"/>
            <w:szCs w:val="20"/>
          </w:rPr>
          <w:t>https://www.oireachtas.ie/en/bills/bill/2016/78/</w:t>
        </w:r>
      </w:hyperlink>
    </w:p>
  </w:footnote>
  <w:footnote w:id="46">
    <w:p w14:paraId="2B01E0B2" w14:textId="5FC0674A" w:rsidR="00267385" w:rsidRDefault="00267385" w:rsidP="007374D0">
      <w:pPr>
        <w:pStyle w:val="FootnoteText"/>
      </w:pPr>
      <w:r>
        <w:rPr>
          <w:rStyle w:val="FootnoteReference"/>
        </w:rPr>
        <w:footnoteRef/>
      </w:r>
      <w:r>
        <w:t xml:space="preserve"> Eurofound. </w:t>
      </w:r>
      <w:r w:rsidRPr="00491128">
        <w:rPr>
          <w:i/>
        </w:rPr>
        <w:t>The Social and Employment Situation of People with Disabilities.</w:t>
      </w:r>
      <w:r>
        <w:t xml:space="preserve"> 2018. </w:t>
      </w:r>
      <w:hyperlink r:id="rId40" w:history="1">
        <w:r w:rsidRPr="00A76D37">
          <w:rPr>
            <w:rStyle w:val="Hyperlink"/>
          </w:rPr>
          <w:t>https://www.eurofound.europa.eu/sites/default/files/ef_publication/field_ef_document/ef18023en.pdf</w:t>
        </w:r>
      </w:hyperlink>
      <w:r>
        <w:t xml:space="preserve"> </w:t>
      </w:r>
    </w:p>
  </w:footnote>
  <w:footnote w:id="47">
    <w:p w14:paraId="184CC064" w14:textId="2A2C8E69" w:rsidR="00267385" w:rsidRDefault="00267385">
      <w:pPr>
        <w:pStyle w:val="FootnoteText"/>
      </w:pPr>
      <w:r>
        <w:rPr>
          <w:rStyle w:val="FootnoteReference"/>
        </w:rPr>
        <w:footnoteRef/>
      </w:r>
      <w:r>
        <w:t xml:space="preserve"> NDA &amp; OPW. </w:t>
      </w:r>
      <w:r w:rsidRPr="00491128">
        <w:rPr>
          <w:i/>
        </w:rPr>
        <w:t>An Operational Review of the Effectiveness of Section 25 of the Disability Act.</w:t>
      </w:r>
      <w:r>
        <w:t xml:space="preserve"> 2019. </w:t>
      </w:r>
      <w:hyperlink r:id="rId41" w:history="1">
        <w:r>
          <w:rPr>
            <w:rStyle w:val="Hyperlink"/>
          </w:rPr>
          <w:t>http://nda.ie/Publications/Environment-Housing/Environment-Publications/Operational-Review-of-the-Effectiveness-of-Section-25-of-the-Disability-Act-20051.pdf</w:t>
        </w:r>
      </w:hyperlink>
    </w:p>
  </w:footnote>
  <w:footnote w:id="48">
    <w:p w14:paraId="056F037C" w14:textId="6B60D266" w:rsidR="00267385" w:rsidRDefault="00267385">
      <w:pPr>
        <w:pStyle w:val="FootnoteText"/>
      </w:pPr>
      <w:r>
        <w:rPr>
          <w:rStyle w:val="FootnoteReference"/>
        </w:rPr>
        <w:footnoteRef/>
      </w:r>
      <w:r>
        <w:t xml:space="preserve"> Ireland, </w:t>
      </w:r>
      <w:r>
        <w:rPr>
          <w:i/>
        </w:rPr>
        <w:t xml:space="preserve">Disability Act 2005. Section 25. </w:t>
      </w:r>
      <w:hyperlink r:id="rId42" w:history="1">
        <w:r>
          <w:rPr>
            <w:rStyle w:val="Hyperlink"/>
          </w:rPr>
          <w:t>http://www.irishstatutebook.ie/eli/2005/act/14/section/25/enacted/en/html</w:t>
        </w:r>
      </w:hyperlink>
    </w:p>
  </w:footnote>
  <w:footnote w:id="49">
    <w:p w14:paraId="3A14869D" w14:textId="068B1C0C" w:rsidR="00267385" w:rsidRPr="00491128" w:rsidRDefault="00267385" w:rsidP="00191848">
      <w:pPr>
        <w:pStyle w:val="FootnoteText"/>
        <w:rPr>
          <w:i/>
        </w:rPr>
      </w:pPr>
      <w:r>
        <w:rPr>
          <w:rStyle w:val="FootnoteReference"/>
        </w:rPr>
        <w:footnoteRef/>
      </w:r>
      <w:r>
        <w:t xml:space="preserve"> NCCA. </w:t>
      </w:r>
      <w:r w:rsidRPr="00491128">
        <w:rPr>
          <w:i/>
        </w:rPr>
        <w:t>Transition: Moving from Preschool to Primary. Suggested Activities for Preschools to Support</w:t>
      </w:r>
      <w:r w:rsidRPr="007374D0">
        <w:rPr>
          <w:i/>
        </w:rPr>
        <w:t xml:space="preserve"> a</w:t>
      </w:r>
      <w:r>
        <w:rPr>
          <w:i/>
        </w:rPr>
        <w:t xml:space="preserve"> </w:t>
      </w:r>
      <w:r w:rsidRPr="00491128">
        <w:rPr>
          <w:i/>
        </w:rPr>
        <w:t>Positive Transition to School.</w:t>
      </w:r>
      <w:r>
        <w:t xml:space="preserve"> 2018. </w:t>
      </w:r>
      <w:hyperlink r:id="rId43" w:history="1">
        <w:r>
          <w:rPr>
            <w:rStyle w:val="Hyperlink"/>
          </w:rPr>
          <w:t>https://ncca.ie/media/3755/suggested-transition-activities-for-preschools.pdf</w:t>
        </w:r>
      </w:hyperlink>
    </w:p>
  </w:footnote>
  <w:footnote w:id="50">
    <w:p w14:paraId="5F334E9D" w14:textId="4D26D358" w:rsidR="00267385" w:rsidRPr="00491128" w:rsidRDefault="00267385" w:rsidP="007374D0">
      <w:pPr>
        <w:pStyle w:val="FootnoteText"/>
        <w:rPr>
          <w:i/>
        </w:rPr>
      </w:pPr>
      <w:r>
        <w:rPr>
          <w:rStyle w:val="FootnoteReference"/>
        </w:rPr>
        <w:footnoteRef/>
      </w:r>
      <w:r>
        <w:t xml:space="preserve"> Government of Ireland. </w:t>
      </w:r>
      <w:r w:rsidRPr="00491128">
        <w:rPr>
          <w:i/>
        </w:rPr>
        <w:t>First 5. A Whole-of-Governm</w:t>
      </w:r>
      <w:r w:rsidRPr="007374D0">
        <w:rPr>
          <w:i/>
        </w:rPr>
        <w:t>ent Strategy for</w:t>
      </w:r>
      <w:r>
        <w:rPr>
          <w:i/>
        </w:rPr>
        <w:t xml:space="preserve"> </w:t>
      </w:r>
      <w:r w:rsidRPr="00491128">
        <w:rPr>
          <w:i/>
        </w:rPr>
        <w:t>Babies, Young Children and their Families 2019-2028.</w:t>
      </w:r>
      <w:r>
        <w:rPr>
          <w:i/>
        </w:rPr>
        <w:t xml:space="preserve"> </w:t>
      </w:r>
      <w:r w:rsidRPr="004619E4">
        <w:t>2018.</w:t>
      </w:r>
      <w:r>
        <w:t xml:space="preserve"> </w:t>
      </w:r>
      <w:hyperlink r:id="rId44" w:history="1">
        <w:r>
          <w:rPr>
            <w:rStyle w:val="Hyperlink"/>
          </w:rPr>
          <w:t>https://assets.gov.ie/31184/62acc54f4bdf4405b74e53a4afb8e71b.pdf</w:t>
        </w:r>
      </w:hyperlink>
    </w:p>
  </w:footnote>
  <w:footnote w:id="51">
    <w:p w14:paraId="3DF01DEF" w14:textId="5B2AE60C" w:rsidR="00267385" w:rsidRDefault="00267385">
      <w:pPr>
        <w:pStyle w:val="FootnoteText"/>
      </w:pPr>
      <w:r>
        <w:rPr>
          <w:rStyle w:val="FootnoteReference"/>
        </w:rPr>
        <w:footnoteRef/>
      </w:r>
      <w:r>
        <w:t xml:space="preserve"> Indecon. </w:t>
      </w:r>
      <w:r w:rsidRPr="00491128">
        <w:rPr>
          <w:i/>
        </w:rPr>
        <w:t>Review of Career Guidance. Final Report.</w:t>
      </w:r>
      <w:r>
        <w:t xml:space="preserve"> 2019. </w:t>
      </w:r>
      <w:hyperlink r:id="rId45" w:history="1">
        <w:r>
          <w:rPr>
            <w:rStyle w:val="Hyperlink"/>
          </w:rPr>
          <w:t>https://www.education.ie/en/Publications/Education-Reports/indecon-review-of-career-guidance.pdf</w:t>
        </w:r>
      </w:hyperlink>
    </w:p>
  </w:footnote>
  <w:footnote w:id="52">
    <w:p w14:paraId="074971AE" w14:textId="4F96C5D0" w:rsidR="00267385" w:rsidRDefault="00267385" w:rsidP="00B45EB7">
      <w:pPr>
        <w:pStyle w:val="FootnoteText"/>
      </w:pPr>
      <w:r>
        <w:rPr>
          <w:rStyle w:val="FootnoteReference"/>
        </w:rPr>
        <w:footnoteRef/>
      </w:r>
      <w:r>
        <w:t xml:space="preserve"> NCSE. </w:t>
      </w:r>
      <w:r w:rsidRPr="00491128">
        <w:rPr>
          <w:i/>
        </w:rPr>
        <w:t>Leaving School? Information on some Post-School Options for Rehabilitative Training and Adult Day Services.</w:t>
      </w:r>
      <w:r>
        <w:t xml:space="preserve"> 2018. </w:t>
      </w:r>
      <w:hyperlink r:id="rId46" w:history="1">
        <w:r>
          <w:rPr>
            <w:rStyle w:val="Hyperlink"/>
          </w:rPr>
          <w:t>https://ncse.ie/wp-content/uploads/2018/04/NCSE-Post-School-Options.pdf</w:t>
        </w:r>
      </w:hyperlink>
    </w:p>
  </w:footnote>
  <w:footnote w:id="53">
    <w:p w14:paraId="2FE681A1" w14:textId="08CCDB5B" w:rsidR="00267385" w:rsidRDefault="00267385">
      <w:pPr>
        <w:pStyle w:val="FootnoteText"/>
      </w:pPr>
      <w:r>
        <w:rPr>
          <w:rStyle w:val="FootnoteReference"/>
        </w:rPr>
        <w:footnoteRef/>
      </w:r>
      <w:r>
        <w:t xml:space="preserve"> HIQA. </w:t>
      </w:r>
      <w:r w:rsidRPr="00491128">
        <w:rPr>
          <w:i/>
        </w:rPr>
        <w:t>Inspection Reports.</w:t>
      </w:r>
      <w:r>
        <w:t xml:space="preserve"> </w:t>
      </w:r>
      <w:hyperlink r:id="rId47" w:history="1">
        <w:r w:rsidRPr="00444D20">
          <w:rPr>
            <w:rStyle w:val="Hyperlink"/>
          </w:rPr>
          <w:t>https://www.hiqa.ie/reports-and-publications/inspection-reports</w:t>
        </w:r>
      </w:hyperlink>
      <w:r>
        <w:t xml:space="preserve"> </w:t>
      </w:r>
    </w:p>
  </w:footnote>
  <w:footnote w:id="54">
    <w:p w14:paraId="63D6FF9A" w14:textId="4C0A0645" w:rsidR="00267385" w:rsidRDefault="00267385" w:rsidP="0028413F">
      <w:pPr>
        <w:pStyle w:val="FootnoteText"/>
      </w:pPr>
      <w:r>
        <w:rPr>
          <w:rStyle w:val="FootnoteReference"/>
        </w:rPr>
        <w:footnoteRef/>
      </w:r>
      <w:r>
        <w:t xml:space="preserve"> HSE. </w:t>
      </w:r>
      <w:r w:rsidRPr="00491128">
        <w:rPr>
          <w:i/>
        </w:rPr>
        <w:t>New Directions. Interim Standards for New Directions, Services and Supports for Adults with Disabilities.</w:t>
      </w:r>
      <w:r>
        <w:t xml:space="preserve"> 2015.</w:t>
      </w:r>
      <w:r>
        <w:rPr>
          <w:rStyle w:val="FootnoteReference"/>
        </w:rPr>
        <w:t xml:space="preserve"> </w:t>
      </w:r>
      <w:hyperlink r:id="rId48" w:history="1">
        <w:r>
          <w:rPr>
            <w:rStyle w:val="Hyperlink"/>
          </w:rPr>
          <w:t>https://www.hse.ie/eng/services/list/4/disability/newdirections/interim%20standards%20for%20new%20directions%20report.pdf</w:t>
        </w:r>
      </w:hyperlink>
    </w:p>
  </w:footnote>
  <w:footnote w:id="55">
    <w:p w14:paraId="0ED16956" w14:textId="31907D35" w:rsidR="00267385" w:rsidRDefault="00267385">
      <w:pPr>
        <w:pStyle w:val="FootnoteText"/>
      </w:pPr>
      <w:r>
        <w:rPr>
          <w:rStyle w:val="FootnoteReference"/>
        </w:rPr>
        <w:footnoteRef/>
      </w:r>
      <w:r>
        <w:t xml:space="preserve"> Department of Justice and Equality. </w:t>
      </w:r>
      <w:r w:rsidRPr="00491128">
        <w:rPr>
          <w:i/>
        </w:rPr>
        <w:t>Midterm Review of the National Disability Inclusion Strategy 2017-2021.</w:t>
      </w:r>
      <w:r>
        <w:t xml:space="preserve"> 2020. </w:t>
      </w:r>
      <w:hyperlink r:id="rId49" w:history="1">
        <w:r>
          <w:rPr>
            <w:rStyle w:val="Hyperlink"/>
          </w:rPr>
          <w:t>http://www.justice.ie/en/JELR/Midterm-Review-of-the-National-Disability-Inclusion-Strategy-2017-2021[1].pdf/Files/Midterm-Review-of-the-National-Disability-Inclusion-Strategy-2017-2021[1].pdf</w:t>
        </w:r>
      </w:hyperlink>
    </w:p>
  </w:footnote>
  <w:footnote w:id="56">
    <w:p w14:paraId="537D8DED" w14:textId="084DA94D" w:rsidR="00267385" w:rsidRDefault="00267385">
      <w:pPr>
        <w:pStyle w:val="FootnoteText"/>
      </w:pPr>
      <w:r>
        <w:rPr>
          <w:rStyle w:val="FootnoteReference"/>
        </w:rPr>
        <w:footnoteRef/>
      </w:r>
      <w:r>
        <w:t xml:space="preserve"> Government of Ireland. </w:t>
      </w:r>
      <w:r w:rsidRPr="00A77256">
        <w:rPr>
          <w:i/>
        </w:rPr>
        <w:t>Comprehensive Employment Strategy for People with Disabilities 2015-2024</w:t>
      </w:r>
      <w:r>
        <w:t xml:space="preserve">. 2015. </w:t>
      </w:r>
      <w:hyperlink r:id="rId50" w:history="1">
        <w:r w:rsidRPr="003B6642">
          <w:rPr>
            <w:rStyle w:val="Hyperlink"/>
          </w:rPr>
          <w:t>http://www.justice.ie/en/JELR/Comprehensive%20Employment%20Strategy%20for%20People%20with%20Disabilities%20-%20FINAL.pdf/Files/Comprehensive%20Employment%20Strategy%20for%20People%20with%20Disabilities%20-%20FINAL.pdf</w:t>
        </w:r>
      </w:hyperlink>
      <w:r>
        <w:t xml:space="preserve"> </w:t>
      </w:r>
    </w:p>
  </w:footnote>
  <w:footnote w:id="57">
    <w:p w14:paraId="3289FF83" w14:textId="05896FB8" w:rsidR="00267385" w:rsidRDefault="00267385" w:rsidP="00122723">
      <w:pPr>
        <w:pStyle w:val="FootnoteText"/>
      </w:pPr>
      <w:r>
        <w:rPr>
          <w:rStyle w:val="FootnoteReference"/>
        </w:rPr>
        <w:footnoteRef/>
      </w:r>
      <w:r>
        <w:t xml:space="preserve"> NDA.</w:t>
      </w:r>
      <w:r w:rsidRPr="00122723">
        <w:t xml:space="preserve"> </w:t>
      </w:r>
      <w:r w:rsidRPr="00122723">
        <w:rPr>
          <w:i/>
        </w:rPr>
        <w:t>Comprehensive Employment Strategy 2018: NDA Year-end Review.</w:t>
      </w:r>
      <w:r>
        <w:t xml:space="preserve"> 2019. </w:t>
      </w:r>
      <w:hyperlink r:id="rId51" w:history="1">
        <w:r w:rsidRPr="003B0906">
          <w:rPr>
            <w:rStyle w:val="Hyperlink"/>
          </w:rPr>
          <w:t>http://nda.ie/Publications/Employment/Employment-Publications/Comprehensive-Employment-Strategy-2018-NDA-Review1.pdf</w:t>
        </w:r>
      </w:hyperlink>
      <w:r>
        <w:t xml:space="preserve"> </w:t>
      </w:r>
    </w:p>
  </w:footnote>
  <w:footnote w:id="58">
    <w:p w14:paraId="5F033D84" w14:textId="71B3FF03" w:rsidR="00267385" w:rsidRDefault="00267385" w:rsidP="001348EC">
      <w:pPr>
        <w:pStyle w:val="FootnoteText"/>
      </w:pPr>
      <w:r>
        <w:rPr>
          <w:rStyle w:val="FootnoteReference"/>
        </w:rPr>
        <w:footnoteRef/>
      </w:r>
      <w:r>
        <w:rPr>
          <w:i/>
        </w:rPr>
        <w:t xml:space="preserve"> </w:t>
      </w:r>
      <w:r w:rsidRPr="00491128">
        <w:t>Department of Social Protection.</w:t>
      </w:r>
      <w:r>
        <w:rPr>
          <w:i/>
        </w:rPr>
        <w:t xml:space="preserve"> </w:t>
      </w:r>
      <w:r w:rsidRPr="00491128">
        <w:rPr>
          <w:i/>
        </w:rPr>
        <w:t>Make Work Pay for People with Disabilities. Report to Government 2017.</w:t>
      </w:r>
      <w:r>
        <w:t xml:space="preserve"> 2017.  </w:t>
      </w:r>
      <w:hyperlink r:id="rId52" w:history="1">
        <w:r>
          <w:rPr>
            <w:rStyle w:val="Hyperlink"/>
          </w:rPr>
          <w:t>https://assets.gov.ie/10940/c4c20348897148eb9a50ac2755fd680f.pdf</w:t>
        </w:r>
      </w:hyperlink>
    </w:p>
  </w:footnote>
  <w:footnote w:id="59">
    <w:p w14:paraId="312FB956" w14:textId="37B8709A" w:rsidR="00267385" w:rsidRDefault="00267385" w:rsidP="00906D12">
      <w:pPr>
        <w:pStyle w:val="FootnoteText"/>
      </w:pPr>
      <w:r>
        <w:rPr>
          <w:rStyle w:val="FootnoteReference"/>
        </w:rPr>
        <w:footnoteRef/>
      </w:r>
      <w:r>
        <w:t xml:space="preserve"> Government of Ireland. </w:t>
      </w:r>
      <w:r w:rsidRPr="00491128">
        <w:rPr>
          <w:i/>
        </w:rPr>
        <w:t>Comprehensive Employment Strategy. Phase Two Action Plan 2019- 2021.</w:t>
      </w:r>
      <w:r>
        <w:t xml:space="preserve"> 2019. </w:t>
      </w:r>
      <w:hyperlink r:id="rId53" w:history="1">
        <w:r>
          <w:rPr>
            <w:rStyle w:val="Hyperlink"/>
          </w:rPr>
          <w:t>http://www.justice.ie/en/JELR/CES_Action_Plan_2019_to_2021.pdf/Files/CES_Action_Plan_2019_to_2021.pdf</w:t>
        </w:r>
      </w:hyperlink>
    </w:p>
  </w:footnote>
  <w:footnote w:id="60">
    <w:p w14:paraId="735EEB0A" w14:textId="577A3F5C" w:rsidR="00267385" w:rsidRDefault="00267385">
      <w:pPr>
        <w:pStyle w:val="FootnoteText"/>
      </w:pPr>
      <w:r>
        <w:rPr>
          <w:rStyle w:val="FootnoteReference"/>
        </w:rPr>
        <w:footnoteRef/>
      </w:r>
      <w:r>
        <w:t xml:space="preserve"> Mental Health Reform. </w:t>
      </w:r>
      <w:r w:rsidRPr="00491128">
        <w:rPr>
          <w:i/>
        </w:rPr>
        <w:t>Steps into Work: Integrating Employment and Mental Health Supports Project Final Report.</w:t>
      </w:r>
      <w:r>
        <w:t xml:space="preserve"> 2018. </w:t>
      </w:r>
      <w:hyperlink r:id="rId54" w:history="1">
        <w:r>
          <w:rPr>
            <w:rStyle w:val="Hyperlink"/>
          </w:rPr>
          <w:t>https://www.mentalhealthreform.ie/wp-content/uploads/2018/02/Steps-into-work-FINAL.pdf</w:t>
        </w:r>
      </w:hyperlink>
    </w:p>
  </w:footnote>
  <w:footnote w:id="61">
    <w:p w14:paraId="4E079409" w14:textId="2F7678D5" w:rsidR="00267385" w:rsidRDefault="00267385" w:rsidP="00A657FC">
      <w:pPr>
        <w:pStyle w:val="FootnoteText"/>
      </w:pPr>
      <w:r>
        <w:rPr>
          <w:rStyle w:val="FootnoteReference"/>
        </w:rPr>
        <w:footnoteRef/>
      </w:r>
      <w:r>
        <w:t xml:space="preserve"> Department of the Environment, Community &amp; Local Government. </w:t>
      </w:r>
      <w:r w:rsidRPr="00491128">
        <w:rPr>
          <w:i/>
        </w:rPr>
        <w:t>National Housing Strategy for People</w:t>
      </w:r>
      <w:r>
        <w:rPr>
          <w:i/>
        </w:rPr>
        <w:t xml:space="preserve"> </w:t>
      </w:r>
      <w:r w:rsidRPr="00491128">
        <w:rPr>
          <w:i/>
        </w:rPr>
        <w:t>with a Disability 2011 – 2016.</w:t>
      </w:r>
      <w:r>
        <w:t xml:space="preserve"> 2011. </w:t>
      </w:r>
      <w:hyperlink r:id="rId55" w:history="1">
        <w:r>
          <w:rPr>
            <w:rStyle w:val="Hyperlink"/>
          </w:rPr>
          <w:t>https://www.housing.gov.ie/sites/default/files/migrated-files/en/Publications/DevelopmentandHousing/Housing/FileDownLoad%2C30737%2Cen.pdf</w:t>
        </w:r>
      </w:hyperlink>
    </w:p>
  </w:footnote>
  <w:footnote w:id="62">
    <w:p w14:paraId="4E571994" w14:textId="68A15292" w:rsidR="00267385" w:rsidRDefault="00267385">
      <w:pPr>
        <w:pStyle w:val="FootnoteText"/>
      </w:pPr>
      <w:r w:rsidRPr="00B018D7">
        <w:rPr>
          <w:rStyle w:val="FootnoteReference"/>
        </w:rPr>
        <w:footnoteRef/>
      </w:r>
      <w:r w:rsidRPr="00B018D7">
        <w:t xml:space="preserve"> Communic</w:t>
      </w:r>
      <w:r w:rsidRPr="00B8185E">
        <w:t xml:space="preserve">ation with the </w:t>
      </w:r>
      <w:r w:rsidRPr="00491128">
        <w:t>HSE’s M</w:t>
      </w:r>
      <w:r w:rsidRPr="00B018D7">
        <w:t xml:space="preserve">ental </w:t>
      </w:r>
      <w:r w:rsidRPr="00491128">
        <w:t>H</w:t>
      </w:r>
      <w:r w:rsidRPr="00B018D7">
        <w:t xml:space="preserve">ealth </w:t>
      </w:r>
      <w:r w:rsidRPr="00491128">
        <w:t>Engage</w:t>
      </w:r>
      <w:r w:rsidRPr="00B018D7">
        <w:t xml:space="preserve"> office and at </w:t>
      </w:r>
      <w:hyperlink r:id="rId56" w:history="1">
        <w:r w:rsidRPr="00AE6451">
          <w:rPr>
            <w:rStyle w:val="Hyperlink"/>
          </w:rPr>
          <w:t>https://www.hse.ie/eng/services/list/4/mental-health-services/mentalhealthengagement/upcoming-events/upcoming-events-local-fora.pdf</w:t>
        </w:r>
      </w:hyperlink>
      <w:r>
        <w:t xml:space="preserve"> </w:t>
      </w:r>
    </w:p>
  </w:footnote>
  <w:footnote w:id="63">
    <w:p w14:paraId="5C65D08F" w14:textId="513AEA3A" w:rsidR="00267385" w:rsidRDefault="00267385">
      <w:pPr>
        <w:pStyle w:val="FootnoteText"/>
      </w:pPr>
      <w:r>
        <w:rPr>
          <w:rStyle w:val="FootnoteReference"/>
        </w:rPr>
        <w:footnoteRef/>
      </w:r>
      <w:r>
        <w:t xml:space="preserve"> Data not publically available. Information obtained directly from correspondence with DYCA.</w:t>
      </w:r>
    </w:p>
  </w:footnote>
  <w:footnote w:id="64">
    <w:p w14:paraId="1A20B3AA" w14:textId="3E54ED78" w:rsidR="00267385" w:rsidRPr="00F34856" w:rsidRDefault="00267385" w:rsidP="00331C1F">
      <w:pPr>
        <w:pStyle w:val="FootnoteText"/>
        <w:rPr>
          <w:sz w:val="22"/>
          <w:szCs w:val="22"/>
        </w:rPr>
      </w:pPr>
      <w:r w:rsidRPr="00F34856">
        <w:rPr>
          <w:rStyle w:val="FootnoteReference"/>
          <w:sz w:val="22"/>
          <w:szCs w:val="22"/>
        </w:rPr>
        <w:footnoteRef/>
      </w:r>
      <w:r w:rsidRPr="00F34856">
        <w:rPr>
          <w:sz w:val="22"/>
          <w:szCs w:val="22"/>
        </w:rPr>
        <w:t xml:space="preserve"> </w:t>
      </w:r>
      <w:r w:rsidRPr="00B95056">
        <w:t>RSM</w:t>
      </w:r>
      <w:r>
        <w:t xml:space="preserve">. </w:t>
      </w:r>
      <w:r w:rsidRPr="00491128">
        <w:rPr>
          <w:i/>
        </w:rPr>
        <w:t>An End of Year One Review of the Access and Inclusion Model (AIM).</w:t>
      </w:r>
      <w:r w:rsidRPr="00B95056">
        <w:t xml:space="preserve"> </w:t>
      </w:r>
      <w:r w:rsidRPr="00491128">
        <w:rPr>
          <w:i/>
        </w:rPr>
        <w:t>Department of Children and Youth Affairs.</w:t>
      </w:r>
      <w:r>
        <w:rPr>
          <w:i/>
        </w:rPr>
        <w:t xml:space="preserve"> </w:t>
      </w:r>
      <w:r>
        <w:t>2019.</w:t>
      </w:r>
      <w:r w:rsidRPr="00B95056">
        <w:t xml:space="preserve"> </w:t>
      </w:r>
      <w:hyperlink r:id="rId57" w:history="1">
        <w:r w:rsidRPr="00B95056">
          <w:rPr>
            <w:rStyle w:val="Hyperlink"/>
          </w:rPr>
          <w:t>https://aim.gov.ie/wp-content/uploads/2019/10/aim-end-of-year-one-review.pdf</w:t>
        </w:r>
      </w:hyperlink>
    </w:p>
  </w:footnote>
  <w:footnote w:id="65">
    <w:p w14:paraId="22AAB725" w14:textId="7FE7B049" w:rsidR="00267385" w:rsidRDefault="00267385">
      <w:pPr>
        <w:pStyle w:val="FootnoteText"/>
      </w:pPr>
      <w:r>
        <w:rPr>
          <w:rStyle w:val="FootnoteReference"/>
        </w:rPr>
        <w:footnoteRef/>
      </w:r>
      <w:r>
        <w:t xml:space="preserve"> Department of Education and Skills. </w:t>
      </w:r>
      <w:r w:rsidRPr="00EF040B">
        <w:rPr>
          <w:i/>
        </w:rPr>
        <w:t>Wellbeing Policy Statement and Framework for Practice.</w:t>
      </w:r>
      <w:r>
        <w:t xml:space="preserve"> 2019. </w:t>
      </w:r>
      <w:hyperlink r:id="rId58" w:history="1">
        <w:r w:rsidRPr="00671F4F">
          <w:rPr>
            <w:rStyle w:val="Hyperlink"/>
          </w:rPr>
          <w:t>https://www.education.ie/en/Publications/Policy-Reports/wellbeing-policy-statement-and-framework-for-practice-2018%E2%80%932023.pdf</w:t>
        </w:r>
      </w:hyperlink>
      <w:r>
        <w:t xml:space="preserve"> </w:t>
      </w:r>
    </w:p>
  </w:footnote>
  <w:footnote w:id="66">
    <w:p w14:paraId="73994C22" w14:textId="5BE157BC" w:rsidR="00267385" w:rsidRDefault="00267385">
      <w:pPr>
        <w:pStyle w:val="FootnoteText"/>
      </w:pPr>
      <w:r>
        <w:rPr>
          <w:rStyle w:val="FootnoteReference"/>
        </w:rPr>
        <w:footnoteRef/>
      </w:r>
      <w:r>
        <w:t xml:space="preserve"> Adrian Angold Elizabeth Costello e al., “</w:t>
      </w:r>
      <w:r w:rsidRPr="006E6098">
        <w:t xml:space="preserve">Development of a </w:t>
      </w:r>
      <w:r>
        <w:t>S</w:t>
      </w:r>
      <w:r w:rsidRPr="006E6098">
        <w:t xml:space="preserve">hort </w:t>
      </w:r>
      <w:r>
        <w:t>Q</w:t>
      </w:r>
      <w:r w:rsidRPr="006E6098">
        <w:t xml:space="preserve">uestionnaire for </w:t>
      </w:r>
      <w:r>
        <w:t>U</w:t>
      </w:r>
      <w:r w:rsidRPr="006E6098">
        <w:t xml:space="preserve">se in </w:t>
      </w:r>
      <w:r>
        <w:t>E</w:t>
      </w:r>
      <w:r w:rsidRPr="006E6098">
        <w:t xml:space="preserve">pidemiological </w:t>
      </w:r>
      <w:r>
        <w:t>S</w:t>
      </w:r>
      <w:r w:rsidRPr="006E6098">
        <w:t xml:space="preserve">tudies of </w:t>
      </w:r>
      <w:r>
        <w:t>D</w:t>
      </w:r>
      <w:r w:rsidRPr="006E6098">
        <w:t xml:space="preserve">epression in </w:t>
      </w:r>
      <w:r>
        <w:t>C</w:t>
      </w:r>
      <w:r w:rsidRPr="006E6098">
        <w:t xml:space="preserve">hildren and </w:t>
      </w:r>
      <w:r>
        <w:t>A</w:t>
      </w:r>
      <w:r w:rsidRPr="006E6098">
        <w:t>dolescents</w:t>
      </w:r>
      <w:r>
        <w:t>”</w:t>
      </w:r>
      <w:r w:rsidRPr="006E6098">
        <w:t xml:space="preserve"> </w:t>
      </w:r>
      <w:r w:rsidRPr="00491128">
        <w:rPr>
          <w:i/>
        </w:rPr>
        <w:t>International Journal of Methods in Psychiatric Research</w:t>
      </w:r>
      <w:r>
        <w:t xml:space="preserve"> 5, (1995):</w:t>
      </w:r>
      <w:r w:rsidRPr="006E6098">
        <w:t xml:space="preserve"> 237–249</w:t>
      </w:r>
      <w:r>
        <w:t>.</w:t>
      </w:r>
    </w:p>
  </w:footnote>
  <w:footnote w:id="67">
    <w:p w14:paraId="5B0AAA36" w14:textId="0E040215" w:rsidR="00267385" w:rsidRDefault="00267385">
      <w:pPr>
        <w:pStyle w:val="FootnoteText"/>
      </w:pPr>
      <w:r>
        <w:rPr>
          <w:rStyle w:val="FootnoteReference"/>
        </w:rPr>
        <w:footnoteRef/>
      </w:r>
      <w:r>
        <w:t xml:space="preserve"> Growing up in Ireland. </w:t>
      </w:r>
      <w:r w:rsidRPr="00491128">
        <w:rPr>
          <w:i/>
        </w:rPr>
        <w:t>Growing up in Ireland. Key Findings. Child Cohort at 17/18 years</w:t>
      </w:r>
      <w:r>
        <w:rPr>
          <w:i/>
        </w:rPr>
        <w:t>.</w:t>
      </w:r>
      <w:r>
        <w:t xml:space="preserve"> 2016. </w:t>
      </w:r>
      <w:hyperlink r:id="rId59" w:history="1">
        <w:r>
          <w:rPr>
            <w:rStyle w:val="Hyperlink"/>
          </w:rPr>
          <w:t>https://www.growingup.ie/pubs/SUSTAT58.pdf</w:t>
        </w:r>
      </w:hyperlink>
    </w:p>
  </w:footnote>
  <w:footnote w:id="68">
    <w:p w14:paraId="4330CF2E" w14:textId="39F8EE44" w:rsidR="00267385" w:rsidRDefault="00267385">
      <w:pPr>
        <w:pStyle w:val="FootnoteText"/>
      </w:pPr>
      <w:r>
        <w:rPr>
          <w:rStyle w:val="FootnoteReference"/>
        </w:rPr>
        <w:footnoteRef/>
      </w:r>
      <w:r>
        <w:t xml:space="preserve"> Robert Goodman</w:t>
      </w:r>
      <w:r w:rsidRPr="00015130">
        <w:t xml:space="preserve">. "The Strengths and Difficulties Questionnaire: </w:t>
      </w:r>
      <w:r>
        <w:t>A</w:t>
      </w:r>
      <w:r w:rsidRPr="00015130">
        <w:t xml:space="preserve"> </w:t>
      </w:r>
      <w:r>
        <w:t>R</w:t>
      </w:r>
      <w:r w:rsidRPr="00015130">
        <w:t xml:space="preserve">esearch </w:t>
      </w:r>
      <w:r>
        <w:t>N</w:t>
      </w:r>
      <w:r w:rsidRPr="00015130">
        <w:t xml:space="preserve">ote." </w:t>
      </w:r>
      <w:r w:rsidRPr="00491128">
        <w:rPr>
          <w:i/>
        </w:rPr>
        <w:t>Journal of Child Psychology and Psychiatry</w:t>
      </w:r>
      <w:r w:rsidRPr="00015130">
        <w:t xml:space="preserve"> 38, no. 5 (1997): 581-586.</w:t>
      </w:r>
    </w:p>
  </w:footnote>
  <w:footnote w:id="69">
    <w:p w14:paraId="4288F153" w14:textId="3FD2211C" w:rsidR="00267385" w:rsidRPr="000D5E32" w:rsidRDefault="00267385">
      <w:pPr>
        <w:pStyle w:val="FootnoteText"/>
      </w:pPr>
      <w:r w:rsidRPr="000D5E32">
        <w:rPr>
          <w:rStyle w:val="FootnoteReference"/>
        </w:rPr>
        <w:footnoteRef/>
      </w:r>
      <w:r>
        <w:t xml:space="preserve"> </w:t>
      </w:r>
      <w:r w:rsidRPr="000D5E32">
        <w:t xml:space="preserve">Growing up in Ireland. </w:t>
      </w:r>
      <w:r w:rsidRPr="00491128">
        <w:rPr>
          <w:i/>
        </w:rPr>
        <w:t>Key Findings. ’08 Cohort at 9 years</w:t>
      </w:r>
      <w:r w:rsidRPr="000D5E32">
        <w:rPr>
          <w:i/>
        </w:rPr>
        <w:t xml:space="preserve">. </w:t>
      </w:r>
      <w:r w:rsidRPr="000D5E32">
        <w:t>2018.</w:t>
      </w:r>
      <w:r>
        <w:t xml:space="preserve"> </w:t>
      </w:r>
      <w:hyperlink r:id="rId60" w:history="1">
        <w:r w:rsidRPr="000D5E32">
          <w:rPr>
            <w:rStyle w:val="Hyperlink"/>
          </w:rPr>
          <w:t>https://www.growingup.ie/pubs/Growing-Up-in-Ireland-Relationships-and-Socio-emotional-Well-being.pdf</w:t>
        </w:r>
      </w:hyperlink>
    </w:p>
  </w:footnote>
  <w:footnote w:id="70">
    <w:p w14:paraId="1A9EE049" w14:textId="60965F05" w:rsidR="00267385" w:rsidRPr="00491128" w:rsidRDefault="00267385" w:rsidP="00F34856">
      <w:pPr>
        <w:autoSpaceDE w:val="0"/>
        <w:autoSpaceDN w:val="0"/>
        <w:adjustRightInd w:val="0"/>
        <w:spacing w:after="0"/>
        <w:rPr>
          <w:rFonts w:eastAsiaTheme="minorHAnsi" w:cs="ArnoPro-Regular"/>
          <w:sz w:val="20"/>
          <w:szCs w:val="20"/>
        </w:rPr>
      </w:pPr>
      <w:r w:rsidRPr="00491128">
        <w:rPr>
          <w:rStyle w:val="FootnoteReference"/>
          <w:sz w:val="20"/>
          <w:szCs w:val="20"/>
        </w:rPr>
        <w:footnoteRef/>
      </w:r>
      <w:r w:rsidRPr="000D5E32">
        <w:rPr>
          <w:rFonts w:eastAsiaTheme="minorHAnsi" w:cs="ArnoPro-Regular"/>
          <w:sz w:val="20"/>
          <w:szCs w:val="20"/>
        </w:rPr>
        <w:t xml:space="preserve"> </w:t>
      </w:r>
      <w:r w:rsidRPr="00971552">
        <w:rPr>
          <w:rFonts w:eastAsiaTheme="minorHAnsi" w:cs="ArnoPro-Regular"/>
          <w:sz w:val="20"/>
          <w:szCs w:val="20"/>
        </w:rPr>
        <w:t>András</w:t>
      </w:r>
      <w:r w:rsidRPr="000D5E32">
        <w:rPr>
          <w:rFonts w:eastAsiaTheme="minorHAnsi" w:cs="ArnoPro-Regular"/>
          <w:sz w:val="20"/>
          <w:szCs w:val="20"/>
        </w:rPr>
        <w:t xml:space="preserve"> Költő A</w:t>
      </w:r>
      <w:r w:rsidRPr="00544158">
        <w:rPr>
          <w:rFonts w:eastAsiaTheme="minorHAnsi" w:cs="ArnoPro-Regular"/>
          <w:sz w:val="20"/>
          <w:szCs w:val="20"/>
        </w:rPr>
        <w:t>oife</w:t>
      </w:r>
      <w:r w:rsidRPr="00817300">
        <w:rPr>
          <w:rFonts w:eastAsiaTheme="minorHAnsi" w:cs="ArnoPro-Regular"/>
          <w:sz w:val="20"/>
          <w:szCs w:val="20"/>
        </w:rPr>
        <w:t xml:space="preserve"> Gavin</w:t>
      </w:r>
      <w:r>
        <w:rPr>
          <w:rFonts w:eastAsiaTheme="minorHAnsi" w:cs="ArnoPro-Regular"/>
          <w:sz w:val="20"/>
          <w:szCs w:val="20"/>
        </w:rPr>
        <w:t xml:space="preserve"> </w:t>
      </w:r>
      <w:r w:rsidRPr="002864CE">
        <w:rPr>
          <w:rFonts w:eastAsiaTheme="minorHAnsi" w:cs="ArnoPro-Regular"/>
          <w:sz w:val="20"/>
          <w:szCs w:val="20"/>
        </w:rPr>
        <w:t xml:space="preserve">Michal Molcho, </w:t>
      </w:r>
      <w:r w:rsidRPr="00B8185E">
        <w:rPr>
          <w:rFonts w:eastAsiaTheme="minorHAnsi" w:cs="ArnoPro-Regular"/>
          <w:sz w:val="20"/>
          <w:szCs w:val="20"/>
        </w:rPr>
        <w:t xml:space="preserve">et al., </w:t>
      </w:r>
      <w:r w:rsidRPr="00971552">
        <w:rPr>
          <w:rFonts w:eastAsiaTheme="minorHAnsi" w:cs="ArnoPro-Regular"/>
          <w:i/>
          <w:sz w:val="20"/>
          <w:szCs w:val="20"/>
        </w:rPr>
        <w:t>Health Behaviour in School-aged Children: a World Health Organization (WHO) Collaborative Cross-National Study.</w:t>
      </w:r>
      <w:r w:rsidRPr="000D5E32">
        <w:rPr>
          <w:rFonts w:eastAsiaTheme="minorHAnsi" w:cs="ArnoPro-Regular"/>
          <w:sz w:val="20"/>
          <w:szCs w:val="20"/>
        </w:rPr>
        <w:t xml:space="preserve"> 2020. </w:t>
      </w:r>
      <w:hyperlink r:id="rId61" w:history="1">
        <w:r w:rsidRPr="00971552">
          <w:rPr>
            <w:rStyle w:val="Hyperlink"/>
            <w:sz w:val="20"/>
            <w:szCs w:val="20"/>
          </w:rPr>
          <w:t>http://www.nuigalway.ie/media/healthpromotionresearchcentre/hbscdocs/nationalreports/2018-report---online-version-interactive---updated.pdf</w:t>
        </w:r>
      </w:hyperlink>
    </w:p>
  </w:footnote>
  <w:footnote w:id="71">
    <w:p w14:paraId="5C0F0FE8" w14:textId="491E3EA4" w:rsidR="00267385" w:rsidRPr="002864CE" w:rsidRDefault="00267385">
      <w:pPr>
        <w:pStyle w:val="FootnoteText"/>
      </w:pPr>
      <w:r w:rsidRPr="000D5E32">
        <w:rPr>
          <w:rStyle w:val="FootnoteReference"/>
        </w:rPr>
        <w:footnoteRef/>
      </w:r>
      <w:r w:rsidRPr="000D5E32">
        <w:t xml:space="preserve"> Hans-Jürgen </w:t>
      </w:r>
      <w:r w:rsidRPr="00491128">
        <w:rPr>
          <w:rFonts w:cs="Arial"/>
          <w:color w:val="222222"/>
          <w:shd w:val="clear" w:color="auto" w:fill="FFFFFF"/>
        </w:rPr>
        <w:t xml:space="preserve">Rumpf, Christian Meyer, et al., "Screening for Mental Health: Validity of the MHI-5 using DSM-IV Axis I Psychiatric Disorders as Gold Standard. </w:t>
      </w:r>
      <w:r w:rsidRPr="00491128">
        <w:rPr>
          <w:rFonts w:cs="Arial"/>
          <w:i/>
          <w:iCs/>
          <w:color w:val="222222"/>
          <w:shd w:val="clear" w:color="auto" w:fill="FFFFFF"/>
        </w:rPr>
        <w:t>Psychiatry Research</w:t>
      </w:r>
      <w:r w:rsidRPr="00491128">
        <w:rPr>
          <w:rFonts w:cs="Arial"/>
          <w:color w:val="222222"/>
          <w:shd w:val="clear" w:color="auto" w:fill="FFFFFF"/>
        </w:rPr>
        <w:t xml:space="preserve"> 105, no. 3 (2001): 243-253.</w:t>
      </w:r>
      <w:r w:rsidRPr="000D5E32">
        <w:t xml:space="preserve"> </w:t>
      </w:r>
    </w:p>
  </w:footnote>
  <w:footnote w:id="72">
    <w:p w14:paraId="48E22ABF" w14:textId="1260D5B3" w:rsidR="00267385" w:rsidRPr="00B018D7" w:rsidRDefault="00267385" w:rsidP="005567D7">
      <w:pPr>
        <w:pStyle w:val="FootnoteText"/>
      </w:pPr>
      <w:r w:rsidRPr="000D5E32">
        <w:rPr>
          <w:rStyle w:val="FootnoteReference"/>
        </w:rPr>
        <w:footnoteRef/>
      </w:r>
      <w:r w:rsidRPr="000D5E32">
        <w:t xml:space="preserve"> Kirsten Staehr Johansen</w:t>
      </w:r>
      <w:r w:rsidRPr="00544158">
        <w:t xml:space="preserve">. </w:t>
      </w:r>
      <w:r w:rsidRPr="00491128">
        <w:rPr>
          <w:i/>
        </w:rPr>
        <w:t xml:space="preserve">The </w:t>
      </w:r>
      <w:r w:rsidRPr="000D5E32">
        <w:rPr>
          <w:i/>
        </w:rPr>
        <w:t>U</w:t>
      </w:r>
      <w:r w:rsidRPr="00491128">
        <w:rPr>
          <w:i/>
        </w:rPr>
        <w:t xml:space="preserve">se of </w:t>
      </w:r>
      <w:r w:rsidRPr="000D5E32">
        <w:rPr>
          <w:i/>
        </w:rPr>
        <w:t>W</w:t>
      </w:r>
      <w:r w:rsidRPr="00491128">
        <w:rPr>
          <w:i/>
        </w:rPr>
        <w:t>ell-</w:t>
      </w:r>
      <w:r w:rsidRPr="000D5E32">
        <w:rPr>
          <w:i/>
        </w:rPr>
        <w:t>Being M</w:t>
      </w:r>
      <w:r w:rsidRPr="00491128">
        <w:rPr>
          <w:i/>
        </w:rPr>
        <w:t xml:space="preserve">easures in </w:t>
      </w:r>
      <w:r w:rsidRPr="000D5E32">
        <w:rPr>
          <w:i/>
        </w:rPr>
        <w:t>P</w:t>
      </w:r>
      <w:r w:rsidRPr="00491128">
        <w:rPr>
          <w:i/>
        </w:rPr>
        <w:t xml:space="preserve">rimary </w:t>
      </w:r>
      <w:r w:rsidRPr="000D5E32">
        <w:rPr>
          <w:i/>
        </w:rPr>
        <w:t>H</w:t>
      </w:r>
      <w:r w:rsidRPr="00491128">
        <w:rPr>
          <w:i/>
        </w:rPr>
        <w:t xml:space="preserve">ealth </w:t>
      </w:r>
      <w:r w:rsidRPr="000D5E32">
        <w:rPr>
          <w:i/>
        </w:rPr>
        <w:t>C</w:t>
      </w:r>
      <w:r w:rsidRPr="00491128">
        <w:rPr>
          <w:i/>
        </w:rPr>
        <w:t xml:space="preserve">are- the DepCare </w:t>
      </w:r>
      <w:r w:rsidRPr="000D5E32">
        <w:rPr>
          <w:i/>
        </w:rPr>
        <w:t>P</w:t>
      </w:r>
      <w:r w:rsidRPr="00491128">
        <w:rPr>
          <w:i/>
        </w:rPr>
        <w:t>roject. In WHO Regional Office for Europe (Ed) Well-</w:t>
      </w:r>
      <w:r w:rsidRPr="000D5E32">
        <w:rPr>
          <w:i/>
        </w:rPr>
        <w:t>Being M</w:t>
      </w:r>
      <w:r w:rsidRPr="00491128">
        <w:rPr>
          <w:i/>
        </w:rPr>
        <w:t xml:space="preserve">easures in </w:t>
      </w:r>
      <w:r w:rsidRPr="000D5E32">
        <w:rPr>
          <w:i/>
        </w:rPr>
        <w:t>P</w:t>
      </w:r>
      <w:r w:rsidRPr="00491128">
        <w:rPr>
          <w:i/>
        </w:rPr>
        <w:t xml:space="preserve">rimary </w:t>
      </w:r>
      <w:r w:rsidRPr="000D5E32">
        <w:rPr>
          <w:i/>
        </w:rPr>
        <w:t>H</w:t>
      </w:r>
      <w:r w:rsidRPr="00491128">
        <w:rPr>
          <w:i/>
        </w:rPr>
        <w:t xml:space="preserve">ealth </w:t>
      </w:r>
      <w:r w:rsidRPr="000D5E32">
        <w:rPr>
          <w:i/>
        </w:rPr>
        <w:t>C</w:t>
      </w:r>
      <w:r w:rsidRPr="00491128">
        <w:rPr>
          <w:i/>
        </w:rPr>
        <w:t xml:space="preserve">are– the DepCare </w:t>
      </w:r>
      <w:r w:rsidRPr="000D5E32">
        <w:rPr>
          <w:i/>
        </w:rPr>
        <w:t xml:space="preserve">Project. </w:t>
      </w:r>
      <w:r w:rsidRPr="000D5E32">
        <w:t xml:space="preserve">1998. </w:t>
      </w:r>
      <w:r w:rsidRPr="00544158">
        <w:t>Geneva: WHO.</w:t>
      </w:r>
    </w:p>
  </w:footnote>
  <w:footnote w:id="73">
    <w:p w14:paraId="3688EE55" w14:textId="06C03D58" w:rsidR="00267385" w:rsidRDefault="00267385" w:rsidP="000D5E32">
      <w:pPr>
        <w:pStyle w:val="FootnoteText"/>
      </w:pPr>
      <w:r w:rsidRPr="000D5E32">
        <w:rPr>
          <w:rStyle w:val="FootnoteReference"/>
        </w:rPr>
        <w:footnoteRef/>
      </w:r>
      <w:r w:rsidRPr="000D5E32">
        <w:t xml:space="preserve"> CSO. Table </w:t>
      </w:r>
      <w:r w:rsidRPr="00971552">
        <w:rPr>
          <w:rStyle w:val="matrix1"/>
          <w:rFonts w:cs="Arial"/>
          <w:color w:val="000000" w:themeColor="text1"/>
        </w:rPr>
        <w:t>E9019 Census 2016 Statbank</w:t>
      </w:r>
      <w:r w:rsidRPr="00971552">
        <w:rPr>
          <w:rStyle w:val="matrix1"/>
          <w:rFonts w:cs="Arial"/>
        </w:rPr>
        <w:t xml:space="preserve">. </w:t>
      </w:r>
      <w:hyperlink r:id="rId62" w:history="1">
        <w:r w:rsidRPr="00971552">
          <w:rPr>
            <w:rStyle w:val="Hyperlink"/>
            <w:rFonts w:cs="Arial"/>
          </w:rPr>
          <w:t>https://statbank.cso.ie/px/pxeirestat/Database/eirestat/Profile%209%20-%20Health%20Disability%20and%20Carers/Profile%209%20-%20Health%20Disability%20and%20Carers_statbank.asp?SP=Profile%209%20-%20Health%20Disability%20and%20Carers&amp;Planguage=0</w:t>
        </w:r>
      </w:hyperlink>
      <w:r w:rsidRPr="00491128">
        <w:rPr>
          <w:rStyle w:val="matrix1"/>
          <w:rFonts w:cs="Arial"/>
        </w:rPr>
        <w:t>.</w:t>
      </w:r>
    </w:p>
  </w:footnote>
  <w:footnote w:id="74">
    <w:p w14:paraId="768F7021" w14:textId="7A6DA600" w:rsidR="00267385" w:rsidRPr="00425163" w:rsidRDefault="00267385">
      <w:pPr>
        <w:pStyle w:val="FootnoteText"/>
      </w:pPr>
      <w:r w:rsidRPr="00425163">
        <w:rPr>
          <w:rStyle w:val="FootnoteReference"/>
        </w:rPr>
        <w:footnoteRef/>
      </w:r>
      <w:r w:rsidRPr="00425163">
        <w:t xml:space="preserve"> </w:t>
      </w:r>
      <w:r w:rsidRPr="000D5E32">
        <w:t xml:space="preserve">CSO. Table </w:t>
      </w:r>
      <w:r w:rsidRPr="001D43C2">
        <w:rPr>
          <w:rStyle w:val="matrix1"/>
          <w:rFonts w:cs="Arial"/>
          <w:color w:val="000000" w:themeColor="text1"/>
        </w:rPr>
        <w:t>E9019 Census 2016 Statbank</w:t>
      </w:r>
      <w:r w:rsidRPr="001D43C2">
        <w:rPr>
          <w:rStyle w:val="matrix1"/>
          <w:rFonts w:cs="Arial"/>
        </w:rPr>
        <w:t xml:space="preserve">. </w:t>
      </w:r>
      <w:hyperlink r:id="rId63" w:history="1">
        <w:r w:rsidRPr="001D43C2">
          <w:rPr>
            <w:rStyle w:val="Hyperlink"/>
            <w:rFonts w:cs="Arial"/>
          </w:rPr>
          <w:t>https://statbank.cso.ie/px/pxeirestat/Database/eirestat/Profile%209%20-%20Health%20Disability%20and%20Carers/Profile%209%20-%20Health%20Disability%20and%20Carers_statbank.asp?SP=Profile%209%20-%20Health%20Disability%20and%20Carers&amp;Planguage=0</w:t>
        </w:r>
      </w:hyperlink>
    </w:p>
  </w:footnote>
  <w:footnote w:id="75">
    <w:p w14:paraId="278EB7B5" w14:textId="77777777" w:rsidR="00267385" w:rsidRDefault="00267385">
      <w:pPr>
        <w:pStyle w:val="FootnoteText"/>
      </w:pPr>
      <w:r w:rsidRPr="00425163">
        <w:rPr>
          <w:rStyle w:val="FootnoteReference"/>
        </w:rPr>
        <w:footnoteRef/>
      </w:r>
      <w:r w:rsidRPr="00425163">
        <w:t xml:space="preserve"> Note that special schools are classified as primary schools and can cater for children up to the age of 18 years.</w:t>
      </w:r>
    </w:p>
  </w:footnote>
  <w:footnote w:id="76">
    <w:p w14:paraId="683FD8D5" w14:textId="6FB80EFF" w:rsidR="00267385" w:rsidRPr="00544158" w:rsidRDefault="00267385">
      <w:pPr>
        <w:pStyle w:val="FootnoteText"/>
      </w:pPr>
      <w:r w:rsidRPr="00544158">
        <w:rPr>
          <w:rStyle w:val="FootnoteReference"/>
        </w:rPr>
        <w:footnoteRef/>
      </w:r>
      <w:r w:rsidRPr="00544158">
        <w:t xml:space="preserve"> </w:t>
      </w:r>
      <w:r w:rsidRPr="0014024E">
        <w:t xml:space="preserve">CSO. </w:t>
      </w:r>
      <w:r w:rsidRPr="00971552">
        <w:rPr>
          <w:color w:val="000000" w:themeColor="text1"/>
        </w:rPr>
        <w:t xml:space="preserve">Table </w:t>
      </w:r>
      <w:r w:rsidRPr="00971552">
        <w:rPr>
          <w:rStyle w:val="matrix1"/>
          <w:rFonts w:cs="Arial"/>
          <w:color w:val="000000" w:themeColor="text1"/>
        </w:rPr>
        <w:t xml:space="preserve">E9018 Census 2016 Statbank. </w:t>
      </w:r>
      <w:hyperlink r:id="rId64" w:history="1">
        <w:r w:rsidRPr="00971552">
          <w:rPr>
            <w:rStyle w:val="Hyperlink"/>
          </w:rPr>
          <w:t>https://statbank.cso.ie/px/pxeirestat/Database/eirestat/Profile%209%20-%20Health%20Disability%20and%20Carers/Profile%209%20-%20Health%20Disability%20and%20Carers_statbank.asp?SP=Profile%209%20-%20Health%20Disability%20and%20Carers&amp;Planguage=0</w:t>
        </w:r>
      </w:hyperlink>
    </w:p>
  </w:footnote>
  <w:footnote w:id="77">
    <w:p w14:paraId="09FCB0A7" w14:textId="11BDD390" w:rsidR="00267385" w:rsidRPr="00544158" w:rsidRDefault="00267385">
      <w:pPr>
        <w:pStyle w:val="FootnoteText"/>
      </w:pPr>
      <w:r w:rsidRPr="00544158">
        <w:rPr>
          <w:rStyle w:val="FootnoteReference"/>
        </w:rPr>
        <w:footnoteRef/>
      </w:r>
      <w:r w:rsidRPr="00544158">
        <w:t xml:space="preserve"> </w:t>
      </w:r>
      <w:r w:rsidRPr="0014024E">
        <w:t xml:space="preserve">CSO. </w:t>
      </w:r>
      <w:r w:rsidRPr="00971552">
        <w:rPr>
          <w:color w:val="000000" w:themeColor="text1"/>
        </w:rPr>
        <w:t xml:space="preserve">Table </w:t>
      </w:r>
      <w:r w:rsidRPr="00971552">
        <w:rPr>
          <w:rStyle w:val="matrix1"/>
          <w:rFonts w:cs="Arial"/>
          <w:color w:val="000000" w:themeColor="text1"/>
        </w:rPr>
        <w:t>E901</w:t>
      </w:r>
      <w:r>
        <w:rPr>
          <w:rStyle w:val="matrix1"/>
          <w:rFonts w:cs="Arial"/>
          <w:color w:val="000000" w:themeColor="text1"/>
        </w:rPr>
        <w:t>9</w:t>
      </w:r>
      <w:r w:rsidRPr="00971552">
        <w:rPr>
          <w:rStyle w:val="matrix1"/>
          <w:rFonts w:cs="Arial"/>
          <w:color w:val="000000" w:themeColor="text1"/>
        </w:rPr>
        <w:t xml:space="preserve"> Census 2016 Statbank. </w:t>
      </w:r>
      <w:hyperlink r:id="rId65" w:history="1">
        <w:r w:rsidRPr="00BE1D34">
          <w:rPr>
            <w:rStyle w:val="Hyperlink"/>
          </w:rPr>
          <w:t>https://statbank.cso.ie/px/pxeirestat/Database/eirestat/Profile%209%20-%20Health%20Disability%20and%20Carers/Profile%209%20-%20Health%20Disability%20and%20Carers_statbank.asp?SP=Profile%209%20-%20Health%20Disability%20and%20Carers&amp;Planguage=0</w:t>
        </w:r>
      </w:hyperlink>
    </w:p>
  </w:footnote>
  <w:footnote w:id="78">
    <w:p w14:paraId="26B0D2CD" w14:textId="3F4FDD7C" w:rsidR="00267385" w:rsidRPr="00491128" w:rsidRDefault="00267385" w:rsidP="00491128">
      <w:pPr>
        <w:spacing w:after="0"/>
        <w:rPr>
          <w:rFonts w:cs="Calibri"/>
          <w:color w:val="0563C1"/>
          <w:u w:val="single"/>
          <w:lang w:eastAsia="en-IE"/>
        </w:rPr>
      </w:pPr>
      <w:r w:rsidRPr="00544158">
        <w:rPr>
          <w:rStyle w:val="FootnoteReference"/>
          <w:sz w:val="20"/>
          <w:szCs w:val="20"/>
        </w:rPr>
        <w:footnoteRef/>
      </w:r>
      <w:r w:rsidRPr="00544158">
        <w:rPr>
          <w:sz w:val="20"/>
          <w:szCs w:val="20"/>
        </w:rPr>
        <w:t xml:space="preserve"> AHEAD. </w:t>
      </w:r>
      <w:r w:rsidRPr="00971552">
        <w:rPr>
          <w:i/>
          <w:sz w:val="20"/>
          <w:szCs w:val="20"/>
        </w:rPr>
        <w:t>Numbers of Students with Disabilities Studying in Higher Education in Ireland 2016/17.</w:t>
      </w:r>
      <w:r w:rsidRPr="00544158">
        <w:rPr>
          <w:sz w:val="20"/>
          <w:szCs w:val="20"/>
        </w:rPr>
        <w:t xml:space="preserve"> 2018. </w:t>
      </w:r>
      <w:hyperlink r:id="rId66" w:history="1">
        <w:r w:rsidRPr="00DF7A42">
          <w:rPr>
            <w:rStyle w:val="Hyperlink"/>
            <w:rFonts w:cs="Calibri"/>
            <w:sz w:val="20"/>
            <w:szCs w:val="20"/>
            <w:lang w:eastAsia="en-IE"/>
          </w:rPr>
          <w:t>https://www.ahead.ie/userfiles/files/shop/free/Rates%202016-17%20-%20ONLINE.pdf</w:t>
        </w:r>
      </w:hyperlink>
    </w:p>
  </w:footnote>
  <w:footnote w:id="79">
    <w:p w14:paraId="5AC690DF" w14:textId="3A696423" w:rsidR="00267385" w:rsidRPr="00491128" w:rsidRDefault="00267385" w:rsidP="00491128">
      <w:pPr>
        <w:spacing w:after="0"/>
        <w:rPr>
          <w:rFonts w:cs="Calibri"/>
          <w:color w:val="0563C1"/>
          <w:u w:val="single"/>
          <w:lang w:eastAsia="en-IE"/>
        </w:rPr>
      </w:pPr>
      <w:r w:rsidRPr="00544158">
        <w:rPr>
          <w:rStyle w:val="FootnoteReference"/>
          <w:sz w:val="20"/>
          <w:szCs w:val="20"/>
        </w:rPr>
        <w:footnoteRef/>
      </w:r>
      <w:r w:rsidRPr="00971552">
        <w:rPr>
          <w:rFonts w:cs="Calibri"/>
          <w:color w:val="000000" w:themeColor="text1"/>
          <w:sz w:val="20"/>
          <w:szCs w:val="20"/>
          <w:lang w:eastAsia="en-IE"/>
        </w:rPr>
        <w:t xml:space="preserve">AHEAD. </w:t>
      </w:r>
      <w:r w:rsidRPr="00971552">
        <w:rPr>
          <w:rFonts w:cs="Calibri"/>
          <w:i/>
          <w:color w:val="000000" w:themeColor="text1"/>
          <w:sz w:val="20"/>
          <w:szCs w:val="20"/>
          <w:lang w:eastAsia="en-IE"/>
        </w:rPr>
        <w:t>Numbers of Students with Disabilities Studying in Higher Education in Ireland 2017/18.</w:t>
      </w:r>
      <w:r w:rsidRPr="00971552">
        <w:rPr>
          <w:rFonts w:cs="Calibri"/>
          <w:color w:val="000000" w:themeColor="text1"/>
          <w:sz w:val="20"/>
          <w:szCs w:val="20"/>
          <w:lang w:eastAsia="en-IE"/>
        </w:rPr>
        <w:t xml:space="preserve"> 2019. </w:t>
      </w:r>
      <w:hyperlink r:id="rId67" w:history="1">
        <w:r w:rsidRPr="00DF7A42">
          <w:rPr>
            <w:rStyle w:val="Hyperlink"/>
            <w:rFonts w:cs="Calibri"/>
            <w:sz w:val="20"/>
            <w:szCs w:val="20"/>
            <w:lang w:eastAsia="en-IE"/>
          </w:rPr>
          <w:t>https://www.ahead.ie/userfiles/files/shop/free/Numbers%20of%20Students%20with%20Disabilities%20Studying%20in%20Higher%20Education%20in%20Ireland%202017-18.pdf</w:t>
        </w:r>
      </w:hyperlink>
    </w:p>
  </w:footnote>
  <w:footnote w:id="80">
    <w:p w14:paraId="0EC5941F" w14:textId="2623C948" w:rsidR="00267385" w:rsidRDefault="00267385" w:rsidP="00491128">
      <w:pPr>
        <w:pStyle w:val="Default"/>
      </w:pPr>
      <w:r w:rsidRPr="00491128">
        <w:rPr>
          <w:rStyle w:val="FootnoteReference"/>
          <w:rFonts w:ascii="Gill Sans MT" w:hAnsi="Gill Sans MT"/>
          <w:sz w:val="20"/>
          <w:szCs w:val="20"/>
        </w:rPr>
        <w:footnoteRef/>
      </w:r>
      <w:r w:rsidRPr="00491128">
        <w:rPr>
          <w:rFonts w:ascii="Gill Sans MT" w:hAnsi="Gill Sans MT"/>
          <w:sz w:val="20"/>
          <w:szCs w:val="20"/>
        </w:rPr>
        <w:t xml:space="preserve"> SOLAS.</w:t>
      </w:r>
      <w:r w:rsidRPr="00491128">
        <w:rPr>
          <w:rFonts w:ascii="Gill Sans MT" w:hAnsi="Gill Sans MT" w:cstheme="minorBidi"/>
          <w:sz w:val="20"/>
          <w:szCs w:val="20"/>
        </w:rPr>
        <w:t xml:space="preserve"> </w:t>
      </w:r>
      <w:r w:rsidRPr="00491128">
        <w:rPr>
          <w:rFonts w:ascii="Gill Sans MT" w:hAnsi="Gill Sans MT" w:cs="Rawline"/>
          <w:bCs/>
          <w:i/>
          <w:sz w:val="20"/>
          <w:szCs w:val="20"/>
        </w:rPr>
        <w:t>Review of Pathways to Participation in Apprenticeship.</w:t>
      </w:r>
      <w:r w:rsidRPr="00491128">
        <w:rPr>
          <w:rFonts w:ascii="Gill Sans MT" w:hAnsi="Gill Sans MT" w:cs="Rawline"/>
          <w:bCs/>
          <w:sz w:val="20"/>
          <w:szCs w:val="20"/>
        </w:rPr>
        <w:t xml:space="preserve"> 2018. </w:t>
      </w:r>
      <w:hyperlink r:id="rId68" w:history="1">
        <w:r w:rsidRPr="00491128">
          <w:rPr>
            <w:rStyle w:val="Hyperlink"/>
            <w:rFonts w:ascii="Gill Sans MT" w:hAnsi="Gill Sans MT"/>
            <w:sz w:val="20"/>
            <w:szCs w:val="20"/>
          </w:rPr>
          <w:t>https://www.solas.ie/f/70398/x/fb640012f5/pathwaysapprenticeshipreviewnov18.pdf</w:t>
        </w:r>
      </w:hyperlink>
    </w:p>
  </w:footnote>
  <w:footnote w:id="81">
    <w:p w14:paraId="080CD12E" w14:textId="7D02E01A" w:rsidR="00267385" w:rsidRPr="005831B3" w:rsidRDefault="00267385">
      <w:pPr>
        <w:pStyle w:val="FootnoteText"/>
      </w:pPr>
      <w:r w:rsidRPr="005831B3">
        <w:rPr>
          <w:rStyle w:val="FootnoteReference"/>
        </w:rPr>
        <w:footnoteRef/>
      </w:r>
      <w:r w:rsidRPr="005831B3">
        <w:t xml:space="preserve"> </w:t>
      </w:r>
      <w:r w:rsidRPr="00971552">
        <w:rPr>
          <w:rStyle w:val="matrix1"/>
          <w:rFonts w:cs="Arial"/>
          <w:color w:val="000000" w:themeColor="text1"/>
        </w:rPr>
        <w:t xml:space="preserve">CSO. Table E9009 Census 2016 Statbank. </w:t>
      </w:r>
      <w:hyperlink r:id="rId69" w:history="1">
        <w:r w:rsidRPr="00971552">
          <w:rPr>
            <w:rStyle w:val="Hyperlink"/>
          </w:rPr>
          <w:t>https://statbank.cso.ie/px/pxeirestat/Database/eirestat/Profile%209%20-%20Health%20Disability%20and%20Carers/Profile%209%20-%20Health%20Disability%20and%20Carers_statbank.asp?SP=Profile%209%20-%20Health%20Disability%20and%20Carers&amp;Planguage=0</w:t>
        </w:r>
      </w:hyperlink>
    </w:p>
  </w:footnote>
  <w:footnote w:id="82">
    <w:p w14:paraId="16F5A10A" w14:textId="46489E1F" w:rsidR="00267385" w:rsidRPr="00263490" w:rsidRDefault="00267385">
      <w:pPr>
        <w:pStyle w:val="FootnoteText"/>
      </w:pPr>
      <w:r w:rsidRPr="00263490">
        <w:rPr>
          <w:rStyle w:val="FootnoteReference"/>
        </w:rPr>
        <w:footnoteRef/>
      </w:r>
      <w:r w:rsidRPr="00263490">
        <w:t xml:space="preserve"> </w:t>
      </w:r>
      <w:r w:rsidRPr="00971552">
        <w:rPr>
          <w:rStyle w:val="matrix1"/>
          <w:rFonts w:cs="Arial"/>
          <w:color w:val="000000" w:themeColor="text1"/>
        </w:rPr>
        <w:t xml:space="preserve">CSO. Table E9009 Census 2016 Statbank. </w:t>
      </w:r>
      <w:hyperlink r:id="rId70" w:history="1">
        <w:r w:rsidRPr="00971552">
          <w:rPr>
            <w:rStyle w:val="Hyperlink"/>
          </w:rPr>
          <w:t>https://statbank.cso.ie/px/pxeirestat/Database/eirestat/Profile%209%20-%20Health%20Disability%20and%20Carers/Profile%209%20-%20Health%20Disability%20and%20Carers_statbank.asp?SP=Profile%209%20-%20Health%20Disability%20and%20Carers&amp;Planguage=0</w:t>
        </w:r>
      </w:hyperlink>
    </w:p>
  </w:footnote>
  <w:footnote w:id="83">
    <w:p w14:paraId="292A57D2" w14:textId="2A41F215" w:rsidR="00267385" w:rsidRDefault="00267385">
      <w:pPr>
        <w:pStyle w:val="FootnoteText"/>
      </w:pPr>
      <w:r w:rsidRPr="00263490">
        <w:rPr>
          <w:rStyle w:val="FootnoteReference"/>
        </w:rPr>
        <w:footnoteRef/>
      </w:r>
      <w:r w:rsidRPr="00263490">
        <w:t xml:space="preserve"> Government of Ireland. </w:t>
      </w:r>
      <w:r w:rsidRPr="00971552">
        <w:rPr>
          <w:i/>
        </w:rPr>
        <w:t>Comprehensive Employment Strategy for People with Disabilities 2015-2024.</w:t>
      </w:r>
      <w:r w:rsidRPr="00263490">
        <w:t xml:space="preserve"> 2015. </w:t>
      </w:r>
      <w:hyperlink r:id="rId71" w:history="1">
        <w:r w:rsidRPr="00DF7A42">
          <w:rPr>
            <w:rStyle w:val="Hyperlink"/>
          </w:rPr>
          <w:t>http://www.justice.ie/en/JELR/Comprehensive%20Employment%20Strategy%20for%20People%20with%20Disabilities%20-%20FINAL.pdf/Files/Comprehensive%20Employment%20Strategy%20for%20People%20with%20Disabilities%20-%20FINAL.pdf</w:t>
        </w:r>
      </w:hyperlink>
      <w:r>
        <w:t xml:space="preserve"> </w:t>
      </w:r>
    </w:p>
  </w:footnote>
  <w:footnote w:id="84">
    <w:p w14:paraId="08CA3E9A" w14:textId="6587DB32" w:rsidR="00267385" w:rsidRDefault="00267385">
      <w:pPr>
        <w:pStyle w:val="FootnoteText"/>
      </w:pPr>
      <w:r>
        <w:rPr>
          <w:rStyle w:val="FootnoteReference"/>
        </w:rPr>
        <w:footnoteRef/>
      </w:r>
      <w:r>
        <w:t xml:space="preserve"> Government of Ireland. Operational Guidelines Free Travel Scheme. </w:t>
      </w:r>
      <w:hyperlink r:id="rId72" w:history="1">
        <w:r>
          <w:rPr>
            <w:rStyle w:val="Hyperlink"/>
          </w:rPr>
          <w:t>https://www.gov.ie/en/publication/ba6e26-operational-guidelines-free-travel-scheme/</w:t>
        </w:r>
      </w:hyperlink>
    </w:p>
  </w:footnote>
  <w:footnote w:id="85">
    <w:p w14:paraId="6E614944" w14:textId="7EBFAA6D" w:rsidR="00267385" w:rsidRDefault="00267385">
      <w:pPr>
        <w:pStyle w:val="FootnoteText"/>
      </w:pPr>
      <w:r>
        <w:rPr>
          <w:rStyle w:val="FootnoteReference"/>
        </w:rPr>
        <w:footnoteRef/>
      </w:r>
      <w:r>
        <w:t xml:space="preserve"> Government of Ireland. </w:t>
      </w:r>
      <w:r w:rsidRPr="001B297C">
        <w:rPr>
          <w:i/>
        </w:rPr>
        <w:t>New Medical Card Measures to Remove Barriers to Work for People with Disabilities – Over 250% Increase in Earnings Disregard.</w:t>
      </w:r>
      <w:r>
        <w:t xml:space="preserve"> 2018. </w:t>
      </w:r>
      <w:hyperlink r:id="rId73" w:history="1">
        <w:r>
          <w:rPr>
            <w:rStyle w:val="Hyperlink"/>
          </w:rPr>
          <w:t>https://www.gov.ie/en/press-release/c4f82d-new-medical-card-measures-to-remove-barriers-to-work-for-people-with/</w:t>
        </w:r>
      </w:hyperlink>
    </w:p>
  </w:footnote>
  <w:footnote w:id="86">
    <w:p w14:paraId="5877EE8D" w14:textId="77777777" w:rsidR="00267385" w:rsidRPr="00F853E1" w:rsidRDefault="00267385">
      <w:pPr>
        <w:pStyle w:val="FootnoteText"/>
      </w:pPr>
      <w:r w:rsidRPr="006A3469">
        <w:rPr>
          <w:rStyle w:val="FootnoteReference"/>
        </w:rPr>
        <w:footnoteRef/>
      </w:r>
      <w:r w:rsidRPr="006A3469">
        <w:t xml:space="preserve"> F</w:t>
      </w:r>
      <w:r w:rsidRPr="00F853E1">
        <w:t>igure presented by DEASP to the CES Implementation Group in 2020.</w:t>
      </w:r>
    </w:p>
  </w:footnote>
  <w:footnote w:id="87">
    <w:p w14:paraId="626C8BF7" w14:textId="1DB3320C" w:rsidR="00267385" w:rsidRPr="006A3469" w:rsidRDefault="00267385" w:rsidP="00263490">
      <w:pPr>
        <w:pStyle w:val="FootnoteText"/>
      </w:pPr>
      <w:r w:rsidRPr="006A3469">
        <w:rPr>
          <w:rStyle w:val="FootnoteReference"/>
        </w:rPr>
        <w:footnoteRef/>
      </w:r>
      <w:r w:rsidRPr="006A3469">
        <w:t xml:space="preserve"> European Commission. </w:t>
      </w:r>
      <w:r w:rsidRPr="00491128">
        <w:rPr>
          <w:i/>
        </w:rPr>
        <w:t>Country Report Ireland 2019 Brussels.</w:t>
      </w:r>
      <w:r w:rsidRPr="006A3469">
        <w:t xml:space="preserve"> </w:t>
      </w:r>
      <w:r w:rsidRPr="00F853E1">
        <w:t xml:space="preserve">2019. </w:t>
      </w:r>
      <w:hyperlink r:id="rId74" w:history="1">
        <w:r w:rsidRPr="00F853E1">
          <w:rPr>
            <w:rStyle w:val="Hyperlink"/>
          </w:rPr>
          <w:t>https://ec.europa.eu/info/sites/info/files/file_import/2019-european-semester-country-report-ireland_en.pdf</w:t>
        </w:r>
      </w:hyperlink>
    </w:p>
  </w:footnote>
  <w:footnote w:id="88">
    <w:p w14:paraId="15E7F4B6" w14:textId="77777777" w:rsidR="00267385" w:rsidRPr="00F853E1" w:rsidRDefault="00267385">
      <w:pPr>
        <w:pStyle w:val="FootnoteText"/>
      </w:pPr>
      <w:r w:rsidRPr="006A3469">
        <w:rPr>
          <w:rStyle w:val="FootnoteReference"/>
        </w:rPr>
        <w:footnoteRef/>
      </w:r>
      <w:r w:rsidRPr="006A3469">
        <w:t xml:space="preserve"> Note that the figures used in the EU report include all persons with disabilities not restricted to the working age group u</w:t>
      </w:r>
      <w:r w:rsidRPr="00F853E1">
        <w:t xml:space="preserve">sed above of 15-64. They also use a slightly different definition of disability. </w:t>
      </w:r>
    </w:p>
  </w:footnote>
  <w:footnote w:id="89">
    <w:p w14:paraId="7EA39918" w14:textId="14AABCE2" w:rsidR="00267385" w:rsidRPr="006A3469" w:rsidRDefault="00267385" w:rsidP="002C7AC4">
      <w:pPr>
        <w:pStyle w:val="FootnoteText"/>
      </w:pPr>
      <w:r w:rsidRPr="006A3469">
        <w:rPr>
          <w:rStyle w:val="FootnoteReference"/>
        </w:rPr>
        <w:footnoteRef/>
      </w:r>
      <w:r w:rsidRPr="006A3469">
        <w:t xml:space="preserve"> Economic and Social Research Institute</w:t>
      </w:r>
      <w:r w:rsidRPr="00F853E1">
        <w:t>.</w:t>
      </w:r>
      <w:r>
        <w:t xml:space="preserve"> </w:t>
      </w:r>
      <w:r w:rsidRPr="00491128">
        <w:rPr>
          <w:i/>
        </w:rPr>
        <w:t>Employment Transitions Among Persons with Disabilities in Ireland.</w:t>
      </w:r>
      <w:r w:rsidRPr="006A3469">
        <w:t xml:space="preserve"> </w:t>
      </w:r>
      <w:r w:rsidRPr="009F61F8">
        <w:t>2019</w:t>
      </w:r>
      <w:r w:rsidRPr="00B018D7">
        <w:t xml:space="preserve">. </w:t>
      </w:r>
      <w:hyperlink r:id="rId75" w:history="1">
        <w:r w:rsidRPr="00F853E1">
          <w:rPr>
            <w:rStyle w:val="Hyperlink"/>
          </w:rPr>
          <w:t>https://www.esri.ie/system/files?file=media/file-uploads/2017-03/RS58.pdf</w:t>
        </w:r>
      </w:hyperlink>
    </w:p>
  </w:footnote>
  <w:footnote w:id="90">
    <w:p w14:paraId="653529A6" w14:textId="6073CCA9" w:rsidR="00267385" w:rsidRPr="006A3469" w:rsidRDefault="00267385">
      <w:pPr>
        <w:pStyle w:val="FootnoteText"/>
      </w:pPr>
      <w:r w:rsidRPr="006A3469">
        <w:rPr>
          <w:rStyle w:val="FootnoteReference"/>
        </w:rPr>
        <w:footnoteRef/>
      </w:r>
      <w:r w:rsidRPr="006A3469">
        <w:t xml:space="preserve"> </w:t>
      </w:r>
      <w:r w:rsidRPr="00F853E1">
        <w:t xml:space="preserve">Government of Ireland. </w:t>
      </w:r>
      <w:r w:rsidRPr="00491128">
        <w:rPr>
          <w:i/>
        </w:rPr>
        <w:t>The Roadmap for Social Inclusion 2020-2025. Ambitions, Goals and Commitments</w:t>
      </w:r>
      <w:r w:rsidRPr="006A3469">
        <w:t xml:space="preserve">. </w:t>
      </w:r>
      <w:r w:rsidRPr="009F61F8">
        <w:t>2020</w:t>
      </w:r>
      <w:r w:rsidRPr="00817300">
        <w:t>.</w:t>
      </w:r>
      <w:r>
        <w:t xml:space="preserve"> </w:t>
      </w:r>
      <w:hyperlink r:id="rId76" w:anchor="page=1" w:history="1">
        <w:r w:rsidRPr="00F853E1">
          <w:rPr>
            <w:rStyle w:val="Hyperlink"/>
          </w:rPr>
          <w:t>https://www.gov.ie/pdf/?file=https://assets.gov.ie/46558/5cea3d74aa934fe780cc521ddbe477a7.pdf#page=1</w:t>
        </w:r>
      </w:hyperlink>
    </w:p>
  </w:footnote>
  <w:footnote w:id="91">
    <w:p w14:paraId="4D14C419" w14:textId="40FD2D24" w:rsidR="00267385" w:rsidRDefault="00267385">
      <w:pPr>
        <w:pStyle w:val="FootnoteText"/>
      </w:pPr>
      <w:r w:rsidRPr="006A3469">
        <w:rPr>
          <w:rStyle w:val="FootnoteReference"/>
        </w:rPr>
        <w:footnoteRef/>
      </w:r>
      <w:r w:rsidRPr="006A3469">
        <w:t xml:space="preserve"> </w:t>
      </w:r>
      <w:r w:rsidRPr="00F853E1">
        <w:t>D</w:t>
      </w:r>
      <w:r w:rsidRPr="009F61F8">
        <w:t xml:space="preserve">epartment of Employment Affairs and Social Protection. </w:t>
      </w:r>
      <w:r w:rsidRPr="00491128">
        <w:rPr>
          <w:i/>
        </w:rPr>
        <w:t>Annual SWS Statistical Information Report.</w:t>
      </w:r>
      <w:r w:rsidRPr="006A3469">
        <w:t xml:space="preserve"> </w:t>
      </w:r>
      <w:hyperlink r:id="rId77" w:history="1">
        <w:r w:rsidRPr="00AE6451">
          <w:rPr>
            <w:rStyle w:val="Hyperlink"/>
          </w:rPr>
          <w:t>http://www.dsfa.ie/en/Pages/Annual-SWS-Statistical-Information-Report.aspx</w:t>
        </w:r>
      </w:hyperlink>
      <w:r>
        <w:t xml:space="preserve"> </w:t>
      </w:r>
    </w:p>
  </w:footnote>
  <w:footnote w:id="92">
    <w:p w14:paraId="438BAFEE" w14:textId="3ABECEEA" w:rsidR="00267385" w:rsidRPr="00491128" w:rsidRDefault="00267385" w:rsidP="004619E4">
      <w:pPr>
        <w:pStyle w:val="Default"/>
        <w:rPr>
          <w:rFonts w:ascii="Gill Sans MT" w:hAnsi="Gill Sans MT"/>
          <w:sz w:val="20"/>
          <w:szCs w:val="20"/>
        </w:rPr>
      </w:pPr>
      <w:r w:rsidRPr="00F853E1">
        <w:rPr>
          <w:rStyle w:val="FootnoteReference"/>
          <w:rFonts w:ascii="Gill Sans MT" w:hAnsi="Gill Sans MT"/>
          <w:sz w:val="20"/>
          <w:szCs w:val="20"/>
        </w:rPr>
        <w:footnoteRef/>
      </w:r>
      <w:r w:rsidRPr="00F853E1">
        <w:rPr>
          <w:rFonts w:ascii="Gill Sans MT" w:hAnsi="Gill Sans MT"/>
          <w:sz w:val="20"/>
          <w:szCs w:val="20"/>
        </w:rPr>
        <w:t xml:space="preserve"> </w:t>
      </w:r>
      <w:r w:rsidRPr="009F61F8">
        <w:rPr>
          <w:rFonts w:ascii="Gill Sans MT" w:hAnsi="Gill Sans MT"/>
          <w:bCs/>
          <w:sz w:val="20"/>
          <w:szCs w:val="20"/>
        </w:rPr>
        <w:t xml:space="preserve">Department of Employment Affairs and Social Protection. </w:t>
      </w:r>
      <w:r w:rsidRPr="00B018D7">
        <w:rPr>
          <w:rFonts w:ascii="Gill Sans MT" w:hAnsi="Gill Sans MT"/>
          <w:bCs/>
          <w:sz w:val="20"/>
          <w:szCs w:val="20"/>
        </w:rPr>
        <w:t xml:space="preserve">An </w:t>
      </w:r>
      <w:r w:rsidRPr="00F853E1">
        <w:rPr>
          <w:rFonts w:ascii="Gill Sans MT" w:hAnsi="Gill Sans MT"/>
          <w:bCs/>
          <w:sz w:val="20"/>
          <w:szCs w:val="20"/>
        </w:rPr>
        <w:t xml:space="preserve">Analysis of Disability Allowance Inflows and Outflows. </w:t>
      </w:r>
      <w:hyperlink r:id="rId78" w:history="1">
        <w:r w:rsidRPr="00F853E1">
          <w:rPr>
            <w:rStyle w:val="Hyperlink"/>
            <w:rFonts w:ascii="Gill Sans MT" w:hAnsi="Gill Sans MT"/>
            <w:sz w:val="20"/>
            <w:szCs w:val="20"/>
            <w:lang w:eastAsia="en-IE"/>
          </w:rPr>
          <w:t>https://igees.gov.ie/wp-content/uploads/2019/01/An-analysis-of-Disability-Allowance-inflows-and-outflows.pdf</w:t>
        </w:r>
      </w:hyperlink>
    </w:p>
  </w:footnote>
  <w:footnote w:id="93">
    <w:p w14:paraId="60E90324" w14:textId="6F97EB56" w:rsidR="00267385" w:rsidRPr="00491128" w:rsidRDefault="00267385" w:rsidP="004C197C">
      <w:pPr>
        <w:pStyle w:val="Default"/>
        <w:rPr>
          <w:rFonts w:ascii="Gill Sans MT" w:hAnsi="Gill Sans MT" w:cs="Arial"/>
          <w:sz w:val="20"/>
          <w:szCs w:val="20"/>
        </w:rPr>
      </w:pPr>
      <w:r w:rsidRPr="00F853E1">
        <w:rPr>
          <w:rStyle w:val="FootnoteReference"/>
          <w:rFonts w:ascii="Gill Sans MT" w:hAnsi="Gill Sans MT"/>
          <w:sz w:val="20"/>
          <w:szCs w:val="20"/>
        </w:rPr>
        <w:footnoteRef/>
      </w:r>
      <w:r w:rsidRPr="00F853E1">
        <w:rPr>
          <w:rFonts w:ascii="Gill Sans MT" w:hAnsi="Gill Sans MT"/>
          <w:sz w:val="20"/>
          <w:szCs w:val="20"/>
        </w:rPr>
        <w:t xml:space="preserve"> </w:t>
      </w:r>
      <w:r w:rsidRPr="009F61F8">
        <w:rPr>
          <w:rFonts w:ascii="Gill Sans MT" w:hAnsi="Gill Sans MT" w:cs="Arial"/>
          <w:sz w:val="20"/>
          <w:szCs w:val="20"/>
        </w:rPr>
        <w:t>Department of Employment Affairs and Social Protection.</w:t>
      </w:r>
      <w:r w:rsidRPr="00817300">
        <w:rPr>
          <w:rFonts w:ascii="Gill Sans MT" w:hAnsi="Gill Sans MT" w:cs="Arial"/>
          <w:sz w:val="20"/>
          <w:szCs w:val="20"/>
        </w:rPr>
        <w:t xml:space="preserve"> </w:t>
      </w:r>
      <w:r w:rsidRPr="00491128">
        <w:rPr>
          <w:rFonts w:ascii="Gill Sans MT" w:hAnsi="Gill Sans MT" w:cs="Arial"/>
          <w:i/>
          <w:sz w:val="20"/>
          <w:szCs w:val="20"/>
        </w:rPr>
        <w:t>Department of Social Protection Report on Disability Allowance Survey 2015</w:t>
      </w:r>
      <w:r w:rsidRPr="00F853E1">
        <w:rPr>
          <w:rFonts w:ascii="Gill Sans MT" w:hAnsi="Gill Sans MT" w:cs="Arial"/>
          <w:sz w:val="20"/>
          <w:szCs w:val="20"/>
        </w:rPr>
        <w:t>. 2016.</w:t>
      </w:r>
      <w:r w:rsidRPr="009F61F8">
        <w:rPr>
          <w:rFonts w:ascii="Gill Sans MT" w:hAnsi="Gill Sans MT" w:cs="Arial"/>
          <w:sz w:val="20"/>
          <w:szCs w:val="20"/>
        </w:rPr>
        <w:t xml:space="preserve"> </w:t>
      </w:r>
      <w:hyperlink r:id="rId79" w:history="1">
        <w:r w:rsidRPr="009F61F8">
          <w:rPr>
            <w:rStyle w:val="Hyperlink"/>
            <w:rFonts w:ascii="Gill Sans MT" w:hAnsi="Gill Sans MT" w:cs="Arial"/>
            <w:sz w:val="20"/>
            <w:szCs w:val="20"/>
          </w:rPr>
          <w:t>https://www.welfare.ie/en/downloads/DSPReportonDisabilityAllowanceSurvey2015.pdf</w:t>
        </w:r>
      </w:hyperlink>
      <w:r w:rsidRPr="00F853E1">
        <w:rPr>
          <w:rFonts w:ascii="Gill Sans MT" w:hAnsi="Gill Sans MT" w:cs="Arial"/>
          <w:sz w:val="20"/>
          <w:szCs w:val="20"/>
        </w:rPr>
        <w:t xml:space="preserve"> </w:t>
      </w:r>
    </w:p>
  </w:footnote>
  <w:footnote w:id="94">
    <w:p w14:paraId="662A796E" w14:textId="2962F9EC" w:rsidR="00267385" w:rsidRPr="00F853E1" w:rsidRDefault="00267385">
      <w:pPr>
        <w:pStyle w:val="FootnoteText"/>
      </w:pPr>
      <w:r w:rsidRPr="00F853E1">
        <w:rPr>
          <w:rStyle w:val="FootnoteReference"/>
        </w:rPr>
        <w:footnoteRef/>
      </w:r>
      <w:r>
        <w:t xml:space="preserve"> </w:t>
      </w:r>
      <w:r w:rsidRPr="00F853E1">
        <w:t xml:space="preserve">Department of Social Protection. </w:t>
      </w:r>
      <w:r w:rsidRPr="004619E4">
        <w:rPr>
          <w:i/>
        </w:rPr>
        <w:t>Make Work Pay for People with Disabilities. Report to Government 2017.</w:t>
      </w:r>
      <w:r w:rsidRPr="009F61F8">
        <w:t xml:space="preserve"> 2017.  </w:t>
      </w:r>
      <w:hyperlink r:id="rId80" w:history="1">
        <w:r w:rsidRPr="009F61F8">
          <w:rPr>
            <w:rStyle w:val="Hyperlink"/>
          </w:rPr>
          <w:t>https://assets.gov.ie/10940/c4c20348897148eb9a50ac2755fd680f.pdf</w:t>
        </w:r>
      </w:hyperlink>
      <w:r w:rsidRPr="00F853E1">
        <w:t xml:space="preserve"> </w:t>
      </w:r>
    </w:p>
  </w:footnote>
  <w:footnote w:id="95">
    <w:p w14:paraId="2D045DEC" w14:textId="0F00ADCD" w:rsidR="00267385" w:rsidRPr="009F61F8" w:rsidRDefault="00267385" w:rsidP="00C558C0">
      <w:pPr>
        <w:pStyle w:val="FootnoteText"/>
      </w:pPr>
      <w:r w:rsidRPr="00F853E1">
        <w:rPr>
          <w:rStyle w:val="FootnoteReference"/>
        </w:rPr>
        <w:footnoteRef/>
      </w:r>
      <w:r w:rsidRPr="00F853E1">
        <w:t xml:space="preserve"> 2018 data from HSE presentation at HSE/NCSE RT seminar May 2019</w:t>
      </w:r>
      <w:r>
        <w:t>.</w:t>
      </w:r>
    </w:p>
  </w:footnote>
  <w:footnote w:id="96">
    <w:p w14:paraId="2AD3988D" w14:textId="6E3885D2" w:rsidR="00267385" w:rsidRDefault="00267385">
      <w:pPr>
        <w:pStyle w:val="FootnoteText"/>
      </w:pPr>
      <w:r w:rsidRPr="00F853E1">
        <w:rPr>
          <w:rStyle w:val="FootnoteReference"/>
        </w:rPr>
        <w:footnoteRef/>
      </w:r>
      <w:r w:rsidRPr="00F853E1">
        <w:t xml:space="preserve"> 2019 data from </w:t>
      </w:r>
      <w:r w:rsidRPr="009F61F8">
        <w:t xml:space="preserve">correspondence with </w:t>
      </w:r>
      <w:r w:rsidRPr="00817300">
        <w:t>Angela Moran</w:t>
      </w:r>
      <w:r>
        <w:t>.</w:t>
      </w:r>
    </w:p>
  </w:footnote>
  <w:footnote w:id="97">
    <w:p w14:paraId="4D840919" w14:textId="31F1AEAA" w:rsidR="00267385" w:rsidRPr="00491128" w:rsidRDefault="00267385" w:rsidP="00491128">
      <w:pPr>
        <w:spacing w:after="0"/>
        <w:rPr>
          <w:rFonts w:cs="Calibri"/>
          <w:color w:val="0563C1"/>
          <w:u w:val="single"/>
          <w:lang w:eastAsia="en-IE"/>
        </w:rPr>
      </w:pPr>
      <w:r w:rsidRPr="009F61F8">
        <w:rPr>
          <w:rStyle w:val="FootnoteReference"/>
          <w:sz w:val="20"/>
          <w:szCs w:val="20"/>
        </w:rPr>
        <w:footnoteRef/>
      </w:r>
      <w:r w:rsidRPr="009F61F8">
        <w:rPr>
          <w:sz w:val="20"/>
          <w:szCs w:val="20"/>
        </w:rPr>
        <w:t xml:space="preserve"> NDA. </w:t>
      </w:r>
      <w:r w:rsidRPr="00971552">
        <w:rPr>
          <w:i/>
          <w:sz w:val="20"/>
          <w:szCs w:val="20"/>
        </w:rPr>
        <w:t>Report on Compliance with Part 5 of the Disability Act 2005 for 2017.</w:t>
      </w:r>
      <w:r w:rsidRPr="009F61F8">
        <w:rPr>
          <w:sz w:val="20"/>
          <w:szCs w:val="20"/>
        </w:rPr>
        <w:t xml:space="preserve"> 2018. </w:t>
      </w:r>
      <w:hyperlink r:id="rId81" w:history="1">
        <w:r w:rsidRPr="00DF7A42">
          <w:rPr>
            <w:rStyle w:val="Hyperlink"/>
            <w:rFonts w:cs="Calibri"/>
            <w:sz w:val="20"/>
            <w:szCs w:val="20"/>
            <w:lang w:eastAsia="en-IE"/>
          </w:rPr>
          <w:t>http://nda.ie/nda-files/Part-5-Forms/Report-on-Compliance-with-Part-5-of-the-Disability-Act-2005-for-201711.pdf</w:t>
        </w:r>
      </w:hyperlink>
    </w:p>
  </w:footnote>
  <w:footnote w:id="98">
    <w:p w14:paraId="753E22C3" w14:textId="48F8A971" w:rsidR="00267385" w:rsidRPr="009F61F8" w:rsidRDefault="00267385">
      <w:pPr>
        <w:pStyle w:val="FootnoteText"/>
      </w:pPr>
      <w:r w:rsidRPr="009F61F8">
        <w:rPr>
          <w:rStyle w:val="FootnoteReference"/>
        </w:rPr>
        <w:footnoteRef/>
      </w:r>
      <w:r w:rsidRPr="009F61F8">
        <w:t xml:space="preserve"> Personal comm</w:t>
      </w:r>
      <w:r>
        <w:t>unication</w:t>
      </w:r>
      <w:r w:rsidRPr="009F61F8">
        <w:t>.</w:t>
      </w:r>
    </w:p>
  </w:footnote>
  <w:footnote w:id="99">
    <w:p w14:paraId="001061BF" w14:textId="40AB2D1E" w:rsidR="00267385" w:rsidRPr="00491128" w:rsidRDefault="00267385" w:rsidP="00491128">
      <w:pPr>
        <w:spacing w:after="0"/>
        <w:rPr>
          <w:rFonts w:cs="Calibri"/>
          <w:color w:val="0563C1"/>
          <w:u w:val="single"/>
          <w:lang w:eastAsia="en-IE"/>
        </w:rPr>
      </w:pPr>
      <w:r w:rsidRPr="009F61F8">
        <w:rPr>
          <w:rStyle w:val="FootnoteReference"/>
          <w:sz w:val="20"/>
          <w:szCs w:val="20"/>
        </w:rPr>
        <w:footnoteRef/>
      </w:r>
      <w:r w:rsidRPr="009F61F8">
        <w:rPr>
          <w:sz w:val="20"/>
          <w:szCs w:val="20"/>
        </w:rPr>
        <w:t xml:space="preserve"> NDA. </w:t>
      </w:r>
      <w:r w:rsidRPr="00971552">
        <w:rPr>
          <w:i/>
          <w:sz w:val="20"/>
          <w:szCs w:val="20"/>
        </w:rPr>
        <w:t>Report on Compliance with Part 5 of the Disability Act 2005 for 2015.</w:t>
      </w:r>
      <w:r w:rsidRPr="009F61F8">
        <w:rPr>
          <w:sz w:val="20"/>
          <w:szCs w:val="20"/>
        </w:rPr>
        <w:t xml:space="preserve"> 2016.</w:t>
      </w:r>
      <w:r>
        <w:rPr>
          <w:rFonts w:cs="Calibri"/>
          <w:color w:val="000000" w:themeColor="text1"/>
          <w:sz w:val="20"/>
          <w:szCs w:val="20"/>
          <w:lang w:eastAsia="en-IE"/>
        </w:rPr>
        <w:t xml:space="preserve"> </w:t>
      </w:r>
      <w:hyperlink r:id="rId82" w:history="1">
        <w:r w:rsidRPr="00DF7A42">
          <w:rPr>
            <w:rStyle w:val="Hyperlink"/>
            <w:rFonts w:cs="Calibri"/>
            <w:sz w:val="20"/>
            <w:szCs w:val="20"/>
            <w:lang w:eastAsia="en-IE"/>
          </w:rPr>
          <w:t>http://nda.ie/nda-files/Report-on-Compliance-with-Part-5-of-the-Disability-Act-2005-for-20151.pdf</w:t>
        </w:r>
      </w:hyperlink>
    </w:p>
  </w:footnote>
  <w:footnote w:id="100">
    <w:p w14:paraId="62A34D4E" w14:textId="0CBB75A9" w:rsidR="00267385" w:rsidRPr="00491128" w:rsidRDefault="00267385" w:rsidP="00491128">
      <w:pPr>
        <w:spacing w:after="0"/>
        <w:rPr>
          <w:rFonts w:cs="Calibri"/>
          <w:color w:val="0563C1"/>
          <w:u w:val="single"/>
          <w:lang w:eastAsia="en-IE"/>
        </w:rPr>
      </w:pPr>
      <w:r w:rsidRPr="009F61F8">
        <w:rPr>
          <w:rStyle w:val="FootnoteReference"/>
          <w:sz w:val="20"/>
          <w:szCs w:val="20"/>
        </w:rPr>
        <w:footnoteRef/>
      </w:r>
      <w:r w:rsidRPr="009F61F8">
        <w:rPr>
          <w:sz w:val="20"/>
          <w:szCs w:val="20"/>
        </w:rPr>
        <w:t xml:space="preserve"> </w:t>
      </w:r>
      <w:r w:rsidRPr="00971552">
        <w:rPr>
          <w:color w:val="000000" w:themeColor="text1"/>
          <w:sz w:val="20"/>
          <w:szCs w:val="20"/>
        </w:rPr>
        <w:t xml:space="preserve">NDA. </w:t>
      </w:r>
      <w:r w:rsidRPr="00971552">
        <w:rPr>
          <w:i/>
          <w:color w:val="000000" w:themeColor="text1"/>
          <w:sz w:val="20"/>
          <w:szCs w:val="20"/>
        </w:rPr>
        <w:t>Report on Compliance with Part 5 of the Disability Act 2005 for 2016.</w:t>
      </w:r>
      <w:r w:rsidRPr="00971552">
        <w:rPr>
          <w:color w:val="000000" w:themeColor="text1"/>
          <w:sz w:val="20"/>
          <w:szCs w:val="20"/>
        </w:rPr>
        <w:t xml:space="preserve"> 2017. </w:t>
      </w:r>
      <w:hyperlink r:id="rId83" w:history="1">
        <w:r w:rsidRPr="00971552">
          <w:rPr>
            <w:rStyle w:val="Hyperlink"/>
            <w:sz w:val="20"/>
            <w:szCs w:val="22"/>
          </w:rPr>
          <w:t>http://nda.ie/Publications/Employment/Employment-of-people-with-disabilities-in-the-public-service/Reports-on-compliance-with-public-sector-jobs-target/Report-on-Compliance-with-Part-5-of-the-Disability-Act-2005-for-20161.pdf</w:t>
        </w:r>
      </w:hyperlink>
    </w:p>
  </w:footnote>
  <w:footnote w:id="101">
    <w:p w14:paraId="06816CBF" w14:textId="242ED832" w:rsidR="00267385" w:rsidRPr="003C0E2E" w:rsidRDefault="00267385">
      <w:pPr>
        <w:pStyle w:val="FootnoteText"/>
      </w:pPr>
      <w:r>
        <w:rPr>
          <w:rStyle w:val="FootnoteReference"/>
        </w:rPr>
        <w:footnoteRef/>
      </w:r>
      <w:r>
        <w:t xml:space="preserve"> Government of Ireland. </w:t>
      </w:r>
      <w:r w:rsidRPr="007E794C">
        <w:rPr>
          <w:i/>
        </w:rPr>
        <w:t>Comprehensive Employment Strategy for People with Disabilities 2015-2024</w:t>
      </w:r>
      <w:r>
        <w:t>. 2015.</w:t>
      </w:r>
      <w:hyperlink r:id="rId84" w:history="1">
        <w:r w:rsidRPr="00000727">
          <w:rPr>
            <w:rStyle w:val="Hyperlink"/>
          </w:rPr>
          <w:t>http://www.justice.ie/en/JELR/Comprehensive%20Employment%20Strategy%20for%20People%20with%20Disabilities%20-%20FINAL.pdf/Files/Comprehensive%20Employment%20Strategy%20for%20People%20with%20Disabilities%20-%20FINAL.pdf</w:t>
        </w:r>
      </w:hyperlink>
      <w:r w:rsidRPr="00000727">
        <w:rPr>
          <w:rStyle w:val="Hyperlink"/>
        </w:rPr>
        <w:t>.</w:t>
      </w:r>
    </w:p>
  </w:footnote>
  <w:footnote w:id="102">
    <w:p w14:paraId="1E682B58" w14:textId="67C3121C" w:rsidR="00267385" w:rsidRPr="00491128" w:rsidRDefault="00267385" w:rsidP="00491128">
      <w:pPr>
        <w:spacing w:after="0"/>
        <w:rPr>
          <w:rFonts w:cs="Calibri"/>
          <w:color w:val="0563C1"/>
          <w:u w:val="single"/>
          <w:lang w:eastAsia="en-IE"/>
        </w:rPr>
      </w:pPr>
      <w:r w:rsidRPr="00000727">
        <w:rPr>
          <w:rStyle w:val="FootnoteReference"/>
          <w:sz w:val="20"/>
          <w:szCs w:val="20"/>
        </w:rPr>
        <w:footnoteRef/>
      </w:r>
      <w:r w:rsidRPr="00000727">
        <w:rPr>
          <w:sz w:val="20"/>
          <w:szCs w:val="20"/>
        </w:rPr>
        <w:t xml:space="preserve"> </w:t>
      </w:r>
      <w:r w:rsidRPr="00824C19">
        <w:rPr>
          <w:sz w:val="20"/>
          <w:szCs w:val="20"/>
        </w:rPr>
        <w:t xml:space="preserve">Minister of State at the Department of Employment Affairs and Social Protection, the Department of Justice and Equality and the Department of Health with </w:t>
      </w:r>
      <w:r>
        <w:rPr>
          <w:sz w:val="20"/>
          <w:szCs w:val="20"/>
        </w:rPr>
        <w:t>S</w:t>
      </w:r>
      <w:r w:rsidRPr="00824C19">
        <w:rPr>
          <w:sz w:val="20"/>
          <w:szCs w:val="20"/>
        </w:rPr>
        <w:t xml:space="preserve">pecial </w:t>
      </w:r>
      <w:r>
        <w:rPr>
          <w:sz w:val="20"/>
          <w:szCs w:val="20"/>
        </w:rPr>
        <w:t>R</w:t>
      </w:r>
      <w:r w:rsidRPr="00824C19">
        <w:rPr>
          <w:sz w:val="20"/>
          <w:szCs w:val="20"/>
        </w:rPr>
        <w:t xml:space="preserve">esponsibility for Disability Issues, Finian McGrath TD, Parliamentary </w:t>
      </w:r>
      <w:r w:rsidRPr="00AA2C33">
        <w:rPr>
          <w:sz w:val="20"/>
          <w:szCs w:val="20"/>
        </w:rPr>
        <w:t>Question, 15 January 2019, 1167/19</w:t>
      </w:r>
      <w:r w:rsidRPr="00971552">
        <w:rPr>
          <w:color w:val="000000" w:themeColor="text1"/>
          <w:sz w:val="20"/>
          <w:szCs w:val="20"/>
        </w:rPr>
        <w:t xml:space="preserve">. </w:t>
      </w:r>
      <w:hyperlink r:id="rId85" w:anchor="pq-answers-1089" w:history="1">
        <w:r w:rsidRPr="00AA2C33">
          <w:rPr>
            <w:rStyle w:val="Hyperlink"/>
            <w:sz w:val="20"/>
            <w:szCs w:val="20"/>
          </w:rPr>
          <w:t>https://www.oireachtas.ie/en/debates/question/2019-01-15/1089/#pq-answers-1089</w:t>
        </w:r>
      </w:hyperlink>
    </w:p>
  </w:footnote>
  <w:footnote w:id="103">
    <w:p w14:paraId="2E359190" w14:textId="6EA59090" w:rsidR="00267385" w:rsidRPr="0008553E" w:rsidRDefault="00267385">
      <w:pPr>
        <w:pStyle w:val="FootnoteText"/>
      </w:pPr>
      <w:r w:rsidRPr="00000727">
        <w:rPr>
          <w:rStyle w:val="FootnoteReference"/>
        </w:rPr>
        <w:footnoteRef/>
      </w:r>
      <w:r w:rsidRPr="00000727">
        <w:t xml:space="preserve"> Minister of State at the Department of Employment Affairs and Social Protection, the Department of Justice and Equality and the Department of Health with </w:t>
      </w:r>
      <w:r>
        <w:t>S</w:t>
      </w:r>
      <w:r w:rsidRPr="00000727">
        <w:t xml:space="preserve">pecial </w:t>
      </w:r>
      <w:r>
        <w:t>R</w:t>
      </w:r>
      <w:r w:rsidRPr="00000727">
        <w:t xml:space="preserve">esponsibility for Disability Issues, Finian McGrath TD, </w:t>
      </w:r>
      <w:r w:rsidRPr="00624912">
        <w:rPr>
          <w:bCs/>
        </w:rPr>
        <w:t>Parliamentary Question, 4 December 2018, 50434/18.</w:t>
      </w:r>
      <w:r>
        <w:rPr>
          <w:bCs/>
        </w:rPr>
        <w:t xml:space="preserve"> </w:t>
      </w:r>
      <w:hyperlink r:id="rId86" w:history="1">
        <w:r>
          <w:rPr>
            <w:rStyle w:val="Hyperlink"/>
          </w:rPr>
          <w:t>https://www.oireachtas.ie/en/debates/question/2018-12-04/667/</w:t>
        </w:r>
      </w:hyperlink>
    </w:p>
  </w:footnote>
  <w:footnote w:id="104">
    <w:p w14:paraId="581E014D" w14:textId="7AA75FED" w:rsidR="00267385" w:rsidRDefault="00267385" w:rsidP="00DE17C3">
      <w:pPr>
        <w:pStyle w:val="FootnoteText"/>
      </w:pPr>
      <w:r>
        <w:rPr>
          <w:rStyle w:val="FootnoteReference"/>
        </w:rPr>
        <w:footnoteRef/>
      </w:r>
      <w:r>
        <w:t xml:space="preserve"> NDA. </w:t>
      </w:r>
      <w:r w:rsidRPr="00491128">
        <w:rPr>
          <w:i/>
        </w:rPr>
        <w:t>Reasonable Accommodations: Obstacles and Opportunities to the Employment of Persons with a Disability.</w:t>
      </w:r>
      <w:r>
        <w:t xml:space="preserve"> 2019. </w:t>
      </w:r>
      <w:hyperlink r:id="rId87" w:history="1">
        <w:r>
          <w:rPr>
            <w:rStyle w:val="Hyperlink"/>
          </w:rPr>
          <w:t>http://nda.ie/File-upload/Reasonable-Accommodation-Obstacles-and-Opportunities-to-the-Employment-of-Persons-with-Disabilities-pdf.pdf</w:t>
        </w:r>
      </w:hyperlink>
    </w:p>
  </w:footnote>
  <w:footnote w:id="105">
    <w:p w14:paraId="6A4183E8" w14:textId="129E146D" w:rsidR="00267385" w:rsidRPr="00491128" w:rsidRDefault="00267385" w:rsidP="00491128">
      <w:pPr>
        <w:spacing w:after="0"/>
        <w:rPr>
          <w:rFonts w:cs="Calibri"/>
          <w:color w:val="0563C1"/>
          <w:u w:val="single"/>
          <w:lang w:eastAsia="en-IE"/>
        </w:rPr>
      </w:pPr>
      <w:r w:rsidRPr="00110535">
        <w:rPr>
          <w:rStyle w:val="FootnoteReference"/>
          <w:sz w:val="20"/>
          <w:szCs w:val="20"/>
        </w:rPr>
        <w:footnoteRef/>
      </w:r>
      <w:r w:rsidRPr="00110535">
        <w:rPr>
          <w:sz w:val="20"/>
          <w:szCs w:val="20"/>
        </w:rPr>
        <w:t xml:space="preserve"> CSO. </w:t>
      </w:r>
      <w:r w:rsidRPr="00491128">
        <w:rPr>
          <w:i/>
          <w:sz w:val="20"/>
          <w:szCs w:val="20"/>
        </w:rPr>
        <w:t xml:space="preserve">Mortality Differentials in Ireland 2016-2017. </w:t>
      </w:r>
      <w:r w:rsidRPr="00110535">
        <w:rPr>
          <w:sz w:val="20"/>
          <w:szCs w:val="20"/>
        </w:rPr>
        <w:t xml:space="preserve">2019. </w:t>
      </w:r>
      <w:hyperlink r:id="rId88" w:history="1">
        <w:r w:rsidRPr="00AA2C33">
          <w:rPr>
            <w:rStyle w:val="Hyperlink"/>
            <w:sz w:val="20"/>
            <w:szCs w:val="20"/>
          </w:rPr>
          <w:t>https://www.cso.ie/en/releasesandpublications/in/mdi/mortalitydifferentialsinireland2016-2017/</w:t>
        </w:r>
      </w:hyperlink>
    </w:p>
  </w:footnote>
  <w:footnote w:id="106">
    <w:p w14:paraId="1224C576" w14:textId="50C339FB" w:rsidR="00267385" w:rsidRPr="00B8185E" w:rsidRDefault="00267385" w:rsidP="005A0A7F">
      <w:pPr>
        <w:pStyle w:val="FootnoteText"/>
      </w:pPr>
      <w:r w:rsidRPr="00110535">
        <w:rPr>
          <w:rStyle w:val="FootnoteReference"/>
        </w:rPr>
        <w:footnoteRef/>
      </w:r>
      <w:r w:rsidRPr="00110535">
        <w:t xml:space="preserve"> According to the CSO - There were variations in the matching rate across the various age-groups. In particular there was a significantly lower match rate for deaths in the 20 - 54 year age-groups. This may lead to over-estimation of life expectancy values since the matched mortality records will have less deaths at younger ages than the overall mortality file. Furthermore, since new matching methods, data sources and life table graduation methods have been used in this relea</w:t>
      </w:r>
      <w:r w:rsidRPr="003C0E2E">
        <w:t>se, the current statistics are not directly comparable with the previous Mortality Differentials statistics for 2006/2007</w:t>
      </w:r>
      <w:r>
        <w:t>.</w:t>
      </w:r>
    </w:p>
  </w:footnote>
  <w:footnote w:id="107">
    <w:p w14:paraId="3065D812" w14:textId="1DDC4F9B" w:rsidR="00267385" w:rsidRPr="00817300" w:rsidRDefault="00267385">
      <w:pPr>
        <w:pStyle w:val="FootnoteText"/>
      </w:pPr>
      <w:r w:rsidRPr="00817300">
        <w:rPr>
          <w:rStyle w:val="FootnoteReference"/>
        </w:rPr>
        <w:footnoteRef/>
      </w:r>
      <w:r w:rsidRPr="00817300">
        <w:t xml:space="preserve"> </w:t>
      </w:r>
      <w:r w:rsidRPr="00971552">
        <w:rPr>
          <w:rStyle w:val="matrix1"/>
          <w:rFonts w:cs="Arial"/>
          <w:color w:val="000000" w:themeColor="text1"/>
        </w:rPr>
        <w:t>E9078</w:t>
      </w:r>
      <w:r w:rsidRPr="00971552">
        <w:rPr>
          <w:color w:val="000000" w:themeColor="text1"/>
        </w:rPr>
        <w:t xml:space="preserve"> </w:t>
      </w:r>
      <w:r w:rsidRPr="00971552">
        <w:rPr>
          <w:rStyle w:val="matrix1"/>
          <w:rFonts w:cs="Arial"/>
          <w:color w:val="000000" w:themeColor="text1"/>
        </w:rPr>
        <w:t xml:space="preserve">CSO. Table E9019 Census 2016 Statbank. </w:t>
      </w:r>
      <w:hyperlink r:id="rId89" w:history="1">
        <w:r w:rsidRPr="00971552">
          <w:rPr>
            <w:rStyle w:val="Hyperlink"/>
          </w:rPr>
          <w:t>https://statbank.cso.ie/px/pxeirestat/Database/eirestat/Profile%209%20-%20Health%20Disability%20and%20Carers/Profile%209%20-%20Health%20Disability%20and%20Carers_statbank.asp?SP=Profile%209%20-%20Health%20Disability%20and%20Carers&amp;Planguage=0</w:t>
        </w:r>
      </w:hyperlink>
    </w:p>
  </w:footnote>
  <w:footnote w:id="108">
    <w:p w14:paraId="0BA77A83" w14:textId="7E57630C" w:rsidR="00267385" w:rsidRPr="00817300" w:rsidRDefault="00267385">
      <w:pPr>
        <w:pStyle w:val="FootnoteText"/>
      </w:pPr>
      <w:r w:rsidRPr="00817300">
        <w:rPr>
          <w:rStyle w:val="FootnoteReference"/>
        </w:rPr>
        <w:footnoteRef/>
      </w:r>
      <w:r w:rsidRPr="00817300">
        <w:t xml:space="preserve"> </w:t>
      </w:r>
      <w:r w:rsidRPr="00971552">
        <w:rPr>
          <w:rStyle w:val="matrix1"/>
          <w:rFonts w:cs="Arial"/>
          <w:color w:val="000000" w:themeColor="text1"/>
        </w:rPr>
        <w:t xml:space="preserve">CSO. Table E9019 Census 2016 Statbank. </w:t>
      </w:r>
      <w:hyperlink r:id="rId90" w:history="1">
        <w:r w:rsidRPr="00971552">
          <w:rPr>
            <w:rStyle w:val="Hyperlink"/>
          </w:rPr>
          <w:t>https://statbank.cso.ie/px/pxeirestat/Database/eirestat/Profile%209%20-%20Health%20Disability%20and%20Carers/Profile%209%20-%20Health%20Disability%20and%20Carers_statbank.asp?SP=Profile%209%20-%20Health%20Disability%20and%20Carers&amp;Planguage=0</w:t>
        </w:r>
      </w:hyperlink>
    </w:p>
  </w:footnote>
  <w:footnote w:id="109">
    <w:p w14:paraId="5D86837D" w14:textId="0519602D" w:rsidR="00267385" w:rsidRPr="00B8185E" w:rsidRDefault="00267385">
      <w:pPr>
        <w:pStyle w:val="FootnoteText"/>
      </w:pPr>
      <w:r w:rsidRPr="00817300">
        <w:rPr>
          <w:rStyle w:val="FootnoteReference"/>
        </w:rPr>
        <w:footnoteRef/>
      </w:r>
      <w:r w:rsidRPr="00817300">
        <w:t xml:space="preserve"> </w:t>
      </w:r>
      <w:r w:rsidRPr="003C0E2E">
        <w:t xml:space="preserve">CSO. Table </w:t>
      </w:r>
      <w:r w:rsidRPr="00B018D7">
        <w:t>IH039</w:t>
      </w:r>
      <w:r w:rsidRPr="00B8185E">
        <w:t xml:space="preserve"> Irish Health Survey. </w:t>
      </w:r>
      <w:hyperlink r:id="rId91" w:history="1">
        <w:r w:rsidRPr="00AE6451">
          <w:rPr>
            <w:rStyle w:val="Hyperlink"/>
          </w:rPr>
          <w:t>https://www.cso.ie/en/statistics/health/irishhealthsurvey/</w:t>
        </w:r>
      </w:hyperlink>
      <w:r>
        <w:t xml:space="preserve"> </w:t>
      </w:r>
    </w:p>
  </w:footnote>
  <w:footnote w:id="110">
    <w:p w14:paraId="27B7F538" w14:textId="63C624B9" w:rsidR="00267385" w:rsidRDefault="00267385">
      <w:pPr>
        <w:pStyle w:val="FootnoteText"/>
      </w:pPr>
      <w:r w:rsidRPr="00817300">
        <w:rPr>
          <w:rStyle w:val="FootnoteReference"/>
        </w:rPr>
        <w:footnoteRef/>
      </w:r>
      <w:r w:rsidRPr="00817300">
        <w:t xml:space="preserve"> Satisfaction scale where 1 means very dissatisfied and 10 means very satisfied, happiness scale wher</w:t>
      </w:r>
      <w:r w:rsidRPr="003C0E2E">
        <w:t xml:space="preserve">e 1 means very unhappy and 10 means very happy. NDA. </w:t>
      </w:r>
      <w:r w:rsidRPr="00491128">
        <w:rPr>
          <w:i/>
        </w:rPr>
        <w:t>National Survey of Public Attitudes to Disability in Ireland</w:t>
      </w:r>
      <w:r w:rsidRPr="003C0E2E">
        <w:t xml:space="preserve">. 2017. </w:t>
      </w:r>
      <w:hyperlink r:id="rId92" w:history="1">
        <w:r w:rsidRPr="003C0E2E">
          <w:rPr>
            <w:rStyle w:val="Hyperlink"/>
          </w:rPr>
          <w:t>http://nda.ie/publications/attitudes/public-attitudes-to-disability-in-ireland-surveys/public-attitudes-to-disability-in-ireland-survey-2017.html</w:t>
        </w:r>
      </w:hyperlink>
    </w:p>
  </w:footnote>
  <w:footnote w:id="111">
    <w:p w14:paraId="2C7DA763" w14:textId="6A6150C8" w:rsidR="00267385" w:rsidRPr="00203078" w:rsidRDefault="00267385">
      <w:pPr>
        <w:pStyle w:val="FootnoteText"/>
      </w:pPr>
      <w:r w:rsidRPr="00AC35DD">
        <w:rPr>
          <w:rStyle w:val="FootnoteReference"/>
        </w:rPr>
        <w:footnoteRef/>
      </w:r>
      <w:r w:rsidRPr="00AC35DD">
        <w:t xml:space="preserve"> </w:t>
      </w:r>
      <w:r w:rsidRPr="00203078">
        <w:t xml:space="preserve">CSO. Table IH061 Irish Health Survey. </w:t>
      </w:r>
      <w:hyperlink r:id="rId93" w:history="1">
        <w:r w:rsidRPr="00AE6451">
          <w:rPr>
            <w:rStyle w:val="Hyperlink"/>
          </w:rPr>
          <w:t>https://www.cso.ie/en/statistics/health/irishhealthsurvey/</w:t>
        </w:r>
      </w:hyperlink>
      <w:r>
        <w:t xml:space="preserve"> </w:t>
      </w:r>
    </w:p>
  </w:footnote>
  <w:footnote w:id="112">
    <w:p w14:paraId="57472568" w14:textId="5CC07640" w:rsidR="00267385" w:rsidRPr="00AC35DD" w:rsidRDefault="00267385">
      <w:pPr>
        <w:pStyle w:val="FootnoteText"/>
      </w:pPr>
      <w:r w:rsidRPr="00AC35DD">
        <w:rPr>
          <w:rStyle w:val="FootnoteReference"/>
        </w:rPr>
        <w:footnoteRef/>
      </w:r>
      <w:r w:rsidRPr="00AC35DD">
        <w:t xml:space="preserve"> </w:t>
      </w:r>
      <w:r w:rsidRPr="00203078">
        <w:t>Healthy and Positive Ageing Initiative</w:t>
      </w:r>
      <w:r>
        <w:t xml:space="preserve">. </w:t>
      </w:r>
      <w:r w:rsidRPr="00491128">
        <w:rPr>
          <w:i/>
        </w:rPr>
        <w:t>Positive Ageing Indicators 2018</w:t>
      </w:r>
      <w:r w:rsidRPr="00AC35DD">
        <w:t xml:space="preserve">. 2018 </w:t>
      </w:r>
      <w:hyperlink r:id="rId94" w:history="1">
        <w:r w:rsidRPr="00203078">
          <w:rPr>
            <w:rStyle w:val="Hyperlink"/>
          </w:rPr>
          <w:t>https://assets.gov.ie/9673/f528d4c3856044e9a2b5545230e77a04.pdf</w:t>
        </w:r>
      </w:hyperlink>
    </w:p>
  </w:footnote>
  <w:footnote w:id="113">
    <w:p w14:paraId="729DA8AB" w14:textId="6B5AF2CC" w:rsidR="00267385" w:rsidRPr="00491128" w:rsidRDefault="00267385" w:rsidP="00491128">
      <w:pPr>
        <w:spacing w:after="0"/>
        <w:rPr>
          <w:rFonts w:cs="Calibri"/>
          <w:color w:val="0563C1"/>
          <w:u w:val="single"/>
          <w:lang w:eastAsia="en-IE"/>
        </w:rPr>
      </w:pPr>
      <w:r w:rsidRPr="00AC35DD">
        <w:rPr>
          <w:rStyle w:val="FootnoteReference"/>
          <w:sz w:val="20"/>
          <w:szCs w:val="20"/>
        </w:rPr>
        <w:footnoteRef/>
      </w:r>
      <w:r w:rsidRPr="00AC35DD">
        <w:rPr>
          <w:sz w:val="20"/>
          <w:szCs w:val="20"/>
        </w:rPr>
        <w:t xml:space="preserve"> </w:t>
      </w:r>
      <w:r>
        <w:rPr>
          <w:sz w:val="20"/>
          <w:szCs w:val="20"/>
        </w:rPr>
        <w:t xml:space="preserve">Sport Ireland. </w:t>
      </w:r>
      <w:r w:rsidRPr="00971552">
        <w:rPr>
          <w:i/>
          <w:sz w:val="20"/>
          <w:szCs w:val="20"/>
        </w:rPr>
        <w:t>Irish Sports Monitor. Annual Report 2015.</w:t>
      </w:r>
      <w:r>
        <w:rPr>
          <w:sz w:val="20"/>
          <w:szCs w:val="20"/>
        </w:rPr>
        <w:t xml:space="preserve"> 2016. </w:t>
      </w:r>
      <w:hyperlink r:id="rId95" w:history="1">
        <w:r w:rsidRPr="00971552">
          <w:rPr>
            <w:rStyle w:val="Hyperlink"/>
            <w:sz w:val="20"/>
          </w:rPr>
          <w:t>https://www.sportireland.ie/sites/default/files/2019-11/irish-sports-monitor-annual-report-2015-1.pdf</w:t>
        </w:r>
      </w:hyperlink>
    </w:p>
  </w:footnote>
  <w:footnote w:id="114">
    <w:p w14:paraId="0ADE42C0" w14:textId="297D5D40" w:rsidR="00267385" w:rsidRDefault="00267385">
      <w:pPr>
        <w:pStyle w:val="FootnoteText"/>
      </w:pPr>
      <w:r w:rsidRPr="00AC35DD">
        <w:rPr>
          <w:rStyle w:val="FootnoteReference"/>
        </w:rPr>
        <w:footnoteRef/>
      </w:r>
      <w:r w:rsidRPr="00AC35DD">
        <w:t xml:space="preserve"> </w:t>
      </w:r>
      <w:r>
        <w:t xml:space="preserve">Sport Ireland. </w:t>
      </w:r>
      <w:r w:rsidRPr="00491128">
        <w:rPr>
          <w:i/>
        </w:rPr>
        <w:t>Irish Sports Monitor 2019. Mid-Year Report.</w:t>
      </w:r>
      <w:r>
        <w:t xml:space="preserve"> 2019. </w:t>
      </w:r>
      <w:hyperlink r:id="rId96" w:history="1">
        <w:r w:rsidRPr="00AE6451">
          <w:rPr>
            <w:rStyle w:val="Hyperlink"/>
          </w:rPr>
          <w:t>https://www.sportireland.ie/sites/default/files/2019-11/ism-2019-mid-year-report-final_0.pdf</w:t>
        </w:r>
      </w:hyperlink>
      <w:r>
        <w:t xml:space="preserve"> </w:t>
      </w:r>
    </w:p>
  </w:footnote>
  <w:footnote w:id="115">
    <w:p w14:paraId="5F21AD0E" w14:textId="7A6BF062" w:rsidR="00267385" w:rsidRPr="002864CE" w:rsidRDefault="00267385">
      <w:pPr>
        <w:pStyle w:val="FootnoteText"/>
      </w:pPr>
      <w:r w:rsidRPr="002864CE">
        <w:rPr>
          <w:rStyle w:val="FootnoteReference"/>
        </w:rPr>
        <w:footnoteRef/>
      </w:r>
      <w:r w:rsidRPr="002864CE">
        <w:t xml:space="preserve"> Sport Ireland. </w:t>
      </w:r>
      <w:r w:rsidRPr="002864CE">
        <w:rPr>
          <w:i/>
        </w:rPr>
        <w:t xml:space="preserve">Sport Ireland Policy on </w:t>
      </w:r>
      <w:r w:rsidRPr="00491128">
        <w:rPr>
          <w:i/>
        </w:rPr>
        <w:t>Women in Sport.</w:t>
      </w:r>
      <w:r w:rsidRPr="002864CE">
        <w:t xml:space="preserve"> 2019. </w:t>
      </w:r>
      <w:hyperlink r:id="rId97" w:history="1">
        <w:r w:rsidRPr="002864CE">
          <w:rPr>
            <w:rStyle w:val="Hyperlink"/>
          </w:rPr>
          <w:t>https://www.sportireland.ie/sites/default/files/2019-11/wis_policy.pdf</w:t>
        </w:r>
      </w:hyperlink>
    </w:p>
  </w:footnote>
  <w:footnote w:id="116">
    <w:p w14:paraId="5F72EC3C" w14:textId="2E078EA0" w:rsidR="00267385" w:rsidRPr="002864CE" w:rsidRDefault="00267385" w:rsidP="00047C4E">
      <w:pPr>
        <w:pStyle w:val="FootnoteText"/>
      </w:pPr>
      <w:r w:rsidRPr="002864CE">
        <w:rPr>
          <w:rStyle w:val="FootnoteReference"/>
        </w:rPr>
        <w:footnoteRef/>
      </w:r>
      <w:r w:rsidRPr="002864CE">
        <w:t xml:space="preserve"> Healthy and Positive Ageing Initiative. </w:t>
      </w:r>
      <w:r w:rsidRPr="00491128">
        <w:rPr>
          <w:i/>
        </w:rPr>
        <w:t>Positive Ageing Indicators 2018</w:t>
      </w:r>
      <w:r w:rsidRPr="002864CE">
        <w:t xml:space="preserve">. 2018 </w:t>
      </w:r>
      <w:hyperlink r:id="rId98" w:history="1">
        <w:r w:rsidRPr="00BA36FC">
          <w:rPr>
            <w:rStyle w:val="Hyperlink"/>
          </w:rPr>
          <w:t>https://assets.gov.ie/9673/f528d4c3856044e9a2b5545230e77a04.pdf</w:t>
        </w:r>
      </w:hyperlink>
      <w:r>
        <w:t xml:space="preserve"> </w:t>
      </w:r>
    </w:p>
  </w:footnote>
  <w:footnote w:id="117">
    <w:p w14:paraId="7E6C5037" w14:textId="1BBDE489" w:rsidR="00267385" w:rsidRPr="00491128" w:rsidRDefault="00267385" w:rsidP="00491128">
      <w:pPr>
        <w:spacing w:after="0"/>
        <w:rPr>
          <w:rFonts w:cs="Calibri"/>
          <w:color w:val="0563C1"/>
          <w:u w:val="single"/>
          <w:lang w:eastAsia="en-IE"/>
        </w:rPr>
      </w:pPr>
      <w:r>
        <w:rPr>
          <w:rFonts w:cs="Calibri"/>
          <w:color w:val="0563C1"/>
          <w:sz w:val="20"/>
          <w:szCs w:val="20"/>
          <w:u w:val="single"/>
          <w:lang w:eastAsia="en-IE"/>
        </w:rPr>
        <w:t xml:space="preserve"> </w:t>
      </w:r>
      <w:r w:rsidRPr="002864CE">
        <w:rPr>
          <w:rStyle w:val="FootnoteReference"/>
          <w:sz w:val="20"/>
          <w:szCs w:val="20"/>
        </w:rPr>
        <w:footnoteRef/>
      </w:r>
      <w:r>
        <w:rPr>
          <w:rFonts w:cs="Calibri"/>
          <w:color w:val="0563C1"/>
          <w:sz w:val="20"/>
          <w:szCs w:val="20"/>
          <w:u w:val="single"/>
          <w:lang w:eastAsia="en-IE"/>
        </w:rPr>
        <w:t xml:space="preserve"> </w:t>
      </w:r>
      <w:r w:rsidRPr="00F65BB2">
        <w:rPr>
          <w:rFonts w:cs="Calibri"/>
          <w:color w:val="000000" w:themeColor="text1"/>
          <w:sz w:val="20"/>
          <w:szCs w:val="20"/>
          <w:lang w:eastAsia="en-IE"/>
        </w:rPr>
        <w:t>Antoinette</w:t>
      </w:r>
      <w:r w:rsidRPr="00971552">
        <w:rPr>
          <w:rFonts w:cs="Calibri"/>
          <w:color w:val="000000" w:themeColor="text1"/>
          <w:sz w:val="20"/>
          <w:szCs w:val="20"/>
          <w:lang w:eastAsia="en-IE"/>
        </w:rPr>
        <w:t xml:space="preserve"> Daly and Sarah Craig. </w:t>
      </w:r>
      <w:r w:rsidRPr="00971552">
        <w:rPr>
          <w:rFonts w:cs="Calibri"/>
          <w:i/>
          <w:color w:val="000000" w:themeColor="text1"/>
          <w:sz w:val="20"/>
          <w:szCs w:val="20"/>
          <w:lang w:eastAsia="en-IE"/>
        </w:rPr>
        <w:t>HRB Statistics Series 35. Activities of Irish Psychiatric Units and Hospitals 2016 Main Findings.</w:t>
      </w:r>
      <w:r w:rsidRPr="00971552">
        <w:rPr>
          <w:rFonts w:cs="Calibri"/>
          <w:color w:val="000000" w:themeColor="text1"/>
          <w:sz w:val="20"/>
          <w:szCs w:val="20"/>
          <w:lang w:eastAsia="en-IE"/>
        </w:rPr>
        <w:t xml:space="preserve"> 2017. </w:t>
      </w:r>
      <w:hyperlink r:id="rId99" w:history="1">
        <w:r w:rsidRPr="00BA7A3D">
          <w:rPr>
            <w:rStyle w:val="Hyperlink"/>
            <w:sz w:val="20"/>
            <w:szCs w:val="20"/>
          </w:rPr>
          <w:t>https://www.hrb.ie/fileadmin/2._Plugin_related_files/Publications/2017_and_earlier_Pubs/NPIRS/Activities_Irish_Psychiatric_Units_Hospitals_2016.pdf</w:t>
        </w:r>
      </w:hyperlink>
    </w:p>
  </w:footnote>
  <w:footnote w:id="118">
    <w:p w14:paraId="24C36658" w14:textId="181AC242" w:rsidR="00267385" w:rsidRPr="00491128" w:rsidRDefault="00267385" w:rsidP="00491128">
      <w:pPr>
        <w:spacing w:after="0"/>
        <w:rPr>
          <w:rFonts w:cs="Calibri"/>
          <w:color w:val="0563C1"/>
          <w:u w:val="single"/>
          <w:lang w:eastAsia="en-IE"/>
        </w:rPr>
      </w:pPr>
      <w:r w:rsidRPr="00491128">
        <w:rPr>
          <w:rStyle w:val="FootnoteReference"/>
          <w:color w:val="000000" w:themeColor="text1"/>
          <w:sz w:val="20"/>
          <w:szCs w:val="20"/>
        </w:rPr>
        <w:footnoteRef/>
      </w:r>
      <w:r w:rsidRPr="00491128">
        <w:rPr>
          <w:rFonts w:cs="Calibri"/>
          <w:color w:val="000000" w:themeColor="text1"/>
          <w:sz w:val="20"/>
          <w:szCs w:val="20"/>
          <w:lang w:eastAsia="en-IE"/>
        </w:rPr>
        <w:t xml:space="preserve"> </w:t>
      </w:r>
      <w:r w:rsidRPr="00BA7A3D">
        <w:rPr>
          <w:rFonts w:cs="Calibri"/>
          <w:color w:val="000000" w:themeColor="text1"/>
          <w:sz w:val="20"/>
          <w:szCs w:val="20"/>
          <w:lang w:eastAsia="en-IE"/>
        </w:rPr>
        <w:t>Antoinette</w:t>
      </w:r>
      <w:r w:rsidRPr="00971552">
        <w:rPr>
          <w:rFonts w:cs="Calibri"/>
          <w:color w:val="000000" w:themeColor="text1"/>
          <w:sz w:val="20"/>
          <w:szCs w:val="20"/>
          <w:lang w:eastAsia="en-IE"/>
        </w:rPr>
        <w:t xml:space="preserve"> Daly and Sarah Craig. </w:t>
      </w:r>
      <w:r w:rsidRPr="00971552">
        <w:rPr>
          <w:rFonts w:cs="Calibri"/>
          <w:i/>
          <w:color w:val="000000" w:themeColor="text1"/>
          <w:sz w:val="20"/>
          <w:szCs w:val="20"/>
          <w:lang w:eastAsia="en-IE"/>
        </w:rPr>
        <w:t>HRB Statistics Series 39. Activities of Irish Psychiatric Units and Hospitals 2018 Main Findings.</w:t>
      </w:r>
      <w:r w:rsidRPr="00F65BB2">
        <w:rPr>
          <w:rFonts w:cs="Calibri"/>
          <w:color w:val="000000" w:themeColor="text1"/>
          <w:sz w:val="20"/>
          <w:szCs w:val="20"/>
          <w:lang w:eastAsia="en-IE"/>
        </w:rPr>
        <w:t xml:space="preserve"> 2019</w:t>
      </w:r>
      <w:r w:rsidRPr="00971552">
        <w:rPr>
          <w:rFonts w:cs="Calibri"/>
          <w:color w:val="000000" w:themeColor="text1"/>
          <w:sz w:val="20"/>
          <w:szCs w:val="20"/>
          <w:lang w:eastAsia="en-IE"/>
        </w:rPr>
        <w:t xml:space="preserve">. </w:t>
      </w:r>
      <w:hyperlink r:id="rId100" w:history="1">
        <w:r w:rsidRPr="00BA7A3D">
          <w:rPr>
            <w:rStyle w:val="Hyperlink"/>
            <w:sz w:val="20"/>
            <w:szCs w:val="20"/>
          </w:rPr>
          <w:t>https://www.hrb.ie/fileadmin/2._Plugin_related_files/Publications/2019_Publication_files/2019_HIE/NPIRS/Activities_of_Irish_Psychiatric_Units_and_Hospitals_2018_-_Main_Findings.pdf</w:t>
        </w:r>
      </w:hyperlink>
    </w:p>
  </w:footnote>
  <w:footnote w:id="119">
    <w:p w14:paraId="56DD9163" w14:textId="49624E85" w:rsidR="00267385" w:rsidRDefault="00267385">
      <w:pPr>
        <w:pStyle w:val="FootnoteText"/>
      </w:pPr>
      <w:r w:rsidRPr="002864CE">
        <w:rPr>
          <w:rStyle w:val="FootnoteReference"/>
        </w:rPr>
        <w:footnoteRef/>
      </w:r>
      <w:r w:rsidRPr="002864CE">
        <w:t xml:space="preserve"> </w:t>
      </w:r>
      <w:r w:rsidRPr="001D43C2">
        <w:rPr>
          <w:color w:val="000000" w:themeColor="text1"/>
        </w:rPr>
        <w:t xml:space="preserve">MHC. </w:t>
      </w:r>
      <w:r w:rsidRPr="001D43C2">
        <w:rPr>
          <w:i/>
          <w:color w:val="000000" w:themeColor="text1"/>
        </w:rPr>
        <w:t>Mental Health Commission. Annual Report 2018. Including Report of the Inspector of Mental Health Services.</w:t>
      </w:r>
      <w:r w:rsidRPr="001D43C2">
        <w:rPr>
          <w:color w:val="000000" w:themeColor="text1"/>
        </w:rPr>
        <w:t xml:space="preserve"> </w:t>
      </w:r>
      <w:r>
        <w:rPr>
          <w:color w:val="000000" w:themeColor="text1"/>
        </w:rPr>
        <w:t xml:space="preserve">2019. </w:t>
      </w:r>
      <w:hyperlink r:id="rId101" w:history="1">
        <w:r w:rsidRPr="001D43C2">
          <w:rPr>
            <w:rStyle w:val="Hyperlink"/>
            <w:rFonts w:cs="Calibri"/>
            <w:lang w:eastAsia="en-IE"/>
          </w:rPr>
          <w:t>https://www.mhcirl.ie/File/2018_AR_Incl_OIMS.pdf</w:t>
        </w:r>
      </w:hyperlink>
    </w:p>
  </w:footnote>
  <w:footnote w:id="120">
    <w:p w14:paraId="2F3925F6" w14:textId="77777777" w:rsidR="00267385" w:rsidRPr="00566917" w:rsidRDefault="00267385" w:rsidP="00B56AEC">
      <w:pPr>
        <w:pStyle w:val="FootnoteText"/>
      </w:pPr>
      <w:r w:rsidRPr="00566917">
        <w:rPr>
          <w:rStyle w:val="FootnoteReference"/>
        </w:rPr>
        <w:footnoteRef/>
      </w:r>
      <w:r w:rsidRPr="00566917">
        <w:t xml:space="preserve"> </w:t>
      </w:r>
      <w:r w:rsidRPr="00B018D7">
        <w:t>Department o</w:t>
      </w:r>
      <w:r w:rsidRPr="00B8185E">
        <w:t xml:space="preserve">f Employment Affairs and Social Protection. Social Inclusion Monitor. </w:t>
      </w:r>
      <w:hyperlink r:id="rId102" w:history="1">
        <w:r w:rsidRPr="00DF7A42">
          <w:rPr>
            <w:rStyle w:val="Hyperlink"/>
          </w:rPr>
          <w:t>https://www.gov.ie/en/collection/156b21-social-inclusion-monitor/</w:t>
        </w:r>
      </w:hyperlink>
    </w:p>
  </w:footnote>
  <w:footnote w:id="121">
    <w:p w14:paraId="40070095" w14:textId="34370C6B" w:rsidR="00267385" w:rsidRPr="00B018D7" w:rsidRDefault="00267385">
      <w:pPr>
        <w:pStyle w:val="FootnoteText"/>
      </w:pPr>
      <w:r w:rsidRPr="00566917">
        <w:rPr>
          <w:rStyle w:val="FootnoteReference"/>
        </w:rPr>
        <w:footnoteRef/>
      </w:r>
      <w:r w:rsidRPr="00566917">
        <w:t xml:space="preserve"> 2018 figures received directly from CSO</w:t>
      </w:r>
      <w:r>
        <w:t>.</w:t>
      </w:r>
    </w:p>
  </w:footnote>
  <w:footnote w:id="122">
    <w:p w14:paraId="3145679C" w14:textId="7111EAC1" w:rsidR="00267385" w:rsidRDefault="00267385">
      <w:pPr>
        <w:pStyle w:val="FootnoteText"/>
      </w:pPr>
      <w:r w:rsidRPr="00566917">
        <w:rPr>
          <w:rStyle w:val="FootnoteReference"/>
        </w:rPr>
        <w:footnoteRef/>
      </w:r>
      <w:r w:rsidRPr="00566917">
        <w:t xml:space="preserve"> </w:t>
      </w:r>
      <w:r w:rsidRPr="00B018D7">
        <w:t xml:space="preserve">Government of Ireland. </w:t>
      </w:r>
      <w:r w:rsidRPr="00B8185E">
        <w:rPr>
          <w:i/>
        </w:rPr>
        <w:t>The Roadmap for Social Inclusion 2020-2025. Ambitions, Goals and Commitments</w:t>
      </w:r>
      <w:r w:rsidRPr="00B8185E">
        <w:t>. 2020.</w:t>
      </w:r>
      <w:r w:rsidRPr="00566917">
        <w:t xml:space="preserve"> </w:t>
      </w:r>
      <w:hyperlink r:id="rId103" w:anchor="page=1" w:history="1">
        <w:r w:rsidRPr="00B018D7">
          <w:rPr>
            <w:rStyle w:val="Hyperlink"/>
          </w:rPr>
          <w:t>https://www.gov.ie/pdf/?file=https://assets.gov.ie/46558/5cea3d74aa934fe780cc521ddbe477a7.pdf#page=1</w:t>
        </w:r>
      </w:hyperlink>
    </w:p>
  </w:footnote>
  <w:footnote w:id="123">
    <w:p w14:paraId="10BE86E0" w14:textId="1C3343D8" w:rsidR="00267385" w:rsidRDefault="00267385">
      <w:pPr>
        <w:pStyle w:val="FootnoteText"/>
      </w:pPr>
      <w:r>
        <w:rPr>
          <w:rStyle w:val="FootnoteReference"/>
        </w:rPr>
        <w:footnoteRef/>
      </w:r>
      <w:r>
        <w:t xml:space="preserve"> NDA. </w:t>
      </w:r>
      <w:r w:rsidRPr="00123C71">
        <w:rPr>
          <w:i/>
        </w:rPr>
        <w:t>NDA Paper on Outcomes for Disability Services.</w:t>
      </w:r>
      <w:r>
        <w:t xml:space="preserve"> 2016. </w:t>
      </w:r>
      <w:hyperlink r:id="rId104" w:history="1">
        <w:r>
          <w:rPr>
            <w:rStyle w:val="Hyperlink"/>
          </w:rPr>
          <w:t>http://nda.ie/nda-files/NDA-Paper-on-Outcomes-for-Disability-Services-May-20161.pdf</w:t>
        </w:r>
      </w:hyperlink>
    </w:p>
  </w:footnote>
  <w:footnote w:id="124">
    <w:p w14:paraId="216DA521" w14:textId="5E6C0F50" w:rsidR="00267385" w:rsidRDefault="00267385" w:rsidP="00566917">
      <w:pPr>
        <w:pStyle w:val="FootnoteText"/>
      </w:pPr>
      <w:r>
        <w:rPr>
          <w:rStyle w:val="FootnoteReference"/>
        </w:rPr>
        <w:footnoteRef/>
      </w:r>
      <w:r>
        <w:t xml:space="preserve"> HSE. </w:t>
      </w:r>
      <w:r w:rsidRPr="00491128">
        <w:rPr>
          <w:i/>
        </w:rPr>
        <w:t>A National Framework for Person-Centred Planning in Services for Persons with a Disability.</w:t>
      </w:r>
      <w:r>
        <w:t xml:space="preserve"> 2018. </w:t>
      </w:r>
      <w:hyperlink r:id="rId105" w:history="1">
        <w:r>
          <w:rPr>
            <w:rStyle w:val="Hyperlink"/>
          </w:rPr>
          <w:t>https://www.hse.ie/eng/services/list/4/disability/newdirections/a%20national%20framework%20for%20person-centred%20planning%20in%20services%20for%20persons%20with%20a%20disability.pdf</w:t>
        </w:r>
      </w:hyperlink>
    </w:p>
  </w:footnote>
  <w:footnote w:id="125">
    <w:p w14:paraId="0D1F69C5" w14:textId="202FB9AE" w:rsidR="00267385" w:rsidRDefault="00267385">
      <w:pPr>
        <w:pStyle w:val="FootnoteText"/>
      </w:pPr>
      <w:r>
        <w:rPr>
          <w:rStyle w:val="FootnoteReference"/>
        </w:rPr>
        <w:footnoteRef/>
      </w:r>
      <w:r>
        <w:t xml:space="preserve"> HIQA. </w:t>
      </w:r>
      <w:r w:rsidRPr="00491128">
        <w:rPr>
          <w:i/>
        </w:rPr>
        <w:t>HIQA News. Issue 35. February 2020. The Experiences of People with Disabilities in Congregated Settings. 2020</w:t>
      </w:r>
      <w:r>
        <w:t xml:space="preserve">. </w:t>
      </w:r>
      <w:hyperlink r:id="rId106" w:history="1">
        <w:r w:rsidRPr="00F6350A">
          <w:rPr>
            <w:rStyle w:val="Hyperlink"/>
          </w:rPr>
          <w:t>https://www.hiqanews.com/the-experiences-of-people-with-disabilities-in-congregated-settings/</w:t>
        </w:r>
      </w:hyperlink>
    </w:p>
  </w:footnote>
  <w:footnote w:id="126">
    <w:p w14:paraId="361ECBE9" w14:textId="77777777" w:rsidR="00267385" w:rsidRPr="00566917" w:rsidRDefault="00267385" w:rsidP="009026AA">
      <w:pPr>
        <w:spacing w:after="0"/>
        <w:rPr>
          <w:sz w:val="20"/>
          <w:szCs w:val="20"/>
        </w:rPr>
      </w:pPr>
      <w:r w:rsidRPr="00DD0935">
        <w:rPr>
          <w:rStyle w:val="FootnoteReference"/>
          <w:sz w:val="20"/>
          <w:szCs w:val="20"/>
        </w:rPr>
        <w:footnoteRef/>
      </w:r>
      <w:r w:rsidRPr="00DD0935">
        <w:rPr>
          <w:sz w:val="20"/>
          <w:szCs w:val="20"/>
        </w:rPr>
        <w:t xml:space="preserve"> </w:t>
      </w:r>
      <w:r>
        <w:rPr>
          <w:sz w:val="20"/>
          <w:szCs w:val="20"/>
        </w:rPr>
        <w:t xml:space="preserve">Eilish King </w:t>
      </w:r>
      <w:r w:rsidRPr="00566917">
        <w:rPr>
          <w:sz w:val="20"/>
          <w:szCs w:val="20"/>
        </w:rPr>
        <w:t xml:space="preserve">Theresa Okodogbe, </w:t>
      </w:r>
      <w:r>
        <w:rPr>
          <w:sz w:val="20"/>
          <w:szCs w:val="20"/>
        </w:rPr>
        <w:t>et al.,</w:t>
      </w:r>
      <w:r w:rsidRPr="00566917">
        <w:rPr>
          <w:sz w:val="20"/>
          <w:szCs w:val="20"/>
        </w:rPr>
        <w:t xml:space="preserve"> Activities of </w:t>
      </w:r>
      <w:r>
        <w:rPr>
          <w:sz w:val="20"/>
          <w:szCs w:val="20"/>
        </w:rPr>
        <w:t>D</w:t>
      </w:r>
      <w:r w:rsidRPr="00566917">
        <w:rPr>
          <w:sz w:val="20"/>
          <w:szCs w:val="20"/>
        </w:rPr>
        <w:t xml:space="preserve">aily </w:t>
      </w:r>
      <w:r>
        <w:rPr>
          <w:sz w:val="20"/>
          <w:szCs w:val="20"/>
        </w:rPr>
        <w:t>Living and T</w:t>
      </w:r>
      <w:r w:rsidRPr="00566917">
        <w:rPr>
          <w:sz w:val="20"/>
          <w:szCs w:val="20"/>
        </w:rPr>
        <w:t xml:space="preserve">ransition to </w:t>
      </w:r>
      <w:r>
        <w:rPr>
          <w:sz w:val="20"/>
          <w:szCs w:val="20"/>
        </w:rPr>
        <w:t>C</w:t>
      </w:r>
      <w:r w:rsidRPr="00566917">
        <w:rPr>
          <w:sz w:val="20"/>
          <w:szCs w:val="20"/>
        </w:rPr>
        <w:t>ommunity</w:t>
      </w:r>
      <w:r>
        <w:rPr>
          <w:sz w:val="20"/>
          <w:szCs w:val="20"/>
        </w:rPr>
        <w:t xml:space="preserve"> L</w:t>
      </w:r>
      <w:r w:rsidRPr="00566917">
        <w:rPr>
          <w:sz w:val="20"/>
          <w:szCs w:val="20"/>
        </w:rPr>
        <w:t xml:space="preserve">iving for </w:t>
      </w:r>
      <w:r>
        <w:rPr>
          <w:sz w:val="20"/>
          <w:szCs w:val="20"/>
        </w:rPr>
        <w:t>A</w:t>
      </w:r>
      <w:r w:rsidRPr="00566917">
        <w:rPr>
          <w:sz w:val="20"/>
          <w:szCs w:val="20"/>
        </w:rPr>
        <w:t xml:space="preserve">dults with </w:t>
      </w:r>
      <w:r>
        <w:rPr>
          <w:sz w:val="20"/>
          <w:szCs w:val="20"/>
        </w:rPr>
        <w:t>I</w:t>
      </w:r>
      <w:r w:rsidRPr="00566917">
        <w:rPr>
          <w:sz w:val="20"/>
          <w:szCs w:val="20"/>
        </w:rPr>
        <w:t xml:space="preserve">ntellectual </w:t>
      </w:r>
      <w:r>
        <w:rPr>
          <w:sz w:val="20"/>
          <w:szCs w:val="20"/>
        </w:rPr>
        <w:t>D</w:t>
      </w:r>
      <w:r w:rsidRPr="00566917">
        <w:rPr>
          <w:sz w:val="20"/>
          <w:szCs w:val="20"/>
        </w:rPr>
        <w:t xml:space="preserve">isabilities, </w:t>
      </w:r>
      <w:r w:rsidRPr="00971552">
        <w:rPr>
          <w:i/>
          <w:sz w:val="20"/>
          <w:szCs w:val="20"/>
        </w:rPr>
        <w:t>Scandinavian Journal of Occupational Therapy</w:t>
      </w:r>
      <w:r w:rsidRPr="00566917">
        <w:rPr>
          <w:sz w:val="20"/>
          <w:szCs w:val="20"/>
        </w:rPr>
        <w:t>,</w:t>
      </w:r>
    </w:p>
    <w:p w14:paraId="09296623" w14:textId="1B3EBB34" w:rsidR="00267385" w:rsidRPr="00DD0935" w:rsidRDefault="00267385" w:rsidP="009026AA">
      <w:pPr>
        <w:spacing w:after="0"/>
        <w:rPr>
          <w:rFonts w:ascii="Calibri" w:hAnsi="Calibri"/>
          <w:sz w:val="20"/>
          <w:szCs w:val="20"/>
        </w:rPr>
      </w:pPr>
      <w:r w:rsidRPr="00566917">
        <w:rPr>
          <w:sz w:val="20"/>
          <w:szCs w:val="20"/>
        </w:rPr>
        <w:t>DOI: 10.1080/11038128.2016.1227369</w:t>
      </w:r>
      <w:r>
        <w:rPr>
          <w:sz w:val="20"/>
          <w:szCs w:val="20"/>
        </w:rPr>
        <w:t xml:space="preserve"> </w:t>
      </w:r>
      <w:hyperlink r:id="rId107" w:history="1">
        <w:r w:rsidRPr="00DD0935">
          <w:rPr>
            <w:rStyle w:val="Hyperlink"/>
            <w:sz w:val="20"/>
            <w:szCs w:val="20"/>
          </w:rPr>
          <w:t>https://www.tcd.ie/swsp/assets/pdf/King%20et%20al.%202016.pdf</w:t>
        </w:r>
      </w:hyperlink>
    </w:p>
  </w:footnote>
  <w:footnote w:id="127">
    <w:p w14:paraId="14400FB4" w14:textId="029FD4A5" w:rsidR="00267385" w:rsidRPr="00B018D7" w:rsidRDefault="00267385">
      <w:pPr>
        <w:pStyle w:val="FootnoteText"/>
      </w:pPr>
      <w:r w:rsidRPr="00B018D7">
        <w:rPr>
          <w:rStyle w:val="FootnoteReference"/>
        </w:rPr>
        <w:footnoteRef/>
      </w:r>
      <w:r w:rsidRPr="00B018D7">
        <w:t xml:space="preserve"> </w:t>
      </w:r>
      <w:r w:rsidRPr="00B8185E">
        <w:t>HSE. Person-Centred Planning Framework Demonstration Project</w:t>
      </w:r>
      <w:r w:rsidRPr="00503EBF">
        <w:t xml:space="preserve">. </w:t>
      </w:r>
      <w:hyperlink r:id="rId108" w:history="1">
        <w:r w:rsidRPr="00B8185E">
          <w:rPr>
            <w:rStyle w:val="Hyperlink"/>
          </w:rPr>
          <w:t>https://www.hse.ie/eng/services/list/4/disability/newdirections/person-centred-planning-framework-demonstration-project.html</w:t>
        </w:r>
      </w:hyperlink>
    </w:p>
  </w:footnote>
  <w:footnote w:id="128">
    <w:p w14:paraId="78A72EB3" w14:textId="26E431FC" w:rsidR="00267385" w:rsidRPr="00B018D7" w:rsidRDefault="00267385">
      <w:pPr>
        <w:pStyle w:val="FootnoteText"/>
      </w:pPr>
      <w:r w:rsidRPr="00B018D7">
        <w:rPr>
          <w:rStyle w:val="FootnoteReference"/>
        </w:rPr>
        <w:footnoteRef/>
      </w:r>
      <w:r w:rsidRPr="00B018D7">
        <w:t xml:space="preserve"> </w:t>
      </w:r>
      <w:r w:rsidRPr="00B8185E">
        <w:t xml:space="preserve">HSE. </w:t>
      </w:r>
      <w:r w:rsidRPr="004619E4">
        <w:rPr>
          <w:i/>
        </w:rPr>
        <w:t>A National Framework for Person-Centred Planning in Services for Persons with a Disability.</w:t>
      </w:r>
      <w:r w:rsidRPr="00B8185E">
        <w:t xml:space="preserve"> 2017. </w:t>
      </w:r>
      <w:hyperlink r:id="rId109" w:history="1">
        <w:r w:rsidRPr="00B8185E">
          <w:rPr>
            <w:rStyle w:val="Hyperlink"/>
          </w:rPr>
          <w:t>https://www.hse.ie/eng/services/list/4/disability/newdirections/a%20national%20framework%20for%20person-centred%20planning%20in%20services%20for%20persons%20with%20a%20disability.pdf</w:t>
        </w:r>
      </w:hyperlink>
      <w:r w:rsidRPr="00B018D7">
        <w:t xml:space="preserve"> </w:t>
      </w:r>
      <w:hyperlink r:id="rId110" w:history="1"/>
    </w:p>
  </w:footnote>
  <w:footnote w:id="129">
    <w:p w14:paraId="40B77FB7" w14:textId="1257A649" w:rsidR="00267385" w:rsidRPr="00B018D7" w:rsidRDefault="00267385">
      <w:pPr>
        <w:pStyle w:val="FootnoteText"/>
      </w:pPr>
      <w:r w:rsidRPr="00B018D7">
        <w:rPr>
          <w:rStyle w:val="FootnoteReference"/>
        </w:rPr>
        <w:footnoteRef/>
      </w:r>
      <w:r w:rsidRPr="00B018D7">
        <w:t xml:space="preserve"> </w:t>
      </w:r>
      <w:r w:rsidRPr="00B8185E">
        <w:t xml:space="preserve">HSE. </w:t>
      </w:r>
      <w:r w:rsidRPr="00B8185E">
        <w:rPr>
          <w:i/>
        </w:rPr>
        <w:t>Confidential Recipient. Annual Report 2018.</w:t>
      </w:r>
      <w:r w:rsidRPr="00503EBF">
        <w:t xml:space="preserve"> </w:t>
      </w:r>
      <w:r>
        <w:t xml:space="preserve">2019. </w:t>
      </w:r>
      <w:hyperlink r:id="rId111" w:history="1">
        <w:r w:rsidRPr="00B8185E">
          <w:rPr>
            <w:rStyle w:val="Hyperlink"/>
          </w:rPr>
          <w:t>https://www.hse.ie/eng/services/publications/disability/confidential-recipient-annual-report-2018.pdf</w:t>
        </w:r>
      </w:hyperlink>
      <w:r w:rsidRPr="00B018D7">
        <w:t xml:space="preserve"> </w:t>
      </w:r>
    </w:p>
  </w:footnote>
  <w:footnote w:id="130">
    <w:p w14:paraId="5AAB5E87" w14:textId="30DC173A" w:rsidR="00267385" w:rsidRPr="00491128" w:rsidRDefault="00267385" w:rsidP="00800DE9">
      <w:pPr>
        <w:pStyle w:val="Default"/>
        <w:rPr>
          <w:rFonts w:ascii="Gill Sans MT" w:hAnsi="Gill Sans MT"/>
          <w:sz w:val="20"/>
          <w:szCs w:val="20"/>
        </w:rPr>
      </w:pPr>
      <w:r w:rsidRPr="00491128">
        <w:rPr>
          <w:rStyle w:val="FootnoteReference"/>
          <w:rFonts w:ascii="Gill Sans MT" w:hAnsi="Gill Sans MT"/>
          <w:sz w:val="20"/>
          <w:szCs w:val="20"/>
        </w:rPr>
        <w:footnoteRef/>
      </w:r>
      <w:r w:rsidRPr="00491128">
        <w:rPr>
          <w:rFonts w:ascii="Gill Sans MT" w:hAnsi="Gill Sans MT"/>
          <w:sz w:val="20"/>
          <w:szCs w:val="20"/>
        </w:rPr>
        <w:t xml:space="preserve"> HIQA. </w:t>
      </w:r>
      <w:r w:rsidRPr="00491128">
        <w:rPr>
          <w:rFonts w:ascii="Gill Sans MT" w:hAnsi="Gill Sans MT" w:cs="Tahoma"/>
          <w:i/>
          <w:sz w:val="20"/>
          <w:szCs w:val="20"/>
        </w:rPr>
        <w:t>Five Years of Regulation in Designated Centres for People with a Disability</w:t>
      </w:r>
      <w:r w:rsidRPr="00B018D7">
        <w:rPr>
          <w:rFonts w:ascii="Gill Sans MT" w:hAnsi="Gill Sans MT" w:cs="Tahoma"/>
          <w:sz w:val="20"/>
          <w:szCs w:val="20"/>
        </w:rPr>
        <w:t>.</w:t>
      </w:r>
      <w:r w:rsidRPr="00B8185E">
        <w:rPr>
          <w:rFonts w:ascii="Gill Sans MT" w:hAnsi="Gill Sans MT" w:cs="Tahoma"/>
          <w:sz w:val="20"/>
          <w:szCs w:val="20"/>
        </w:rPr>
        <w:t xml:space="preserve"> </w:t>
      </w:r>
      <w:r w:rsidRPr="00503EBF">
        <w:rPr>
          <w:rFonts w:ascii="Gill Sans MT" w:hAnsi="Gill Sans MT" w:cs="Tahoma"/>
          <w:sz w:val="20"/>
          <w:szCs w:val="20"/>
        </w:rPr>
        <w:t xml:space="preserve">2019. </w:t>
      </w:r>
      <w:hyperlink r:id="rId112" w:history="1">
        <w:r w:rsidRPr="00503EBF">
          <w:rPr>
            <w:rStyle w:val="Hyperlink"/>
            <w:rFonts w:ascii="Gill Sans MT" w:hAnsi="Gill Sans MT" w:cs="Tahoma"/>
            <w:sz w:val="20"/>
            <w:szCs w:val="20"/>
          </w:rPr>
          <w:t>https://www.hiqa.ie/sites/default/files/2019-08/HIQA-DCD-5-Year-Regulation-Report-2019.pdf</w:t>
        </w:r>
      </w:hyperlink>
    </w:p>
  </w:footnote>
  <w:footnote w:id="131">
    <w:p w14:paraId="0CBC8E15" w14:textId="6CE40EEC" w:rsidR="00267385" w:rsidRDefault="00267385">
      <w:pPr>
        <w:pStyle w:val="FootnoteText"/>
      </w:pPr>
      <w:r w:rsidRPr="00B018D7">
        <w:rPr>
          <w:rStyle w:val="FootnoteReference"/>
        </w:rPr>
        <w:footnoteRef/>
      </w:r>
      <w:r w:rsidRPr="00B018D7">
        <w:t xml:space="preserve"> </w:t>
      </w:r>
      <w:r w:rsidRPr="001D43C2">
        <w:rPr>
          <w:color w:val="000000" w:themeColor="text1"/>
        </w:rPr>
        <w:t xml:space="preserve">MHC. </w:t>
      </w:r>
      <w:r w:rsidRPr="001D43C2">
        <w:rPr>
          <w:i/>
          <w:color w:val="000000" w:themeColor="text1"/>
        </w:rPr>
        <w:t>Mental Health Commission. Annual Report 2018. Including Report of the Inspector of Mental Health Services.</w:t>
      </w:r>
      <w:r w:rsidRPr="001D43C2">
        <w:rPr>
          <w:color w:val="000000" w:themeColor="text1"/>
        </w:rPr>
        <w:t xml:space="preserve"> </w:t>
      </w:r>
      <w:r>
        <w:rPr>
          <w:color w:val="000000" w:themeColor="text1"/>
        </w:rPr>
        <w:t xml:space="preserve">2019. </w:t>
      </w:r>
      <w:hyperlink r:id="rId113" w:history="1">
        <w:r w:rsidRPr="001D43C2">
          <w:rPr>
            <w:rStyle w:val="Hyperlink"/>
            <w:rFonts w:cs="Calibri"/>
            <w:lang w:eastAsia="en-IE"/>
          </w:rPr>
          <w:t>https://www.mhcirl.ie/File/2018_AR_Incl_OIMS.pdf</w:t>
        </w:r>
      </w:hyperlink>
    </w:p>
  </w:footnote>
  <w:footnote w:id="132">
    <w:p w14:paraId="27779D18" w14:textId="631F4165" w:rsidR="00267385" w:rsidRPr="00B018D7" w:rsidRDefault="00267385" w:rsidP="00491128">
      <w:pPr>
        <w:spacing w:after="0"/>
      </w:pPr>
      <w:r w:rsidRPr="00B018D7">
        <w:rPr>
          <w:rStyle w:val="FootnoteReference"/>
          <w:sz w:val="20"/>
          <w:szCs w:val="20"/>
        </w:rPr>
        <w:footnoteRef/>
      </w:r>
      <w:r w:rsidRPr="00B018D7">
        <w:rPr>
          <w:sz w:val="20"/>
          <w:szCs w:val="20"/>
        </w:rPr>
        <w:t xml:space="preserve"> </w:t>
      </w:r>
      <w:r w:rsidRPr="00F72B5D">
        <w:rPr>
          <w:sz w:val="20"/>
          <w:szCs w:val="20"/>
        </w:rPr>
        <w:t xml:space="preserve">HSE. </w:t>
      </w:r>
      <w:r w:rsidRPr="00971552">
        <w:rPr>
          <w:i/>
          <w:sz w:val="20"/>
          <w:szCs w:val="20"/>
        </w:rPr>
        <w:t>Performance Report. April - June 2017. Quarterly Report.</w:t>
      </w:r>
      <w:r w:rsidRPr="00F72B5D">
        <w:rPr>
          <w:sz w:val="20"/>
          <w:szCs w:val="20"/>
        </w:rPr>
        <w:t xml:space="preserve"> 2017. </w:t>
      </w:r>
      <w:hyperlink r:id="rId114" w:history="1">
        <w:r w:rsidRPr="00DF7A42">
          <w:rPr>
            <w:rStyle w:val="Hyperlink"/>
            <w:sz w:val="20"/>
            <w:szCs w:val="20"/>
          </w:rPr>
          <w:t>https://www.hse.ie/eng/services/publications/performancereports/april-to-june-2017-quarterly-report.pdf</w:t>
        </w:r>
      </w:hyperlink>
    </w:p>
  </w:footnote>
  <w:footnote w:id="133">
    <w:p w14:paraId="7AC49C54" w14:textId="7A4BF4F5" w:rsidR="00267385" w:rsidRDefault="00267385">
      <w:pPr>
        <w:pStyle w:val="FootnoteText"/>
      </w:pPr>
      <w:r w:rsidRPr="00B018D7">
        <w:rPr>
          <w:rStyle w:val="FootnoteReference"/>
        </w:rPr>
        <w:footnoteRef/>
      </w:r>
      <w:r w:rsidRPr="00B018D7">
        <w:t xml:space="preserve"> HSE. </w:t>
      </w:r>
      <w:r w:rsidRPr="00491128">
        <w:rPr>
          <w:i/>
        </w:rPr>
        <w:t>Performance Report. April - June 2019. Quarterly Report.</w:t>
      </w:r>
      <w:r w:rsidRPr="00B018D7">
        <w:t xml:space="preserve"> 201</w:t>
      </w:r>
      <w:r>
        <w:t>9</w:t>
      </w:r>
      <w:r w:rsidRPr="00B018D7">
        <w:t xml:space="preserve">. </w:t>
      </w:r>
      <w:hyperlink r:id="rId115" w:history="1">
        <w:r w:rsidRPr="00B8185E">
          <w:rPr>
            <w:rStyle w:val="Hyperlink"/>
          </w:rPr>
          <w:t>https://www.hse.ie/eng/services/publications/performancereports/april-to-june-quarterly-report-2019.pdf</w:t>
        </w:r>
      </w:hyperlink>
      <w:r>
        <w:t xml:space="preserve"> </w:t>
      </w:r>
    </w:p>
  </w:footnote>
  <w:footnote w:id="134">
    <w:p w14:paraId="5DAF199C" w14:textId="30D0308C" w:rsidR="00267385" w:rsidRDefault="00267385">
      <w:pPr>
        <w:pStyle w:val="FootnoteText"/>
      </w:pPr>
      <w:r>
        <w:rPr>
          <w:rStyle w:val="FootnoteReference"/>
        </w:rPr>
        <w:footnoteRef/>
      </w:r>
      <w:r>
        <w:t xml:space="preserve"> </w:t>
      </w:r>
      <w:r w:rsidRPr="00F72B5D">
        <w:t xml:space="preserve">HSE. </w:t>
      </w:r>
      <w:r w:rsidRPr="00971552">
        <w:rPr>
          <w:i/>
        </w:rPr>
        <w:t>Performance Report. April - June 2017. Quarterly Report.</w:t>
      </w:r>
      <w:r w:rsidRPr="00F72B5D">
        <w:t xml:space="preserve"> 2017. </w:t>
      </w:r>
      <w:hyperlink r:id="rId116" w:history="1">
        <w:r w:rsidRPr="00DF7A42">
          <w:rPr>
            <w:rStyle w:val="Hyperlink"/>
          </w:rPr>
          <w:t>https://www.hse.ie/eng/services/publications/performancereports/april-to-june-2017-quarterly-report.pdf</w:t>
        </w:r>
      </w:hyperlink>
    </w:p>
  </w:footnote>
  <w:footnote w:id="135">
    <w:p w14:paraId="02204F2B" w14:textId="344A07F1" w:rsidR="00267385" w:rsidRDefault="00267385">
      <w:pPr>
        <w:pStyle w:val="FootnoteText"/>
      </w:pPr>
      <w:r>
        <w:rPr>
          <w:rStyle w:val="FootnoteReference"/>
        </w:rPr>
        <w:footnoteRef/>
      </w:r>
      <w:r>
        <w:t xml:space="preserve"> </w:t>
      </w:r>
      <w:r w:rsidRPr="00F72B5D">
        <w:t xml:space="preserve">HSE. </w:t>
      </w:r>
      <w:r w:rsidRPr="00491128">
        <w:rPr>
          <w:i/>
        </w:rPr>
        <w:t>Performance Report. April - June 2019. Quarterly Report.</w:t>
      </w:r>
      <w:r w:rsidRPr="00F72B5D">
        <w:t xml:space="preserve"> 2019. </w:t>
      </w:r>
      <w:hyperlink r:id="rId117" w:history="1">
        <w:r w:rsidRPr="00F72B5D">
          <w:rPr>
            <w:rStyle w:val="Hyperlink"/>
          </w:rPr>
          <w:t>https://www.hse.ie/eng/services/publications/performancereports/april-to-june-quarterly-report-2019.pdf</w:t>
        </w:r>
      </w:hyperlink>
    </w:p>
  </w:footnote>
  <w:footnote w:id="136">
    <w:p w14:paraId="43E33AB9" w14:textId="6A6DA4C7" w:rsidR="00267385" w:rsidRPr="00F72B5D" w:rsidRDefault="00267385" w:rsidP="00491128">
      <w:pPr>
        <w:spacing w:after="0"/>
      </w:pPr>
      <w:r w:rsidRPr="00F72B5D">
        <w:rPr>
          <w:rStyle w:val="FootnoteReference"/>
          <w:sz w:val="20"/>
          <w:szCs w:val="20"/>
        </w:rPr>
        <w:footnoteRef/>
      </w:r>
      <w:r w:rsidRPr="00F72B5D">
        <w:rPr>
          <w:sz w:val="20"/>
          <w:szCs w:val="20"/>
        </w:rPr>
        <w:t xml:space="preserve"> HSE. </w:t>
      </w:r>
      <w:r w:rsidRPr="00491128">
        <w:rPr>
          <w:i/>
          <w:sz w:val="20"/>
          <w:szCs w:val="20"/>
        </w:rPr>
        <w:t>Performance Report. April - June 2017. Quarterly Report.</w:t>
      </w:r>
      <w:r w:rsidRPr="00F72B5D">
        <w:rPr>
          <w:sz w:val="20"/>
          <w:szCs w:val="20"/>
        </w:rPr>
        <w:t xml:space="preserve"> 2017. </w:t>
      </w:r>
      <w:hyperlink r:id="rId118" w:history="1">
        <w:r w:rsidRPr="00AE6451">
          <w:rPr>
            <w:rStyle w:val="Hyperlink"/>
            <w:sz w:val="20"/>
            <w:szCs w:val="20"/>
          </w:rPr>
          <w:t>https://www.hse.ie/eng/services/publications/performancereports/april-to-june-2017-quarterly-report.pdf</w:t>
        </w:r>
      </w:hyperlink>
      <w:r>
        <w:rPr>
          <w:sz w:val="20"/>
          <w:szCs w:val="20"/>
        </w:rPr>
        <w:t xml:space="preserve"> </w:t>
      </w:r>
    </w:p>
  </w:footnote>
  <w:footnote w:id="137">
    <w:p w14:paraId="14B1FB9C" w14:textId="08C4C4E4" w:rsidR="00267385" w:rsidRPr="00F72B5D" w:rsidRDefault="00267385">
      <w:pPr>
        <w:pStyle w:val="FootnoteText"/>
      </w:pPr>
      <w:r w:rsidRPr="00F72B5D">
        <w:rPr>
          <w:rStyle w:val="FootnoteReference"/>
        </w:rPr>
        <w:footnoteRef/>
      </w:r>
      <w:r w:rsidRPr="00F72B5D">
        <w:t xml:space="preserve"> HSE. </w:t>
      </w:r>
      <w:r w:rsidRPr="00491128">
        <w:rPr>
          <w:i/>
        </w:rPr>
        <w:t>Performance Report. April - June 2019. Quarterly Report.</w:t>
      </w:r>
      <w:r w:rsidRPr="00F72B5D">
        <w:t xml:space="preserve"> 2019. </w:t>
      </w:r>
      <w:hyperlink r:id="rId119" w:history="1">
        <w:r w:rsidRPr="00F72B5D">
          <w:rPr>
            <w:rStyle w:val="Hyperlink"/>
          </w:rPr>
          <w:t>https://www.hse.ie/eng/services/publications/performancereports/april-to-june-quarterly-report-2019.pdf</w:t>
        </w:r>
      </w:hyperlink>
    </w:p>
  </w:footnote>
  <w:footnote w:id="138">
    <w:p w14:paraId="7B565315" w14:textId="1590245D" w:rsidR="00267385" w:rsidRDefault="00267385">
      <w:pPr>
        <w:pStyle w:val="FootnoteText"/>
      </w:pPr>
      <w:r w:rsidRPr="00F72B5D">
        <w:rPr>
          <w:rStyle w:val="FootnoteReference"/>
        </w:rPr>
        <w:footnoteRef/>
      </w:r>
      <w:r w:rsidRPr="00F72B5D">
        <w:t xml:space="preserve"> Indicators reported slightly differently by HSE across the two periods in their quarterly reports.</w:t>
      </w:r>
    </w:p>
  </w:footnote>
  <w:footnote w:id="139">
    <w:p w14:paraId="6D478A60" w14:textId="75A3F8DB" w:rsidR="00267385" w:rsidRDefault="00267385">
      <w:pPr>
        <w:pStyle w:val="FootnoteText"/>
      </w:pPr>
      <w:r>
        <w:rPr>
          <w:rStyle w:val="FootnoteReference"/>
        </w:rPr>
        <w:footnoteRef/>
      </w:r>
      <w:r>
        <w:t xml:space="preserve"> Maeve Sheehan. </w:t>
      </w:r>
      <w:r w:rsidRPr="00DD4D18">
        <w:rPr>
          <w:i/>
        </w:rPr>
        <w:t>Hike in Waiting List for Rehab Beds as Patients Suffer.</w:t>
      </w:r>
      <w:r>
        <w:t xml:space="preserve"> 2018. </w:t>
      </w:r>
      <w:hyperlink r:id="rId120" w:history="1">
        <w:r w:rsidRPr="00671F4F">
          <w:rPr>
            <w:rStyle w:val="Hyperlink"/>
          </w:rPr>
          <w:t>https://www.independent.ie/irish-news/health/hike-in-waiting-list-for-rehab-beds-as-patients-suffer-36590477.html</w:t>
        </w:r>
      </w:hyperlink>
      <w:r>
        <w:t xml:space="preserve"> </w:t>
      </w:r>
    </w:p>
  </w:footnote>
  <w:footnote w:id="140">
    <w:p w14:paraId="5A51C770" w14:textId="398E2889" w:rsidR="00267385" w:rsidRDefault="00267385" w:rsidP="00DD4D18">
      <w:pPr>
        <w:pStyle w:val="FootnoteText"/>
      </w:pPr>
      <w:r>
        <w:rPr>
          <w:rStyle w:val="FootnoteReference"/>
        </w:rPr>
        <w:footnoteRef/>
      </w:r>
      <w:r>
        <w:t xml:space="preserve"> Seanad </w:t>
      </w:r>
      <w:r w:rsidRPr="00DD4D18">
        <w:t xml:space="preserve">Deb. </w:t>
      </w:r>
      <w:r>
        <w:t>23</w:t>
      </w:r>
      <w:r w:rsidRPr="00DD4D18">
        <w:t xml:space="preserve"> Ma</w:t>
      </w:r>
      <w:r>
        <w:t>y</w:t>
      </w:r>
      <w:r w:rsidRPr="00DD4D18">
        <w:t xml:space="preserve"> 201</w:t>
      </w:r>
      <w:r>
        <w:t>7</w:t>
      </w:r>
      <w:r w:rsidRPr="00DD4D18">
        <w:t xml:space="preserve">, vol </w:t>
      </w:r>
      <w:r>
        <w:t>252</w:t>
      </w:r>
      <w:r w:rsidRPr="00DD4D18">
        <w:t xml:space="preserve">, no </w:t>
      </w:r>
      <w:r>
        <w:t>1</w:t>
      </w:r>
      <w:r w:rsidRPr="00DD4D18">
        <w:t xml:space="preserve">. </w:t>
      </w:r>
      <w:hyperlink r:id="rId121" w:history="1">
        <w:r w:rsidRPr="00671F4F">
          <w:rPr>
            <w:rStyle w:val="Hyperlink"/>
          </w:rPr>
          <w:t>https://www.oireachtas.ie/en/debates/debate/seanad/2017-05-23/10/?highlight%5B0%5D=national&amp;highlight%5B1%5D=rehabilitation&amp;highlight%5B2%5D=hospital</w:t>
        </w:r>
      </w:hyperlink>
      <w:r>
        <w:t xml:space="preserve"> </w:t>
      </w:r>
    </w:p>
  </w:footnote>
  <w:footnote w:id="141">
    <w:p w14:paraId="1208BF56" w14:textId="77777777" w:rsidR="001D65EB" w:rsidRDefault="00267385" w:rsidP="00491128">
      <w:pPr>
        <w:spacing w:after="0"/>
        <w:rPr>
          <w:sz w:val="20"/>
          <w:szCs w:val="20"/>
        </w:rPr>
      </w:pPr>
      <w:r w:rsidRPr="00F72B5D">
        <w:rPr>
          <w:rStyle w:val="FootnoteReference"/>
          <w:sz w:val="20"/>
          <w:szCs w:val="20"/>
        </w:rPr>
        <w:footnoteRef/>
      </w:r>
      <w:r w:rsidRPr="00F72B5D">
        <w:rPr>
          <w:sz w:val="20"/>
          <w:szCs w:val="20"/>
        </w:rPr>
        <w:t xml:space="preserve"> </w:t>
      </w:r>
      <w:r w:rsidRPr="00DD4D18">
        <w:rPr>
          <w:sz w:val="20"/>
          <w:szCs w:val="20"/>
        </w:rPr>
        <w:t>Seanad Deb. 23 May 2018, vol 258, no 5</w:t>
      </w:r>
      <w:r w:rsidR="00EA2D35">
        <w:rPr>
          <w:sz w:val="20"/>
          <w:szCs w:val="20"/>
        </w:rPr>
        <w:t xml:space="preserve"> </w:t>
      </w:r>
    </w:p>
    <w:p w14:paraId="39BE3800" w14:textId="3246F019" w:rsidR="00267385" w:rsidRPr="001D65EB" w:rsidRDefault="00573849" w:rsidP="00491128">
      <w:pPr>
        <w:spacing w:after="0"/>
        <w:rPr>
          <w:rStyle w:val="FootnoteTextChar"/>
        </w:rPr>
      </w:pPr>
      <w:hyperlink r:id="rId122" w:history="1">
        <w:r w:rsidR="00EA2D35" w:rsidRPr="001D65EB">
          <w:rPr>
            <w:rStyle w:val="Hyperlink"/>
            <w:sz w:val="20"/>
            <w:szCs w:val="20"/>
          </w:rPr>
          <w:t>https://www.oireachtas.ie/en/debates/debate/seanad/2018-05-23/12/</w:t>
        </w:r>
      </w:hyperlink>
    </w:p>
  </w:footnote>
  <w:footnote w:id="142">
    <w:p w14:paraId="51773D14" w14:textId="0183D058" w:rsidR="00267385" w:rsidRPr="00F72B5D" w:rsidRDefault="00267385">
      <w:pPr>
        <w:pStyle w:val="FootnoteText"/>
      </w:pPr>
      <w:r w:rsidRPr="00F72B5D">
        <w:rPr>
          <w:rStyle w:val="FootnoteReference"/>
        </w:rPr>
        <w:footnoteRef/>
      </w:r>
      <w:r w:rsidRPr="00F72B5D">
        <w:t xml:space="preserve"> NRH. </w:t>
      </w:r>
      <w:r w:rsidRPr="00491128">
        <w:rPr>
          <w:i/>
        </w:rPr>
        <w:t>National Rehabilitation Hospital Annual Report 2018</w:t>
      </w:r>
      <w:r w:rsidRPr="00F72B5D">
        <w:t xml:space="preserve">. 2019. </w:t>
      </w:r>
      <w:hyperlink r:id="rId123" w:history="1">
        <w:r w:rsidRPr="00F72B5D">
          <w:rPr>
            <w:rStyle w:val="Hyperlink"/>
          </w:rPr>
          <w:t>http://www.nrh.ie/wp-content/uploads/2019/05/2018-NRH-Annual-Report.pdf</w:t>
        </w:r>
      </w:hyperlink>
    </w:p>
  </w:footnote>
  <w:footnote w:id="143">
    <w:p w14:paraId="1F5D4F2F" w14:textId="2528A42D" w:rsidR="00267385" w:rsidRPr="00F72B5D" w:rsidRDefault="00267385" w:rsidP="00491128">
      <w:pPr>
        <w:spacing w:after="0"/>
      </w:pPr>
      <w:r w:rsidRPr="00F72B5D">
        <w:rPr>
          <w:rStyle w:val="FootnoteReference"/>
          <w:sz w:val="20"/>
          <w:szCs w:val="20"/>
        </w:rPr>
        <w:footnoteRef/>
      </w:r>
      <w:r w:rsidRPr="00F72B5D">
        <w:rPr>
          <w:sz w:val="20"/>
          <w:szCs w:val="20"/>
        </w:rPr>
        <w:t xml:space="preserve"> HSE. </w:t>
      </w:r>
      <w:r w:rsidRPr="00F72B5D">
        <w:rPr>
          <w:i/>
          <w:sz w:val="20"/>
          <w:szCs w:val="20"/>
        </w:rPr>
        <w:t>Performance Report. April - June 2017. Quarterly Report.</w:t>
      </w:r>
      <w:r w:rsidRPr="00F72B5D">
        <w:rPr>
          <w:sz w:val="20"/>
          <w:szCs w:val="20"/>
        </w:rPr>
        <w:t xml:space="preserve"> 2017. </w:t>
      </w:r>
      <w:hyperlink r:id="rId124" w:history="1">
        <w:r w:rsidRPr="00AE6451">
          <w:rPr>
            <w:rStyle w:val="Hyperlink"/>
            <w:sz w:val="20"/>
            <w:szCs w:val="20"/>
          </w:rPr>
          <w:t>https://www.hse.ie/eng/services/publications/performancereports/april-to-june-2017-quarterly-report.pdf</w:t>
        </w:r>
      </w:hyperlink>
      <w:r>
        <w:rPr>
          <w:sz w:val="20"/>
          <w:szCs w:val="20"/>
        </w:rPr>
        <w:t xml:space="preserve"> </w:t>
      </w:r>
    </w:p>
  </w:footnote>
  <w:footnote w:id="144">
    <w:p w14:paraId="03AA6446" w14:textId="4E924931" w:rsidR="00267385" w:rsidRPr="00F72B5D" w:rsidRDefault="00267385">
      <w:pPr>
        <w:pStyle w:val="FootnoteText"/>
      </w:pPr>
      <w:r w:rsidRPr="00F72B5D">
        <w:rPr>
          <w:rStyle w:val="FootnoteReference"/>
        </w:rPr>
        <w:footnoteRef/>
      </w:r>
      <w:r w:rsidRPr="00F72B5D">
        <w:t xml:space="preserve"> HSE. </w:t>
      </w:r>
      <w:r w:rsidRPr="00F72B5D">
        <w:rPr>
          <w:i/>
        </w:rPr>
        <w:t>Performance Report. April - June 2019. Quarterly Report.</w:t>
      </w:r>
      <w:r w:rsidRPr="00F72B5D">
        <w:t xml:space="preserve"> 2019. </w:t>
      </w:r>
      <w:hyperlink r:id="rId125" w:history="1">
        <w:r w:rsidRPr="00F72B5D">
          <w:rPr>
            <w:rStyle w:val="Hyperlink"/>
          </w:rPr>
          <w:t>https://www.hse.ie/eng/services/publications/performancereports/april-to-june-quarterly-report-2019.pdf</w:t>
        </w:r>
      </w:hyperlink>
    </w:p>
  </w:footnote>
  <w:footnote w:id="145">
    <w:p w14:paraId="05EC5A77" w14:textId="24CCA18C" w:rsidR="00267385" w:rsidRDefault="00267385">
      <w:pPr>
        <w:pStyle w:val="FootnoteText"/>
      </w:pPr>
      <w:r>
        <w:rPr>
          <w:rStyle w:val="FootnoteReference"/>
        </w:rPr>
        <w:footnoteRef/>
      </w:r>
      <w:r>
        <w:t xml:space="preserve"> </w:t>
      </w:r>
      <w:r w:rsidRPr="00491128">
        <w:t xml:space="preserve">HIQA. </w:t>
      </w:r>
      <w:r w:rsidRPr="00491128">
        <w:rPr>
          <w:rFonts w:cs="Tahoma"/>
          <w:i/>
        </w:rPr>
        <w:t>Five Years of Regulation in Designated Centres for People with a Disability</w:t>
      </w:r>
      <w:r w:rsidRPr="00B018D7">
        <w:rPr>
          <w:rFonts w:cs="Tahoma"/>
        </w:rPr>
        <w:t>.</w:t>
      </w:r>
      <w:r w:rsidRPr="00B8185E">
        <w:rPr>
          <w:rFonts w:cs="Tahoma"/>
        </w:rPr>
        <w:t xml:space="preserve"> </w:t>
      </w:r>
      <w:r w:rsidRPr="00503EBF">
        <w:rPr>
          <w:rFonts w:cs="Tahoma"/>
        </w:rPr>
        <w:t xml:space="preserve">2019. </w:t>
      </w:r>
      <w:hyperlink r:id="rId126" w:history="1">
        <w:r w:rsidRPr="00503EBF">
          <w:rPr>
            <w:rStyle w:val="Hyperlink"/>
            <w:rFonts w:cs="Tahoma"/>
          </w:rPr>
          <w:t>https://www.hiqa.ie/sites/default/files/2019-08/HIQA-DCD-5-Year-Regulation-Report-2019.pdf</w:t>
        </w:r>
      </w:hyperlink>
    </w:p>
  </w:footnote>
  <w:footnote w:id="146">
    <w:p w14:paraId="02B8A88A" w14:textId="50AFBA78" w:rsidR="00267385" w:rsidRPr="00491128" w:rsidRDefault="00267385" w:rsidP="00491128">
      <w:pPr>
        <w:spacing w:after="0"/>
        <w:rPr>
          <w:color w:val="0563C1"/>
          <w:u w:val="single"/>
          <w:lang w:eastAsia="en-IE"/>
        </w:rPr>
      </w:pPr>
      <w:r w:rsidRPr="00F72B5D">
        <w:rPr>
          <w:rStyle w:val="FootnoteReference"/>
          <w:sz w:val="20"/>
          <w:szCs w:val="20"/>
        </w:rPr>
        <w:footnoteRef/>
      </w:r>
      <w:r w:rsidRPr="00F72B5D">
        <w:rPr>
          <w:sz w:val="20"/>
          <w:szCs w:val="20"/>
        </w:rPr>
        <w:t xml:space="preserve"> </w:t>
      </w:r>
      <w:r w:rsidRPr="001D43C2">
        <w:rPr>
          <w:sz w:val="20"/>
          <w:szCs w:val="20"/>
        </w:rPr>
        <w:t xml:space="preserve">MHC. </w:t>
      </w:r>
      <w:r w:rsidRPr="001D43C2">
        <w:rPr>
          <w:i/>
          <w:sz w:val="20"/>
          <w:szCs w:val="20"/>
        </w:rPr>
        <w:t>Mental Health Commission. Annual Report 2016. Including Report of the Inspector of Mental Health Services.</w:t>
      </w:r>
      <w:r>
        <w:rPr>
          <w:i/>
          <w:sz w:val="20"/>
          <w:szCs w:val="20"/>
        </w:rPr>
        <w:t xml:space="preserve"> </w:t>
      </w:r>
      <w:r>
        <w:rPr>
          <w:sz w:val="20"/>
          <w:szCs w:val="20"/>
        </w:rPr>
        <w:t>2017.</w:t>
      </w:r>
      <w:r w:rsidRPr="001D43C2">
        <w:rPr>
          <w:sz w:val="20"/>
          <w:szCs w:val="20"/>
        </w:rPr>
        <w:t xml:space="preserve"> </w:t>
      </w:r>
      <w:hyperlink r:id="rId127" w:history="1">
        <w:r w:rsidRPr="001D43C2">
          <w:rPr>
            <w:rStyle w:val="Hyperlink"/>
            <w:rFonts w:cs="Calibri"/>
            <w:sz w:val="20"/>
            <w:szCs w:val="20"/>
            <w:lang w:eastAsia="en-IE"/>
          </w:rPr>
          <w:t>https://www.mhcirl.ie/File/2016_AR_Incl_OIMS.pdf</w:t>
        </w:r>
      </w:hyperlink>
      <w:r>
        <w:rPr>
          <w:rFonts w:cs="Calibri"/>
          <w:color w:val="000000" w:themeColor="text1"/>
          <w:sz w:val="20"/>
          <w:szCs w:val="20"/>
          <w:lang w:eastAsia="en-IE"/>
        </w:rPr>
        <w:t xml:space="preserve">  </w:t>
      </w:r>
    </w:p>
  </w:footnote>
  <w:footnote w:id="147">
    <w:p w14:paraId="1A94B1A5" w14:textId="4DAA4EE2" w:rsidR="00267385" w:rsidRPr="00491128" w:rsidRDefault="00267385" w:rsidP="00491128">
      <w:pPr>
        <w:spacing w:after="0"/>
        <w:rPr>
          <w:rFonts w:ascii="Calibri" w:hAnsi="Calibri"/>
          <w:color w:val="0563C1"/>
          <w:sz w:val="22"/>
          <w:szCs w:val="22"/>
          <w:u w:val="single"/>
          <w:lang w:eastAsia="en-IE"/>
        </w:rPr>
      </w:pPr>
      <w:r w:rsidRPr="00F72B5D">
        <w:rPr>
          <w:rStyle w:val="FootnoteReference"/>
          <w:sz w:val="20"/>
          <w:szCs w:val="20"/>
        </w:rPr>
        <w:footnoteRef/>
      </w:r>
      <w:r w:rsidRPr="00F72B5D">
        <w:rPr>
          <w:sz w:val="20"/>
          <w:szCs w:val="20"/>
        </w:rPr>
        <w:t xml:space="preserve"> </w:t>
      </w:r>
      <w:r w:rsidRPr="001D43C2">
        <w:rPr>
          <w:color w:val="000000" w:themeColor="text1"/>
          <w:sz w:val="20"/>
          <w:szCs w:val="20"/>
        </w:rPr>
        <w:t xml:space="preserve">MHC. </w:t>
      </w:r>
      <w:r w:rsidRPr="001D43C2">
        <w:rPr>
          <w:i/>
          <w:color w:val="000000" w:themeColor="text1"/>
          <w:sz w:val="20"/>
          <w:szCs w:val="20"/>
        </w:rPr>
        <w:t>Mental Health Commission. Annual Report 2018. Including Report of the Inspector of Mental Health Services.</w:t>
      </w:r>
      <w:r w:rsidRPr="001D43C2">
        <w:rPr>
          <w:color w:val="000000" w:themeColor="text1"/>
          <w:sz w:val="20"/>
          <w:szCs w:val="20"/>
        </w:rPr>
        <w:t xml:space="preserve"> </w:t>
      </w:r>
      <w:r>
        <w:rPr>
          <w:color w:val="000000" w:themeColor="text1"/>
          <w:sz w:val="20"/>
          <w:szCs w:val="20"/>
        </w:rPr>
        <w:t xml:space="preserve">2019. </w:t>
      </w:r>
      <w:hyperlink r:id="rId128" w:history="1">
        <w:r w:rsidRPr="001D43C2">
          <w:rPr>
            <w:rStyle w:val="Hyperlink"/>
            <w:rFonts w:cs="Calibri"/>
            <w:sz w:val="20"/>
            <w:szCs w:val="20"/>
            <w:lang w:eastAsia="en-IE"/>
          </w:rPr>
          <w:t>https://www.mhcirl.ie/File/2018_AR_Incl_OIMS.pdf</w:t>
        </w:r>
      </w:hyperlink>
    </w:p>
  </w:footnote>
  <w:footnote w:id="148">
    <w:p w14:paraId="62A1FC78" w14:textId="67015182" w:rsidR="00267385" w:rsidRDefault="00267385">
      <w:pPr>
        <w:pStyle w:val="FootnoteText"/>
      </w:pPr>
      <w:r>
        <w:rPr>
          <w:rStyle w:val="FootnoteReference"/>
        </w:rPr>
        <w:footnoteRef/>
      </w:r>
      <w:r>
        <w:t xml:space="preserve"> Government of Ireland. </w:t>
      </w:r>
      <w:r w:rsidRPr="007E794C">
        <w:rPr>
          <w:i/>
        </w:rPr>
        <w:t>The Roadmap for Social Inclusion 2020-2025. Ambitions, Goals and Commitments</w:t>
      </w:r>
      <w:r>
        <w:t xml:space="preserve">. 2020. </w:t>
      </w:r>
      <w:hyperlink r:id="rId129" w:anchor="page=1" w:history="1">
        <w:r w:rsidRPr="00C44AFA">
          <w:rPr>
            <w:rStyle w:val="Hyperlink"/>
          </w:rPr>
          <w:t>https://www.gov.ie/pdf/?file=https://assets.gov.ie/46558/5cea3d74aa934fe780cc521ddbe477a7.pdf#page=1</w:t>
        </w:r>
      </w:hyperlink>
    </w:p>
  </w:footnote>
  <w:footnote w:id="149">
    <w:p w14:paraId="666F0360" w14:textId="2A0CD4E9" w:rsidR="00267385" w:rsidRDefault="00267385">
      <w:pPr>
        <w:pStyle w:val="FootnoteText"/>
      </w:pPr>
      <w:r>
        <w:rPr>
          <w:rStyle w:val="FootnoteReference"/>
        </w:rPr>
        <w:footnoteRef/>
      </w:r>
      <w:r>
        <w:t xml:space="preserve"> </w:t>
      </w:r>
      <w:r w:rsidRPr="00F440A7">
        <w:t xml:space="preserve">HSE. </w:t>
      </w:r>
      <w:r w:rsidRPr="007E794C">
        <w:rPr>
          <w:i/>
        </w:rPr>
        <w:t>Time to Move on from Congregated Settings: A Strategy for Community Inclusion.</w:t>
      </w:r>
      <w:r w:rsidRPr="00F440A7">
        <w:t xml:space="preserve"> 2011. </w:t>
      </w:r>
      <w:hyperlink r:id="rId130" w:history="1">
        <w:r w:rsidRPr="00F440A7">
          <w:rPr>
            <w:rStyle w:val="Hyperlink"/>
          </w:rPr>
          <w:t>https://www.hse.ie/eng/services/list/4/disability/congregatedsettings/time-to-move-on-from-congregated-settings-%E2%80%93-a-strategy-for-community-inclusion.pdf</w:t>
        </w:r>
      </w:hyperlink>
      <w:r>
        <w:t xml:space="preserve"> </w:t>
      </w:r>
    </w:p>
  </w:footnote>
  <w:footnote w:id="150">
    <w:p w14:paraId="65526BDF" w14:textId="4AFECB42" w:rsidR="00267385" w:rsidRDefault="00267385">
      <w:pPr>
        <w:pStyle w:val="FootnoteText"/>
      </w:pPr>
      <w:r>
        <w:rPr>
          <w:rStyle w:val="FootnoteReference"/>
        </w:rPr>
        <w:footnoteRef/>
      </w:r>
      <w:r>
        <w:t xml:space="preserve"> HSE. </w:t>
      </w:r>
      <w:r w:rsidRPr="00971552">
        <w:rPr>
          <w:i/>
        </w:rPr>
        <w:t>Progress Report on the Implementation of Time to Move On From Congregated Settings: A Strategy for Community Inclusion. Annual Report 2016.</w:t>
      </w:r>
      <w:r>
        <w:rPr>
          <w:i/>
        </w:rPr>
        <w:t xml:space="preserve"> </w:t>
      </w:r>
      <w:r>
        <w:t xml:space="preserve">2016. </w:t>
      </w:r>
      <w:r w:rsidRPr="00D93219">
        <w:t xml:space="preserve"> </w:t>
      </w:r>
      <w:hyperlink r:id="rId131" w:history="1">
        <w:r w:rsidRPr="00DF7A42">
          <w:rPr>
            <w:rStyle w:val="Hyperlink"/>
          </w:rPr>
          <w:t>https://www.hse.ie/eng/services/publications/disability/progress-report-on-the-implementation-of-time-to-move-on-from-congregated-settings-a-strategy-for-community-inclusion-annual-report-2016.pdf</w:t>
        </w:r>
      </w:hyperlink>
    </w:p>
  </w:footnote>
  <w:footnote w:id="151">
    <w:p w14:paraId="585E9F4D" w14:textId="746E0735" w:rsidR="00267385" w:rsidRDefault="00267385">
      <w:pPr>
        <w:pStyle w:val="FootnoteText"/>
      </w:pPr>
      <w:r>
        <w:rPr>
          <w:rStyle w:val="FootnoteReference"/>
        </w:rPr>
        <w:footnoteRef/>
      </w:r>
      <w:r>
        <w:t xml:space="preserve"> HRB. </w:t>
      </w:r>
      <w:r w:rsidRPr="00971552">
        <w:rPr>
          <w:i/>
        </w:rPr>
        <w:t>Irish Psychiatric Units and Census 2016 Main Findings.</w:t>
      </w:r>
      <w:r>
        <w:t xml:space="preserve"> 2016. </w:t>
      </w:r>
      <w:hyperlink r:id="rId132" w:history="1">
        <w:r w:rsidRPr="00DF7A42">
          <w:rPr>
            <w:rStyle w:val="Hyperlink"/>
          </w:rPr>
          <w:t>https://www.hrb.ie/fileadmin/publications_files/Irish_Psychiatric_Units_and_Hospitals_Census_2016_Main_Findings.pdf</w:t>
        </w:r>
      </w:hyperlink>
    </w:p>
  </w:footnote>
  <w:footnote w:id="152">
    <w:p w14:paraId="2EA92C2C" w14:textId="6A1A6089" w:rsidR="00267385" w:rsidRDefault="00267385">
      <w:pPr>
        <w:pStyle w:val="FootnoteText"/>
      </w:pPr>
      <w:r>
        <w:rPr>
          <w:rStyle w:val="FootnoteReference"/>
        </w:rPr>
        <w:footnoteRef/>
      </w:r>
      <w:r>
        <w:t xml:space="preserve"> </w:t>
      </w:r>
      <w:r w:rsidRPr="001D43C2">
        <w:t xml:space="preserve">MHC. </w:t>
      </w:r>
      <w:r w:rsidRPr="001D43C2">
        <w:rPr>
          <w:i/>
        </w:rPr>
        <w:t>Mental Health Commission. Annual Report 2016. Including Report of the Inspector of Mental Health Services.</w:t>
      </w:r>
      <w:r>
        <w:rPr>
          <w:i/>
        </w:rPr>
        <w:t xml:space="preserve"> </w:t>
      </w:r>
      <w:r>
        <w:t>2017.</w:t>
      </w:r>
      <w:r w:rsidRPr="001D43C2">
        <w:t xml:space="preserve"> </w:t>
      </w:r>
      <w:hyperlink r:id="rId133" w:history="1">
        <w:r w:rsidRPr="001D43C2">
          <w:rPr>
            <w:rStyle w:val="Hyperlink"/>
            <w:rFonts w:cs="Calibri"/>
            <w:lang w:eastAsia="en-IE"/>
          </w:rPr>
          <w:t>https://www.mhcirl.ie/File/2016_AR_Incl_OIMS.pdf</w:t>
        </w:r>
      </w:hyperlink>
    </w:p>
  </w:footnote>
  <w:footnote w:id="153">
    <w:p w14:paraId="5E306046" w14:textId="5C20CC24" w:rsidR="00267385" w:rsidRDefault="00267385">
      <w:pPr>
        <w:pStyle w:val="FootnoteText"/>
      </w:pPr>
      <w:r>
        <w:rPr>
          <w:rStyle w:val="FootnoteReference"/>
        </w:rPr>
        <w:footnoteRef/>
      </w:r>
      <w:r>
        <w:t xml:space="preserve"> HSE. </w:t>
      </w:r>
      <w:r w:rsidRPr="001D43C2">
        <w:rPr>
          <w:i/>
        </w:rPr>
        <w:t>Progress Report on the Implementation of Time to Move On From Congregated Settings: A Strategy for Community Inclusion. Annual Report 201</w:t>
      </w:r>
      <w:r>
        <w:rPr>
          <w:i/>
        </w:rPr>
        <w:t>8</w:t>
      </w:r>
      <w:r w:rsidRPr="001D43C2">
        <w:rPr>
          <w:i/>
        </w:rPr>
        <w:t>.</w:t>
      </w:r>
      <w:r>
        <w:rPr>
          <w:i/>
        </w:rPr>
        <w:t xml:space="preserve"> </w:t>
      </w:r>
      <w:r>
        <w:t xml:space="preserve">2018. </w:t>
      </w:r>
      <w:hyperlink r:id="rId134" w:history="1">
        <w:r w:rsidRPr="00DF7A42">
          <w:rPr>
            <w:rStyle w:val="Hyperlink"/>
          </w:rPr>
          <w:t>https://www.hse.ie/eng/services/list/4/disability/congregatedsettings/time-to-move-on-annual-progress-report-2018.pdf</w:t>
        </w:r>
      </w:hyperlink>
    </w:p>
  </w:footnote>
  <w:footnote w:id="154">
    <w:p w14:paraId="0F1F7B29" w14:textId="5BCB63E6" w:rsidR="00267385" w:rsidRDefault="00267385">
      <w:pPr>
        <w:pStyle w:val="FootnoteText"/>
      </w:pPr>
      <w:r>
        <w:rPr>
          <w:rStyle w:val="FootnoteReference"/>
        </w:rPr>
        <w:footnoteRef/>
      </w:r>
      <w:r>
        <w:t xml:space="preserve"> </w:t>
      </w:r>
      <w:r w:rsidRPr="0031502A">
        <w:t>Antoinette Daly and Sarah Craig.</w:t>
      </w:r>
      <w:r>
        <w:t xml:space="preserve"> </w:t>
      </w:r>
      <w:r w:rsidRPr="00971552">
        <w:rPr>
          <w:i/>
        </w:rPr>
        <w:t>HRB Statistics Series 40. Irish Psychiatric Units and Hospitals Census 2019 Main Findings.</w:t>
      </w:r>
      <w:r>
        <w:t xml:space="preserve"> 2019. </w:t>
      </w:r>
      <w:hyperlink r:id="rId135" w:history="1">
        <w:r>
          <w:rPr>
            <w:rStyle w:val="Hyperlink"/>
          </w:rPr>
          <w:t>https://www.hrb.ie/fileadmin/2._Plugin_related_files/Publications/2019_Publication_files/2019_HIE/NPIRS/Census/Irish_Psychiatric_In-patient_Census_2019_Main_Findings.pdf</w:t>
        </w:r>
      </w:hyperlink>
    </w:p>
  </w:footnote>
  <w:footnote w:id="155">
    <w:p w14:paraId="51D6583C" w14:textId="0B1A68A0" w:rsidR="00267385" w:rsidRDefault="00267385">
      <w:pPr>
        <w:pStyle w:val="FootnoteText"/>
      </w:pPr>
      <w:r>
        <w:rPr>
          <w:rStyle w:val="FootnoteReference"/>
        </w:rPr>
        <w:footnoteRef/>
      </w:r>
      <w:r>
        <w:t xml:space="preserve"> </w:t>
      </w:r>
      <w:r w:rsidRPr="001D43C2">
        <w:rPr>
          <w:color w:val="000000" w:themeColor="text1"/>
        </w:rPr>
        <w:t xml:space="preserve">MHC. </w:t>
      </w:r>
      <w:r w:rsidRPr="001D43C2">
        <w:rPr>
          <w:i/>
          <w:color w:val="000000" w:themeColor="text1"/>
        </w:rPr>
        <w:t>Mental Health Commission. Annual Report 2018. Including Report of the Inspector of Mental Health Services.</w:t>
      </w:r>
      <w:r w:rsidRPr="001D43C2">
        <w:rPr>
          <w:color w:val="000000" w:themeColor="text1"/>
        </w:rPr>
        <w:t xml:space="preserve"> </w:t>
      </w:r>
      <w:r>
        <w:rPr>
          <w:color w:val="000000" w:themeColor="text1"/>
        </w:rPr>
        <w:t xml:space="preserve">2019. </w:t>
      </w:r>
      <w:hyperlink r:id="rId136" w:history="1">
        <w:r w:rsidRPr="001D43C2">
          <w:rPr>
            <w:rStyle w:val="Hyperlink"/>
            <w:rFonts w:cs="Calibri"/>
            <w:lang w:eastAsia="en-IE"/>
          </w:rPr>
          <w:t>https://www.mhcirl.ie/File/2018_AR_Incl_OIMS.pdf</w:t>
        </w:r>
      </w:hyperlink>
    </w:p>
  </w:footnote>
  <w:footnote w:id="156">
    <w:p w14:paraId="4BE17548" w14:textId="39AF1A74" w:rsidR="00267385" w:rsidRPr="006F6DC6" w:rsidRDefault="00267385" w:rsidP="002C392E">
      <w:pPr>
        <w:pStyle w:val="Default"/>
        <w:rPr>
          <w:rFonts w:ascii="Gill Sans MT" w:hAnsi="Gill Sans MT"/>
          <w:sz w:val="20"/>
          <w:szCs w:val="20"/>
        </w:rPr>
      </w:pPr>
      <w:r w:rsidRPr="006F6DC6">
        <w:rPr>
          <w:rStyle w:val="FootnoteReference"/>
          <w:rFonts w:ascii="Gill Sans MT" w:hAnsi="Gill Sans MT"/>
          <w:sz w:val="20"/>
          <w:szCs w:val="20"/>
        </w:rPr>
        <w:footnoteRef/>
      </w:r>
      <w:r w:rsidRPr="006F6DC6">
        <w:rPr>
          <w:rFonts w:ascii="Gill Sans MT" w:hAnsi="Gill Sans MT"/>
          <w:sz w:val="20"/>
          <w:szCs w:val="20"/>
        </w:rPr>
        <w:t xml:space="preserve"> Hannah Gre</w:t>
      </w:r>
      <w:r>
        <w:rPr>
          <w:rFonts w:ascii="Gill Sans MT" w:hAnsi="Gill Sans MT"/>
          <w:sz w:val="20"/>
          <w:szCs w:val="20"/>
        </w:rPr>
        <w:t>ne Stephen</w:t>
      </w:r>
      <w:r w:rsidRPr="006F6DC6">
        <w:rPr>
          <w:rFonts w:ascii="Gill Sans MT" w:hAnsi="Gill Sans MT"/>
          <w:sz w:val="20"/>
          <w:szCs w:val="20"/>
        </w:rPr>
        <w:t xml:space="preserve"> O'Hare </w:t>
      </w:r>
      <w:r>
        <w:rPr>
          <w:rFonts w:ascii="Gill Sans MT" w:hAnsi="Gill Sans MT"/>
          <w:sz w:val="20"/>
          <w:szCs w:val="20"/>
        </w:rPr>
        <w:t>et al.,</w:t>
      </w:r>
      <w:r w:rsidRPr="006F6DC6">
        <w:rPr>
          <w:rFonts w:ascii="Gill Sans MT" w:hAnsi="Gill Sans MT"/>
          <w:sz w:val="20"/>
          <w:szCs w:val="20"/>
        </w:rPr>
        <w:t xml:space="preserve"> </w:t>
      </w:r>
      <w:r w:rsidRPr="00971552">
        <w:rPr>
          <w:rFonts w:ascii="Gill Sans MT" w:hAnsi="Gill Sans MT"/>
          <w:i/>
          <w:sz w:val="20"/>
          <w:szCs w:val="20"/>
        </w:rPr>
        <w:t>From Institutions to Community Living: Drivers and Barriers of Deinstitutionalisation. Case Study Report: Ireland 2018.</w:t>
      </w:r>
      <w:r w:rsidRPr="003F21CC">
        <w:rPr>
          <w:rFonts w:ascii="Gill Sans MT" w:hAnsi="Gill Sans MT"/>
          <w:sz w:val="20"/>
          <w:szCs w:val="20"/>
        </w:rPr>
        <w:t xml:space="preserve"> 2019. European Union Agency for Fundamental Rights. </w:t>
      </w:r>
      <w:hyperlink r:id="rId137" w:history="1">
        <w:r w:rsidRPr="00971552">
          <w:rPr>
            <w:rStyle w:val="Hyperlink"/>
            <w:rFonts w:ascii="Gill Sans MT" w:hAnsi="Gill Sans MT"/>
            <w:sz w:val="20"/>
            <w:szCs w:val="20"/>
          </w:rPr>
          <w:t>https://fra.europa.eu/sites/default/files/fra_uploads/ireland-independent-living-case-study-report_en.pdf</w:t>
        </w:r>
      </w:hyperlink>
    </w:p>
  </w:footnote>
  <w:footnote w:id="157">
    <w:p w14:paraId="484FB193" w14:textId="6AD3238D" w:rsidR="00267385" w:rsidRPr="006F6DC6" w:rsidRDefault="00267385">
      <w:pPr>
        <w:pStyle w:val="FootnoteText"/>
      </w:pPr>
      <w:r w:rsidRPr="006F6DC6">
        <w:rPr>
          <w:rStyle w:val="FootnoteReference"/>
        </w:rPr>
        <w:footnoteRef/>
      </w:r>
      <w:r w:rsidRPr="006F6DC6">
        <w:t xml:space="preserve"> </w:t>
      </w:r>
      <w:r>
        <w:t xml:space="preserve">Government of Ireland. </w:t>
      </w:r>
      <w:r w:rsidRPr="001D43C2">
        <w:rPr>
          <w:i/>
        </w:rPr>
        <w:t>A Vision for Change. Report of the Expert Group on Mental Health Policy</w:t>
      </w:r>
      <w:r>
        <w:t xml:space="preserve">. Dublin: The Stationary Office. 2006. </w:t>
      </w:r>
      <w:hyperlink r:id="rId138" w:history="1">
        <w:r>
          <w:rPr>
            <w:rStyle w:val="Hyperlink"/>
          </w:rPr>
          <w:t>https://www.hse.ie/eng/services/publications/mentalhealth/mental-health---a-vision-for-change.pdf</w:t>
        </w:r>
      </w:hyperlink>
    </w:p>
  </w:footnote>
  <w:footnote w:id="158">
    <w:p w14:paraId="345C3104" w14:textId="2628CDA7" w:rsidR="00267385" w:rsidRDefault="00267385" w:rsidP="001E0213">
      <w:pPr>
        <w:pStyle w:val="FootnoteText"/>
      </w:pPr>
      <w:r>
        <w:rPr>
          <w:rStyle w:val="FootnoteReference"/>
        </w:rPr>
        <w:footnoteRef/>
      </w:r>
      <w:r>
        <w:t xml:space="preserve"> </w:t>
      </w:r>
      <w:r w:rsidRPr="00F440A7">
        <w:t xml:space="preserve">HSE. </w:t>
      </w:r>
      <w:r w:rsidRPr="007E794C">
        <w:rPr>
          <w:i/>
        </w:rPr>
        <w:t>Time to Move on from Congregated Settings: A Strategy for Community Inclusion.</w:t>
      </w:r>
      <w:r w:rsidRPr="00F440A7">
        <w:t xml:space="preserve"> 2011. </w:t>
      </w:r>
      <w:hyperlink r:id="rId139" w:history="1">
        <w:r w:rsidRPr="00F440A7">
          <w:rPr>
            <w:rStyle w:val="Hyperlink"/>
          </w:rPr>
          <w:t>https://www.hse.ie/eng/services/list/4/disability/congregatedsettings/time-to-move-on-from-congregated-settings-%E2%80%93-a-strategy-for-community-inclusion.pdf</w:t>
        </w:r>
      </w:hyperlink>
    </w:p>
  </w:footnote>
  <w:footnote w:id="159">
    <w:p w14:paraId="0CDBB58F" w14:textId="6E24B8D6" w:rsidR="00267385" w:rsidRDefault="00267385" w:rsidP="007D4350">
      <w:pPr>
        <w:pStyle w:val="FootnoteText"/>
      </w:pPr>
      <w:r>
        <w:t xml:space="preserve"> </w:t>
      </w:r>
      <w:r>
        <w:rPr>
          <w:rStyle w:val="FootnoteReference"/>
        </w:rPr>
        <w:footnoteRef/>
      </w:r>
      <w:r>
        <w:t xml:space="preserve"> HSE. </w:t>
      </w:r>
      <w:r w:rsidRPr="001D43C2">
        <w:rPr>
          <w:i/>
        </w:rPr>
        <w:t>Progress Report on the Implementation of Time to Move On From Congregated Settings: A Strategy for Community Inclusion. Annual Report 2016.</w:t>
      </w:r>
      <w:r>
        <w:rPr>
          <w:i/>
        </w:rPr>
        <w:t xml:space="preserve"> </w:t>
      </w:r>
      <w:r>
        <w:t xml:space="preserve">2016. </w:t>
      </w:r>
      <w:r w:rsidRPr="00D93219">
        <w:t xml:space="preserve"> </w:t>
      </w:r>
      <w:hyperlink r:id="rId140" w:history="1">
        <w:r w:rsidRPr="00DF7A42">
          <w:rPr>
            <w:rStyle w:val="Hyperlink"/>
          </w:rPr>
          <w:t>https://www.hse.ie/eng/services/publications/disability/progress-report-on-the-implementation-of-time-to-move-on-from-congregated-settings-a-strategy-for-community-inclusion-annual-report-2016.pdf</w:t>
        </w:r>
      </w:hyperlink>
    </w:p>
  </w:footnote>
  <w:footnote w:id="160">
    <w:p w14:paraId="4BCB717B" w14:textId="04E895D9" w:rsidR="00267385" w:rsidRDefault="00267385">
      <w:pPr>
        <w:pStyle w:val="FootnoteText"/>
      </w:pPr>
      <w:r>
        <w:rPr>
          <w:rStyle w:val="FootnoteReference"/>
        </w:rPr>
        <w:footnoteRef/>
      </w:r>
      <w:r>
        <w:t xml:space="preserve"> HSE. </w:t>
      </w:r>
      <w:r w:rsidRPr="001D43C2">
        <w:rPr>
          <w:i/>
        </w:rPr>
        <w:t>Progress Report on the Implementation of Time to Move On From Congregated Settings: A Strategy for Community Inclusion. Annual Report 201</w:t>
      </w:r>
      <w:r>
        <w:rPr>
          <w:i/>
        </w:rPr>
        <w:t>8</w:t>
      </w:r>
      <w:r w:rsidRPr="001D43C2">
        <w:rPr>
          <w:i/>
        </w:rPr>
        <w:t>.</w:t>
      </w:r>
      <w:r>
        <w:rPr>
          <w:i/>
        </w:rPr>
        <w:t xml:space="preserve"> </w:t>
      </w:r>
      <w:r>
        <w:t xml:space="preserve">2018. </w:t>
      </w:r>
      <w:hyperlink r:id="rId141" w:history="1">
        <w:r w:rsidRPr="00DF7A42">
          <w:rPr>
            <w:rStyle w:val="Hyperlink"/>
          </w:rPr>
          <w:t>https://www.hse.ie/eng/services/list/4/disability/congregatedsettings/time-to-move-on-annual-progress-report-2018.pdf</w:t>
        </w:r>
      </w:hyperlink>
    </w:p>
  </w:footnote>
  <w:footnote w:id="161">
    <w:p w14:paraId="36035B1C" w14:textId="4BF4A982" w:rsidR="00267385" w:rsidRPr="00B8185E" w:rsidRDefault="00267385">
      <w:pPr>
        <w:pStyle w:val="FootnoteText"/>
      </w:pPr>
      <w:r w:rsidRPr="00B8185E">
        <w:rPr>
          <w:rStyle w:val="FootnoteReference"/>
        </w:rPr>
        <w:footnoteRef/>
      </w:r>
      <w:r w:rsidRPr="00B8185E">
        <w:t xml:space="preserve"> </w:t>
      </w:r>
      <w:r w:rsidRPr="001D43C2">
        <w:t xml:space="preserve">MHC. </w:t>
      </w:r>
      <w:r w:rsidRPr="001D43C2">
        <w:rPr>
          <w:i/>
        </w:rPr>
        <w:t>Mental Health Commission. Annual Report 2016. Including Report of the Inspector of Mental Health Services.</w:t>
      </w:r>
      <w:r>
        <w:rPr>
          <w:i/>
        </w:rPr>
        <w:t xml:space="preserve"> </w:t>
      </w:r>
      <w:r>
        <w:t>2017.</w:t>
      </w:r>
      <w:r w:rsidRPr="001D43C2">
        <w:t xml:space="preserve"> </w:t>
      </w:r>
      <w:hyperlink r:id="rId142" w:history="1">
        <w:r w:rsidRPr="001D43C2">
          <w:rPr>
            <w:rStyle w:val="Hyperlink"/>
            <w:rFonts w:cs="Calibri"/>
            <w:lang w:eastAsia="en-IE"/>
          </w:rPr>
          <w:t>https://www.mhcirl.ie/File/2016_AR_Incl_OIMS.pdf</w:t>
        </w:r>
      </w:hyperlink>
    </w:p>
  </w:footnote>
  <w:footnote w:id="162">
    <w:p w14:paraId="29FB066A" w14:textId="24C18E4A" w:rsidR="00267385" w:rsidRPr="00465B66" w:rsidRDefault="00267385" w:rsidP="00465B66">
      <w:pPr>
        <w:spacing w:after="0"/>
        <w:rPr>
          <w:rFonts w:cs="Calibri"/>
          <w:color w:val="0563C1"/>
          <w:u w:val="single"/>
          <w:lang w:eastAsia="en-IE"/>
        </w:rPr>
      </w:pPr>
      <w:r w:rsidRPr="00B8185E">
        <w:rPr>
          <w:rStyle w:val="FootnoteReference"/>
          <w:sz w:val="20"/>
          <w:szCs w:val="20"/>
        </w:rPr>
        <w:footnoteRef/>
      </w:r>
      <w:r w:rsidRPr="00B8185E">
        <w:rPr>
          <w:sz w:val="20"/>
          <w:szCs w:val="20"/>
        </w:rPr>
        <w:t xml:space="preserve"> </w:t>
      </w:r>
      <w:r w:rsidRPr="001D43C2">
        <w:rPr>
          <w:color w:val="000000" w:themeColor="text1"/>
          <w:sz w:val="20"/>
          <w:szCs w:val="20"/>
        </w:rPr>
        <w:t xml:space="preserve">MHC. </w:t>
      </w:r>
      <w:r w:rsidRPr="001D43C2">
        <w:rPr>
          <w:i/>
          <w:color w:val="000000" w:themeColor="text1"/>
          <w:sz w:val="20"/>
          <w:szCs w:val="20"/>
        </w:rPr>
        <w:t>Mental Health Commission. Annual Report 2018. Including Report of the Inspector of Mental Health Services.</w:t>
      </w:r>
      <w:r w:rsidRPr="001D43C2">
        <w:rPr>
          <w:color w:val="000000" w:themeColor="text1"/>
          <w:sz w:val="20"/>
          <w:szCs w:val="20"/>
        </w:rPr>
        <w:t xml:space="preserve"> </w:t>
      </w:r>
      <w:r>
        <w:rPr>
          <w:color w:val="000000" w:themeColor="text1"/>
          <w:sz w:val="20"/>
          <w:szCs w:val="20"/>
        </w:rPr>
        <w:t xml:space="preserve">2019. </w:t>
      </w:r>
      <w:hyperlink r:id="rId143" w:history="1">
        <w:r w:rsidRPr="001D43C2">
          <w:rPr>
            <w:rStyle w:val="Hyperlink"/>
            <w:rFonts w:cs="Calibri"/>
            <w:sz w:val="20"/>
            <w:szCs w:val="20"/>
            <w:lang w:eastAsia="en-IE"/>
          </w:rPr>
          <w:t>https://www.mhcirl.ie/File/2018_AR_Incl_OIMS.pdf</w:t>
        </w:r>
      </w:hyperlink>
    </w:p>
  </w:footnote>
  <w:footnote w:id="163">
    <w:p w14:paraId="4FD12D69" w14:textId="4DA01B6E" w:rsidR="00267385" w:rsidRPr="00B8185E" w:rsidRDefault="00267385" w:rsidP="00C2673A">
      <w:pPr>
        <w:pStyle w:val="FootnoteText"/>
      </w:pPr>
      <w:r w:rsidRPr="00B8185E">
        <w:rPr>
          <w:rStyle w:val="FootnoteReference"/>
        </w:rPr>
        <w:footnoteRef/>
      </w:r>
      <w:r w:rsidRPr="00B8185E">
        <w:t xml:space="preserve"> </w:t>
      </w:r>
      <w:r>
        <w:t xml:space="preserve">Government of Ireland. </w:t>
      </w:r>
      <w:r w:rsidRPr="001D43C2">
        <w:rPr>
          <w:i/>
        </w:rPr>
        <w:t>A Vision for Change. Report of the Expert Group on Mental Health Policy</w:t>
      </w:r>
      <w:r>
        <w:t xml:space="preserve">. Dublin: The Stationary Office. 2006. </w:t>
      </w:r>
      <w:hyperlink r:id="rId144" w:history="1">
        <w:r>
          <w:rPr>
            <w:rStyle w:val="Hyperlink"/>
          </w:rPr>
          <w:t>https://www.hse.ie/eng/services/publications/mentalhealth/mental-health---a-vision-for-change.pdf</w:t>
        </w:r>
      </w:hyperlink>
    </w:p>
  </w:footnote>
  <w:footnote w:id="164">
    <w:p w14:paraId="26C7EF83" w14:textId="14A06C62" w:rsidR="00267385" w:rsidRPr="00B8185E" w:rsidRDefault="00267385" w:rsidP="00C2673A">
      <w:pPr>
        <w:pStyle w:val="FootnoteText"/>
      </w:pPr>
      <w:r w:rsidRPr="00B8185E">
        <w:rPr>
          <w:rStyle w:val="FootnoteReference"/>
        </w:rPr>
        <w:footnoteRef/>
      </w:r>
      <w:r w:rsidRPr="00B8185E">
        <w:t xml:space="preserve"> </w:t>
      </w:r>
      <w:r w:rsidRPr="00F440A7">
        <w:t xml:space="preserve">HSE. </w:t>
      </w:r>
      <w:r w:rsidRPr="001D43C2">
        <w:rPr>
          <w:i/>
        </w:rPr>
        <w:t>Time to Move on from Congregated Settings: A Strategy for Community Inclusion.</w:t>
      </w:r>
      <w:r w:rsidRPr="00F440A7">
        <w:t xml:space="preserve"> 2011. </w:t>
      </w:r>
      <w:hyperlink r:id="rId145" w:history="1">
        <w:r w:rsidRPr="00F440A7">
          <w:rPr>
            <w:rStyle w:val="Hyperlink"/>
          </w:rPr>
          <w:t>https://www.hse.ie/eng/services/list/4/disability/congregatedsettings/time-to-move-on-from-congregated-settings-%E2%80%93-a-strategy-for-community-inclusion.pdf</w:t>
        </w:r>
      </w:hyperlink>
    </w:p>
  </w:footnote>
  <w:footnote w:id="165">
    <w:p w14:paraId="5F3C2A50" w14:textId="380136F1" w:rsidR="00267385" w:rsidRDefault="00267385">
      <w:pPr>
        <w:pStyle w:val="FootnoteText"/>
      </w:pPr>
      <w:r>
        <w:rPr>
          <w:rStyle w:val="FootnoteReference"/>
        </w:rPr>
        <w:footnoteRef/>
      </w:r>
      <w:r>
        <w:t xml:space="preserve"> </w:t>
      </w:r>
      <w:r w:rsidRPr="00E261E0">
        <w:t xml:space="preserve">MHC. </w:t>
      </w:r>
      <w:r w:rsidRPr="00971552">
        <w:rPr>
          <w:i/>
        </w:rPr>
        <w:t>2018 Inspection of 24-hour Supervised Residences for People with Mental Illness.</w:t>
      </w:r>
      <w:r w:rsidRPr="00E261E0">
        <w:t xml:space="preserve"> </w:t>
      </w:r>
      <w:r>
        <w:t xml:space="preserve">2019. </w:t>
      </w:r>
      <w:hyperlink r:id="rId146" w:history="1">
        <w:r w:rsidRPr="00E261E0">
          <w:rPr>
            <w:rStyle w:val="Hyperlink"/>
          </w:rPr>
          <w:t>https://www.mhcirl.ie/File/2018ResidencesReport.pdf</w:t>
        </w:r>
      </w:hyperlink>
    </w:p>
  </w:footnote>
  <w:footnote w:id="166">
    <w:p w14:paraId="223021F8" w14:textId="3944F008" w:rsidR="00267385" w:rsidRDefault="00267385" w:rsidP="00C2673A">
      <w:pPr>
        <w:pStyle w:val="FootnoteText"/>
      </w:pPr>
      <w:r>
        <w:rPr>
          <w:rStyle w:val="FootnoteReference"/>
        </w:rPr>
        <w:footnoteRef/>
      </w:r>
      <w:r>
        <w:t xml:space="preserve"> </w:t>
      </w:r>
      <w:r w:rsidRPr="00E261E0">
        <w:t xml:space="preserve">Antoinette Daly and Sarah Craig. </w:t>
      </w:r>
      <w:r w:rsidRPr="00E261E0">
        <w:rPr>
          <w:i/>
        </w:rPr>
        <w:t>HRB Statistics Series 40. Irish Psychiatric Units and Hospitals Census 2019 Main Findings.</w:t>
      </w:r>
      <w:r w:rsidRPr="00E261E0">
        <w:t xml:space="preserve"> 2019. </w:t>
      </w:r>
      <w:hyperlink r:id="rId147" w:history="1">
        <w:r w:rsidRPr="00E261E0">
          <w:rPr>
            <w:rStyle w:val="Hyperlink"/>
          </w:rPr>
          <w:t>https://www.hrb.ie/fileadmin/2._Plugin_related_files/Publications/2019_Publication_files/2019_HIE/NPIRS/Census/Irish_Psychiatric_In-patient_Census_2019_Main_Findings.pdf</w:t>
        </w:r>
      </w:hyperlink>
    </w:p>
  </w:footnote>
  <w:footnote w:id="167">
    <w:p w14:paraId="54059408" w14:textId="509380F8" w:rsidR="00267385" w:rsidRPr="00465B66" w:rsidRDefault="00267385" w:rsidP="00465B66">
      <w:pPr>
        <w:spacing w:after="0"/>
        <w:rPr>
          <w:rFonts w:ascii="Calibri" w:hAnsi="Calibri"/>
          <w:color w:val="0563C1"/>
          <w:sz w:val="22"/>
          <w:szCs w:val="22"/>
          <w:u w:val="single"/>
          <w:lang w:eastAsia="en-IE"/>
        </w:rPr>
      </w:pPr>
      <w:r>
        <w:rPr>
          <w:rStyle w:val="FootnoteReference"/>
        </w:rPr>
        <w:footnoteRef/>
      </w:r>
      <w:r>
        <w:t xml:space="preserve"> </w:t>
      </w:r>
      <w:r w:rsidRPr="00CB4CB5">
        <w:rPr>
          <w:sz w:val="20"/>
          <w:szCs w:val="20"/>
        </w:rPr>
        <w:t xml:space="preserve">Housing Agency. </w:t>
      </w:r>
      <w:r w:rsidRPr="00971552">
        <w:rPr>
          <w:i/>
          <w:sz w:val="20"/>
          <w:szCs w:val="20"/>
        </w:rPr>
        <w:t>Summary of Social Housing Assessments 2017. Key Findings 2017.</w:t>
      </w:r>
      <w:r w:rsidRPr="00CB4CB5">
        <w:rPr>
          <w:sz w:val="20"/>
          <w:szCs w:val="20"/>
        </w:rPr>
        <w:t xml:space="preserve"> 2017. </w:t>
      </w:r>
      <w:hyperlink r:id="rId148" w:history="1">
        <w:r w:rsidRPr="00CB4CB5">
          <w:rPr>
            <w:rStyle w:val="Hyperlink"/>
            <w:sz w:val="20"/>
            <w:szCs w:val="20"/>
          </w:rPr>
          <w:t>http://www.housingagency.ie/sites/default/files/publications/27.%20SHA-Summary-December-2017.pdf</w:t>
        </w:r>
      </w:hyperlink>
    </w:p>
  </w:footnote>
  <w:footnote w:id="168">
    <w:p w14:paraId="442E1305" w14:textId="2ADEB859" w:rsidR="00267385" w:rsidRDefault="00267385" w:rsidP="00465B66">
      <w:pPr>
        <w:pStyle w:val="FootnoteText"/>
      </w:pPr>
      <w:r>
        <w:rPr>
          <w:rStyle w:val="FootnoteReference"/>
        </w:rPr>
        <w:footnoteRef/>
      </w:r>
      <w:r>
        <w:t xml:space="preserve"> </w:t>
      </w:r>
      <w:r w:rsidRPr="00E261E0">
        <w:t xml:space="preserve">Housing Agency. </w:t>
      </w:r>
      <w:r w:rsidRPr="00E261E0">
        <w:rPr>
          <w:i/>
        </w:rPr>
        <w:t>Summary of Social Housing Assessments 2019. Key Findings 2019.</w:t>
      </w:r>
      <w:r w:rsidRPr="00E261E0">
        <w:t xml:space="preserve"> 2019. </w:t>
      </w:r>
      <w:hyperlink r:id="rId149" w:history="1">
        <w:r>
          <w:rPr>
            <w:rStyle w:val="Hyperlink"/>
          </w:rPr>
          <w:t>https://www.housing.gov.ie/sites/default/files/publications/files/sha_summary_2019_dec_2019_web_1.pdf</w:t>
        </w:r>
      </w:hyperlink>
    </w:p>
  </w:footnote>
  <w:footnote w:id="169">
    <w:p w14:paraId="7C583A3F" w14:textId="5CB6F32C" w:rsidR="00267385" w:rsidRDefault="00267385">
      <w:pPr>
        <w:pStyle w:val="FootnoteText"/>
      </w:pPr>
      <w:r>
        <w:rPr>
          <w:rStyle w:val="FootnoteReference"/>
        </w:rPr>
        <w:footnoteRef/>
      </w:r>
      <w:r>
        <w:t xml:space="preserve"> </w:t>
      </w:r>
      <w:r w:rsidRPr="00E261E0">
        <w:t xml:space="preserve">CSO. </w:t>
      </w:r>
      <w:r w:rsidRPr="00971552">
        <w:rPr>
          <w:i/>
          <w:lang w:val="en"/>
        </w:rPr>
        <w:t>Press Statement Census 2016 Results Profile 5 - Homeless Persons in Ireland.</w:t>
      </w:r>
      <w:r w:rsidRPr="00E261E0">
        <w:rPr>
          <w:lang w:val="en"/>
        </w:rPr>
        <w:t xml:space="preserve"> 2017. </w:t>
      </w:r>
      <w:hyperlink r:id="rId150" w:history="1">
        <w:r w:rsidRPr="00E261E0">
          <w:rPr>
            <w:rStyle w:val="Hyperlink"/>
          </w:rPr>
          <w:t>https://www.cso.ie/en/csolatestnews/pressreleases/2017pressreleases/pressstatementcensus2016resultsprofile5-homelesspersonsinireland/</w:t>
        </w:r>
      </w:hyperlink>
    </w:p>
  </w:footnote>
  <w:footnote w:id="170">
    <w:p w14:paraId="71AB2E16" w14:textId="7EEB0B43" w:rsidR="00267385" w:rsidRDefault="00267385">
      <w:pPr>
        <w:pStyle w:val="FootnoteText"/>
      </w:pPr>
      <w:r>
        <w:rPr>
          <w:rStyle w:val="FootnoteReference"/>
        </w:rPr>
        <w:footnoteRef/>
      </w:r>
      <w:r>
        <w:t xml:space="preserve"> Department of the Environment Community and Local Government. </w:t>
      </w:r>
      <w:r w:rsidRPr="00971552">
        <w:rPr>
          <w:i/>
        </w:rPr>
        <w:t>National Housing Strategy for People with a Disability 2011 – 2016.</w:t>
      </w:r>
      <w:r>
        <w:t xml:space="preserve"> 2011. </w:t>
      </w:r>
      <w:hyperlink r:id="rId151" w:history="1">
        <w:r>
          <w:rPr>
            <w:rStyle w:val="Hyperlink"/>
          </w:rPr>
          <w:t>https://www.housing.gov.ie/sites/default/files/migrated-files/en/Publications/DevelopmentandHousing/Housing/FileDownLoad%2C28016%2Cen.pdf</w:t>
        </w:r>
      </w:hyperlink>
    </w:p>
  </w:footnote>
  <w:footnote w:id="171">
    <w:p w14:paraId="23F1F443" w14:textId="4347A559" w:rsidR="00267385" w:rsidRDefault="00267385">
      <w:pPr>
        <w:pStyle w:val="FootnoteText"/>
      </w:pPr>
      <w:r>
        <w:rPr>
          <w:rStyle w:val="FootnoteReference"/>
        </w:rPr>
        <w:footnoteRef/>
      </w:r>
      <w:r>
        <w:t xml:space="preserve"> </w:t>
      </w:r>
      <w:r w:rsidRPr="003C0E2E">
        <w:t xml:space="preserve">NDA. </w:t>
      </w:r>
      <w:r w:rsidRPr="001D43C2">
        <w:rPr>
          <w:i/>
        </w:rPr>
        <w:t>National Survey of Public Attitudes to Disability in Ireland</w:t>
      </w:r>
      <w:r w:rsidRPr="003C0E2E">
        <w:t xml:space="preserve">. 2017. </w:t>
      </w:r>
      <w:hyperlink r:id="rId152" w:history="1">
        <w:r w:rsidRPr="003C0E2E">
          <w:rPr>
            <w:rStyle w:val="Hyperlink"/>
          </w:rPr>
          <w:t>http://nda.ie/publications/attitudes/public-attitudes-to-disability-in-ireland-surveys/public-attitudes-to-disability-in-ireland-survey-2017.html</w:t>
        </w:r>
      </w:hyperlink>
    </w:p>
  </w:footnote>
  <w:footnote w:id="172">
    <w:p w14:paraId="3D6C5100" w14:textId="3FE6FB06" w:rsidR="00267385" w:rsidRDefault="00267385">
      <w:pPr>
        <w:pStyle w:val="FootnoteText"/>
      </w:pPr>
      <w:r>
        <w:rPr>
          <w:rStyle w:val="FootnoteReference"/>
        </w:rPr>
        <w:footnoteRef/>
      </w:r>
      <w:r>
        <w:t xml:space="preserve"> IHREC. All Human All Equal. </w:t>
      </w:r>
      <w:hyperlink r:id="rId153" w:history="1">
        <w:r>
          <w:rPr>
            <w:rStyle w:val="Hyperlink"/>
          </w:rPr>
          <w:t>https://www.ihrec.ie/allhumanallequal/</w:t>
        </w:r>
      </w:hyperlink>
    </w:p>
  </w:footnote>
  <w:footnote w:id="173">
    <w:p w14:paraId="6AE40241" w14:textId="379F4516" w:rsidR="00267385" w:rsidRDefault="00267385">
      <w:pPr>
        <w:pStyle w:val="FootnoteText"/>
      </w:pPr>
      <w:r>
        <w:rPr>
          <w:rStyle w:val="FootnoteReference"/>
        </w:rPr>
        <w:footnoteRef/>
      </w:r>
      <w:r>
        <w:t xml:space="preserve"> </w:t>
      </w:r>
      <w:r w:rsidRPr="00203078">
        <w:t>Healthy and Positive Ageing Initiative</w:t>
      </w:r>
      <w:r>
        <w:t xml:space="preserve">. </w:t>
      </w:r>
      <w:r w:rsidRPr="007E794C">
        <w:rPr>
          <w:i/>
        </w:rPr>
        <w:t>Positive Ageing Indicators 2018</w:t>
      </w:r>
      <w:r w:rsidRPr="00AC35DD">
        <w:t xml:space="preserve">. 2018 </w:t>
      </w:r>
      <w:hyperlink r:id="rId154" w:history="1">
        <w:r w:rsidRPr="00203078">
          <w:rPr>
            <w:rStyle w:val="Hyperlink"/>
          </w:rPr>
          <w:t>https://assets.gov.ie/9673/f528d4c3856044e9a2b5545230e77a04.pdf</w:t>
        </w:r>
      </w:hyperlink>
    </w:p>
  </w:footnote>
  <w:footnote w:id="174">
    <w:p w14:paraId="258FF931" w14:textId="617AEA9F" w:rsidR="00267385" w:rsidRDefault="00267385">
      <w:pPr>
        <w:pStyle w:val="FootnoteText"/>
      </w:pPr>
      <w:r>
        <w:rPr>
          <w:rStyle w:val="FootnoteReference"/>
        </w:rPr>
        <w:footnoteRef/>
      </w:r>
      <w:r>
        <w:t xml:space="preserve"> </w:t>
      </w:r>
      <w:r w:rsidRPr="003C0E2E">
        <w:t xml:space="preserve">NDA. </w:t>
      </w:r>
      <w:r w:rsidRPr="001D43C2">
        <w:rPr>
          <w:i/>
        </w:rPr>
        <w:t>National Survey of Public Attitudes to Disability in Ireland</w:t>
      </w:r>
      <w:r w:rsidRPr="003C0E2E">
        <w:t xml:space="preserve">. 2017. </w:t>
      </w:r>
      <w:hyperlink r:id="rId155" w:history="1">
        <w:r w:rsidRPr="003C0E2E">
          <w:rPr>
            <w:rStyle w:val="Hyperlink"/>
          </w:rPr>
          <w:t>http://nda.ie/publications/attitudes/public-attitudes-to-disability-in-ireland-surveys/public-attitudes-to-disability-in-ireland-survey-2017.html</w:t>
        </w:r>
      </w:hyperlink>
    </w:p>
  </w:footnote>
  <w:footnote w:id="175">
    <w:p w14:paraId="06BB6510" w14:textId="70F893BE" w:rsidR="00267385" w:rsidRPr="004E0885" w:rsidRDefault="00267385">
      <w:pPr>
        <w:pStyle w:val="FootnoteText"/>
      </w:pPr>
      <w:r>
        <w:rPr>
          <w:rStyle w:val="FootnoteReference"/>
        </w:rPr>
        <w:footnoteRef/>
      </w:r>
      <w:r>
        <w:t xml:space="preserve"> NDA. 2020. </w:t>
      </w:r>
      <w:r w:rsidRPr="004E0885">
        <w:rPr>
          <w:i/>
        </w:rPr>
        <w:t>Good Practice in Universal Design: Ireland.</w:t>
      </w:r>
      <w:r>
        <w:rPr>
          <w:i/>
        </w:rPr>
        <w:t xml:space="preserve"> </w:t>
      </w:r>
      <w:r>
        <w:t>Unpublished paper.</w:t>
      </w:r>
    </w:p>
  </w:footnote>
  <w:footnote w:id="176">
    <w:p w14:paraId="45F8F7E7" w14:textId="01ECFB88" w:rsidR="00267385" w:rsidRDefault="00267385">
      <w:pPr>
        <w:pStyle w:val="FootnoteText"/>
      </w:pPr>
      <w:r>
        <w:rPr>
          <w:rStyle w:val="FootnoteReference"/>
        </w:rPr>
        <w:footnoteRef/>
      </w:r>
      <w:r>
        <w:t xml:space="preserve"> Department of Tourism, Transport and Sport. </w:t>
      </w:r>
      <w:r w:rsidRPr="00971552">
        <w:rPr>
          <w:i/>
        </w:rPr>
        <w:t>2019 Work Programme (Q3 and Q4 Updates)</w:t>
      </w:r>
      <w:r>
        <w:t>. 2019.</w:t>
      </w:r>
      <w:r w:rsidRPr="005C7719">
        <w:cr/>
      </w:r>
      <w:hyperlink r:id="rId156" w:history="1">
        <w:r>
          <w:rPr>
            <w:rStyle w:val="Hyperlink"/>
          </w:rPr>
          <w:t>file:///H:/Downloads/49487_6cd114e89ce3473a97d9678a7a5bbb49.pdf</w:t>
        </w:r>
      </w:hyperlink>
    </w:p>
  </w:footnote>
  <w:footnote w:id="177">
    <w:p w14:paraId="31A3F537" w14:textId="040D770A" w:rsidR="00267385" w:rsidRDefault="00267385">
      <w:pPr>
        <w:pStyle w:val="FootnoteText"/>
      </w:pPr>
      <w:r>
        <w:rPr>
          <w:rStyle w:val="FootnoteReference"/>
        </w:rPr>
        <w:footnoteRef/>
      </w:r>
      <w:r>
        <w:t xml:space="preserve"> Department of Tourism, Transport and Sport. </w:t>
      </w:r>
      <w:r w:rsidRPr="00971552">
        <w:rPr>
          <w:i/>
        </w:rPr>
        <w:t>2019 Work Programme (Q3 and Q4 Updates)</w:t>
      </w:r>
      <w:r>
        <w:t>. 2019.</w:t>
      </w:r>
      <w:r w:rsidRPr="005C7719">
        <w:cr/>
      </w:r>
      <w:hyperlink r:id="rId157" w:history="1">
        <w:r>
          <w:rPr>
            <w:rStyle w:val="Hyperlink"/>
          </w:rPr>
          <w:t>file:///H:/Downloads/49487_6cd114e89ce3473a97d9678a7a5bbb49.pdf</w:t>
        </w:r>
      </w:hyperlink>
    </w:p>
  </w:footnote>
  <w:footnote w:id="178">
    <w:p w14:paraId="230FAFE5" w14:textId="2299153F" w:rsidR="00267385" w:rsidRDefault="00267385">
      <w:pPr>
        <w:pStyle w:val="FootnoteText"/>
      </w:pPr>
      <w:r>
        <w:rPr>
          <w:rStyle w:val="FootnoteReference"/>
        </w:rPr>
        <w:footnoteRef/>
      </w:r>
      <w:r>
        <w:t xml:space="preserve"> Department of Tourism, Transport and Sport. </w:t>
      </w:r>
      <w:r w:rsidRPr="00971552">
        <w:rPr>
          <w:i/>
        </w:rPr>
        <w:t>2019 Work Programme (Q3 and Q4 Updates)</w:t>
      </w:r>
      <w:r>
        <w:t>. 2019.</w:t>
      </w:r>
      <w:r w:rsidRPr="005C7719">
        <w:cr/>
      </w:r>
      <w:hyperlink r:id="rId158" w:history="1">
        <w:r>
          <w:rPr>
            <w:rStyle w:val="Hyperlink"/>
          </w:rPr>
          <w:t>file:///H:/Downloads/49487_6cd114e89ce3473a97d9678a7a5bbb49.pdf</w:t>
        </w:r>
      </w:hyperlink>
    </w:p>
  </w:footnote>
  <w:footnote w:id="179">
    <w:p w14:paraId="6C07AF5D" w14:textId="139C6F4F" w:rsidR="00267385" w:rsidRDefault="00267385">
      <w:pPr>
        <w:pStyle w:val="FootnoteText"/>
      </w:pPr>
      <w:r>
        <w:rPr>
          <w:rStyle w:val="FootnoteReference"/>
        </w:rPr>
        <w:footnoteRef/>
      </w:r>
      <w:r>
        <w:t xml:space="preserve"> Department of Tourism, Transport and Sport. </w:t>
      </w:r>
      <w:r w:rsidRPr="00971552">
        <w:rPr>
          <w:i/>
        </w:rPr>
        <w:t>17th Meeting of the Accessibil</w:t>
      </w:r>
      <w:r>
        <w:rPr>
          <w:i/>
        </w:rPr>
        <w:t>i</w:t>
      </w:r>
      <w:r w:rsidRPr="00971552">
        <w:rPr>
          <w:i/>
        </w:rPr>
        <w:t>ty Consultative Committee (ACC)</w:t>
      </w:r>
      <w:r>
        <w:t xml:space="preserve">. 2019. </w:t>
      </w:r>
      <w:hyperlink r:id="rId159" w:history="1">
        <w:r>
          <w:rPr>
            <w:rStyle w:val="Hyperlink"/>
          </w:rPr>
          <w:t>https://assets.gov.ie/42246/67c484f2d912437fbd6dc87f3c20e7b9.pdf</w:t>
        </w:r>
      </w:hyperlink>
    </w:p>
  </w:footnote>
  <w:footnote w:id="180">
    <w:p w14:paraId="2ABE75EE" w14:textId="27EF2F18" w:rsidR="00267385" w:rsidRDefault="00267385">
      <w:pPr>
        <w:pStyle w:val="FootnoteText"/>
      </w:pPr>
      <w:r>
        <w:rPr>
          <w:rStyle w:val="FootnoteReference"/>
        </w:rPr>
        <w:footnoteRef/>
      </w:r>
      <w:r>
        <w:t xml:space="preserve"> Department of Tourism, Transport and Sport. </w:t>
      </w:r>
      <w:r w:rsidRPr="001D43C2">
        <w:rPr>
          <w:i/>
        </w:rPr>
        <w:t>2019 Work Programme (Q3 and Q4 Updates)</w:t>
      </w:r>
      <w:r>
        <w:t>. 2019.</w:t>
      </w:r>
      <w:r w:rsidRPr="005C7719">
        <w:cr/>
      </w:r>
      <w:hyperlink r:id="rId160" w:history="1">
        <w:r>
          <w:rPr>
            <w:rStyle w:val="Hyperlink"/>
          </w:rPr>
          <w:t>file:///H:/Downloads/49487_6cd114e89ce3473a97d9678a7a5bbb49.pdf</w:t>
        </w:r>
      </w:hyperlink>
    </w:p>
  </w:footnote>
  <w:footnote w:id="181">
    <w:p w14:paraId="669BB203" w14:textId="1DEE76F3" w:rsidR="00267385" w:rsidRDefault="00267385">
      <w:pPr>
        <w:pStyle w:val="FootnoteText"/>
      </w:pPr>
      <w:r>
        <w:rPr>
          <w:rStyle w:val="FootnoteReference"/>
        </w:rPr>
        <w:footnoteRef/>
      </w:r>
      <w:r>
        <w:t xml:space="preserve"> Irish Rail. Passenger Assistance Prototype App. </w:t>
      </w:r>
      <w:hyperlink r:id="rId161" w:history="1">
        <w:r w:rsidRPr="00DF7A42">
          <w:rPr>
            <w:rStyle w:val="Hyperlink"/>
          </w:rPr>
          <w:t>https://www.irishrail.ie/travel-information/accessibility-onboard-trains/access-dart-app</w:t>
        </w:r>
      </w:hyperlink>
    </w:p>
  </w:footnote>
  <w:footnote w:id="182">
    <w:p w14:paraId="4C0A9CDA" w14:textId="605609D7" w:rsidR="00267385" w:rsidRDefault="00267385">
      <w:pPr>
        <w:pStyle w:val="FootnoteText"/>
      </w:pPr>
      <w:r>
        <w:rPr>
          <w:rStyle w:val="FootnoteReference"/>
        </w:rPr>
        <w:footnoteRef/>
      </w:r>
      <w:r>
        <w:t xml:space="preserve"> </w:t>
      </w:r>
      <w:r w:rsidRPr="00636ED4">
        <w:t>Cónal Thomas</w:t>
      </w:r>
      <w:r>
        <w:t>.</w:t>
      </w:r>
      <w:r w:rsidRPr="00636ED4">
        <w:t xml:space="preserve"> </w:t>
      </w:r>
      <w:r w:rsidRPr="00971552">
        <w:rPr>
          <w:i/>
        </w:rPr>
        <w:t>Irish Rail Says it Plans to Replace and Upgrade all its Lifts over the Next Five Years</w:t>
      </w:r>
      <w:r>
        <w:t>. 2020.</w:t>
      </w:r>
      <w:r w:rsidRPr="00636ED4">
        <w:t xml:space="preserve"> </w:t>
      </w:r>
      <w:hyperlink r:id="rId162" w:history="1">
        <w:r>
          <w:rPr>
            <w:rStyle w:val="Hyperlink"/>
          </w:rPr>
          <w:t>https://www.thejournal.ie/irish-rail-lift-upgrades-4996425-Feb2020/</w:t>
        </w:r>
      </w:hyperlink>
    </w:p>
  </w:footnote>
  <w:footnote w:id="183">
    <w:p w14:paraId="0EE62954" w14:textId="5FC45478" w:rsidR="00267385" w:rsidRDefault="00267385">
      <w:pPr>
        <w:pStyle w:val="FootnoteText"/>
      </w:pPr>
      <w:r>
        <w:rPr>
          <w:rStyle w:val="FootnoteReference"/>
        </w:rPr>
        <w:footnoteRef/>
      </w:r>
      <w:r>
        <w:t xml:space="preserve"> NTA. </w:t>
      </w:r>
      <w:r w:rsidRPr="00971552">
        <w:rPr>
          <w:i/>
        </w:rPr>
        <w:t>Taxi Statistics 2018.</w:t>
      </w:r>
      <w:r>
        <w:t xml:space="preserve"> 2019. </w:t>
      </w:r>
      <w:hyperlink r:id="rId163" w:history="1">
        <w:r w:rsidRPr="00DF7A42">
          <w:rPr>
            <w:rStyle w:val="Hyperlink"/>
          </w:rPr>
          <w:t>https://www.nationaltransport.ie/wp-content/uploads/2019/10/Taxi_Statistics_Bulletin_2018.pdf</w:t>
        </w:r>
      </w:hyperlink>
    </w:p>
  </w:footnote>
  <w:footnote w:id="184">
    <w:p w14:paraId="2A30AA41" w14:textId="214D1E89" w:rsidR="00267385" w:rsidRDefault="00267385">
      <w:pPr>
        <w:pStyle w:val="FootnoteText"/>
      </w:pPr>
      <w:r>
        <w:rPr>
          <w:rStyle w:val="FootnoteReference"/>
        </w:rPr>
        <w:footnoteRef/>
      </w:r>
      <w:r>
        <w:t xml:space="preserve"> National Transport Authority. Vehicle licences by category website. </w:t>
      </w:r>
      <w:r w:rsidRPr="00C14C4B">
        <w:t>https://www.nationaltransport.ie/taxi/publications-and-regulations/statistics-and-legislation/vehicle-licences-county-and-category-31st-january-2019/</w:t>
      </w:r>
      <w:r>
        <w:t xml:space="preserve">. </w:t>
      </w:r>
    </w:p>
  </w:footnote>
  <w:footnote w:id="185">
    <w:p w14:paraId="6D7A5938" w14:textId="5CA7D47D" w:rsidR="00267385" w:rsidRDefault="00267385">
      <w:pPr>
        <w:pStyle w:val="FootnoteText"/>
      </w:pPr>
      <w:r>
        <w:rPr>
          <w:rStyle w:val="FootnoteReference"/>
        </w:rPr>
        <w:footnoteRef/>
      </w:r>
      <w:r>
        <w:t xml:space="preserve"> Transport for Ireland. Wheelchair Accessible Vehicle (WAV) Register. </w:t>
      </w:r>
      <w:hyperlink r:id="rId164" w:history="1">
        <w:r w:rsidRPr="00DF7A42">
          <w:rPr>
            <w:rStyle w:val="Hyperlink"/>
          </w:rPr>
          <w:t>https://www.transportforireland.ie/getting-around/by-taxi/wheelchair-accessible-vehicle-wav-register/</w:t>
        </w:r>
      </w:hyperlink>
    </w:p>
  </w:footnote>
  <w:footnote w:id="186">
    <w:p w14:paraId="68F7762A" w14:textId="3CA2E0D1" w:rsidR="00267385" w:rsidRDefault="00267385">
      <w:pPr>
        <w:pStyle w:val="FootnoteText"/>
      </w:pPr>
      <w:r>
        <w:rPr>
          <w:rStyle w:val="FootnoteReference"/>
        </w:rPr>
        <w:footnoteRef/>
      </w:r>
      <w:r>
        <w:t xml:space="preserve"> Department of Tourism, Transport and Sport. </w:t>
      </w:r>
      <w:r w:rsidRPr="001D43C2">
        <w:rPr>
          <w:i/>
        </w:rPr>
        <w:t>2019 Work Programme (Q3 and Q4 Updates)</w:t>
      </w:r>
      <w:r>
        <w:t>. 2019.</w:t>
      </w:r>
      <w:r w:rsidRPr="005C7719">
        <w:cr/>
      </w:r>
      <w:hyperlink r:id="rId165" w:history="1">
        <w:r>
          <w:rPr>
            <w:rStyle w:val="Hyperlink"/>
          </w:rPr>
          <w:t>file:///H:/Downloads/49487_6cd114e89ce3473a97d9678a7a5bbb49.pdf</w:t>
        </w:r>
      </w:hyperlink>
    </w:p>
  </w:footnote>
  <w:footnote w:id="187">
    <w:p w14:paraId="0C4822EC" w14:textId="7C2260AE" w:rsidR="00267385" w:rsidRDefault="00267385">
      <w:pPr>
        <w:pStyle w:val="FootnoteText"/>
      </w:pPr>
      <w:r>
        <w:rPr>
          <w:rStyle w:val="FootnoteReference"/>
        </w:rPr>
        <w:footnoteRef/>
      </w:r>
      <w:r>
        <w:t xml:space="preserve"> NDA &amp; OPW. </w:t>
      </w:r>
      <w:r w:rsidRPr="001D43C2">
        <w:rPr>
          <w:i/>
        </w:rPr>
        <w:t>An Operational Review of the Effectiveness of Section 25 of the Disability Act.</w:t>
      </w:r>
      <w:r>
        <w:t xml:space="preserve"> 2019. </w:t>
      </w:r>
      <w:hyperlink r:id="rId166" w:history="1">
        <w:r>
          <w:rPr>
            <w:rStyle w:val="Hyperlink"/>
          </w:rPr>
          <w:t>http://nda.ie/Publications/Environment-Housing/Environment-Publications/Operational-Review-of-the-Effectiveness-of-Section-25-of-the-Disability-Act-20051.pdf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B317" w14:textId="77777777" w:rsidR="0055377A" w:rsidRDefault="00553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9E19" w14:textId="77777777" w:rsidR="0055377A" w:rsidRDefault="00553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B0D9" w14:textId="77777777" w:rsidR="0055377A" w:rsidRDefault="00553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1" w15:restartNumberingAfterBreak="0">
    <w:nsid w:val="FFFFFF89"/>
    <w:multiLevelType w:val="singleLevel"/>
    <w:tmpl w:val="2E48CB7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2" w15:restartNumberingAfterBreak="0">
    <w:nsid w:val="000608B1"/>
    <w:multiLevelType w:val="hybridMultilevel"/>
    <w:tmpl w:val="06D43846"/>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3" w15:restartNumberingAfterBreak="0">
    <w:nsid w:val="016074F5"/>
    <w:multiLevelType w:val="hybridMultilevel"/>
    <w:tmpl w:val="495EFFD2"/>
    <w:lvl w:ilvl="0" w:tplc="D04EF128">
      <w:start w:val="1"/>
      <w:numFmt w:val="bullet"/>
      <w:lvlText w:val="•"/>
      <w:lvlJc w:val="left"/>
      <w:pPr>
        <w:tabs>
          <w:tab w:val="num" w:pos="720"/>
        </w:tabs>
        <w:ind w:left="720" w:hanging="360"/>
      </w:pPr>
      <w:rPr>
        <w:rFonts w:ascii="Times New Roman" w:hAnsi="Times New Roman" w:hint="default"/>
      </w:rPr>
    </w:lvl>
    <w:lvl w:ilvl="1" w:tplc="1C74F4FA" w:tentative="1">
      <w:start w:val="1"/>
      <w:numFmt w:val="bullet"/>
      <w:lvlText w:val="•"/>
      <w:lvlJc w:val="left"/>
      <w:pPr>
        <w:tabs>
          <w:tab w:val="num" w:pos="1440"/>
        </w:tabs>
        <w:ind w:left="1440" w:hanging="360"/>
      </w:pPr>
      <w:rPr>
        <w:rFonts w:ascii="Times New Roman" w:hAnsi="Times New Roman" w:hint="default"/>
      </w:rPr>
    </w:lvl>
    <w:lvl w:ilvl="2" w:tplc="BFE405BC" w:tentative="1">
      <w:start w:val="1"/>
      <w:numFmt w:val="bullet"/>
      <w:lvlText w:val="•"/>
      <w:lvlJc w:val="left"/>
      <w:pPr>
        <w:tabs>
          <w:tab w:val="num" w:pos="2160"/>
        </w:tabs>
        <w:ind w:left="2160" w:hanging="360"/>
      </w:pPr>
      <w:rPr>
        <w:rFonts w:ascii="Times New Roman" w:hAnsi="Times New Roman" w:hint="default"/>
      </w:rPr>
    </w:lvl>
    <w:lvl w:ilvl="3" w:tplc="44528DEC" w:tentative="1">
      <w:start w:val="1"/>
      <w:numFmt w:val="bullet"/>
      <w:lvlText w:val="•"/>
      <w:lvlJc w:val="left"/>
      <w:pPr>
        <w:tabs>
          <w:tab w:val="num" w:pos="2880"/>
        </w:tabs>
        <w:ind w:left="2880" w:hanging="360"/>
      </w:pPr>
      <w:rPr>
        <w:rFonts w:ascii="Times New Roman" w:hAnsi="Times New Roman" w:hint="default"/>
      </w:rPr>
    </w:lvl>
    <w:lvl w:ilvl="4" w:tplc="030C5BAE" w:tentative="1">
      <w:start w:val="1"/>
      <w:numFmt w:val="bullet"/>
      <w:lvlText w:val="•"/>
      <w:lvlJc w:val="left"/>
      <w:pPr>
        <w:tabs>
          <w:tab w:val="num" w:pos="3600"/>
        </w:tabs>
        <w:ind w:left="3600" w:hanging="360"/>
      </w:pPr>
      <w:rPr>
        <w:rFonts w:ascii="Times New Roman" w:hAnsi="Times New Roman" w:hint="default"/>
      </w:rPr>
    </w:lvl>
    <w:lvl w:ilvl="5" w:tplc="7A324E52" w:tentative="1">
      <w:start w:val="1"/>
      <w:numFmt w:val="bullet"/>
      <w:lvlText w:val="•"/>
      <w:lvlJc w:val="left"/>
      <w:pPr>
        <w:tabs>
          <w:tab w:val="num" w:pos="4320"/>
        </w:tabs>
        <w:ind w:left="4320" w:hanging="360"/>
      </w:pPr>
      <w:rPr>
        <w:rFonts w:ascii="Times New Roman" w:hAnsi="Times New Roman" w:hint="default"/>
      </w:rPr>
    </w:lvl>
    <w:lvl w:ilvl="6" w:tplc="2DBE2C1C" w:tentative="1">
      <w:start w:val="1"/>
      <w:numFmt w:val="bullet"/>
      <w:lvlText w:val="•"/>
      <w:lvlJc w:val="left"/>
      <w:pPr>
        <w:tabs>
          <w:tab w:val="num" w:pos="5040"/>
        </w:tabs>
        <w:ind w:left="5040" w:hanging="360"/>
      </w:pPr>
      <w:rPr>
        <w:rFonts w:ascii="Times New Roman" w:hAnsi="Times New Roman" w:hint="default"/>
      </w:rPr>
    </w:lvl>
    <w:lvl w:ilvl="7" w:tplc="B980E72A" w:tentative="1">
      <w:start w:val="1"/>
      <w:numFmt w:val="bullet"/>
      <w:lvlText w:val="•"/>
      <w:lvlJc w:val="left"/>
      <w:pPr>
        <w:tabs>
          <w:tab w:val="num" w:pos="5760"/>
        </w:tabs>
        <w:ind w:left="5760" w:hanging="360"/>
      </w:pPr>
      <w:rPr>
        <w:rFonts w:ascii="Times New Roman" w:hAnsi="Times New Roman" w:hint="default"/>
      </w:rPr>
    </w:lvl>
    <w:lvl w:ilvl="8" w:tplc="FB0CB5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3C5193"/>
    <w:multiLevelType w:val="multilevel"/>
    <w:tmpl w:val="615A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3788D"/>
    <w:multiLevelType w:val="hybridMultilevel"/>
    <w:tmpl w:val="1974D68A"/>
    <w:lvl w:ilvl="0" w:tplc="135ABCDA">
      <w:start w:val="1"/>
      <w:numFmt w:val="bullet"/>
      <w:lvlText w:val="•"/>
      <w:lvlJc w:val="left"/>
      <w:pPr>
        <w:tabs>
          <w:tab w:val="num" w:pos="720"/>
        </w:tabs>
        <w:ind w:left="720" w:hanging="360"/>
      </w:pPr>
      <w:rPr>
        <w:rFonts w:ascii="Times New Roman" w:hAnsi="Times New Roman" w:hint="default"/>
      </w:rPr>
    </w:lvl>
    <w:lvl w:ilvl="1" w:tplc="67E092AE" w:tentative="1">
      <w:start w:val="1"/>
      <w:numFmt w:val="bullet"/>
      <w:lvlText w:val="•"/>
      <w:lvlJc w:val="left"/>
      <w:pPr>
        <w:tabs>
          <w:tab w:val="num" w:pos="1440"/>
        </w:tabs>
        <w:ind w:left="1440" w:hanging="360"/>
      </w:pPr>
      <w:rPr>
        <w:rFonts w:ascii="Times New Roman" w:hAnsi="Times New Roman" w:hint="default"/>
      </w:rPr>
    </w:lvl>
    <w:lvl w:ilvl="2" w:tplc="A4B0806A" w:tentative="1">
      <w:start w:val="1"/>
      <w:numFmt w:val="bullet"/>
      <w:lvlText w:val="•"/>
      <w:lvlJc w:val="left"/>
      <w:pPr>
        <w:tabs>
          <w:tab w:val="num" w:pos="2160"/>
        </w:tabs>
        <w:ind w:left="2160" w:hanging="360"/>
      </w:pPr>
      <w:rPr>
        <w:rFonts w:ascii="Times New Roman" w:hAnsi="Times New Roman" w:hint="default"/>
      </w:rPr>
    </w:lvl>
    <w:lvl w:ilvl="3" w:tplc="C4EAC8BC" w:tentative="1">
      <w:start w:val="1"/>
      <w:numFmt w:val="bullet"/>
      <w:lvlText w:val="•"/>
      <w:lvlJc w:val="left"/>
      <w:pPr>
        <w:tabs>
          <w:tab w:val="num" w:pos="2880"/>
        </w:tabs>
        <w:ind w:left="2880" w:hanging="360"/>
      </w:pPr>
      <w:rPr>
        <w:rFonts w:ascii="Times New Roman" w:hAnsi="Times New Roman" w:hint="default"/>
      </w:rPr>
    </w:lvl>
    <w:lvl w:ilvl="4" w:tplc="73AA9DA0" w:tentative="1">
      <w:start w:val="1"/>
      <w:numFmt w:val="bullet"/>
      <w:lvlText w:val="•"/>
      <w:lvlJc w:val="left"/>
      <w:pPr>
        <w:tabs>
          <w:tab w:val="num" w:pos="3600"/>
        </w:tabs>
        <w:ind w:left="3600" w:hanging="360"/>
      </w:pPr>
      <w:rPr>
        <w:rFonts w:ascii="Times New Roman" w:hAnsi="Times New Roman" w:hint="default"/>
      </w:rPr>
    </w:lvl>
    <w:lvl w:ilvl="5" w:tplc="8A264F3C" w:tentative="1">
      <w:start w:val="1"/>
      <w:numFmt w:val="bullet"/>
      <w:lvlText w:val="•"/>
      <w:lvlJc w:val="left"/>
      <w:pPr>
        <w:tabs>
          <w:tab w:val="num" w:pos="4320"/>
        </w:tabs>
        <w:ind w:left="4320" w:hanging="360"/>
      </w:pPr>
      <w:rPr>
        <w:rFonts w:ascii="Times New Roman" w:hAnsi="Times New Roman" w:hint="default"/>
      </w:rPr>
    </w:lvl>
    <w:lvl w:ilvl="6" w:tplc="FF58957E" w:tentative="1">
      <w:start w:val="1"/>
      <w:numFmt w:val="bullet"/>
      <w:lvlText w:val="•"/>
      <w:lvlJc w:val="left"/>
      <w:pPr>
        <w:tabs>
          <w:tab w:val="num" w:pos="5040"/>
        </w:tabs>
        <w:ind w:left="5040" w:hanging="360"/>
      </w:pPr>
      <w:rPr>
        <w:rFonts w:ascii="Times New Roman" w:hAnsi="Times New Roman" w:hint="default"/>
      </w:rPr>
    </w:lvl>
    <w:lvl w:ilvl="7" w:tplc="6DC6E526" w:tentative="1">
      <w:start w:val="1"/>
      <w:numFmt w:val="bullet"/>
      <w:lvlText w:val="•"/>
      <w:lvlJc w:val="left"/>
      <w:pPr>
        <w:tabs>
          <w:tab w:val="num" w:pos="5760"/>
        </w:tabs>
        <w:ind w:left="5760" w:hanging="360"/>
      </w:pPr>
      <w:rPr>
        <w:rFonts w:ascii="Times New Roman" w:hAnsi="Times New Roman" w:hint="default"/>
      </w:rPr>
    </w:lvl>
    <w:lvl w:ilvl="8" w:tplc="667E63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111FFD"/>
    <w:multiLevelType w:val="hybridMultilevel"/>
    <w:tmpl w:val="DAC8BD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F835B3"/>
    <w:multiLevelType w:val="hybridMultilevel"/>
    <w:tmpl w:val="B71A0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237936"/>
    <w:multiLevelType w:val="hybridMultilevel"/>
    <w:tmpl w:val="CC465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89354F"/>
    <w:multiLevelType w:val="hybridMultilevel"/>
    <w:tmpl w:val="97A895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3429E"/>
    <w:multiLevelType w:val="hybridMultilevel"/>
    <w:tmpl w:val="0F103D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620772"/>
    <w:multiLevelType w:val="hybridMultilevel"/>
    <w:tmpl w:val="B46C40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EAC6652"/>
    <w:multiLevelType w:val="hybridMultilevel"/>
    <w:tmpl w:val="50BCA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00352F"/>
    <w:multiLevelType w:val="hybridMultilevel"/>
    <w:tmpl w:val="0F660CCC"/>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14" w15:restartNumberingAfterBreak="0">
    <w:nsid w:val="333E7D2F"/>
    <w:multiLevelType w:val="hybridMultilevel"/>
    <w:tmpl w:val="AAB0A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935AAB"/>
    <w:multiLevelType w:val="hybridMultilevel"/>
    <w:tmpl w:val="24320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F733EE"/>
    <w:multiLevelType w:val="hybridMultilevel"/>
    <w:tmpl w:val="F2C64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C00CCF"/>
    <w:multiLevelType w:val="hybridMultilevel"/>
    <w:tmpl w:val="4A724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234ABB"/>
    <w:multiLevelType w:val="hybridMultilevel"/>
    <w:tmpl w:val="6A84B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0E7354"/>
    <w:multiLevelType w:val="hybridMultilevel"/>
    <w:tmpl w:val="AEDA7E4E"/>
    <w:lvl w:ilvl="0" w:tplc="380A67B2">
      <w:start w:val="19"/>
      <w:numFmt w:val="bullet"/>
      <w:lvlText w:val="-"/>
      <w:lvlJc w:val="left"/>
      <w:pPr>
        <w:ind w:left="720" w:hanging="360"/>
      </w:pPr>
      <w:rPr>
        <w:rFonts w:ascii="Arial" w:eastAsia="Calibr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27D6D07"/>
    <w:multiLevelType w:val="hybridMultilevel"/>
    <w:tmpl w:val="C832ADB6"/>
    <w:lvl w:ilvl="0" w:tplc="A864999A">
      <w:start w:val="1"/>
      <w:numFmt w:val="bullet"/>
      <w:lvlText w:val="•"/>
      <w:lvlJc w:val="left"/>
      <w:pPr>
        <w:tabs>
          <w:tab w:val="num" w:pos="720"/>
        </w:tabs>
        <w:ind w:left="720" w:hanging="360"/>
      </w:pPr>
      <w:rPr>
        <w:rFonts w:ascii="Times New Roman" w:hAnsi="Times New Roman" w:hint="default"/>
      </w:rPr>
    </w:lvl>
    <w:lvl w:ilvl="1" w:tplc="3754DEC6" w:tentative="1">
      <w:start w:val="1"/>
      <w:numFmt w:val="bullet"/>
      <w:lvlText w:val="•"/>
      <w:lvlJc w:val="left"/>
      <w:pPr>
        <w:tabs>
          <w:tab w:val="num" w:pos="1440"/>
        </w:tabs>
        <w:ind w:left="1440" w:hanging="360"/>
      </w:pPr>
      <w:rPr>
        <w:rFonts w:ascii="Times New Roman" w:hAnsi="Times New Roman" w:hint="default"/>
      </w:rPr>
    </w:lvl>
    <w:lvl w:ilvl="2" w:tplc="0BF875CE" w:tentative="1">
      <w:start w:val="1"/>
      <w:numFmt w:val="bullet"/>
      <w:lvlText w:val="•"/>
      <w:lvlJc w:val="left"/>
      <w:pPr>
        <w:tabs>
          <w:tab w:val="num" w:pos="2160"/>
        </w:tabs>
        <w:ind w:left="2160" w:hanging="360"/>
      </w:pPr>
      <w:rPr>
        <w:rFonts w:ascii="Times New Roman" w:hAnsi="Times New Roman" w:hint="default"/>
      </w:rPr>
    </w:lvl>
    <w:lvl w:ilvl="3" w:tplc="C590CF54" w:tentative="1">
      <w:start w:val="1"/>
      <w:numFmt w:val="bullet"/>
      <w:lvlText w:val="•"/>
      <w:lvlJc w:val="left"/>
      <w:pPr>
        <w:tabs>
          <w:tab w:val="num" w:pos="2880"/>
        </w:tabs>
        <w:ind w:left="2880" w:hanging="360"/>
      </w:pPr>
      <w:rPr>
        <w:rFonts w:ascii="Times New Roman" w:hAnsi="Times New Roman" w:hint="default"/>
      </w:rPr>
    </w:lvl>
    <w:lvl w:ilvl="4" w:tplc="497A587C" w:tentative="1">
      <w:start w:val="1"/>
      <w:numFmt w:val="bullet"/>
      <w:lvlText w:val="•"/>
      <w:lvlJc w:val="left"/>
      <w:pPr>
        <w:tabs>
          <w:tab w:val="num" w:pos="3600"/>
        </w:tabs>
        <w:ind w:left="3600" w:hanging="360"/>
      </w:pPr>
      <w:rPr>
        <w:rFonts w:ascii="Times New Roman" w:hAnsi="Times New Roman" w:hint="default"/>
      </w:rPr>
    </w:lvl>
    <w:lvl w:ilvl="5" w:tplc="EA9E5F50" w:tentative="1">
      <w:start w:val="1"/>
      <w:numFmt w:val="bullet"/>
      <w:lvlText w:val="•"/>
      <w:lvlJc w:val="left"/>
      <w:pPr>
        <w:tabs>
          <w:tab w:val="num" w:pos="4320"/>
        </w:tabs>
        <w:ind w:left="4320" w:hanging="360"/>
      </w:pPr>
      <w:rPr>
        <w:rFonts w:ascii="Times New Roman" w:hAnsi="Times New Roman" w:hint="default"/>
      </w:rPr>
    </w:lvl>
    <w:lvl w:ilvl="6" w:tplc="17883BAE" w:tentative="1">
      <w:start w:val="1"/>
      <w:numFmt w:val="bullet"/>
      <w:lvlText w:val="•"/>
      <w:lvlJc w:val="left"/>
      <w:pPr>
        <w:tabs>
          <w:tab w:val="num" w:pos="5040"/>
        </w:tabs>
        <w:ind w:left="5040" w:hanging="360"/>
      </w:pPr>
      <w:rPr>
        <w:rFonts w:ascii="Times New Roman" w:hAnsi="Times New Roman" w:hint="default"/>
      </w:rPr>
    </w:lvl>
    <w:lvl w:ilvl="7" w:tplc="E93069D6" w:tentative="1">
      <w:start w:val="1"/>
      <w:numFmt w:val="bullet"/>
      <w:lvlText w:val="•"/>
      <w:lvlJc w:val="left"/>
      <w:pPr>
        <w:tabs>
          <w:tab w:val="num" w:pos="5760"/>
        </w:tabs>
        <w:ind w:left="5760" w:hanging="360"/>
      </w:pPr>
      <w:rPr>
        <w:rFonts w:ascii="Times New Roman" w:hAnsi="Times New Roman" w:hint="default"/>
      </w:rPr>
    </w:lvl>
    <w:lvl w:ilvl="8" w:tplc="C7EE6D0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D8C477"/>
    <w:multiLevelType w:val="hybridMultilevel"/>
    <w:tmpl w:val="1EDCE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1433EB3"/>
    <w:multiLevelType w:val="hybridMultilevel"/>
    <w:tmpl w:val="375A0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3856F3A"/>
    <w:multiLevelType w:val="hybridMultilevel"/>
    <w:tmpl w:val="CAFCB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E81DC6"/>
    <w:multiLevelType w:val="hybridMultilevel"/>
    <w:tmpl w:val="3BEE621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687F10"/>
    <w:multiLevelType w:val="hybridMultilevel"/>
    <w:tmpl w:val="A18AD6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BAB00F5"/>
    <w:multiLevelType w:val="hybridMultilevel"/>
    <w:tmpl w:val="87D2095C"/>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27" w15:restartNumberingAfterBreak="0">
    <w:nsid w:val="60A157BD"/>
    <w:multiLevelType w:val="hybridMultilevel"/>
    <w:tmpl w:val="51E89EE0"/>
    <w:lvl w:ilvl="0" w:tplc="7A208EB4">
      <w:start w:val="1"/>
      <w:numFmt w:val="bullet"/>
      <w:lvlText w:val="•"/>
      <w:lvlJc w:val="left"/>
      <w:pPr>
        <w:tabs>
          <w:tab w:val="num" w:pos="720"/>
        </w:tabs>
        <w:ind w:left="720" w:hanging="360"/>
      </w:pPr>
      <w:rPr>
        <w:rFonts w:ascii="Arial" w:hAnsi="Arial" w:hint="default"/>
      </w:rPr>
    </w:lvl>
    <w:lvl w:ilvl="1" w:tplc="28EC2C22" w:tentative="1">
      <w:start w:val="1"/>
      <w:numFmt w:val="bullet"/>
      <w:lvlText w:val="•"/>
      <w:lvlJc w:val="left"/>
      <w:pPr>
        <w:tabs>
          <w:tab w:val="num" w:pos="1440"/>
        </w:tabs>
        <w:ind w:left="1440" w:hanging="360"/>
      </w:pPr>
      <w:rPr>
        <w:rFonts w:ascii="Arial" w:hAnsi="Arial" w:hint="default"/>
      </w:rPr>
    </w:lvl>
    <w:lvl w:ilvl="2" w:tplc="9774EC66" w:tentative="1">
      <w:start w:val="1"/>
      <w:numFmt w:val="bullet"/>
      <w:lvlText w:val="•"/>
      <w:lvlJc w:val="left"/>
      <w:pPr>
        <w:tabs>
          <w:tab w:val="num" w:pos="2160"/>
        </w:tabs>
        <w:ind w:left="2160" w:hanging="360"/>
      </w:pPr>
      <w:rPr>
        <w:rFonts w:ascii="Arial" w:hAnsi="Arial" w:hint="default"/>
      </w:rPr>
    </w:lvl>
    <w:lvl w:ilvl="3" w:tplc="BFAEE77A" w:tentative="1">
      <w:start w:val="1"/>
      <w:numFmt w:val="bullet"/>
      <w:lvlText w:val="•"/>
      <w:lvlJc w:val="left"/>
      <w:pPr>
        <w:tabs>
          <w:tab w:val="num" w:pos="2880"/>
        </w:tabs>
        <w:ind w:left="2880" w:hanging="360"/>
      </w:pPr>
      <w:rPr>
        <w:rFonts w:ascii="Arial" w:hAnsi="Arial" w:hint="default"/>
      </w:rPr>
    </w:lvl>
    <w:lvl w:ilvl="4" w:tplc="C74AE7AA" w:tentative="1">
      <w:start w:val="1"/>
      <w:numFmt w:val="bullet"/>
      <w:lvlText w:val="•"/>
      <w:lvlJc w:val="left"/>
      <w:pPr>
        <w:tabs>
          <w:tab w:val="num" w:pos="3600"/>
        </w:tabs>
        <w:ind w:left="3600" w:hanging="360"/>
      </w:pPr>
      <w:rPr>
        <w:rFonts w:ascii="Arial" w:hAnsi="Arial" w:hint="default"/>
      </w:rPr>
    </w:lvl>
    <w:lvl w:ilvl="5" w:tplc="F02EAC06" w:tentative="1">
      <w:start w:val="1"/>
      <w:numFmt w:val="bullet"/>
      <w:lvlText w:val="•"/>
      <w:lvlJc w:val="left"/>
      <w:pPr>
        <w:tabs>
          <w:tab w:val="num" w:pos="4320"/>
        </w:tabs>
        <w:ind w:left="4320" w:hanging="360"/>
      </w:pPr>
      <w:rPr>
        <w:rFonts w:ascii="Arial" w:hAnsi="Arial" w:hint="default"/>
      </w:rPr>
    </w:lvl>
    <w:lvl w:ilvl="6" w:tplc="080AA0C0" w:tentative="1">
      <w:start w:val="1"/>
      <w:numFmt w:val="bullet"/>
      <w:lvlText w:val="•"/>
      <w:lvlJc w:val="left"/>
      <w:pPr>
        <w:tabs>
          <w:tab w:val="num" w:pos="5040"/>
        </w:tabs>
        <w:ind w:left="5040" w:hanging="360"/>
      </w:pPr>
      <w:rPr>
        <w:rFonts w:ascii="Arial" w:hAnsi="Arial" w:hint="default"/>
      </w:rPr>
    </w:lvl>
    <w:lvl w:ilvl="7" w:tplc="768672BA" w:tentative="1">
      <w:start w:val="1"/>
      <w:numFmt w:val="bullet"/>
      <w:lvlText w:val="•"/>
      <w:lvlJc w:val="left"/>
      <w:pPr>
        <w:tabs>
          <w:tab w:val="num" w:pos="5760"/>
        </w:tabs>
        <w:ind w:left="5760" w:hanging="360"/>
      </w:pPr>
      <w:rPr>
        <w:rFonts w:ascii="Arial" w:hAnsi="Arial" w:hint="default"/>
      </w:rPr>
    </w:lvl>
    <w:lvl w:ilvl="8" w:tplc="BCDE18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DE60E1"/>
    <w:multiLevelType w:val="hybridMultilevel"/>
    <w:tmpl w:val="E7EAA1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8391E35"/>
    <w:multiLevelType w:val="hybridMultilevel"/>
    <w:tmpl w:val="C98458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D5364BE"/>
    <w:multiLevelType w:val="hybridMultilevel"/>
    <w:tmpl w:val="4CE2FFD0"/>
    <w:lvl w:ilvl="0" w:tplc="7DEE78F0">
      <w:start w:val="1"/>
      <w:numFmt w:val="bullet"/>
      <w:lvlText w:val="•"/>
      <w:lvlJc w:val="left"/>
      <w:pPr>
        <w:tabs>
          <w:tab w:val="num" w:pos="720"/>
        </w:tabs>
        <w:ind w:left="720" w:hanging="360"/>
      </w:pPr>
      <w:rPr>
        <w:rFonts w:ascii="Arial" w:hAnsi="Arial" w:hint="default"/>
      </w:rPr>
    </w:lvl>
    <w:lvl w:ilvl="1" w:tplc="308AA210" w:tentative="1">
      <w:start w:val="1"/>
      <w:numFmt w:val="bullet"/>
      <w:lvlText w:val="•"/>
      <w:lvlJc w:val="left"/>
      <w:pPr>
        <w:tabs>
          <w:tab w:val="num" w:pos="1440"/>
        </w:tabs>
        <w:ind w:left="1440" w:hanging="360"/>
      </w:pPr>
      <w:rPr>
        <w:rFonts w:ascii="Arial" w:hAnsi="Arial" w:hint="default"/>
      </w:rPr>
    </w:lvl>
    <w:lvl w:ilvl="2" w:tplc="D79868E0" w:tentative="1">
      <w:start w:val="1"/>
      <w:numFmt w:val="bullet"/>
      <w:lvlText w:val="•"/>
      <w:lvlJc w:val="left"/>
      <w:pPr>
        <w:tabs>
          <w:tab w:val="num" w:pos="2160"/>
        </w:tabs>
        <w:ind w:left="2160" w:hanging="360"/>
      </w:pPr>
      <w:rPr>
        <w:rFonts w:ascii="Arial" w:hAnsi="Arial" w:hint="default"/>
      </w:rPr>
    </w:lvl>
    <w:lvl w:ilvl="3" w:tplc="F3AEF980" w:tentative="1">
      <w:start w:val="1"/>
      <w:numFmt w:val="bullet"/>
      <w:lvlText w:val="•"/>
      <w:lvlJc w:val="left"/>
      <w:pPr>
        <w:tabs>
          <w:tab w:val="num" w:pos="2880"/>
        </w:tabs>
        <w:ind w:left="2880" w:hanging="360"/>
      </w:pPr>
      <w:rPr>
        <w:rFonts w:ascii="Arial" w:hAnsi="Arial" w:hint="default"/>
      </w:rPr>
    </w:lvl>
    <w:lvl w:ilvl="4" w:tplc="69E00E56" w:tentative="1">
      <w:start w:val="1"/>
      <w:numFmt w:val="bullet"/>
      <w:lvlText w:val="•"/>
      <w:lvlJc w:val="left"/>
      <w:pPr>
        <w:tabs>
          <w:tab w:val="num" w:pos="3600"/>
        </w:tabs>
        <w:ind w:left="3600" w:hanging="360"/>
      </w:pPr>
      <w:rPr>
        <w:rFonts w:ascii="Arial" w:hAnsi="Arial" w:hint="default"/>
      </w:rPr>
    </w:lvl>
    <w:lvl w:ilvl="5" w:tplc="74126142" w:tentative="1">
      <w:start w:val="1"/>
      <w:numFmt w:val="bullet"/>
      <w:lvlText w:val="•"/>
      <w:lvlJc w:val="left"/>
      <w:pPr>
        <w:tabs>
          <w:tab w:val="num" w:pos="4320"/>
        </w:tabs>
        <w:ind w:left="4320" w:hanging="360"/>
      </w:pPr>
      <w:rPr>
        <w:rFonts w:ascii="Arial" w:hAnsi="Arial" w:hint="default"/>
      </w:rPr>
    </w:lvl>
    <w:lvl w:ilvl="6" w:tplc="B73C1DB6" w:tentative="1">
      <w:start w:val="1"/>
      <w:numFmt w:val="bullet"/>
      <w:lvlText w:val="•"/>
      <w:lvlJc w:val="left"/>
      <w:pPr>
        <w:tabs>
          <w:tab w:val="num" w:pos="5040"/>
        </w:tabs>
        <w:ind w:left="5040" w:hanging="360"/>
      </w:pPr>
      <w:rPr>
        <w:rFonts w:ascii="Arial" w:hAnsi="Arial" w:hint="default"/>
      </w:rPr>
    </w:lvl>
    <w:lvl w:ilvl="7" w:tplc="27565D7C" w:tentative="1">
      <w:start w:val="1"/>
      <w:numFmt w:val="bullet"/>
      <w:lvlText w:val="•"/>
      <w:lvlJc w:val="left"/>
      <w:pPr>
        <w:tabs>
          <w:tab w:val="num" w:pos="5760"/>
        </w:tabs>
        <w:ind w:left="5760" w:hanging="360"/>
      </w:pPr>
      <w:rPr>
        <w:rFonts w:ascii="Arial" w:hAnsi="Arial" w:hint="default"/>
      </w:rPr>
    </w:lvl>
    <w:lvl w:ilvl="8" w:tplc="F416BB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B225FD"/>
    <w:multiLevelType w:val="hybridMultilevel"/>
    <w:tmpl w:val="09A8B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63074A"/>
    <w:multiLevelType w:val="hybridMultilevel"/>
    <w:tmpl w:val="9CB443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2864653"/>
    <w:multiLevelType w:val="hybridMultilevel"/>
    <w:tmpl w:val="4BB03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3522BC"/>
    <w:multiLevelType w:val="multilevel"/>
    <w:tmpl w:val="656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55787"/>
    <w:multiLevelType w:val="multilevel"/>
    <w:tmpl w:val="1964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83527"/>
    <w:multiLevelType w:val="hybridMultilevel"/>
    <w:tmpl w:val="9B603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6"/>
  </w:num>
  <w:num w:numId="4">
    <w:abstractNumId w:val="14"/>
  </w:num>
  <w:num w:numId="5">
    <w:abstractNumId w:val="18"/>
  </w:num>
  <w:num w:numId="6">
    <w:abstractNumId w:val="10"/>
  </w:num>
  <w:num w:numId="7">
    <w:abstractNumId w:val="22"/>
  </w:num>
  <w:num w:numId="8">
    <w:abstractNumId w:val="12"/>
  </w:num>
  <w:num w:numId="9">
    <w:abstractNumId w:val="6"/>
  </w:num>
  <w:num w:numId="10">
    <w:abstractNumId w:val="1"/>
  </w:num>
  <w:num w:numId="11">
    <w:abstractNumId w:val="36"/>
  </w:num>
  <w:num w:numId="12">
    <w:abstractNumId w:val="15"/>
  </w:num>
  <w:num w:numId="13">
    <w:abstractNumId w:val="21"/>
  </w:num>
  <w:num w:numId="14">
    <w:abstractNumId w:val="25"/>
  </w:num>
  <w:num w:numId="15">
    <w:abstractNumId w:val="29"/>
  </w:num>
  <w:num w:numId="16">
    <w:abstractNumId w:val="8"/>
  </w:num>
  <w:num w:numId="17">
    <w:abstractNumId w:val="20"/>
  </w:num>
  <w:num w:numId="18">
    <w:abstractNumId w:val="5"/>
  </w:num>
  <w:num w:numId="19">
    <w:abstractNumId w:val="3"/>
  </w:num>
  <w:num w:numId="20">
    <w:abstractNumId w:val="19"/>
  </w:num>
  <w:num w:numId="21">
    <w:abstractNumId w:val="4"/>
  </w:num>
  <w:num w:numId="22">
    <w:abstractNumId w:val="35"/>
  </w:num>
  <w:num w:numId="23">
    <w:abstractNumId w:val="9"/>
  </w:num>
  <w:num w:numId="24">
    <w:abstractNumId w:val="13"/>
  </w:num>
  <w:num w:numId="25">
    <w:abstractNumId w:val="2"/>
  </w:num>
  <w:num w:numId="26">
    <w:abstractNumId w:val="26"/>
  </w:num>
  <w:num w:numId="27">
    <w:abstractNumId w:val="28"/>
  </w:num>
  <w:num w:numId="28">
    <w:abstractNumId w:val="1"/>
  </w:num>
  <w:num w:numId="29">
    <w:abstractNumId w:val="8"/>
  </w:num>
  <w:num w:numId="30">
    <w:abstractNumId w:val="33"/>
  </w:num>
  <w:num w:numId="31">
    <w:abstractNumId w:val="11"/>
  </w:num>
  <w:num w:numId="32">
    <w:abstractNumId w:val="7"/>
  </w:num>
  <w:num w:numId="33">
    <w:abstractNumId w:val="23"/>
  </w:num>
  <w:num w:numId="34">
    <w:abstractNumId w:val="31"/>
  </w:num>
  <w:num w:numId="35">
    <w:abstractNumId w:val="30"/>
  </w:num>
  <w:num w:numId="36">
    <w:abstractNumId w:val="27"/>
  </w:num>
  <w:num w:numId="37">
    <w:abstractNumId w:val="24"/>
  </w:num>
  <w:num w:numId="38">
    <w:abstractNumId w:val="32"/>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03"/>
    <w:rsid w:val="00000727"/>
    <w:rsid w:val="00000DDE"/>
    <w:rsid w:val="00002C9E"/>
    <w:rsid w:val="0000591D"/>
    <w:rsid w:val="000103E5"/>
    <w:rsid w:val="0001098C"/>
    <w:rsid w:val="00011E3E"/>
    <w:rsid w:val="00012297"/>
    <w:rsid w:val="000125A5"/>
    <w:rsid w:val="00015130"/>
    <w:rsid w:val="00016461"/>
    <w:rsid w:val="00027507"/>
    <w:rsid w:val="000279A1"/>
    <w:rsid w:val="00034C21"/>
    <w:rsid w:val="00036A17"/>
    <w:rsid w:val="00041A71"/>
    <w:rsid w:val="000444DC"/>
    <w:rsid w:val="00044D32"/>
    <w:rsid w:val="00047C4E"/>
    <w:rsid w:val="00051B3C"/>
    <w:rsid w:val="000539F5"/>
    <w:rsid w:val="00053BBF"/>
    <w:rsid w:val="00054543"/>
    <w:rsid w:val="0005550D"/>
    <w:rsid w:val="00056334"/>
    <w:rsid w:val="00057361"/>
    <w:rsid w:val="00057DF9"/>
    <w:rsid w:val="00061326"/>
    <w:rsid w:val="000613C9"/>
    <w:rsid w:val="0006165F"/>
    <w:rsid w:val="00062473"/>
    <w:rsid w:val="00063DDA"/>
    <w:rsid w:val="00066084"/>
    <w:rsid w:val="00071B4A"/>
    <w:rsid w:val="00072BA9"/>
    <w:rsid w:val="00073778"/>
    <w:rsid w:val="00075095"/>
    <w:rsid w:val="00080E27"/>
    <w:rsid w:val="0008214A"/>
    <w:rsid w:val="00083E2F"/>
    <w:rsid w:val="0008553E"/>
    <w:rsid w:val="000865A8"/>
    <w:rsid w:val="00090EC2"/>
    <w:rsid w:val="00093AC2"/>
    <w:rsid w:val="0009590B"/>
    <w:rsid w:val="000A0E2E"/>
    <w:rsid w:val="000A19A1"/>
    <w:rsid w:val="000A27D5"/>
    <w:rsid w:val="000A3388"/>
    <w:rsid w:val="000A453B"/>
    <w:rsid w:val="000A52DD"/>
    <w:rsid w:val="000A5F9A"/>
    <w:rsid w:val="000A7C4F"/>
    <w:rsid w:val="000B3135"/>
    <w:rsid w:val="000B6432"/>
    <w:rsid w:val="000B6992"/>
    <w:rsid w:val="000B752F"/>
    <w:rsid w:val="000C053F"/>
    <w:rsid w:val="000C10D4"/>
    <w:rsid w:val="000C205A"/>
    <w:rsid w:val="000C3F32"/>
    <w:rsid w:val="000D441F"/>
    <w:rsid w:val="000D4BBD"/>
    <w:rsid w:val="000D5E32"/>
    <w:rsid w:val="000D6614"/>
    <w:rsid w:val="000E1EA2"/>
    <w:rsid w:val="000E79EA"/>
    <w:rsid w:val="000E7CCF"/>
    <w:rsid w:val="000E7E37"/>
    <w:rsid w:val="000F1C45"/>
    <w:rsid w:val="00101553"/>
    <w:rsid w:val="00101C18"/>
    <w:rsid w:val="001051EA"/>
    <w:rsid w:val="00106E2D"/>
    <w:rsid w:val="00110535"/>
    <w:rsid w:val="00110C34"/>
    <w:rsid w:val="00111CC9"/>
    <w:rsid w:val="00120C6E"/>
    <w:rsid w:val="00122723"/>
    <w:rsid w:val="00123C71"/>
    <w:rsid w:val="001241FC"/>
    <w:rsid w:val="0012537F"/>
    <w:rsid w:val="001269E6"/>
    <w:rsid w:val="001308E5"/>
    <w:rsid w:val="0013326B"/>
    <w:rsid w:val="00133AC8"/>
    <w:rsid w:val="00134033"/>
    <w:rsid w:val="00134810"/>
    <w:rsid w:val="001348EC"/>
    <w:rsid w:val="00137282"/>
    <w:rsid w:val="001372E1"/>
    <w:rsid w:val="00137517"/>
    <w:rsid w:val="0014024E"/>
    <w:rsid w:val="00141ADD"/>
    <w:rsid w:val="00141D39"/>
    <w:rsid w:val="001433A9"/>
    <w:rsid w:val="0015168E"/>
    <w:rsid w:val="00152608"/>
    <w:rsid w:val="00153868"/>
    <w:rsid w:val="00162E7C"/>
    <w:rsid w:val="001659F4"/>
    <w:rsid w:val="001748A8"/>
    <w:rsid w:val="00174CBE"/>
    <w:rsid w:val="00176BD9"/>
    <w:rsid w:val="001843D4"/>
    <w:rsid w:val="0018481D"/>
    <w:rsid w:val="00186814"/>
    <w:rsid w:val="00187174"/>
    <w:rsid w:val="001878E4"/>
    <w:rsid w:val="00191848"/>
    <w:rsid w:val="00191CDD"/>
    <w:rsid w:val="001924CC"/>
    <w:rsid w:val="00194BEB"/>
    <w:rsid w:val="00195E01"/>
    <w:rsid w:val="00196166"/>
    <w:rsid w:val="001A0848"/>
    <w:rsid w:val="001A278D"/>
    <w:rsid w:val="001A67DA"/>
    <w:rsid w:val="001A7596"/>
    <w:rsid w:val="001B089A"/>
    <w:rsid w:val="001B297C"/>
    <w:rsid w:val="001B2B7A"/>
    <w:rsid w:val="001B4149"/>
    <w:rsid w:val="001B4849"/>
    <w:rsid w:val="001B5A7A"/>
    <w:rsid w:val="001B653D"/>
    <w:rsid w:val="001B7D74"/>
    <w:rsid w:val="001C08F2"/>
    <w:rsid w:val="001C15AD"/>
    <w:rsid w:val="001C7733"/>
    <w:rsid w:val="001D463B"/>
    <w:rsid w:val="001D5250"/>
    <w:rsid w:val="001D53D2"/>
    <w:rsid w:val="001D5D59"/>
    <w:rsid w:val="001D64E4"/>
    <w:rsid w:val="001D65EB"/>
    <w:rsid w:val="001E0213"/>
    <w:rsid w:val="001E03FB"/>
    <w:rsid w:val="001E1E76"/>
    <w:rsid w:val="001E24E9"/>
    <w:rsid w:val="001E428D"/>
    <w:rsid w:val="001E43AA"/>
    <w:rsid w:val="001E495A"/>
    <w:rsid w:val="001F147C"/>
    <w:rsid w:val="001F2812"/>
    <w:rsid w:val="001F4967"/>
    <w:rsid w:val="001F54F5"/>
    <w:rsid w:val="00201006"/>
    <w:rsid w:val="00203078"/>
    <w:rsid w:val="00203A06"/>
    <w:rsid w:val="00203F9C"/>
    <w:rsid w:val="00205E77"/>
    <w:rsid w:val="00206777"/>
    <w:rsid w:val="00206FDD"/>
    <w:rsid w:val="00207A82"/>
    <w:rsid w:val="00211C87"/>
    <w:rsid w:val="00212369"/>
    <w:rsid w:val="002135F9"/>
    <w:rsid w:val="00215960"/>
    <w:rsid w:val="00215A8A"/>
    <w:rsid w:val="0022150F"/>
    <w:rsid w:val="0022280C"/>
    <w:rsid w:val="0022399A"/>
    <w:rsid w:val="00224464"/>
    <w:rsid w:val="00225063"/>
    <w:rsid w:val="00225429"/>
    <w:rsid w:val="0022554B"/>
    <w:rsid w:val="0023075C"/>
    <w:rsid w:val="00233C4A"/>
    <w:rsid w:val="00235688"/>
    <w:rsid w:val="00240A4E"/>
    <w:rsid w:val="0024431D"/>
    <w:rsid w:val="00246217"/>
    <w:rsid w:val="0024621A"/>
    <w:rsid w:val="00250235"/>
    <w:rsid w:val="0025038D"/>
    <w:rsid w:val="002524EC"/>
    <w:rsid w:val="00253087"/>
    <w:rsid w:val="00255BC3"/>
    <w:rsid w:val="00255DB5"/>
    <w:rsid w:val="002602C6"/>
    <w:rsid w:val="00260FAF"/>
    <w:rsid w:val="00263490"/>
    <w:rsid w:val="00264AB3"/>
    <w:rsid w:val="00267385"/>
    <w:rsid w:val="0027330A"/>
    <w:rsid w:val="002759DF"/>
    <w:rsid w:val="00276552"/>
    <w:rsid w:val="002768C6"/>
    <w:rsid w:val="00280C60"/>
    <w:rsid w:val="0028413F"/>
    <w:rsid w:val="00285228"/>
    <w:rsid w:val="002864CE"/>
    <w:rsid w:val="00286743"/>
    <w:rsid w:val="002904CB"/>
    <w:rsid w:val="0029071A"/>
    <w:rsid w:val="00290F3D"/>
    <w:rsid w:val="002942B4"/>
    <w:rsid w:val="00295DFC"/>
    <w:rsid w:val="00297CA2"/>
    <w:rsid w:val="002A0356"/>
    <w:rsid w:val="002A2864"/>
    <w:rsid w:val="002A37CC"/>
    <w:rsid w:val="002A49B9"/>
    <w:rsid w:val="002A7327"/>
    <w:rsid w:val="002B0F37"/>
    <w:rsid w:val="002B331C"/>
    <w:rsid w:val="002B4412"/>
    <w:rsid w:val="002B637E"/>
    <w:rsid w:val="002C20A3"/>
    <w:rsid w:val="002C392E"/>
    <w:rsid w:val="002C3F35"/>
    <w:rsid w:val="002C4B3F"/>
    <w:rsid w:val="002C6B1B"/>
    <w:rsid w:val="002C76C0"/>
    <w:rsid w:val="002C7AC4"/>
    <w:rsid w:val="002D120D"/>
    <w:rsid w:val="002D13F3"/>
    <w:rsid w:val="002D2FE4"/>
    <w:rsid w:val="002D58EE"/>
    <w:rsid w:val="002D5FAA"/>
    <w:rsid w:val="002E069E"/>
    <w:rsid w:val="002E0D69"/>
    <w:rsid w:val="002E2BA0"/>
    <w:rsid w:val="002E30B1"/>
    <w:rsid w:val="002E3498"/>
    <w:rsid w:val="002E666F"/>
    <w:rsid w:val="002E747C"/>
    <w:rsid w:val="002F167A"/>
    <w:rsid w:val="003006E7"/>
    <w:rsid w:val="0030302D"/>
    <w:rsid w:val="00304061"/>
    <w:rsid w:val="003056B0"/>
    <w:rsid w:val="00310DBF"/>
    <w:rsid w:val="00312C31"/>
    <w:rsid w:val="00314299"/>
    <w:rsid w:val="00317A98"/>
    <w:rsid w:val="00321429"/>
    <w:rsid w:val="00321E15"/>
    <w:rsid w:val="00321FFA"/>
    <w:rsid w:val="00325A52"/>
    <w:rsid w:val="003265D5"/>
    <w:rsid w:val="003274CC"/>
    <w:rsid w:val="0032752E"/>
    <w:rsid w:val="00331C1F"/>
    <w:rsid w:val="003336F4"/>
    <w:rsid w:val="0033408C"/>
    <w:rsid w:val="00336805"/>
    <w:rsid w:val="00337C19"/>
    <w:rsid w:val="00340C92"/>
    <w:rsid w:val="00341472"/>
    <w:rsid w:val="003428E9"/>
    <w:rsid w:val="00343F8A"/>
    <w:rsid w:val="00350A82"/>
    <w:rsid w:val="00351FEA"/>
    <w:rsid w:val="0035293E"/>
    <w:rsid w:val="00353C54"/>
    <w:rsid w:val="00356A00"/>
    <w:rsid w:val="00361FA0"/>
    <w:rsid w:val="00362360"/>
    <w:rsid w:val="00364A0E"/>
    <w:rsid w:val="003650C6"/>
    <w:rsid w:val="00366480"/>
    <w:rsid w:val="003701E4"/>
    <w:rsid w:val="003719F3"/>
    <w:rsid w:val="00371C75"/>
    <w:rsid w:val="00371E47"/>
    <w:rsid w:val="00382F98"/>
    <w:rsid w:val="0038458C"/>
    <w:rsid w:val="00387756"/>
    <w:rsid w:val="00387BE1"/>
    <w:rsid w:val="0039017E"/>
    <w:rsid w:val="0039467E"/>
    <w:rsid w:val="003965C6"/>
    <w:rsid w:val="00397170"/>
    <w:rsid w:val="003978C9"/>
    <w:rsid w:val="00397A26"/>
    <w:rsid w:val="003A1514"/>
    <w:rsid w:val="003A15C3"/>
    <w:rsid w:val="003A34C4"/>
    <w:rsid w:val="003A4F7E"/>
    <w:rsid w:val="003A5583"/>
    <w:rsid w:val="003A6E0F"/>
    <w:rsid w:val="003C0E2E"/>
    <w:rsid w:val="003C32EC"/>
    <w:rsid w:val="003C3405"/>
    <w:rsid w:val="003C7930"/>
    <w:rsid w:val="003D1788"/>
    <w:rsid w:val="003D2CF1"/>
    <w:rsid w:val="003D58DF"/>
    <w:rsid w:val="003E017E"/>
    <w:rsid w:val="003E0A01"/>
    <w:rsid w:val="003E223C"/>
    <w:rsid w:val="003E3492"/>
    <w:rsid w:val="003E3CC7"/>
    <w:rsid w:val="003E439C"/>
    <w:rsid w:val="003E6C4D"/>
    <w:rsid w:val="003F2FC0"/>
    <w:rsid w:val="003F4F03"/>
    <w:rsid w:val="003F5920"/>
    <w:rsid w:val="0040251A"/>
    <w:rsid w:val="004027FD"/>
    <w:rsid w:val="00402AFB"/>
    <w:rsid w:val="00410E7A"/>
    <w:rsid w:val="004119D1"/>
    <w:rsid w:val="0041357C"/>
    <w:rsid w:val="004143B6"/>
    <w:rsid w:val="00416717"/>
    <w:rsid w:val="004168BA"/>
    <w:rsid w:val="004176A3"/>
    <w:rsid w:val="004208B7"/>
    <w:rsid w:val="00421496"/>
    <w:rsid w:val="00423DC7"/>
    <w:rsid w:val="00425163"/>
    <w:rsid w:val="00425BD8"/>
    <w:rsid w:val="00425BEC"/>
    <w:rsid w:val="00426672"/>
    <w:rsid w:val="004357A2"/>
    <w:rsid w:val="0043717E"/>
    <w:rsid w:val="004405BF"/>
    <w:rsid w:val="004406B3"/>
    <w:rsid w:val="004414B6"/>
    <w:rsid w:val="00443AD5"/>
    <w:rsid w:val="00453EC1"/>
    <w:rsid w:val="00456E5F"/>
    <w:rsid w:val="00460233"/>
    <w:rsid w:val="004619E4"/>
    <w:rsid w:val="004624F5"/>
    <w:rsid w:val="00462DAA"/>
    <w:rsid w:val="0046332A"/>
    <w:rsid w:val="00464CCA"/>
    <w:rsid w:val="00465B66"/>
    <w:rsid w:val="0046624C"/>
    <w:rsid w:val="00467DE7"/>
    <w:rsid w:val="00471000"/>
    <w:rsid w:val="004839F6"/>
    <w:rsid w:val="004875AD"/>
    <w:rsid w:val="00491128"/>
    <w:rsid w:val="00491568"/>
    <w:rsid w:val="004925AB"/>
    <w:rsid w:val="00494F34"/>
    <w:rsid w:val="00496CDC"/>
    <w:rsid w:val="004A0651"/>
    <w:rsid w:val="004A15E9"/>
    <w:rsid w:val="004A3038"/>
    <w:rsid w:val="004B2679"/>
    <w:rsid w:val="004B3AA1"/>
    <w:rsid w:val="004B3B42"/>
    <w:rsid w:val="004B3F56"/>
    <w:rsid w:val="004B469A"/>
    <w:rsid w:val="004B60B8"/>
    <w:rsid w:val="004B6886"/>
    <w:rsid w:val="004B6D35"/>
    <w:rsid w:val="004C05A5"/>
    <w:rsid w:val="004C0A3D"/>
    <w:rsid w:val="004C197C"/>
    <w:rsid w:val="004C20A7"/>
    <w:rsid w:val="004C405F"/>
    <w:rsid w:val="004C4C11"/>
    <w:rsid w:val="004C577D"/>
    <w:rsid w:val="004C6F5C"/>
    <w:rsid w:val="004D13AD"/>
    <w:rsid w:val="004D502E"/>
    <w:rsid w:val="004D5D9A"/>
    <w:rsid w:val="004D6175"/>
    <w:rsid w:val="004E0885"/>
    <w:rsid w:val="004E0CFF"/>
    <w:rsid w:val="004E214B"/>
    <w:rsid w:val="004E2AE6"/>
    <w:rsid w:val="004E4FE8"/>
    <w:rsid w:val="004F0B6C"/>
    <w:rsid w:val="004F5183"/>
    <w:rsid w:val="004F5DAD"/>
    <w:rsid w:val="00500834"/>
    <w:rsid w:val="00502D1A"/>
    <w:rsid w:val="00503EBF"/>
    <w:rsid w:val="00504A2A"/>
    <w:rsid w:val="005066F0"/>
    <w:rsid w:val="005105D7"/>
    <w:rsid w:val="00511243"/>
    <w:rsid w:val="00514457"/>
    <w:rsid w:val="00517B67"/>
    <w:rsid w:val="005228C2"/>
    <w:rsid w:val="00524F6C"/>
    <w:rsid w:val="005269FF"/>
    <w:rsid w:val="00527729"/>
    <w:rsid w:val="005278F6"/>
    <w:rsid w:val="00530571"/>
    <w:rsid w:val="00533014"/>
    <w:rsid w:val="00534832"/>
    <w:rsid w:val="00536640"/>
    <w:rsid w:val="0053715D"/>
    <w:rsid w:val="005403B2"/>
    <w:rsid w:val="00540B3F"/>
    <w:rsid w:val="00544158"/>
    <w:rsid w:val="0054436E"/>
    <w:rsid w:val="005525F1"/>
    <w:rsid w:val="00552685"/>
    <w:rsid w:val="00552AA5"/>
    <w:rsid w:val="00552E61"/>
    <w:rsid w:val="0055377A"/>
    <w:rsid w:val="00553E15"/>
    <w:rsid w:val="0055485D"/>
    <w:rsid w:val="005567D7"/>
    <w:rsid w:val="00556F4B"/>
    <w:rsid w:val="00561086"/>
    <w:rsid w:val="00562FA6"/>
    <w:rsid w:val="005654A2"/>
    <w:rsid w:val="00566917"/>
    <w:rsid w:val="00570731"/>
    <w:rsid w:val="00570D56"/>
    <w:rsid w:val="00571151"/>
    <w:rsid w:val="0057305A"/>
    <w:rsid w:val="00573849"/>
    <w:rsid w:val="00576A05"/>
    <w:rsid w:val="00577D6B"/>
    <w:rsid w:val="005831B3"/>
    <w:rsid w:val="00583A62"/>
    <w:rsid w:val="005866AC"/>
    <w:rsid w:val="005878CD"/>
    <w:rsid w:val="00587F09"/>
    <w:rsid w:val="005907DE"/>
    <w:rsid w:val="005918B1"/>
    <w:rsid w:val="00591B8C"/>
    <w:rsid w:val="00591F27"/>
    <w:rsid w:val="00592F67"/>
    <w:rsid w:val="00595F1A"/>
    <w:rsid w:val="0059697E"/>
    <w:rsid w:val="005973AE"/>
    <w:rsid w:val="00597475"/>
    <w:rsid w:val="00597B40"/>
    <w:rsid w:val="005A0A7F"/>
    <w:rsid w:val="005A2C72"/>
    <w:rsid w:val="005A64DD"/>
    <w:rsid w:val="005A6D3D"/>
    <w:rsid w:val="005B1BDC"/>
    <w:rsid w:val="005B2DDF"/>
    <w:rsid w:val="005B4AEB"/>
    <w:rsid w:val="005B53A3"/>
    <w:rsid w:val="005C3C46"/>
    <w:rsid w:val="005C4593"/>
    <w:rsid w:val="005C48F0"/>
    <w:rsid w:val="005C4F5C"/>
    <w:rsid w:val="005C6205"/>
    <w:rsid w:val="005C749E"/>
    <w:rsid w:val="005C7719"/>
    <w:rsid w:val="005C772A"/>
    <w:rsid w:val="005D10E5"/>
    <w:rsid w:val="005D1B0B"/>
    <w:rsid w:val="005D464E"/>
    <w:rsid w:val="005D6DC9"/>
    <w:rsid w:val="005E195B"/>
    <w:rsid w:val="005E2CCB"/>
    <w:rsid w:val="005E4CE3"/>
    <w:rsid w:val="005F15C5"/>
    <w:rsid w:val="005F2C89"/>
    <w:rsid w:val="005F3492"/>
    <w:rsid w:val="005F4A12"/>
    <w:rsid w:val="005F4FA8"/>
    <w:rsid w:val="005F67CA"/>
    <w:rsid w:val="005F6E6F"/>
    <w:rsid w:val="00601202"/>
    <w:rsid w:val="00607345"/>
    <w:rsid w:val="0061113D"/>
    <w:rsid w:val="00615605"/>
    <w:rsid w:val="0061567E"/>
    <w:rsid w:val="00615B1E"/>
    <w:rsid w:val="0061620C"/>
    <w:rsid w:val="00617BCB"/>
    <w:rsid w:val="00620749"/>
    <w:rsid w:val="00623585"/>
    <w:rsid w:val="0062383C"/>
    <w:rsid w:val="006243C1"/>
    <w:rsid w:val="00624912"/>
    <w:rsid w:val="006253C6"/>
    <w:rsid w:val="00625CA1"/>
    <w:rsid w:val="00626DBC"/>
    <w:rsid w:val="00627460"/>
    <w:rsid w:val="00632257"/>
    <w:rsid w:val="00633C0C"/>
    <w:rsid w:val="00634D44"/>
    <w:rsid w:val="00645D7F"/>
    <w:rsid w:val="00645EC6"/>
    <w:rsid w:val="006471EC"/>
    <w:rsid w:val="00647F50"/>
    <w:rsid w:val="0065239E"/>
    <w:rsid w:val="00654792"/>
    <w:rsid w:val="00655933"/>
    <w:rsid w:val="0065670E"/>
    <w:rsid w:val="00657000"/>
    <w:rsid w:val="006576C0"/>
    <w:rsid w:val="00657830"/>
    <w:rsid w:val="006602AC"/>
    <w:rsid w:val="0066219E"/>
    <w:rsid w:val="0066297D"/>
    <w:rsid w:val="00663712"/>
    <w:rsid w:val="006640CA"/>
    <w:rsid w:val="00664776"/>
    <w:rsid w:val="00665383"/>
    <w:rsid w:val="00665984"/>
    <w:rsid w:val="00666822"/>
    <w:rsid w:val="00667193"/>
    <w:rsid w:val="00667CD6"/>
    <w:rsid w:val="006760FA"/>
    <w:rsid w:val="00681028"/>
    <w:rsid w:val="00687C79"/>
    <w:rsid w:val="00687E1A"/>
    <w:rsid w:val="006904F9"/>
    <w:rsid w:val="006906FC"/>
    <w:rsid w:val="00690712"/>
    <w:rsid w:val="00693033"/>
    <w:rsid w:val="00694DF4"/>
    <w:rsid w:val="006974EE"/>
    <w:rsid w:val="006A0947"/>
    <w:rsid w:val="006A2A9F"/>
    <w:rsid w:val="006A3469"/>
    <w:rsid w:val="006A7FB1"/>
    <w:rsid w:val="006B122D"/>
    <w:rsid w:val="006B2757"/>
    <w:rsid w:val="006B327D"/>
    <w:rsid w:val="006B4B1C"/>
    <w:rsid w:val="006B5F2F"/>
    <w:rsid w:val="006B6045"/>
    <w:rsid w:val="006C06FC"/>
    <w:rsid w:val="006C4D04"/>
    <w:rsid w:val="006C7BF6"/>
    <w:rsid w:val="006D092B"/>
    <w:rsid w:val="006D2479"/>
    <w:rsid w:val="006D3575"/>
    <w:rsid w:val="006D4AFB"/>
    <w:rsid w:val="006E3174"/>
    <w:rsid w:val="006E39EC"/>
    <w:rsid w:val="006E6098"/>
    <w:rsid w:val="006E7FAB"/>
    <w:rsid w:val="006F077C"/>
    <w:rsid w:val="006F658D"/>
    <w:rsid w:val="006F6DC6"/>
    <w:rsid w:val="007003B9"/>
    <w:rsid w:val="00700959"/>
    <w:rsid w:val="00700CF4"/>
    <w:rsid w:val="007023B5"/>
    <w:rsid w:val="00702BC4"/>
    <w:rsid w:val="00702F4B"/>
    <w:rsid w:val="00707BC7"/>
    <w:rsid w:val="0071207F"/>
    <w:rsid w:val="00713D7F"/>
    <w:rsid w:val="0071674F"/>
    <w:rsid w:val="00716A1A"/>
    <w:rsid w:val="00723626"/>
    <w:rsid w:val="00724A3D"/>
    <w:rsid w:val="0072628E"/>
    <w:rsid w:val="00731750"/>
    <w:rsid w:val="007340BA"/>
    <w:rsid w:val="00735F2B"/>
    <w:rsid w:val="007374D0"/>
    <w:rsid w:val="007448F7"/>
    <w:rsid w:val="0074627A"/>
    <w:rsid w:val="007475E3"/>
    <w:rsid w:val="007521F9"/>
    <w:rsid w:val="00752303"/>
    <w:rsid w:val="007525EF"/>
    <w:rsid w:val="007528ED"/>
    <w:rsid w:val="0075723E"/>
    <w:rsid w:val="00757842"/>
    <w:rsid w:val="00757C0A"/>
    <w:rsid w:val="00763CAA"/>
    <w:rsid w:val="00766709"/>
    <w:rsid w:val="00771236"/>
    <w:rsid w:val="00783EF0"/>
    <w:rsid w:val="007849B5"/>
    <w:rsid w:val="0079265A"/>
    <w:rsid w:val="00793730"/>
    <w:rsid w:val="00794009"/>
    <w:rsid w:val="00794912"/>
    <w:rsid w:val="007951A0"/>
    <w:rsid w:val="007959DA"/>
    <w:rsid w:val="00796D67"/>
    <w:rsid w:val="007A0B83"/>
    <w:rsid w:val="007A1DE4"/>
    <w:rsid w:val="007D153A"/>
    <w:rsid w:val="007D1A41"/>
    <w:rsid w:val="007D371A"/>
    <w:rsid w:val="007D4350"/>
    <w:rsid w:val="007E0A4E"/>
    <w:rsid w:val="007E3E0B"/>
    <w:rsid w:val="007E6BE6"/>
    <w:rsid w:val="007F2683"/>
    <w:rsid w:val="007F78BB"/>
    <w:rsid w:val="007F7DD7"/>
    <w:rsid w:val="00800DE9"/>
    <w:rsid w:val="00802A07"/>
    <w:rsid w:val="00802D6F"/>
    <w:rsid w:val="008109AD"/>
    <w:rsid w:val="00811B35"/>
    <w:rsid w:val="00811B61"/>
    <w:rsid w:val="00813B9E"/>
    <w:rsid w:val="008141F1"/>
    <w:rsid w:val="0081521E"/>
    <w:rsid w:val="00817300"/>
    <w:rsid w:val="00820DCE"/>
    <w:rsid w:val="00820EEE"/>
    <w:rsid w:val="00822AEA"/>
    <w:rsid w:val="00824C19"/>
    <w:rsid w:val="0082513B"/>
    <w:rsid w:val="00825863"/>
    <w:rsid w:val="00827580"/>
    <w:rsid w:val="00833D0A"/>
    <w:rsid w:val="00833FED"/>
    <w:rsid w:val="00840357"/>
    <w:rsid w:val="00841A22"/>
    <w:rsid w:val="00843C2C"/>
    <w:rsid w:val="008457B6"/>
    <w:rsid w:val="00846234"/>
    <w:rsid w:val="00851F8B"/>
    <w:rsid w:val="00853017"/>
    <w:rsid w:val="00853914"/>
    <w:rsid w:val="00861EE0"/>
    <w:rsid w:val="0086222B"/>
    <w:rsid w:val="0086377F"/>
    <w:rsid w:val="00863939"/>
    <w:rsid w:val="00863C11"/>
    <w:rsid w:val="008653C6"/>
    <w:rsid w:val="00872F44"/>
    <w:rsid w:val="008755D5"/>
    <w:rsid w:val="00882654"/>
    <w:rsid w:val="00882DD4"/>
    <w:rsid w:val="008854C2"/>
    <w:rsid w:val="00886139"/>
    <w:rsid w:val="00887B23"/>
    <w:rsid w:val="00895423"/>
    <w:rsid w:val="00895E2D"/>
    <w:rsid w:val="008962CA"/>
    <w:rsid w:val="00897FDE"/>
    <w:rsid w:val="008A064B"/>
    <w:rsid w:val="008A0D9D"/>
    <w:rsid w:val="008A1698"/>
    <w:rsid w:val="008A4BFD"/>
    <w:rsid w:val="008A53DE"/>
    <w:rsid w:val="008A66C8"/>
    <w:rsid w:val="008A6E0A"/>
    <w:rsid w:val="008A7B05"/>
    <w:rsid w:val="008B3278"/>
    <w:rsid w:val="008B359C"/>
    <w:rsid w:val="008B3A00"/>
    <w:rsid w:val="008B4AC7"/>
    <w:rsid w:val="008B56E5"/>
    <w:rsid w:val="008B618D"/>
    <w:rsid w:val="008C1C0F"/>
    <w:rsid w:val="008C6789"/>
    <w:rsid w:val="008C7190"/>
    <w:rsid w:val="008D0669"/>
    <w:rsid w:val="008D285C"/>
    <w:rsid w:val="008D2F5E"/>
    <w:rsid w:val="008D386E"/>
    <w:rsid w:val="008D5B56"/>
    <w:rsid w:val="008D6349"/>
    <w:rsid w:val="008D6B8E"/>
    <w:rsid w:val="008E363A"/>
    <w:rsid w:val="008E482B"/>
    <w:rsid w:val="008E5F32"/>
    <w:rsid w:val="008E6D8F"/>
    <w:rsid w:val="008E7516"/>
    <w:rsid w:val="008F4DF6"/>
    <w:rsid w:val="008F4EF2"/>
    <w:rsid w:val="008F67B0"/>
    <w:rsid w:val="00902630"/>
    <w:rsid w:val="009026AA"/>
    <w:rsid w:val="0090500D"/>
    <w:rsid w:val="0090589F"/>
    <w:rsid w:val="00906D12"/>
    <w:rsid w:val="00907924"/>
    <w:rsid w:val="00907F0A"/>
    <w:rsid w:val="0091788A"/>
    <w:rsid w:val="00917A3D"/>
    <w:rsid w:val="009212EC"/>
    <w:rsid w:val="009230E3"/>
    <w:rsid w:val="00923ED9"/>
    <w:rsid w:val="0092492A"/>
    <w:rsid w:val="0092495F"/>
    <w:rsid w:val="00924EB1"/>
    <w:rsid w:val="0092563B"/>
    <w:rsid w:val="00926B30"/>
    <w:rsid w:val="009342B8"/>
    <w:rsid w:val="00934A80"/>
    <w:rsid w:val="00935AA9"/>
    <w:rsid w:val="00936412"/>
    <w:rsid w:val="0093798C"/>
    <w:rsid w:val="0094367E"/>
    <w:rsid w:val="0094481B"/>
    <w:rsid w:val="00945278"/>
    <w:rsid w:val="00945C26"/>
    <w:rsid w:val="009460BD"/>
    <w:rsid w:val="00946E88"/>
    <w:rsid w:val="009528E4"/>
    <w:rsid w:val="00952BE8"/>
    <w:rsid w:val="009551A1"/>
    <w:rsid w:val="00955F4E"/>
    <w:rsid w:val="00956EBF"/>
    <w:rsid w:val="009607AB"/>
    <w:rsid w:val="009617B5"/>
    <w:rsid w:val="00961F2B"/>
    <w:rsid w:val="00963985"/>
    <w:rsid w:val="009639C5"/>
    <w:rsid w:val="00963FD8"/>
    <w:rsid w:val="00964EFC"/>
    <w:rsid w:val="00970E26"/>
    <w:rsid w:val="009720C7"/>
    <w:rsid w:val="00981813"/>
    <w:rsid w:val="00981C78"/>
    <w:rsid w:val="00985887"/>
    <w:rsid w:val="009903C9"/>
    <w:rsid w:val="009919C6"/>
    <w:rsid w:val="0099376B"/>
    <w:rsid w:val="009A3533"/>
    <w:rsid w:val="009A3D81"/>
    <w:rsid w:val="009A4B26"/>
    <w:rsid w:val="009A4B90"/>
    <w:rsid w:val="009A6C66"/>
    <w:rsid w:val="009A78AE"/>
    <w:rsid w:val="009B095B"/>
    <w:rsid w:val="009B0DEF"/>
    <w:rsid w:val="009C0FFC"/>
    <w:rsid w:val="009C1E63"/>
    <w:rsid w:val="009C26FD"/>
    <w:rsid w:val="009C3B8B"/>
    <w:rsid w:val="009C4264"/>
    <w:rsid w:val="009D12AF"/>
    <w:rsid w:val="009D1C0F"/>
    <w:rsid w:val="009D2028"/>
    <w:rsid w:val="009D2346"/>
    <w:rsid w:val="009D59CB"/>
    <w:rsid w:val="009E3648"/>
    <w:rsid w:val="009E4222"/>
    <w:rsid w:val="009E4ABD"/>
    <w:rsid w:val="009E55C9"/>
    <w:rsid w:val="009F0027"/>
    <w:rsid w:val="009F07FD"/>
    <w:rsid w:val="009F1255"/>
    <w:rsid w:val="009F15F7"/>
    <w:rsid w:val="009F1A80"/>
    <w:rsid w:val="009F2A46"/>
    <w:rsid w:val="009F40D4"/>
    <w:rsid w:val="009F5E7F"/>
    <w:rsid w:val="009F5E9C"/>
    <w:rsid w:val="009F61F8"/>
    <w:rsid w:val="009F6E3C"/>
    <w:rsid w:val="00A028A6"/>
    <w:rsid w:val="00A031E9"/>
    <w:rsid w:val="00A036DC"/>
    <w:rsid w:val="00A04B91"/>
    <w:rsid w:val="00A06979"/>
    <w:rsid w:val="00A16389"/>
    <w:rsid w:val="00A2245F"/>
    <w:rsid w:val="00A264BC"/>
    <w:rsid w:val="00A27E66"/>
    <w:rsid w:val="00A30011"/>
    <w:rsid w:val="00A307AD"/>
    <w:rsid w:val="00A30A8C"/>
    <w:rsid w:val="00A31ADD"/>
    <w:rsid w:val="00A3224F"/>
    <w:rsid w:val="00A35822"/>
    <w:rsid w:val="00A44E4A"/>
    <w:rsid w:val="00A525D7"/>
    <w:rsid w:val="00A53628"/>
    <w:rsid w:val="00A54C97"/>
    <w:rsid w:val="00A5743F"/>
    <w:rsid w:val="00A657FC"/>
    <w:rsid w:val="00A6671B"/>
    <w:rsid w:val="00A727FD"/>
    <w:rsid w:val="00A737D5"/>
    <w:rsid w:val="00A73D61"/>
    <w:rsid w:val="00A770F7"/>
    <w:rsid w:val="00A77DCC"/>
    <w:rsid w:val="00A77FB8"/>
    <w:rsid w:val="00A80FBA"/>
    <w:rsid w:val="00A81193"/>
    <w:rsid w:val="00A81369"/>
    <w:rsid w:val="00A8550A"/>
    <w:rsid w:val="00A90185"/>
    <w:rsid w:val="00A92481"/>
    <w:rsid w:val="00A925C3"/>
    <w:rsid w:val="00A9382C"/>
    <w:rsid w:val="00A95355"/>
    <w:rsid w:val="00A96EE4"/>
    <w:rsid w:val="00AA082C"/>
    <w:rsid w:val="00AA4282"/>
    <w:rsid w:val="00AA4DB2"/>
    <w:rsid w:val="00AA621E"/>
    <w:rsid w:val="00AA65C4"/>
    <w:rsid w:val="00AB029D"/>
    <w:rsid w:val="00AB0FA2"/>
    <w:rsid w:val="00AB1344"/>
    <w:rsid w:val="00AB2246"/>
    <w:rsid w:val="00AB2FA0"/>
    <w:rsid w:val="00AB35FF"/>
    <w:rsid w:val="00AB4B5E"/>
    <w:rsid w:val="00AB7337"/>
    <w:rsid w:val="00AB7443"/>
    <w:rsid w:val="00AC1C81"/>
    <w:rsid w:val="00AC3311"/>
    <w:rsid w:val="00AC35DD"/>
    <w:rsid w:val="00AC36DC"/>
    <w:rsid w:val="00AC491A"/>
    <w:rsid w:val="00AC57E1"/>
    <w:rsid w:val="00AD281D"/>
    <w:rsid w:val="00AD29EE"/>
    <w:rsid w:val="00AD3EE4"/>
    <w:rsid w:val="00AD4D6C"/>
    <w:rsid w:val="00AE10DB"/>
    <w:rsid w:val="00AE20A8"/>
    <w:rsid w:val="00AE26A4"/>
    <w:rsid w:val="00AE5BBD"/>
    <w:rsid w:val="00AE7666"/>
    <w:rsid w:val="00AF5E98"/>
    <w:rsid w:val="00B0146C"/>
    <w:rsid w:val="00B018D7"/>
    <w:rsid w:val="00B02C90"/>
    <w:rsid w:val="00B0620E"/>
    <w:rsid w:val="00B07097"/>
    <w:rsid w:val="00B10D9E"/>
    <w:rsid w:val="00B12DD5"/>
    <w:rsid w:val="00B177B5"/>
    <w:rsid w:val="00B17B7D"/>
    <w:rsid w:val="00B20D16"/>
    <w:rsid w:val="00B23A4A"/>
    <w:rsid w:val="00B25278"/>
    <w:rsid w:val="00B25371"/>
    <w:rsid w:val="00B273FA"/>
    <w:rsid w:val="00B321F9"/>
    <w:rsid w:val="00B330E0"/>
    <w:rsid w:val="00B355E9"/>
    <w:rsid w:val="00B35A03"/>
    <w:rsid w:val="00B37362"/>
    <w:rsid w:val="00B406A6"/>
    <w:rsid w:val="00B407D8"/>
    <w:rsid w:val="00B40B38"/>
    <w:rsid w:val="00B41777"/>
    <w:rsid w:val="00B41BA4"/>
    <w:rsid w:val="00B41FF4"/>
    <w:rsid w:val="00B42309"/>
    <w:rsid w:val="00B45EB7"/>
    <w:rsid w:val="00B47C93"/>
    <w:rsid w:val="00B50A65"/>
    <w:rsid w:val="00B531FB"/>
    <w:rsid w:val="00B56AEC"/>
    <w:rsid w:val="00B56D58"/>
    <w:rsid w:val="00B57882"/>
    <w:rsid w:val="00B62F66"/>
    <w:rsid w:val="00B70B73"/>
    <w:rsid w:val="00B74F7F"/>
    <w:rsid w:val="00B80CFF"/>
    <w:rsid w:val="00B8185E"/>
    <w:rsid w:val="00B878F7"/>
    <w:rsid w:val="00B95056"/>
    <w:rsid w:val="00B951E6"/>
    <w:rsid w:val="00B968DB"/>
    <w:rsid w:val="00BA00E8"/>
    <w:rsid w:val="00BA03A5"/>
    <w:rsid w:val="00BA73E2"/>
    <w:rsid w:val="00BB0068"/>
    <w:rsid w:val="00BB047F"/>
    <w:rsid w:val="00BB11E4"/>
    <w:rsid w:val="00BB1F2A"/>
    <w:rsid w:val="00BB341D"/>
    <w:rsid w:val="00BB4A8A"/>
    <w:rsid w:val="00BB64FC"/>
    <w:rsid w:val="00BB70E4"/>
    <w:rsid w:val="00BC253A"/>
    <w:rsid w:val="00BC4775"/>
    <w:rsid w:val="00BD025B"/>
    <w:rsid w:val="00BD03DE"/>
    <w:rsid w:val="00BD1538"/>
    <w:rsid w:val="00BD2569"/>
    <w:rsid w:val="00BD2EB3"/>
    <w:rsid w:val="00BD7D1A"/>
    <w:rsid w:val="00BE13D4"/>
    <w:rsid w:val="00BE74B3"/>
    <w:rsid w:val="00BE7B33"/>
    <w:rsid w:val="00BF2135"/>
    <w:rsid w:val="00BF2E25"/>
    <w:rsid w:val="00BF3DD1"/>
    <w:rsid w:val="00BF5AE0"/>
    <w:rsid w:val="00BF6CE6"/>
    <w:rsid w:val="00C010BF"/>
    <w:rsid w:val="00C050D5"/>
    <w:rsid w:val="00C072C5"/>
    <w:rsid w:val="00C14C4B"/>
    <w:rsid w:val="00C159B5"/>
    <w:rsid w:val="00C166BF"/>
    <w:rsid w:val="00C167E7"/>
    <w:rsid w:val="00C23519"/>
    <w:rsid w:val="00C2351C"/>
    <w:rsid w:val="00C2673A"/>
    <w:rsid w:val="00C26979"/>
    <w:rsid w:val="00C32EAB"/>
    <w:rsid w:val="00C351B4"/>
    <w:rsid w:val="00C354DA"/>
    <w:rsid w:val="00C361B0"/>
    <w:rsid w:val="00C44173"/>
    <w:rsid w:val="00C4442B"/>
    <w:rsid w:val="00C4563F"/>
    <w:rsid w:val="00C459B9"/>
    <w:rsid w:val="00C54E39"/>
    <w:rsid w:val="00C558C0"/>
    <w:rsid w:val="00C56AC7"/>
    <w:rsid w:val="00C57B51"/>
    <w:rsid w:val="00C63567"/>
    <w:rsid w:val="00C67458"/>
    <w:rsid w:val="00C736B5"/>
    <w:rsid w:val="00C75709"/>
    <w:rsid w:val="00C83976"/>
    <w:rsid w:val="00C8404D"/>
    <w:rsid w:val="00C84D5A"/>
    <w:rsid w:val="00C87789"/>
    <w:rsid w:val="00C92619"/>
    <w:rsid w:val="00C94AFC"/>
    <w:rsid w:val="00C971CF"/>
    <w:rsid w:val="00CA006B"/>
    <w:rsid w:val="00CA2122"/>
    <w:rsid w:val="00CB3E20"/>
    <w:rsid w:val="00CC22AB"/>
    <w:rsid w:val="00CC2BDE"/>
    <w:rsid w:val="00CC429C"/>
    <w:rsid w:val="00CC4544"/>
    <w:rsid w:val="00CC7A28"/>
    <w:rsid w:val="00CD68CB"/>
    <w:rsid w:val="00CE0562"/>
    <w:rsid w:val="00CE5052"/>
    <w:rsid w:val="00CE6DE7"/>
    <w:rsid w:val="00CE7DC2"/>
    <w:rsid w:val="00CF1F22"/>
    <w:rsid w:val="00CF38B6"/>
    <w:rsid w:val="00CF39AC"/>
    <w:rsid w:val="00CF3D95"/>
    <w:rsid w:val="00CF5BEB"/>
    <w:rsid w:val="00CF5CFB"/>
    <w:rsid w:val="00CF5D5C"/>
    <w:rsid w:val="00CF7ECF"/>
    <w:rsid w:val="00D01D57"/>
    <w:rsid w:val="00D03927"/>
    <w:rsid w:val="00D047DF"/>
    <w:rsid w:val="00D07373"/>
    <w:rsid w:val="00D07BE4"/>
    <w:rsid w:val="00D11E4F"/>
    <w:rsid w:val="00D148FC"/>
    <w:rsid w:val="00D149FF"/>
    <w:rsid w:val="00D1543B"/>
    <w:rsid w:val="00D201A2"/>
    <w:rsid w:val="00D207EF"/>
    <w:rsid w:val="00D20C81"/>
    <w:rsid w:val="00D243FA"/>
    <w:rsid w:val="00D253A2"/>
    <w:rsid w:val="00D25551"/>
    <w:rsid w:val="00D311B2"/>
    <w:rsid w:val="00D32D9E"/>
    <w:rsid w:val="00D33125"/>
    <w:rsid w:val="00D34A3F"/>
    <w:rsid w:val="00D3623F"/>
    <w:rsid w:val="00D363ED"/>
    <w:rsid w:val="00D41B07"/>
    <w:rsid w:val="00D431B3"/>
    <w:rsid w:val="00D43E85"/>
    <w:rsid w:val="00D443E5"/>
    <w:rsid w:val="00D457F7"/>
    <w:rsid w:val="00D4722A"/>
    <w:rsid w:val="00D47730"/>
    <w:rsid w:val="00D47838"/>
    <w:rsid w:val="00D53DFC"/>
    <w:rsid w:val="00D54289"/>
    <w:rsid w:val="00D54503"/>
    <w:rsid w:val="00D569A4"/>
    <w:rsid w:val="00D571CE"/>
    <w:rsid w:val="00D655C3"/>
    <w:rsid w:val="00D66505"/>
    <w:rsid w:val="00D66E2C"/>
    <w:rsid w:val="00D702A1"/>
    <w:rsid w:val="00D7240E"/>
    <w:rsid w:val="00D87C06"/>
    <w:rsid w:val="00D900EA"/>
    <w:rsid w:val="00D9183D"/>
    <w:rsid w:val="00D93219"/>
    <w:rsid w:val="00DA15E4"/>
    <w:rsid w:val="00DA1EBC"/>
    <w:rsid w:val="00DA20FF"/>
    <w:rsid w:val="00DA3A96"/>
    <w:rsid w:val="00DB325D"/>
    <w:rsid w:val="00DB5AAD"/>
    <w:rsid w:val="00DB7749"/>
    <w:rsid w:val="00DC2F07"/>
    <w:rsid w:val="00DC442A"/>
    <w:rsid w:val="00DC4CF4"/>
    <w:rsid w:val="00DC5FA2"/>
    <w:rsid w:val="00DD0383"/>
    <w:rsid w:val="00DD0935"/>
    <w:rsid w:val="00DD0A30"/>
    <w:rsid w:val="00DD4D18"/>
    <w:rsid w:val="00DE17C3"/>
    <w:rsid w:val="00DE1F9A"/>
    <w:rsid w:val="00DE40C8"/>
    <w:rsid w:val="00DE5396"/>
    <w:rsid w:val="00DE78B0"/>
    <w:rsid w:val="00DE7A69"/>
    <w:rsid w:val="00DE7CCE"/>
    <w:rsid w:val="00DF0014"/>
    <w:rsid w:val="00DF430B"/>
    <w:rsid w:val="00DF6130"/>
    <w:rsid w:val="00DF7CA2"/>
    <w:rsid w:val="00E0046D"/>
    <w:rsid w:val="00E05BF7"/>
    <w:rsid w:val="00E1176E"/>
    <w:rsid w:val="00E1237E"/>
    <w:rsid w:val="00E125E6"/>
    <w:rsid w:val="00E15156"/>
    <w:rsid w:val="00E16354"/>
    <w:rsid w:val="00E168B5"/>
    <w:rsid w:val="00E21FBE"/>
    <w:rsid w:val="00E22D35"/>
    <w:rsid w:val="00E22F03"/>
    <w:rsid w:val="00E2325C"/>
    <w:rsid w:val="00E24D7C"/>
    <w:rsid w:val="00E25053"/>
    <w:rsid w:val="00E2555B"/>
    <w:rsid w:val="00E26D81"/>
    <w:rsid w:val="00E30F28"/>
    <w:rsid w:val="00E30F3F"/>
    <w:rsid w:val="00E32D10"/>
    <w:rsid w:val="00E35078"/>
    <w:rsid w:val="00E366FB"/>
    <w:rsid w:val="00E36869"/>
    <w:rsid w:val="00E40502"/>
    <w:rsid w:val="00E4299D"/>
    <w:rsid w:val="00E45D60"/>
    <w:rsid w:val="00E45EEB"/>
    <w:rsid w:val="00E464D6"/>
    <w:rsid w:val="00E469C0"/>
    <w:rsid w:val="00E470BF"/>
    <w:rsid w:val="00E52B32"/>
    <w:rsid w:val="00E52D7B"/>
    <w:rsid w:val="00E53A2A"/>
    <w:rsid w:val="00E5490F"/>
    <w:rsid w:val="00E57543"/>
    <w:rsid w:val="00E6073E"/>
    <w:rsid w:val="00E61358"/>
    <w:rsid w:val="00E61A61"/>
    <w:rsid w:val="00E64B8D"/>
    <w:rsid w:val="00E708F2"/>
    <w:rsid w:val="00E7123D"/>
    <w:rsid w:val="00E7174F"/>
    <w:rsid w:val="00E7255A"/>
    <w:rsid w:val="00E73523"/>
    <w:rsid w:val="00E74E34"/>
    <w:rsid w:val="00E80616"/>
    <w:rsid w:val="00E8126B"/>
    <w:rsid w:val="00E82490"/>
    <w:rsid w:val="00E8767E"/>
    <w:rsid w:val="00E90167"/>
    <w:rsid w:val="00E94F1B"/>
    <w:rsid w:val="00E95BF9"/>
    <w:rsid w:val="00EA0FBF"/>
    <w:rsid w:val="00EA1541"/>
    <w:rsid w:val="00EA2D35"/>
    <w:rsid w:val="00EA49A8"/>
    <w:rsid w:val="00EA5294"/>
    <w:rsid w:val="00EA6C95"/>
    <w:rsid w:val="00EA724F"/>
    <w:rsid w:val="00EA7567"/>
    <w:rsid w:val="00EA7A6F"/>
    <w:rsid w:val="00EB32DC"/>
    <w:rsid w:val="00EB3E83"/>
    <w:rsid w:val="00EB55D1"/>
    <w:rsid w:val="00EB5D41"/>
    <w:rsid w:val="00EB783A"/>
    <w:rsid w:val="00EC262F"/>
    <w:rsid w:val="00EC2A87"/>
    <w:rsid w:val="00EC5587"/>
    <w:rsid w:val="00EC77FE"/>
    <w:rsid w:val="00ED08E1"/>
    <w:rsid w:val="00ED28A9"/>
    <w:rsid w:val="00ED407C"/>
    <w:rsid w:val="00ED4AA4"/>
    <w:rsid w:val="00ED5D4C"/>
    <w:rsid w:val="00EE1E4D"/>
    <w:rsid w:val="00EE29BA"/>
    <w:rsid w:val="00EE3446"/>
    <w:rsid w:val="00EE5117"/>
    <w:rsid w:val="00EF040B"/>
    <w:rsid w:val="00EF2E3E"/>
    <w:rsid w:val="00EF51CC"/>
    <w:rsid w:val="00EF6AF7"/>
    <w:rsid w:val="00EF76E2"/>
    <w:rsid w:val="00EF7E68"/>
    <w:rsid w:val="00F017BC"/>
    <w:rsid w:val="00F03269"/>
    <w:rsid w:val="00F03568"/>
    <w:rsid w:val="00F06CC0"/>
    <w:rsid w:val="00F12620"/>
    <w:rsid w:val="00F16994"/>
    <w:rsid w:val="00F171BD"/>
    <w:rsid w:val="00F30307"/>
    <w:rsid w:val="00F32BA8"/>
    <w:rsid w:val="00F33334"/>
    <w:rsid w:val="00F34856"/>
    <w:rsid w:val="00F34C82"/>
    <w:rsid w:val="00F37A9D"/>
    <w:rsid w:val="00F40FB7"/>
    <w:rsid w:val="00F41D3E"/>
    <w:rsid w:val="00F440A7"/>
    <w:rsid w:val="00F45C40"/>
    <w:rsid w:val="00F52B02"/>
    <w:rsid w:val="00F5394C"/>
    <w:rsid w:val="00F5419E"/>
    <w:rsid w:val="00F57518"/>
    <w:rsid w:val="00F640C9"/>
    <w:rsid w:val="00F647E4"/>
    <w:rsid w:val="00F6560F"/>
    <w:rsid w:val="00F65BB2"/>
    <w:rsid w:val="00F66395"/>
    <w:rsid w:val="00F67E6E"/>
    <w:rsid w:val="00F72B5D"/>
    <w:rsid w:val="00F749A1"/>
    <w:rsid w:val="00F76C70"/>
    <w:rsid w:val="00F853E1"/>
    <w:rsid w:val="00F8588E"/>
    <w:rsid w:val="00F85ED8"/>
    <w:rsid w:val="00F875CB"/>
    <w:rsid w:val="00F90023"/>
    <w:rsid w:val="00F901D0"/>
    <w:rsid w:val="00F90315"/>
    <w:rsid w:val="00F95148"/>
    <w:rsid w:val="00F965E8"/>
    <w:rsid w:val="00F96A3E"/>
    <w:rsid w:val="00F9794D"/>
    <w:rsid w:val="00FA20BB"/>
    <w:rsid w:val="00FA29E7"/>
    <w:rsid w:val="00FB01A6"/>
    <w:rsid w:val="00FB16D9"/>
    <w:rsid w:val="00FB2073"/>
    <w:rsid w:val="00FB2965"/>
    <w:rsid w:val="00FB299D"/>
    <w:rsid w:val="00FB405A"/>
    <w:rsid w:val="00FB463C"/>
    <w:rsid w:val="00FB52DC"/>
    <w:rsid w:val="00FB5CC7"/>
    <w:rsid w:val="00FB6C7D"/>
    <w:rsid w:val="00FB7376"/>
    <w:rsid w:val="00FB7439"/>
    <w:rsid w:val="00FB76F3"/>
    <w:rsid w:val="00FB79D8"/>
    <w:rsid w:val="00FC3508"/>
    <w:rsid w:val="00FC42BA"/>
    <w:rsid w:val="00FC485C"/>
    <w:rsid w:val="00FD0219"/>
    <w:rsid w:val="00FD39CF"/>
    <w:rsid w:val="00FD4425"/>
    <w:rsid w:val="00FE04A8"/>
    <w:rsid w:val="00FE1028"/>
    <w:rsid w:val="00FE28AA"/>
    <w:rsid w:val="00FE3004"/>
    <w:rsid w:val="00FE5081"/>
    <w:rsid w:val="00FE6309"/>
    <w:rsid w:val="00FE6D13"/>
    <w:rsid w:val="00FE771D"/>
    <w:rsid w:val="00FE7A01"/>
    <w:rsid w:val="00FF0196"/>
    <w:rsid w:val="00FF1D2F"/>
    <w:rsid w:val="00FF3377"/>
    <w:rsid w:val="00FF5D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3F5EB"/>
  <w15:chartTrackingRefBased/>
  <w15:docId w15:val="{BD988861-2953-4F06-854D-2A5595E2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85"/>
    <w:pPr>
      <w:spacing w:after="240" w:line="240" w:lineRule="auto"/>
    </w:pPr>
    <w:rPr>
      <w:rFonts w:ascii="Gill Sans MT" w:eastAsia="Times New Roman" w:hAnsi="Gill Sans MT" w:cs="Times New Roman"/>
      <w:sz w:val="26"/>
      <w:szCs w:val="24"/>
    </w:rPr>
  </w:style>
  <w:style w:type="paragraph" w:styleId="Heading1">
    <w:name w:val="heading 1"/>
    <w:basedOn w:val="Normal"/>
    <w:next w:val="Normal"/>
    <w:link w:val="Heading1Char"/>
    <w:uiPriority w:val="9"/>
    <w:qFormat/>
    <w:rsid w:val="00E22F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43C1"/>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DD0A30"/>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2A28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2F03"/>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rsid w:val="00E22F03"/>
    <w:rPr>
      <w:rFonts w:ascii="Gill Sans MT" w:eastAsia="Times New Roman" w:hAnsi="Gill Sans MT" w:cs="Times New Roman"/>
      <w:color w:val="323232"/>
      <w:sz w:val="20"/>
      <w:szCs w:val="20"/>
    </w:rPr>
  </w:style>
  <w:style w:type="paragraph" w:styleId="Header">
    <w:name w:val="header"/>
    <w:basedOn w:val="Normal"/>
    <w:link w:val="HeaderChar"/>
    <w:rsid w:val="00E22F03"/>
    <w:pPr>
      <w:tabs>
        <w:tab w:val="center" w:pos="4320"/>
        <w:tab w:val="right" w:pos="8640"/>
      </w:tabs>
      <w:spacing w:after="120"/>
    </w:pPr>
    <w:rPr>
      <w:color w:val="333333"/>
      <w:sz w:val="22"/>
      <w:szCs w:val="20"/>
    </w:rPr>
  </w:style>
  <w:style w:type="character" w:customStyle="1" w:styleId="HeaderChar">
    <w:name w:val="Header Char"/>
    <w:basedOn w:val="DefaultParagraphFont"/>
    <w:link w:val="Header"/>
    <w:rsid w:val="00E22F03"/>
    <w:rPr>
      <w:rFonts w:ascii="Gill Sans MT" w:eastAsia="Times New Roman" w:hAnsi="Gill Sans MT" w:cs="Times New Roman"/>
      <w:color w:val="333333"/>
      <w:szCs w:val="20"/>
    </w:rPr>
  </w:style>
  <w:style w:type="character" w:customStyle="1" w:styleId="Heading1Char">
    <w:name w:val="Heading 1 Char"/>
    <w:basedOn w:val="DefaultParagraphFont"/>
    <w:link w:val="Heading1"/>
    <w:uiPriority w:val="9"/>
    <w:rsid w:val="00E22F0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22F0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F0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1F2B"/>
    <w:pPr>
      <w:ind w:left="720"/>
      <w:contextualSpacing/>
    </w:pPr>
  </w:style>
  <w:style w:type="character" w:styleId="CommentReference">
    <w:name w:val="annotation reference"/>
    <w:basedOn w:val="DefaultParagraphFont"/>
    <w:unhideWhenUsed/>
    <w:rsid w:val="004C577D"/>
    <w:rPr>
      <w:sz w:val="16"/>
      <w:szCs w:val="16"/>
    </w:rPr>
  </w:style>
  <w:style w:type="paragraph" w:styleId="CommentText">
    <w:name w:val="annotation text"/>
    <w:basedOn w:val="Normal"/>
    <w:link w:val="CommentTextChar"/>
    <w:unhideWhenUsed/>
    <w:rsid w:val="004C577D"/>
    <w:rPr>
      <w:sz w:val="20"/>
      <w:szCs w:val="20"/>
    </w:rPr>
  </w:style>
  <w:style w:type="character" w:customStyle="1" w:styleId="CommentTextChar">
    <w:name w:val="Comment Text Char"/>
    <w:basedOn w:val="DefaultParagraphFont"/>
    <w:link w:val="CommentText"/>
    <w:rsid w:val="004C577D"/>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4C577D"/>
    <w:rPr>
      <w:b/>
      <w:bCs/>
    </w:rPr>
  </w:style>
  <w:style w:type="character" w:customStyle="1" w:styleId="CommentSubjectChar">
    <w:name w:val="Comment Subject Char"/>
    <w:basedOn w:val="CommentTextChar"/>
    <w:link w:val="CommentSubject"/>
    <w:uiPriority w:val="99"/>
    <w:semiHidden/>
    <w:rsid w:val="004C577D"/>
    <w:rPr>
      <w:rFonts w:ascii="Gill Sans MT" w:eastAsia="Times New Roman" w:hAnsi="Gill Sans MT" w:cs="Times New Roman"/>
      <w:b/>
      <w:bCs/>
      <w:sz w:val="20"/>
      <w:szCs w:val="20"/>
    </w:rPr>
  </w:style>
  <w:style w:type="paragraph" w:styleId="BalloonText">
    <w:name w:val="Balloon Text"/>
    <w:basedOn w:val="Normal"/>
    <w:link w:val="BalloonTextChar"/>
    <w:uiPriority w:val="99"/>
    <w:semiHidden/>
    <w:unhideWhenUsed/>
    <w:rsid w:val="004C57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7D"/>
    <w:rPr>
      <w:rFonts w:ascii="Segoe UI" w:eastAsia="Times New Roman" w:hAnsi="Segoe UI" w:cs="Segoe UI"/>
      <w:sz w:val="18"/>
      <w:szCs w:val="18"/>
    </w:rPr>
  </w:style>
  <w:style w:type="character" w:styleId="Hyperlink">
    <w:name w:val="Hyperlink"/>
    <w:basedOn w:val="DefaultParagraphFont"/>
    <w:uiPriority w:val="99"/>
    <w:unhideWhenUsed/>
    <w:rsid w:val="00C167E7"/>
    <w:rPr>
      <w:color w:val="0000FF" w:themeColor="hyperlink"/>
      <w:u w:val="single"/>
    </w:rPr>
  </w:style>
  <w:style w:type="paragraph" w:customStyle="1" w:styleId="Default">
    <w:name w:val="Default"/>
    <w:rsid w:val="00C167E7"/>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6243C1"/>
    <w:rPr>
      <w:rFonts w:asciiTheme="majorHAnsi" w:eastAsiaTheme="majorEastAsia" w:hAnsiTheme="majorHAnsi" w:cstheme="majorBidi"/>
      <w:color w:val="365F91" w:themeColor="accent1" w:themeShade="BF"/>
      <w:sz w:val="26"/>
      <w:szCs w:val="26"/>
    </w:rPr>
  </w:style>
  <w:style w:type="paragraph" w:styleId="ListBullet">
    <w:name w:val="List Bullet"/>
    <w:basedOn w:val="Normal"/>
    <w:rsid w:val="006243C1"/>
    <w:pPr>
      <w:numPr>
        <w:numId w:val="10"/>
      </w:numPr>
      <w:spacing w:before="120" w:after="120"/>
    </w:pPr>
  </w:style>
  <w:style w:type="paragraph" w:customStyle="1" w:styleId="Pa2">
    <w:name w:val="Pa2"/>
    <w:basedOn w:val="Default"/>
    <w:next w:val="Default"/>
    <w:uiPriority w:val="99"/>
    <w:rsid w:val="005F3492"/>
    <w:pPr>
      <w:spacing w:line="241" w:lineRule="atLeast"/>
    </w:pPr>
    <w:rPr>
      <w:rFonts w:ascii="YFEWFP+ArialMT" w:hAnsi="YFEWFP+ArialMT" w:cstheme="minorBidi"/>
      <w:color w:val="auto"/>
    </w:rPr>
  </w:style>
  <w:style w:type="character" w:customStyle="1" w:styleId="A0">
    <w:name w:val="A0"/>
    <w:uiPriority w:val="99"/>
    <w:rsid w:val="005F3492"/>
    <w:rPr>
      <w:rFonts w:cs="YFEWFP+ArialMT"/>
      <w:color w:val="000000"/>
      <w:sz w:val="28"/>
      <w:szCs w:val="28"/>
    </w:rPr>
  </w:style>
  <w:style w:type="paragraph" w:customStyle="1" w:styleId="Pa0">
    <w:name w:val="Pa0"/>
    <w:basedOn w:val="Default"/>
    <w:next w:val="Default"/>
    <w:uiPriority w:val="99"/>
    <w:rsid w:val="005F3492"/>
    <w:pPr>
      <w:spacing w:line="241" w:lineRule="atLeast"/>
    </w:pPr>
    <w:rPr>
      <w:rFonts w:ascii="Arial" w:hAnsi="Arial" w:cs="Arial"/>
      <w:color w:val="auto"/>
    </w:rPr>
  </w:style>
  <w:style w:type="character" w:customStyle="1" w:styleId="A01">
    <w:name w:val="A0+1"/>
    <w:uiPriority w:val="99"/>
    <w:rsid w:val="005F3492"/>
    <w:rPr>
      <w:color w:val="000000"/>
      <w:sz w:val="28"/>
      <w:szCs w:val="28"/>
    </w:rPr>
  </w:style>
  <w:style w:type="character" w:customStyle="1" w:styleId="A21">
    <w:name w:val="A2+1"/>
    <w:uiPriority w:val="99"/>
    <w:rsid w:val="005F3492"/>
    <w:rPr>
      <w:rFonts w:cs="YFEWFP+ArialMT"/>
      <w:color w:val="000000"/>
      <w:sz w:val="60"/>
      <w:szCs w:val="60"/>
    </w:rPr>
  </w:style>
  <w:style w:type="paragraph" w:customStyle="1" w:styleId="Pa4">
    <w:name w:val="Pa4"/>
    <w:basedOn w:val="Default"/>
    <w:next w:val="Default"/>
    <w:uiPriority w:val="99"/>
    <w:rsid w:val="0082513B"/>
    <w:pPr>
      <w:spacing w:line="221" w:lineRule="atLeast"/>
    </w:pPr>
    <w:rPr>
      <w:rFonts w:ascii="Kohinoor Bangla" w:hAnsi="Kohinoor Bangla" w:cstheme="minorBidi"/>
      <w:color w:val="auto"/>
    </w:rPr>
  </w:style>
  <w:style w:type="paragraph" w:styleId="FootnoteText">
    <w:name w:val="footnote text"/>
    <w:basedOn w:val="Normal"/>
    <w:link w:val="FootnoteTextChar"/>
    <w:uiPriority w:val="99"/>
    <w:unhideWhenUsed/>
    <w:rsid w:val="00794009"/>
    <w:pPr>
      <w:spacing w:after="0"/>
    </w:pPr>
    <w:rPr>
      <w:sz w:val="20"/>
      <w:szCs w:val="20"/>
    </w:rPr>
  </w:style>
  <w:style w:type="character" w:customStyle="1" w:styleId="FootnoteTextChar">
    <w:name w:val="Footnote Text Char"/>
    <w:basedOn w:val="DefaultParagraphFont"/>
    <w:link w:val="FootnoteText"/>
    <w:uiPriority w:val="99"/>
    <w:rsid w:val="00794009"/>
    <w:rPr>
      <w:rFonts w:ascii="Gill Sans MT" w:eastAsia="Times New Roman" w:hAnsi="Gill Sans MT" w:cs="Times New Roman"/>
      <w:sz w:val="20"/>
      <w:szCs w:val="20"/>
    </w:rPr>
  </w:style>
  <w:style w:type="character" w:styleId="FootnoteReference">
    <w:name w:val="footnote reference"/>
    <w:basedOn w:val="DefaultParagraphFont"/>
    <w:uiPriority w:val="99"/>
    <w:unhideWhenUsed/>
    <w:rsid w:val="00794009"/>
    <w:rPr>
      <w:vertAlign w:val="superscript"/>
    </w:rPr>
  </w:style>
  <w:style w:type="character" w:styleId="Strong">
    <w:name w:val="Strong"/>
    <w:basedOn w:val="DefaultParagraphFont"/>
    <w:uiPriority w:val="22"/>
    <w:qFormat/>
    <w:rsid w:val="00E2555B"/>
    <w:rPr>
      <w:b/>
      <w:bCs/>
    </w:rPr>
  </w:style>
  <w:style w:type="character" w:styleId="FollowedHyperlink">
    <w:name w:val="FollowedHyperlink"/>
    <w:basedOn w:val="DefaultParagraphFont"/>
    <w:uiPriority w:val="99"/>
    <w:semiHidden/>
    <w:unhideWhenUsed/>
    <w:rsid w:val="004839F6"/>
    <w:rPr>
      <w:color w:val="800080" w:themeColor="followedHyperlink"/>
      <w:u w:val="single"/>
    </w:rPr>
  </w:style>
  <w:style w:type="paragraph" w:styleId="BodyTextIndent">
    <w:name w:val="Body Text Indent"/>
    <w:basedOn w:val="Normal"/>
    <w:link w:val="BodyTextIndentChar"/>
    <w:rsid w:val="00402AFB"/>
    <w:pPr>
      <w:spacing w:after="120"/>
      <w:ind w:left="283"/>
    </w:pPr>
    <w:rPr>
      <w:rFonts w:ascii="Arial" w:hAnsi="Arial"/>
      <w:sz w:val="24"/>
      <w:lang w:val="x-none"/>
    </w:rPr>
  </w:style>
  <w:style w:type="character" w:customStyle="1" w:styleId="BodyTextIndentChar">
    <w:name w:val="Body Text Indent Char"/>
    <w:basedOn w:val="DefaultParagraphFont"/>
    <w:link w:val="BodyTextIndent"/>
    <w:rsid w:val="00402AFB"/>
    <w:rPr>
      <w:rFonts w:ascii="Arial" w:eastAsia="Times New Roman" w:hAnsi="Arial" w:cs="Times New Roman"/>
      <w:sz w:val="24"/>
      <w:szCs w:val="24"/>
      <w:lang w:val="x-none"/>
    </w:rPr>
  </w:style>
  <w:style w:type="paragraph" w:customStyle="1" w:styleId="text-18">
    <w:name w:val="text-18"/>
    <w:basedOn w:val="Normal"/>
    <w:rsid w:val="00D66505"/>
    <w:pPr>
      <w:spacing w:after="150"/>
    </w:pPr>
    <w:rPr>
      <w:rFonts w:ascii="Times New Roman" w:hAnsi="Times New Roman"/>
      <w:sz w:val="27"/>
      <w:szCs w:val="27"/>
      <w:lang w:eastAsia="en-IE"/>
    </w:rPr>
  </w:style>
  <w:style w:type="paragraph" w:styleId="Revision">
    <w:name w:val="Revision"/>
    <w:hidden/>
    <w:uiPriority w:val="99"/>
    <w:semiHidden/>
    <w:rsid w:val="00CA2122"/>
    <w:pPr>
      <w:spacing w:after="0" w:line="240" w:lineRule="auto"/>
    </w:pPr>
    <w:rPr>
      <w:rFonts w:ascii="Gill Sans MT" w:eastAsia="Times New Roman" w:hAnsi="Gill Sans MT" w:cs="Times New Roman"/>
      <w:sz w:val="26"/>
      <w:szCs w:val="24"/>
    </w:rPr>
  </w:style>
  <w:style w:type="paragraph" w:styleId="NoSpacing">
    <w:name w:val="No Spacing"/>
    <w:uiPriority w:val="1"/>
    <w:qFormat/>
    <w:rsid w:val="00A9382C"/>
    <w:pPr>
      <w:spacing w:after="0" w:line="240" w:lineRule="auto"/>
    </w:pPr>
    <w:rPr>
      <w:rFonts w:ascii="Gill Sans MT" w:eastAsia="Times New Roman" w:hAnsi="Gill Sans MT" w:cs="Times New Roman"/>
      <w:sz w:val="26"/>
      <w:szCs w:val="24"/>
    </w:rPr>
  </w:style>
  <w:style w:type="table" w:customStyle="1" w:styleId="Calendar1">
    <w:name w:val="Calendar 1"/>
    <w:basedOn w:val="TableNormal"/>
    <w:uiPriority w:val="99"/>
    <w:qFormat/>
    <w:rsid w:val="00FF3377"/>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FF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arial">
    <w:name w:val="font-arial"/>
    <w:basedOn w:val="DefaultParagraphFont"/>
    <w:rsid w:val="00D32D9E"/>
  </w:style>
  <w:style w:type="character" w:customStyle="1" w:styleId="Heading3Char">
    <w:name w:val="Heading 3 Char"/>
    <w:basedOn w:val="DefaultParagraphFont"/>
    <w:link w:val="Heading3"/>
    <w:uiPriority w:val="9"/>
    <w:rsid w:val="00DD0A30"/>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26B30"/>
    <w:pPr>
      <w:spacing w:line="259" w:lineRule="auto"/>
      <w:outlineLvl w:val="9"/>
    </w:pPr>
    <w:rPr>
      <w:lang w:val="en-US"/>
    </w:rPr>
  </w:style>
  <w:style w:type="paragraph" w:styleId="TOC1">
    <w:name w:val="toc 1"/>
    <w:basedOn w:val="Normal"/>
    <w:next w:val="Normal"/>
    <w:autoRedefine/>
    <w:uiPriority w:val="39"/>
    <w:unhideWhenUsed/>
    <w:rsid w:val="00926B30"/>
    <w:pPr>
      <w:spacing w:after="100"/>
    </w:pPr>
  </w:style>
  <w:style w:type="paragraph" w:styleId="TOC2">
    <w:name w:val="toc 2"/>
    <w:basedOn w:val="Normal"/>
    <w:next w:val="Normal"/>
    <w:autoRedefine/>
    <w:uiPriority w:val="39"/>
    <w:unhideWhenUsed/>
    <w:rsid w:val="00926B30"/>
    <w:pPr>
      <w:spacing w:after="100"/>
      <w:ind w:left="260"/>
    </w:pPr>
  </w:style>
  <w:style w:type="paragraph" w:styleId="TOC3">
    <w:name w:val="toc 3"/>
    <w:basedOn w:val="Normal"/>
    <w:next w:val="Normal"/>
    <w:autoRedefine/>
    <w:uiPriority w:val="39"/>
    <w:unhideWhenUsed/>
    <w:rsid w:val="00926B30"/>
    <w:pPr>
      <w:spacing w:after="100"/>
      <w:ind w:left="520"/>
    </w:pPr>
  </w:style>
  <w:style w:type="character" w:customStyle="1" w:styleId="Heading4Char">
    <w:name w:val="Heading 4 Char"/>
    <w:basedOn w:val="DefaultParagraphFont"/>
    <w:link w:val="Heading4"/>
    <w:uiPriority w:val="9"/>
    <w:rsid w:val="002A2864"/>
    <w:rPr>
      <w:rFonts w:asciiTheme="majorHAnsi" w:eastAsiaTheme="majorEastAsia" w:hAnsiTheme="majorHAnsi" w:cstheme="majorBidi"/>
      <w:i/>
      <w:iCs/>
      <w:color w:val="365F91" w:themeColor="accent1" w:themeShade="BF"/>
      <w:sz w:val="26"/>
      <w:szCs w:val="24"/>
    </w:rPr>
  </w:style>
  <w:style w:type="paragraph" w:styleId="ListNumber2">
    <w:name w:val="List Number 2"/>
    <w:basedOn w:val="Normal"/>
    <w:rsid w:val="00E52B32"/>
    <w:pPr>
      <w:numPr>
        <w:numId w:val="39"/>
      </w:numPr>
      <w:tabs>
        <w:tab w:val="clear" w:pos="641"/>
        <w:tab w:val="num" w:pos="643"/>
      </w:tabs>
      <w:spacing w:before="60" w:after="60"/>
    </w:pPr>
  </w:style>
  <w:style w:type="character" w:customStyle="1" w:styleId="matrix1">
    <w:name w:val="matrix1"/>
    <w:basedOn w:val="DefaultParagraphFont"/>
    <w:rsid w:val="00FE771D"/>
    <w:rPr>
      <w:color w:val="1D6993"/>
    </w:rPr>
  </w:style>
  <w:style w:type="paragraph" w:styleId="Caption">
    <w:name w:val="caption"/>
    <w:basedOn w:val="Normal"/>
    <w:next w:val="Normal"/>
    <w:uiPriority w:val="35"/>
    <w:semiHidden/>
    <w:unhideWhenUsed/>
    <w:qFormat/>
    <w:rsid w:val="00203A0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9575">
      <w:bodyDiv w:val="1"/>
      <w:marLeft w:val="0"/>
      <w:marRight w:val="0"/>
      <w:marTop w:val="0"/>
      <w:marBottom w:val="0"/>
      <w:divBdr>
        <w:top w:val="none" w:sz="0" w:space="0" w:color="auto"/>
        <w:left w:val="none" w:sz="0" w:space="0" w:color="auto"/>
        <w:bottom w:val="none" w:sz="0" w:space="0" w:color="auto"/>
        <w:right w:val="none" w:sz="0" w:space="0" w:color="auto"/>
      </w:divBdr>
    </w:div>
    <w:div w:id="97868802">
      <w:bodyDiv w:val="1"/>
      <w:marLeft w:val="0"/>
      <w:marRight w:val="0"/>
      <w:marTop w:val="0"/>
      <w:marBottom w:val="0"/>
      <w:divBdr>
        <w:top w:val="none" w:sz="0" w:space="0" w:color="auto"/>
        <w:left w:val="none" w:sz="0" w:space="0" w:color="auto"/>
        <w:bottom w:val="none" w:sz="0" w:space="0" w:color="auto"/>
        <w:right w:val="none" w:sz="0" w:space="0" w:color="auto"/>
      </w:divBdr>
    </w:div>
    <w:div w:id="112135782">
      <w:bodyDiv w:val="1"/>
      <w:marLeft w:val="0"/>
      <w:marRight w:val="0"/>
      <w:marTop w:val="0"/>
      <w:marBottom w:val="0"/>
      <w:divBdr>
        <w:top w:val="none" w:sz="0" w:space="0" w:color="auto"/>
        <w:left w:val="none" w:sz="0" w:space="0" w:color="auto"/>
        <w:bottom w:val="none" w:sz="0" w:space="0" w:color="auto"/>
        <w:right w:val="none" w:sz="0" w:space="0" w:color="auto"/>
      </w:divBdr>
    </w:div>
    <w:div w:id="186137706">
      <w:bodyDiv w:val="1"/>
      <w:marLeft w:val="0"/>
      <w:marRight w:val="0"/>
      <w:marTop w:val="0"/>
      <w:marBottom w:val="0"/>
      <w:divBdr>
        <w:top w:val="none" w:sz="0" w:space="0" w:color="auto"/>
        <w:left w:val="none" w:sz="0" w:space="0" w:color="auto"/>
        <w:bottom w:val="none" w:sz="0" w:space="0" w:color="auto"/>
        <w:right w:val="none" w:sz="0" w:space="0" w:color="auto"/>
      </w:divBdr>
      <w:divsChild>
        <w:div w:id="644702423">
          <w:marLeft w:val="0"/>
          <w:marRight w:val="0"/>
          <w:marTop w:val="0"/>
          <w:marBottom w:val="0"/>
          <w:divBdr>
            <w:top w:val="none" w:sz="0" w:space="0" w:color="auto"/>
            <w:left w:val="none" w:sz="0" w:space="0" w:color="auto"/>
            <w:bottom w:val="none" w:sz="0" w:space="0" w:color="auto"/>
            <w:right w:val="none" w:sz="0" w:space="0" w:color="auto"/>
          </w:divBdr>
        </w:div>
        <w:div w:id="958950942">
          <w:marLeft w:val="0"/>
          <w:marRight w:val="0"/>
          <w:marTop w:val="0"/>
          <w:marBottom w:val="0"/>
          <w:divBdr>
            <w:top w:val="none" w:sz="0" w:space="0" w:color="auto"/>
            <w:left w:val="none" w:sz="0" w:space="0" w:color="auto"/>
            <w:bottom w:val="none" w:sz="0" w:space="0" w:color="auto"/>
            <w:right w:val="none" w:sz="0" w:space="0" w:color="auto"/>
          </w:divBdr>
        </w:div>
        <w:div w:id="1226645116">
          <w:marLeft w:val="0"/>
          <w:marRight w:val="0"/>
          <w:marTop w:val="0"/>
          <w:marBottom w:val="0"/>
          <w:divBdr>
            <w:top w:val="none" w:sz="0" w:space="0" w:color="auto"/>
            <w:left w:val="none" w:sz="0" w:space="0" w:color="auto"/>
            <w:bottom w:val="none" w:sz="0" w:space="0" w:color="auto"/>
            <w:right w:val="none" w:sz="0" w:space="0" w:color="auto"/>
          </w:divBdr>
        </w:div>
        <w:div w:id="1736392012">
          <w:marLeft w:val="0"/>
          <w:marRight w:val="0"/>
          <w:marTop w:val="0"/>
          <w:marBottom w:val="0"/>
          <w:divBdr>
            <w:top w:val="none" w:sz="0" w:space="0" w:color="auto"/>
            <w:left w:val="none" w:sz="0" w:space="0" w:color="auto"/>
            <w:bottom w:val="none" w:sz="0" w:space="0" w:color="auto"/>
            <w:right w:val="none" w:sz="0" w:space="0" w:color="auto"/>
          </w:divBdr>
        </w:div>
      </w:divsChild>
    </w:div>
    <w:div w:id="218515001">
      <w:bodyDiv w:val="1"/>
      <w:marLeft w:val="0"/>
      <w:marRight w:val="0"/>
      <w:marTop w:val="0"/>
      <w:marBottom w:val="0"/>
      <w:divBdr>
        <w:top w:val="none" w:sz="0" w:space="0" w:color="auto"/>
        <w:left w:val="none" w:sz="0" w:space="0" w:color="auto"/>
        <w:bottom w:val="none" w:sz="0" w:space="0" w:color="auto"/>
        <w:right w:val="none" w:sz="0" w:space="0" w:color="auto"/>
      </w:divBdr>
    </w:div>
    <w:div w:id="222454239">
      <w:bodyDiv w:val="1"/>
      <w:marLeft w:val="0"/>
      <w:marRight w:val="0"/>
      <w:marTop w:val="0"/>
      <w:marBottom w:val="0"/>
      <w:divBdr>
        <w:top w:val="none" w:sz="0" w:space="0" w:color="auto"/>
        <w:left w:val="none" w:sz="0" w:space="0" w:color="auto"/>
        <w:bottom w:val="none" w:sz="0" w:space="0" w:color="auto"/>
        <w:right w:val="none" w:sz="0" w:space="0" w:color="auto"/>
      </w:divBdr>
    </w:div>
    <w:div w:id="225920378">
      <w:bodyDiv w:val="1"/>
      <w:marLeft w:val="0"/>
      <w:marRight w:val="0"/>
      <w:marTop w:val="0"/>
      <w:marBottom w:val="0"/>
      <w:divBdr>
        <w:top w:val="none" w:sz="0" w:space="0" w:color="auto"/>
        <w:left w:val="none" w:sz="0" w:space="0" w:color="auto"/>
        <w:bottom w:val="none" w:sz="0" w:space="0" w:color="auto"/>
        <w:right w:val="none" w:sz="0" w:space="0" w:color="auto"/>
      </w:divBdr>
    </w:div>
    <w:div w:id="248541885">
      <w:bodyDiv w:val="1"/>
      <w:marLeft w:val="0"/>
      <w:marRight w:val="0"/>
      <w:marTop w:val="0"/>
      <w:marBottom w:val="0"/>
      <w:divBdr>
        <w:top w:val="none" w:sz="0" w:space="0" w:color="auto"/>
        <w:left w:val="none" w:sz="0" w:space="0" w:color="auto"/>
        <w:bottom w:val="none" w:sz="0" w:space="0" w:color="auto"/>
        <w:right w:val="none" w:sz="0" w:space="0" w:color="auto"/>
      </w:divBdr>
    </w:div>
    <w:div w:id="286475397">
      <w:bodyDiv w:val="1"/>
      <w:marLeft w:val="0"/>
      <w:marRight w:val="0"/>
      <w:marTop w:val="0"/>
      <w:marBottom w:val="0"/>
      <w:divBdr>
        <w:top w:val="none" w:sz="0" w:space="0" w:color="auto"/>
        <w:left w:val="none" w:sz="0" w:space="0" w:color="auto"/>
        <w:bottom w:val="none" w:sz="0" w:space="0" w:color="auto"/>
        <w:right w:val="none" w:sz="0" w:space="0" w:color="auto"/>
      </w:divBdr>
    </w:div>
    <w:div w:id="289436679">
      <w:bodyDiv w:val="1"/>
      <w:marLeft w:val="0"/>
      <w:marRight w:val="0"/>
      <w:marTop w:val="0"/>
      <w:marBottom w:val="0"/>
      <w:divBdr>
        <w:top w:val="none" w:sz="0" w:space="0" w:color="auto"/>
        <w:left w:val="none" w:sz="0" w:space="0" w:color="auto"/>
        <w:bottom w:val="none" w:sz="0" w:space="0" w:color="auto"/>
        <w:right w:val="none" w:sz="0" w:space="0" w:color="auto"/>
      </w:divBdr>
    </w:div>
    <w:div w:id="378290304">
      <w:bodyDiv w:val="1"/>
      <w:marLeft w:val="0"/>
      <w:marRight w:val="0"/>
      <w:marTop w:val="0"/>
      <w:marBottom w:val="0"/>
      <w:divBdr>
        <w:top w:val="none" w:sz="0" w:space="0" w:color="auto"/>
        <w:left w:val="none" w:sz="0" w:space="0" w:color="auto"/>
        <w:bottom w:val="none" w:sz="0" w:space="0" w:color="auto"/>
        <w:right w:val="none" w:sz="0" w:space="0" w:color="auto"/>
      </w:divBdr>
    </w:div>
    <w:div w:id="410086118">
      <w:bodyDiv w:val="1"/>
      <w:marLeft w:val="0"/>
      <w:marRight w:val="0"/>
      <w:marTop w:val="0"/>
      <w:marBottom w:val="0"/>
      <w:divBdr>
        <w:top w:val="none" w:sz="0" w:space="0" w:color="auto"/>
        <w:left w:val="none" w:sz="0" w:space="0" w:color="auto"/>
        <w:bottom w:val="none" w:sz="0" w:space="0" w:color="auto"/>
        <w:right w:val="none" w:sz="0" w:space="0" w:color="auto"/>
      </w:divBdr>
    </w:div>
    <w:div w:id="410469101">
      <w:bodyDiv w:val="1"/>
      <w:marLeft w:val="0"/>
      <w:marRight w:val="0"/>
      <w:marTop w:val="0"/>
      <w:marBottom w:val="0"/>
      <w:divBdr>
        <w:top w:val="none" w:sz="0" w:space="0" w:color="auto"/>
        <w:left w:val="none" w:sz="0" w:space="0" w:color="auto"/>
        <w:bottom w:val="none" w:sz="0" w:space="0" w:color="auto"/>
        <w:right w:val="none" w:sz="0" w:space="0" w:color="auto"/>
      </w:divBdr>
    </w:div>
    <w:div w:id="427625931">
      <w:bodyDiv w:val="1"/>
      <w:marLeft w:val="0"/>
      <w:marRight w:val="0"/>
      <w:marTop w:val="0"/>
      <w:marBottom w:val="0"/>
      <w:divBdr>
        <w:top w:val="none" w:sz="0" w:space="0" w:color="auto"/>
        <w:left w:val="none" w:sz="0" w:space="0" w:color="auto"/>
        <w:bottom w:val="none" w:sz="0" w:space="0" w:color="auto"/>
        <w:right w:val="none" w:sz="0" w:space="0" w:color="auto"/>
      </w:divBdr>
    </w:div>
    <w:div w:id="427773247">
      <w:bodyDiv w:val="1"/>
      <w:marLeft w:val="0"/>
      <w:marRight w:val="0"/>
      <w:marTop w:val="0"/>
      <w:marBottom w:val="0"/>
      <w:divBdr>
        <w:top w:val="none" w:sz="0" w:space="0" w:color="auto"/>
        <w:left w:val="none" w:sz="0" w:space="0" w:color="auto"/>
        <w:bottom w:val="none" w:sz="0" w:space="0" w:color="auto"/>
        <w:right w:val="none" w:sz="0" w:space="0" w:color="auto"/>
      </w:divBdr>
    </w:div>
    <w:div w:id="526219206">
      <w:bodyDiv w:val="1"/>
      <w:marLeft w:val="0"/>
      <w:marRight w:val="0"/>
      <w:marTop w:val="0"/>
      <w:marBottom w:val="0"/>
      <w:divBdr>
        <w:top w:val="none" w:sz="0" w:space="0" w:color="auto"/>
        <w:left w:val="none" w:sz="0" w:space="0" w:color="auto"/>
        <w:bottom w:val="none" w:sz="0" w:space="0" w:color="auto"/>
        <w:right w:val="none" w:sz="0" w:space="0" w:color="auto"/>
      </w:divBdr>
      <w:divsChild>
        <w:div w:id="1344015895">
          <w:marLeft w:val="547"/>
          <w:marRight w:val="0"/>
          <w:marTop w:val="154"/>
          <w:marBottom w:val="0"/>
          <w:divBdr>
            <w:top w:val="none" w:sz="0" w:space="0" w:color="auto"/>
            <w:left w:val="none" w:sz="0" w:space="0" w:color="auto"/>
            <w:bottom w:val="none" w:sz="0" w:space="0" w:color="auto"/>
            <w:right w:val="none" w:sz="0" w:space="0" w:color="auto"/>
          </w:divBdr>
        </w:div>
      </w:divsChild>
    </w:div>
    <w:div w:id="564485559">
      <w:bodyDiv w:val="1"/>
      <w:marLeft w:val="0"/>
      <w:marRight w:val="0"/>
      <w:marTop w:val="0"/>
      <w:marBottom w:val="0"/>
      <w:divBdr>
        <w:top w:val="none" w:sz="0" w:space="0" w:color="auto"/>
        <w:left w:val="none" w:sz="0" w:space="0" w:color="auto"/>
        <w:bottom w:val="none" w:sz="0" w:space="0" w:color="auto"/>
        <w:right w:val="none" w:sz="0" w:space="0" w:color="auto"/>
      </w:divBdr>
    </w:div>
    <w:div w:id="570580736">
      <w:bodyDiv w:val="1"/>
      <w:marLeft w:val="0"/>
      <w:marRight w:val="0"/>
      <w:marTop w:val="0"/>
      <w:marBottom w:val="0"/>
      <w:divBdr>
        <w:top w:val="none" w:sz="0" w:space="0" w:color="auto"/>
        <w:left w:val="none" w:sz="0" w:space="0" w:color="auto"/>
        <w:bottom w:val="none" w:sz="0" w:space="0" w:color="auto"/>
        <w:right w:val="none" w:sz="0" w:space="0" w:color="auto"/>
      </w:divBdr>
    </w:div>
    <w:div w:id="571501917">
      <w:bodyDiv w:val="1"/>
      <w:marLeft w:val="0"/>
      <w:marRight w:val="0"/>
      <w:marTop w:val="0"/>
      <w:marBottom w:val="0"/>
      <w:divBdr>
        <w:top w:val="none" w:sz="0" w:space="0" w:color="auto"/>
        <w:left w:val="none" w:sz="0" w:space="0" w:color="auto"/>
        <w:bottom w:val="none" w:sz="0" w:space="0" w:color="auto"/>
        <w:right w:val="none" w:sz="0" w:space="0" w:color="auto"/>
      </w:divBdr>
    </w:div>
    <w:div w:id="583808286">
      <w:bodyDiv w:val="1"/>
      <w:marLeft w:val="0"/>
      <w:marRight w:val="0"/>
      <w:marTop w:val="0"/>
      <w:marBottom w:val="0"/>
      <w:divBdr>
        <w:top w:val="none" w:sz="0" w:space="0" w:color="auto"/>
        <w:left w:val="none" w:sz="0" w:space="0" w:color="auto"/>
        <w:bottom w:val="none" w:sz="0" w:space="0" w:color="auto"/>
        <w:right w:val="none" w:sz="0" w:space="0" w:color="auto"/>
      </w:divBdr>
    </w:div>
    <w:div w:id="587664822">
      <w:bodyDiv w:val="1"/>
      <w:marLeft w:val="0"/>
      <w:marRight w:val="0"/>
      <w:marTop w:val="0"/>
      <w:marBottom w:val="0"/>
      <w:divBdr>
        <w:top w:val="none" w:sz="0" w:space="0" w:color="auto"/>
        <w:left w:val="none" w:sz="0" w:space="0" w:color="auto"/>
        <w:bottom w:val="none" w:sz="0" w:space="0" w:color="auto"/>
        <w:right w:val="none" w:sz="0" w:space="0" w:color="auto"/>
      </w:divBdr>
    </w:div>
    <w:div w:id="621962269">
      <w:bodyDiv w:val="1"/>
      <w:marLeft w:val="0"/>
      <w:marRight w:val="0"/>
      <w:marTop w:val="0"/>
      <w:marBottom w:val="0"/>
      <w:divBdr>
        <w:top w:val="none" w:sz="0" w:space="0" w:color="auto"/>
        <w:left w:val="none" w:sz="0" w:space="0" w:color="auto"/>
        <w:bottom w:val="none" w:sz="0" w:space="0" w:color="auto"/>
        <w:right w:val="none" w:sz="0" w:space="0" w:color="auto"/>
      </w:divBdr>
    </w:div>
    <w:div w:id="640352528">
      <w:bodyDiv w:val="1"/>
      <w:marLeft w:val="0"/>
      <w:marRight w:val="0"/>
      <w:marTop w:val="0"/>
      <w:marBottom w:val="0"/>
      <w:divBdr>
        <w:top w:val="none" w:sz="0" w:space="0" w:color="auto"/>
        <w:left w:val="none" w:sz="0" w:space="0" w:color="auto"/>
        <w:bottom w:val="none" w:sz="0" w:space="0" w:color="auto"/>
        <w:right w:val="none" w:sz="0" w:space="0" w:color="auto"/>
      </w:divBdr>
    </w:div>
    <w:div w:id="659383891">
      <w:bodyDiv w:val="1"/>
      <w:marLeft w:val="0"/>
      <w:marRight w:val="0"/>
      <w:marTop w:val="0"/>
      <w:marBottom w:val="0"/>
      <w:divBdr>
        <w:top w:val="none" w:sz="0" w:space="0" w:color="auto"/>
        <w:left w:val="none" w:sz="0" w:space="0" w:color="auto"/>
        <w:bottom w:val="none" w:sz="0" w:space="0" w:color="auto"/>
        <w:right w:val="none" w:sz="0" w:space="0" w:color="auto"/>
      </w:divBdr>
      <w:divsChild>
        <w:div w:id="99572113">
          <w:marLeft w:val="547"/>
          <w:marRight w:val="0"/>
          <w:marTop w:val="0"/>
          <w:marBottom w:val="0"/>
          <w:divBdr>
            <w:top w:val="none" w:sz="0" w:space="0" w:color="auto"/>
            <w:left w:val="none" w:sz="0" w:space="0" w:color="auto"/>
            <w:bottom w:val="none" w:sz="0" w:space="0" w:color="auto"/>
            <w:right w:val="none" w:sz="0" w:space="0" w:color="auto"/>
          </w:divBdr>
        </w:div>
      </w:divsChild>
    </w:div>
    <w:div w:id="661079995">
      <w:bodyDiv w:val="1"/>
      <w:marLeft w:val="0"/>
      <w:marRight w:val="0"/>
      <w:marTop w:val="0"/>
      <w:marBottom w:val="0"/>
      <w:divBdr>
        <w:top w:val="none" w:sz="0" w:space="0" w:color="auto"/>
        <w:left w:val="none" w:sz="0" w:space="0" w:color="auto"/>
        <w:bottom w:val="none" w:sz="0" w:space="0" w:color="auto"/>
        <w:right w:val="none" w:sz="0" w:space="0" w:color="auto"/>
      </w:divBdr>
    </w:div>
    <w:div w:id="679236448">
      <w:bodyDiv w:val="1"/>
      <w:marLeft w:val="0"/>
      <w:marRight w:val="0"/>
      <w:marTop w:val="0"/>
      <w:marBottom w:val="0"/>
      <w:divBdr>
        <w:top w:val="none" w:sz="0" w:space="0" w:color="auto"/>
        <w:left w:val="none" w:sz="0" w:space="0" w:color="auto"/>
        <w:bottom w:val="none" w:sz="0" w:space="0" w:color="auto"/>
        <w:right w:val="none" w:sz="0" w:space="0" w:color="auto"/>
      </w:divBdr>
    </w:div>
    <w:div w:id="688408799">
      <w:bodyDiv w:val="1"/>
      <w:marLeft w:val="0"/>
      <w:marRight w:val="0"/>
      <w:marTop w:val="0"/>
      <w:marBottom w:val="0"/>
      <w:divBdr>
        <w:top w:val="none" w:sz="0" w:space="0" w:color="auto"/>
        <w:left w:val="none" w:sz="0" w:space="0" w:color="auto"/>
        <w:bottom w:val="none" w:sz="0" w:space="0" w:color="auto"/>
        <w:right w:val="none" w:sz="0" w:space="0" w:color="auto"/>
      </w:divBdr>
    </w:div>
    <w:div w:id="697395674">
      <w:bodyDiv w:val="1"/>
      <w:marLeft w:val="0"/>
      <w:marRight w:val="0"/>
      <w:marTop w:val="0"/>
      <w:marBottom w:val="0"/>
      <w:divBdr>
        <w:top w:val="none" w:sz="0" w:space="0" w:color="auto"/>
        <w:left w:val="none" w:sz="0" w:space="0" w:color="auto"/>
        <w:bottom w:val="none" w:sz="0" w:space="0" w:color="auto"/>
        <w:right w:val="none" w:sz="0" w:space="0" w:color="auto"/>
      </w:divBdr>
    </w:div>
    <w:div w:id="709495627">
      <w:bodyDiv w:val="1"/>
      <w:marLeft w:val="0"/>
      <w:marRight w:val="0"/>
      <w:marTop w:val="0"/>
      <w:marBottom w:val="0"/>
      <w:divBdr>
        <w:top w:val="none" w:sz="0" w:space="0" w:color="auto"/>
        <w:left w:val="none" w:sz="0" w:space="0" w:color="auto"/>
        <w:bottom w:val="none" w:sz="0" w:space="0" w:color="auto"/>
        <w:right w:val="none" w:sz="0" w:space="0" w:color="auto"/>
      </w:divBdr>
    </w:div>
    <w:div w:id="715549768">
      <w:bodyDiv w:val="1"/>
      <w:marLeft w:val="0"/>
      <w:marRight w:val="0"/>
      <w:marTop w:val="0"/>
      <w:marBottom w:val="0"/>
      <w:divBdr>
        <w:top w:val="none" w:sz="0" w:space="0" w:color="auto"/>
        <w:left w:val="none" w:sz="0" w:space="0" w:color="auto"/>
        <w:bottom w:val="none" w:sz="0" w:space="0" w:color="auto"/>
        <w:right w:val="none" w:sz="0" w:space="0" w:color="auto"/>
      </w:divBdr>
    </w:div>
    <w:div w:id="722099410">
      <w:bodyDiv w:val="1"/>
      <w:marLeft w:val="0"/>
      <w:marRight w:val="0"/>
      <w:marTop w:val="0"/>
      <w:marBottom w:val="0"/>
      <w:divBdr>
        <w:top w:val="none" w:sz="0" w:space="0" w:color="auto"/>
        <w:left w:val="none" w:sz="0" w:space="0" w:color="auto"/>
        <w:bottom w:val="none" w:sz="0" w:space="0" w:color="auto"/>
        <w:right w:val="none" w:sz="0" w:space="0" w:color="auto"/>
      </w:divBdr>
      <w:divsChild>
        <w:div w:id="1918981090">
          <w:marLeft w:val="0"/>
          <w:marRight w:val="0"/>
          <w:marTop w:val="0"/>
          <w:marBottom w:val="0"/>
          <w:divBdr>
            <w:top w:val="none" w:sz="0" w:space="0" w:color="auto"/>
            <w:left w:val="none" w:sz="0" w:space="0" w:color="auto"/>
            <w:bottom w:val="none" w:sz="0" w:space="0" w:color="auto"/>
            <w:right w:val="none" w:sz="0" w:space="0" w:color="auto"/>
          </w:divBdr>
          <w:divsChild>
            <w:div w:id="1622960425">
              <w:marLeft w:val="0"/>
              <w:marRight w:val="0"/>
              <w:marTop w:val="0"/>
              <w:marBottom w:val="0"/>
              <w:divBdr>
                <w:top w:val="none" w:sz="0" w:space="0" w:color="auto"/>
                <w:left w:val="none" w:sz="0" w:space="0" w:color="auto"/>
                <w:bottom w:val="none" w:sz="0" w:space="0" w:color="auto"/>
                <w:right w:val="none" w:sz="0" w:space="0" w:color="auto"/>
              </w:divBdr>
              <w:divsChild>
                <w:div w:id="742065652">
                  <w:marLeft w:val="0"/>
                  <w:marRight w:val="0"/>
                  <w:marTop w:val="0"/>
                  <w:marBottom w:val="0"/>
                  <w:divBdr>
                    <w:top w:val="none" w:sz="0" w:space="0" w:color="auto"/>
                    <w:left w:val="none" w:sz="0" w:space="0" w:color="auto"/>
                    <w:bottom w:val="none" w:sz="0" w:space="0" w:color="auto"/>
                    <w:right w:val="none" w:sz="0" w:space="0" w:color="auto"/>
                  </w:divBdr>
                  <w:divsChild>
                    <w:div w:id="2075666386">
                      <w:marLeft w:val="0"/>
                      <w:marRight w:val="0"/>
                      <w:marTop w:val="0"/>
                      <w:marBottom w:val="0"/>
                      <w:divBdr>
                        <w:top w:val="none" w:sz="0" w:space="0" w:color="auto"/>
                        <w:left w:val="none" w:sz="0" w:space="0" w:color="auto"/>
                        <w:bottom w:val="none" w:sz="0" w:space="0" w:color="auto"/>
                        <w:right w:val="none" w:sz="0" w:space="0" w:color="auto"/>
                      </w:divBdr>
                      <w:divsChild>
                        <w:div w:id="1641416654">
                          <w:marLeft w:val="0"/>
                          <w:marRight w:val="0"/>
                          <w:marTop w:val="15"/>
                          <w:marBottom w:val="0"/>
                          <w:divBdr>
                            <w:top w:val="none" w:sz="0" w:space="0" w:color="auto"/>
                            <w:left w:val="none" w:sz="0" w:space="0" w:color="auto"/>
                            <w:bottom w:val="none" w:sz="0" w:space="0" w:color="auto"/>
                            <w:right w:val="none" w:sz="0" w:space="0" w:color="auto"/>
                          </w:divBdr>
                          <w:divsChild>
                            <w:div w:id="151216501">
                              <w:marLeft w:val="0"/>
                              <w:marRight w:val="0"/>
                              <w:marTop w:val="0"/>
                              <w:marBottom w:val="0"/>
                              <w:divBdr>
                                <w:top w:val="none" w:sz="0" w:space="0" w:color="auto"/>
                                <w:left w:val="none" w:sz="0" w:space="0" w:color="auto"/>
                                <w:bottom w:val="none" w:sz="0" w:space="0" w:color="auto"/>
                                <w:right w:val="none" w:sz="0" w:space="0" w:color="auto"/>
                              </w:divBdr>
                              <w:divsChild>
                                <w:div w:id="105581631">
                                  <w:marLeft w:val="0"/>
                                  <w:marRight w:val="0"/>
                                  <w:marTop w:val="0"/>
                                  <w:marBottom w:val="0"/>
                                  <w:divBdr>
                                    <w:top w:val="none" w:sz="0" w:space="0" w:color="auto"/>
                                    <w:left w:val="none" w:sz="0" w:space="0" w:color="auto"/>
                                    <w:bottom w:val="none" w:sz="0" w:space="0" w:color="auto"/>
                                    <w:right w:val="none" w:sz="0" w:space="0" w:color="auto"/>
                                  </w:divBdr>
                                </w:div>
                                <w:div w:id="510602570">
                                  <w:marLeft w:val="0"/>
                                  <w:marRight w:val="0"/>
                                  <w:marTop w:val="0"/>
                                  <w:marBottom w:val="0"/>
                                  <w:divBdr>
                                    <w:top w:val="none" w:sz="0" w:space="0" w:color="auto"/>
                                    <w:left w:val="none" w:sz="0" w:space="0" w:color="auto"/>
                                    <w:bottom w:val="none" w:sz="0" w:space="0" w:color="auto"/>
                                    <w:right w:val="none" w:sz="0" w:space="0" w:color="auto"/>
                                  </w:divBdr>
                                </w:div>
                                <w:div w:id="13448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058059">
      <w:bodyDiv w:val="1"/>
      <w:marLeft w:val="0"/>
      <w:marRight w:val="0"/>
      <w:marTop w:val="0"/>
      <w:marBottom w:val="0"/>
      <w:divBdr>
        <w:top w:val="none" w:sz="0" w:space="0" w:color="auto"/>
        <w:left w:val="none" w:sz="0" w:space="0" w:color="auto"/>
        <w:bottom w:val="none" w:sz="0" w:space="0" w:color="auto"/>
        <w:right w:val="none" w:sz="0" w:space="0" w:color="auto"/>
      </w:divBdr>
    </w:div>
    <w:div w:id="751976695">
      <w:bodyDiv w:val="1"/>
      <w:marLeft w:val="0"/>
      <w:marRight w:val="0"/>
      <w:marTop w:val="0"/>
      <w:marBottom w:val="0"/>
      <w:divBdr>
        <w:top w:val="none" w:sz="0" w:space="0" w:color="auto"/>
        <w:left w:val="none" w:sz="0" w:space="0" w:color="auto"/>
        <w:bottom w:val="none" w:sz="0" w:space="0" w:color="auto"/>
        <w:right w:val="none" w:sz="0" w:space="0" w:color="auto"/>
      </w:divBdr>
    </w:div>
    <w:div w:id="791942026">
      <w:bodyDiv w:val="1"/>
      <w:marLeft w:val="0"/>
      <w:marRight w:val="0"/>
      <w:marTop w:val="0"/>
      <w:marBottom w:val="0"/>
      <w:divBdr>
        <w:top w:val="none" w:sz="0" w:space="0" w:color="auto"/>
        <w:left w:val="none" w:sz="0" w:space="0" w:color="auto"/>
        <w:bottom w:val="none" w:sz="0" w:space="0" w:color="auto"/>
        <w:right w:val="none" w:sz="0" w:space="0" w:color="auto"/>
      </w:divBdr>
    </w:div>
    <w:div w:id="817845212">
      <w:bodyDiv w:val="1"/>
      <w:marLeft w:val="0"/>
      <w:marRight w:val="0"/>
      <w:marTop w:val="0"/>
      <w:marBottom w:val="0"/>
      <w:divBdr>
        <w:top w:val="none" w:sz="0" w:space="0" w:color="auto"/>
        <w:left w:val="none" w:sz="0" w:space="0" w:color="auto"/>
        <w:bottom w:val="none" w:sz="0" w:space="0" w:color="auto"/>
        <w:right w:val="none" w:sz="0" w:space="0" w:color="auto"/>
      </w:divBdr>
    </w:div>
    <w:div w:id="825246118">
      <w:bodyDiv w:val="1"/>
      <w:marLeft w:val="0"/>
      <w:marRight w:val="0"/>
      <w:marTop w:val="0"/>
      <w:marBottom w:val="0"/>
      <w:divBdr>
        <w:top w:val="none" w:sz="0" w:space="0" w:color="auto"/>
        <w:left w:val="none" w:sz="0" w:space="0" w:color="auto"/>
        <w:bottom w:val="none" w:sz="0" w:space="0" w:color="auto"/>
        <w:right w:val="none" w:sz="0" w:space="0" w:color="auto"/>
      </w:divBdr>
    </w:div>
    <w:div w:id="872546496">
      <w:bodyDiv w:val="1"/>
      <w:marLeft w:val="0"/>
      <w:marRight w:val="0"/>
      <w:marTop w:val="0"/>
      <w:marBottom w:val="0"/>
      <w:divBdr>
        <w:top w:val="none" w:sz="0" w:space="0" w:color="auto"/>
        <w:left w:val="none" w:sz="0" w:space="0" w:color="auto"/>
        <w:bottom w:val="none" w:sz="0" w:space="0" w:color="auto"/>
        <w:right w:val="none" w:sz="0" w:space="0" w:color="auto"/>
      </w:divBdr>
    </w:div>
    <w:div w:id="900362363">
      <w:bodyDiv w:val="1"/>
      <w:marLeft w:val="0"/>
      <w:marRight w:val="0"/>
      <w:marTop w:val="0"/>
      <w:marBottom w:val="0"/>
      <w:divBdr>
        <w:top w:val="none" w:sz="0" w:space="0" w:color="auto"/>
        <w:left w:val="none" w:sz="0" w:space="0" w:color="auto"/>
        <w:bottom w:val="none" w:sz="0" w:space="0" w:color="auto"/>
        <w:right w:val="none" w:sz="0" w:space="0" w:color="auto"/>
      </w:divBdr>
    </w:div>
    <w:div w:id="973289906">
      <w:bodyDiv w:val="1"/>
      <w:marLeft w:val="0"/>
      <w:marRight w:val="0"/>
      <w:marTop w:val="0"/>
      <w:marBottom w:val="0"/>
      <w:divBdr>
        <w:top w:val="none" w:sz="0" w:space="0" w:color="auto"/>
        <w:left w:val="none" w:sz="0" w:space="0" w:color="auto"/>
        <w:bottom w:val="none" w:sz="0" w:space="0" w:color="auto"/>
        <w:right w:val="none" w:sz="0" w:space="0" w:color="auto"/>
      </w:divBdr>
    </w:div>
    <w:div w:id="1003629355">
      <w:bodyDiv w:val="1"/>
      <w:marLeft w:val="0"/>
      <w:marRight w:val="0"/>
      <w:marTop w:val="0"/>
      <w:marBottom w:val="0"/>
      <w:divBdr>
        <w:top w:val="none" w:sz="0" w:space="0" w:color="auto"/>
        <w:left w:val="none" w:sz="0" w:space="0" w:color="auto"/>
        <w:bottom w:val="none" w:sz="0" w:space="0" w:color="auto"/>
        <w:right w:val="none" w:sz="0" w:space="0" w:color="auto"/>
      </w:divBdr>
    </w:div>
    <w:div w:id="1058163603">
      <w:bodyDiv w:val="1"/>
      <w:marLeft w:val="0"/>
      <w:marRight w:val="0"/>
      <w:marTop w:val="0"/>
      <w:marBottom w:val="0"/>
      <w:divBdr>
        <w:top w:val="none" w:sz="0" w:space="0" w:color="auto"/>
        <w:left w:val="none" w:sz="0" w:space="0" w:color="auto"/>
        <w:bottom w:val="none" w:sz="0" w:space="0" w:color="auto"/>
        <w:right w:val="none" w:sz="0" w:space="0" w:color="auto"/>
      </w:divBdr>
    </w:div>
    <w:div w:id="1072657344">
      <w:bodyDiv w:val="1"/>
      <w:marLeft w:val="0"/>
      <w:marRight w:val="0"/>
      <w:marTop w:val="0"/>
      <w:marBottom w:val="0"/>
      <w:divBdr>
        <w:top w:val="none" w:sz="0" w:space="0" w:color="auto"/>
        <w:left w:val="none" w:sz="0" w:space="0" w:color="auto"/>
        <w:bottom w:val="none" w:sz="0" w:space="0" w:color="auto"/>
        <w:right w:val="none" w:sz="0" w:space="0" w:color="auto"/>
      </w:divBdr>
    </w:div>
    <w:div w:id="1089547396">
      <w:bodyDiv w:val="1"/>
      <w:marLeft w:val="0"/>
      <w:marRight w:val="0"/>
      <w:marTop w:val="0"/>
      <w:marBottom w:val="0"/>
      <w:divBdr>
        <w:top w:val="none" w:sz="0" w:space="0" w:color="auto"/>
        <w:left w:val="none" w:sz="0" w:space="0" w:color="auto"/>
        <w:bottom w:val="none" w:sz="0" w:space="0" w:color="auto"/>
        <w:right w:val="none" w:sz="0" w:space="0" w:color="auto"/>
      </w:divBdr>
    </w:div>
    <w:div w:id="1091437113">
      <w:bodyDiv w:val="1"/>
      <w:marLeft w:val="0"/>
      <w:marRight w:val="0"/>
      <w:marTop w:val="0"/>
      <w:marBottom w:val="0"/>
      <w:divBdr>
        <w:top w:val="none" w:sz="0" w:space="0" w:color="auto"/>
        <w:left w:val="none" w:sz="0" w:space="0" w:color="auto"/>
        <w:bottom w:val="none" w:sz="0" w:space="0" w:color="auto"/>
        <w:right w:val="none" w:sz="0" w:space="0" w:color="auto"/>
      </w:divBdr>
    </w:div>
    <w:div w:id="1218542309">
      <w:bodyDiv w:val="1"/>
      <w:marLeft w:val="0"/>
      <w:marRight w:val="0"/>
      <w:marTop w:val="0"/>
      <w:marBottom w:val="0"/>
      <w:divBdr>
        <w:top w:val="none" w:sz="0" w:space="0" w:color="auto"/>
        <w:left w:val="none" w:sz="0" w:space="0" w:color="auto"/>
        <w:bottom w:val="none" w:sz="0" w:space="0" w:color="auto"/>
        <w:right w:val="none" w:sz="0" w:space="0" w:color="auto"/>
      </w:divBdr>
    </w:div>
    <w:div w:id="1253707152">
      <w:bodyDiv w:val="1"/>
      <w:marLeft w:val="0"/>
      <w:marRight w:val="0"/>
      <w:marTop w:val="0"/>
      <w:marBottom w:val="0"/>
      <w:divBdr>
        <w:top w:val="none" w:sz="0" w:space="0" w:color="auto"/>
        <w:left w:val="none" w:sz="0" w:space="0" w:color="auto"/>
        <w:bottom w:val="none" w:sz="0" w:space="0" w:color="auto"/>
        <w:right w:val="none" w:sz="0" w:space="0" w:color="auto"/>
      </w:divBdr>
      <w:divsChild>
        <w:div w:id="569578486">
          <w:marLeft w:val="547"/>
          <w:marRight w:val="0"/>
          <w:marTop w:val="0"/>
          <w:marBottom w:val="0"/>
          <w:divBdr>
            <w:top w:val="none" w:sz="0" w:space="0" w:color="auto"/>
            <w:left w:val="none" w:sz="0" w:space="0" w:color="auto"/>
            <w:bottom w:val="none" w:sz="0" w:space="0" w:color="auto"/>
            <w:right w:val="none" w:sz="0" w:space="0" w:color="auto"/>
          </w:divBdr>
        </w:div>
      </w:divsChild>
    </w:div>
    <w:div w:id="1278372818">
      <w:bodyDiv w:val="1"/>
      <w:marLeft w:val="0"/>
      <w:marRight w:val="0"/>
      <w:marTop w:val="0"/>
      <w:marBottom w:val="0"/>
      <w:divBdr>
        <w:top w:val="none" w:sz="0" w:space="0" w:color="auto"/>
        <w:left w:val="none" w:sz="0" w:space="0" w:color="auto"/>
        <w:bottom w:val="none" w:sz="0" w:space="0" w:color="auto"/>
        <w:right w:val="none" w:sz="0" w:space="0" w:color="auto"/>
      </w:divBdr>
    </w:div>
    <w:div w:id="1383752975">
      <w:bodyDiv w:val="1"/>
      <w:marLeft w:val="0"/>
      <w:marRight w:val="0"/>
      <w:marTop w:val="0"/>
      <w:marBottom w:val="0"/>
      <w:divBdr>
        <w:top w:val="none" w:sz="0" w:space="0" w:color="auto"/>
        <w:left w:val="none" w:sz="0" w:space="0" w:color="auto"/>
        <w:bottom w:val="none" w:sz="0" w:space="0" w:color="auto"/>
        <w:right w:val="none" w:sz="0" w:space="0" w:color="auto"/>
      </w:divBdr>
    </w:div>
    <w:div w:id="1393307861">
      <w:bodyDiv w:val="1"/>
      <w:marLeft w:val="0"/>
      <w:marRight w:val="0"/>
      <w:marTop w:val="0"/>
      <w:marBottom w:val="0"/>
      <w:divBdr>
        <w:top w:val="none" w:sz="0" w:space="0" w:color="auto"/>
        <w:left w:val="none" w:sz="0" w:space="0" w:color="auto"/>
        <w:bottom w:val="none" w:sz="0" w:space="0" w:color="auto"/>
        <w:right w:val="none" w:sz="0" w:space="0" w:color="auto"/>
      </w:divBdr>
    </w:div>
    <w:div w:id="1431857761">
      <w:bodyDiv w:val="1"/>
      <w:marLeft w:val="0"/>
      <w:marRight w:val="0"/>
      <w:marTop w:val="0"/>
      <w:marBottom w:val="0"/>
      <w:divBdr>
        <w:top w:val="none" w:sz="0" w:space="0" w:color="auto"/>
        <w:left w:val="none" w:sz="0" w:space="0" w:color="auto"/>
        <w:bottom w:val="none" w:sz="0" w:space="0" w:color="auto"/>
        <w:right w:val="none" w:sz="0" w:space="0" w:color="auto"/>
      </w:divBdr>
    </w:div>
    <w:div w:id="1435663919">
      <w:bodyDiv w:val="1"/>
      <w:marLeft w:val="0"/>
      <w:marRight w:val="0"/>
      <w:marTop w:val="0"/>
      <w:marBottom w:val="0"/>
      <w:divBdr>
        <w:top w:val="none" w:sz="0" w:space="0" w:color="auto"/>
        <w:left w:val="none" w:sz="0" w:space="0" w:color="auto"/>
        <w:bottom w:val="none" w:sz="0" w:space="0" w:color="auto"/>
        <w:right w:val="none" w:sz="0" w:space="0" w:color="auto"/>
      </w:divBdr>
    </w:div>
    <w:div w:id="1450778656">
      <w:bodyDiv w:val="1"/>
      <w:marLeft w:val="0"/>
      <w:marRight w:val="0"/>
      <w:marTop w:val="0"/>
      <w:marBottom w:val="0"/>
      <w:divBdr>
        <w:top w:val="none" w:sz="0" w:space="0" w:color="auto"/>
        <w:left w:val="none" w:sz="0" w:space="0" w:color="auto"/>
        <w:bottom w:val="none" w:sz="0" w:space="0" w:color="auto"/>
        <w:right w:val="none" w:sz="0" w:space="0" w:color="auto"/>
      </w:divBdr>
    </w:div>
    <w:div w:id="1459760970">
      <w:bodyDiv w:val="1"/>
      <w:marLeft w:val="0"/>
      <w:marRight w:val="0"/>
      <w:marTop w:val="0"/>
      <w:marBottom w:val="0"/>
      <w:divBdr>
        <w:top w:val="none" w:sz="0" w:space="0" w:color="auto"/>
        <w:left w:val="none" w:sz="0" w:space="0" w:color="auto"/>
        <w:bottom w:val="none" w:sz="0" w:space="0" w:color="auto"/>
        <w:right w:val="none" w:sz="0" w:space="0" w:color="auto"/>
      </w:divBdr>
    </w:div>
    <w:div w:id="1476948597">
      <w:bodyDiv w:val="1"/>
      <w:marLeft w:val="0"/>
      <w:marRight w:val="0"/>
      <w:marTop w:val="0"/>
      <w:marBottom w:val="0"/>
      <w:divBdr>
        <w:top w:val="none" w:sz="0" w:space="0" w:color="auto"/>
        <w:left w:val="none" w:sz="0" w:space="0" w:color="auto"/>
        <w:bottom w:val="none" w:sz="0" w:space="0" w:color="auto"/>
        <w:right w:val="none" w:sz="0" w:space="0" w:color="auto"/>
      </w:divBdr>
    </w:div>
    <w:div w:id="1493905785">
      <w:bodyDiv w:val="1"/>
      <w:marLeft w:val="0"/>
      <w:marRight w:val="0"/>
      <w:marTop w:val="0"/>
      <w:marBottom w:val="0"/>
      <w:divBdr>
        <w:top w:val="none" w:sz="0" w:space="0" w:color="auto"/>
        <w:left w:val="none" w:sz="0" w:space="0" w:color="auto"/>
        <w:bottom w:val="none" w:sz="0" w:space="0" w:color="auto"/>
        <w:right w:val="none" w:sz="0" w:space="0" w:color="auto"/>
      </w:divBdr>
    </w:div>
    <w:div w:id="1503156729">
      <w:bodyDiv w:val="1"/>
      <w:marLeft w:val="0"/>
      <w:marRight w:val="0"/>
      <w:marTop w:val="0"/>
      <w:marBottom w:val="0"/>
      <w:divBdr>
        <w:top w:val="none" w:sz="0" w:space="0" w:color="auto"/>
        <w:left w:val="none" w:sz="0" w:space="0" w:color="auto"/>
        <w:bottom w:val="none" w:sz="0" w:space="0" w:color="auto"/>
        <w:right w:val="none" w:sz="0" w:space="0" w:color="auto"/>
      </w:divBdr>
    </w:div>
    <w:div w:id="1505895436">
      <w:bodyDiv w:val="1"/>
      <w:marLeft w:val="0"/>
      <w:marRight w:val="0"/>
      <w:marTop w:val="0"/>
      <w:marBottom w:val="0"/>
      <w:divBdr>
        <w:top w:val="none" w:sz="0" w:space="0" w:color="auto"/>
        <w:left w:val="none" w:sz="0" w:space="0" w:color="auto"/>
        <w:bottom w:val="none" w:sz="0" w:space="0" w:color="auto"/>
        <w:right w:val="none" w:sz="0" w:space="0" w:color="auto"/>
      </w:divBdr>
    </w:div>
    <w:div w:id="1524826970">
      <w:bodyDiv w:val="1"/>
      <w:marLeft w:val="0"/>
      <w:marRight w:val="0"/>
      <w:marTop w:val="0"/>
      <w:marBottom w:val="0"/>
      <w:divBdr>
        <w:top w:val="none" w:sz="0" w:space="0" w:color="auto"/>
        <w:left w:val="none" w:sz="0" w:space="0" w:color="auto"/>
        <w:bottom w:val="none" w:sz="0" w:space="0" w:color="auto"/>
        <w:right w:val="none" w:sz="0" w:space="0" w:color="auto"/>
      </w:divBdr>
      <w:divsChild>
        <w:div w:id="1649279729">
          <w:marLeft w:val="0"/>
          <w:marRight w:val="0"/>
          <w:marTop w:val="0"/>
          <w:marBottom w:val="0"/>
          <w:divBdr>
            <w:top w:val="none" w:sz="0" w:space="0" w:color="auto"/>
            <w:left w:val="none" w:sz="0" w:space="0" w:color="auto"/>
            <w:bottom w:val="none" w:sz="0" w:space="0" w:color="auto"/>
            <w:right w:val="none" w:sz="0" w:space="0" w:color="auto"/>
          </w:divBdr>
          <w:divsChild>
            <w:div w:id="1596480307">
              <w:marLeft w:val="-225"/>
              <w:marRight w:val="-225"/>
              <w:marTop w:val="0"/>
              <w:marBottom w:val="0"/>
              <w:divBdr>
                <w:top w:val="none" w:sz="0" w:space="0" w:color="auto"/>
                <w:left w:val="none" w:sz="0" w:space="0" w:color="auto"/>
                <w:bottom w:val="none" w:sz="0" w:space="0" w:color="auto"/>
                <w:right w:val="none" w:sz="0" w:space="0" w:color="auto"/>
              </w:divBdr>
              <w:divsChild>
                <w:div w:id="1694066210">
                  <w:marLeft w:val="0"/>
                  <w:marRight w:val="0"/>
                  <w:marTop w:val="0"/>
                  <w:marBottom w:val="0"/>
                  <w:divBdr>
                    <w:top w:val="none" w:sz="0" w:space="0" w:color="auto"/>
                    <w:left w:val="none" w:sz="0" w:space="0" w:color="auto"/>
                    <w:bottom w:val="none" w:sz="0" w:space="0" w:color="auto"/>
                    <w:right w:val="none" w:sz="0" w:space="0" w:color="auto"/>
                  </w:divBdr>
                  <w:divsChild>
                    <w:div w:id="1273128129">
                      <w:marLeft w:val="-225"/>
                      <w:marRight w:val="-225"/>
                      <w:marTop w:val="0"/>
                      <w:marBottom w:val="0"/>
                      <w:divBdr>
                        <w:top w:val="none" w:sz="0" w:space="0" w:color="auto"/>
                        <w:left w:val="none" w:sz="0" w:space="0" w:color="auto"/>
                        <w:bottom w:val="none" w:sz="0" w:space="0" w:color="auto"/>
                        <w:right w:val="none" w:sz="0" w:space="0" w:color="auto"/>
                      </w:divBdr>
                      <w:divsChild>
                        <w:div w:id="1236748288">
                          <w:marLeft w:val="0"/>
                          <w:marRight w:val="0"/>
                          <w:marTop w:val="0"/>
                          <w:marBottom w:val="0"/>
                          <w:divBdr>
                            <w:top w:val="none" w:sz="0" w:space="0" w:color="auto"/>
                            <w:left w:val="none" w:sz="0" w:space="0" w:color="auto"/>
                            <w:bottom w:val="none" w:sz="0" w:space="0" w:color="auto"/>
                            <w:right w:val="none" w:sz="0" w:space="0" w:color="auto"/>
                          </w:divBdr>
                          <w:divsChild>
                            <w:div w:id="719086624">
                              <w:marLeft w:val="-225"/>
                              <w:marRight w:val="-225"/>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1766028751">
                                      <w:marLeft w:val="-225"/>
                                      <w:marRight w:val="-225"/>
                                      <w:marTop w:val="0"/>
                                      <w:marBottom w:val="450"/>
                                      <w:divBdr>
                                        <w:top w:val="none" w:sz="0" w:space="0" w:color="auto"/>
                                        <w:left w:val="none" w:sz="0" w:space="0" w:color="auto"/>
                                        <w:bottom w:val="none" w:sz="0" w:space="0" w:color="auto"/>
                                        <w:right w:val="none" w:sz="0" w:space="0" w:color="auto"/>
                                      </w:divBdr>
                                      <w:divsChild>
                                        <w:div w:id="13977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8071">
      <w:bodyDiv w:val="1"/>
      <w:marLeft w:val="0"/>
      <w:marRight w:val="0"/>
      <w:marTop w:val="0"/>
      <w:marBottom w:val="0"/>
      <w:divBdr>
        <w:top w:val="none" w:sz="0" w:space="0" w:color="auto"/>
        <w:left w:val="none" w:sz="0" w:space="0" w:color="auto"/>
        <w:bottom w:val="none" w:sz="0" w:space="0" w:color="auto"/>
        <w:right w:val="none" w:sz="0" w:space="0" w:color="auto"/>
      </w:divBdr>
      <w:divsChild>
        <w:div w:id="839583206">
          <w:marLeft w:val="547"/>
          <w:marRight w:val="0"/>
          <w:marTop w:val="0"/>
          <w:marBottom w:val="0"/>
          <w:divBdr>
            <w:top w:val="none" w:sz="0" w:space="0" w:color="auto"/>
            <w:left w:val="none" w:sz="0" w:space="0" w:color="auto"/>
            <w:bottom w:val="none" w:sz="0" w:space="0" w:color="auto"/>
            <w:right w:val="none" w:sz="0" w:space="0" w:color="auto"/>
          </w:divBdr>
        </w:div>
      </w:divsChild>
    </w:div>
    <w:div w:id="1588466836">
      <w:bodyDiv w:val="1"/>
      <w:marLeft w:val="0"/>
      <w:marRight w:val="0"/>
      <w:marTop w:val="0"/>
      <w:marBottom w:val="0"/>
      <w:divBdr>
        <w:top w:val="none" w:sz="0" w:space="0" w:color="auto"/>
        <w:left w:val="none" w:sz="0" w:space="0" w:color="auto"/>
        <w:bottom w:val="none" w:sz="0" w:space="0" w:color="auto"/>
        <w:right w:val="none" w:sz="0" w:space="0" w:color="auto"/>
      </w:divBdr>
    </w:div>
    <w:div w:id="1638025164">
      <w:bodyDiv w:val="1"/>
      <w:marLeft w:val="0"/>
      <w:marRight w:val="0"/>
      <w:marTop w:val="0"/>
      <w:marBottom w:val="0"/>
      <w:divBdr>
        <w:top w:val="none" w:sz="0" w:space="0" w:color="auto"/>
        <w:left w:val="none" w:sz="0" w:space="0" w:color="auto"/>
        <w:bottom w:val="none" w:sz="0" w:space="0" w:color="auto"/>
        <w:right w:val="none" w:sz="0" w:space="0" w:color="auto"/>
      </w:divBdr>
    </w:div>
    <w:div w:id="1644769445">
      <w:bodyDiv w:val="1"/>
      <w:marLeft w:val="0"/>
      <w:marRight w:val="0"/>
      <w:marTop w:val="0"/>
      <w:marBottom w:val="0"/>
      <w:divBdr>
        <w:top w:val="none" w:sz="0" w:space="0" w:color="auto"/>
        <w:left w:val="none" w:sz="0" w:space="0" w:color="auto"/>
        <w:bottom w:val="none" w:sz="0" w:space="0" w:color="auto"/>
        <w:right w:val="none" w:sz="0" w:space="0" w:color="auto"/>
      </w:divBdr>
    </w:div>
    <w:div w:id="1647196367">
      <w:bodyDiv w:val="1"/>
      <w:marLeft w:val="0"/>
      <w:marRight w:val="0"/>
      <w:marTop w:val="0"/>
      <w:marBottom w:val="0"/>
      <w:divBdr>
        <w:top w:val="none" w:sz="0" w:space="0" w:color="auto"/>
        <w:left w:val="none" w:sz="0" w:space="0" w:color="auto"/>
        <w:bottom w:val="none" w:sz="0" w:space="0" w:color="auto"/>
        <w:right w:val="none" w:sz="0" w:space="0" w:color="auto"/>
      </w:divBdr>
    </w:div>
    <w:div w:id="1712798274">
      <w:bodyDiv w:val="1"/>
      <w:marLeft w:val="0"/>
      <w:marRight w:val="0"/>
      <w:marTop w:val="0"/>
      <w:marBottom w:val="0"/>
      <w:divBdr>
        <w:top w:val="none" w:sz="0" w:space="0" w:color="auto"/>
        <w:left w:val="none" w:sz="0" w:space="0" w:color="auto"/>
        <w:bottom w:val="none" w:sz="0" w:space="0" w:color="auto"/>
        <w:right w:val="none" w:sz="0" w:space="0" w:color="auto"/>
      </w:divBdr>
    </w:div>
    <w:div w:id="1718511760">
      <w:bodyDiv w:val="1"/>
      <w:marLeft w:val="0"/>
      <w:marRight w:val="0"/>
      <w:marTop w:val="0"/>
      <w:marBottom w:val="0"/>
      <w:divBdr>
        <w:top w:val="none" w:sz="0" w:space="0" w:color="auto"/>
        <w:left w:val="none" w:sz="0" w:space="0" w:color="auto"/>
        <w:bottom w:val="none" w:sz="0" w:space="0" w:color="auto"/>
        <w:right w:val="none" w:sz="0" w:space="0" w:color="auto"/>
      </w:divBdr>
    </w:div>
    <w:div w:id="1719743841">
      <w:bodyDiv w:val="1"/>
      <w:marLeft w:val="0"/>
      <w:marRight w:val="0"/>
      <w:marTop w:val="0"/>
      <w:marBottom w:val="0"/>
      <w:divBdr>
        <w:top w:val="none" w:sz="0" w:space="0" w:color="auto"/>
        <w:left w:val="none" w:sz="0" w:space="0" w:color="auto"/>
        <w:bottom w:val="none" w:sz="0" w:space="0" w:color="auto"/>
        <w:right w:val="none" w:sz="0" w:space="0" w:color="auto"/>
      </w:divBdr>
      <w:divsChild>
        <w:div w:id="1359743867">
          <w:marLeft w:val="547"/>
          <w:marRight w:val="0"/>
          <w:marTop w:val="130"/>
          <w:marBottom w:val="0"/>
          <w:divBdr>
            <w:top w:val="none" w:sz="0" w:space="0" w:color="auto"/>
            <w:left w:val="none" w:sz="0" w:space="0" w:color="auto"/>
            <w:bottom w:val="none" w:sz="0" w:space="0" w:color="auto"/>
            <w:right w:val="none" w:sz="0" w:space="0" w:color="auto"/>
          </w:divBdr>
        </w:div>
      </w:divsChild>
    </w:div>
    <w:div w:id="1768575890">
      <w:bodyDiv w:val="1"/>
      <w:marLeft w:val="0"/>
      <w:marRight w:val="0"/>
      <w:marTop w:val="0"/>
      <w:marBottom w:val="0"/>
      <w:divBdr>
        <w:top w:val="none" w:sz="0" w:space="0" w:color="auto"/>
        <w:left w:val="none" w:sz="0" w:space="0" w:color="auto"/>
        <w:bottom w:val="none" w:sz="0" w:space="0" w:color="auto"/>
        <w:right w:val="none" w:sz="0" w:space="0" w:color="auto"/>
      </w:divBdr>
    </w:div>
    <w:div w:id="1789230685">
      <w:bodyDiv w:val="1"/>
      <w:marLeft w:val="0"/>
      <w:marRight w:val="0"/>
      <w:marTop w:val="0"/>
      <w:marBottom w:val="0"/>
      <w:divBdr>
        <w:top w:val="none" w:sz="0" w:space="0" w:color="auto"/>
        <w:left w:val="none" w:sz="0" w:space="0" w:color="auto"/>
        <w:bottom w:val="none" w:sz="0" w:space="0" w:color="auto"/>
        <w:right w:val="none" w:sz="0" w:space="0" w:color="auto"/>
      </w:divBdr>
    </w:div>
    <w:div w:id="1792361383">
      <w:bodyDiv w:val="1"/>
      <w:marLeft w:val="0"/>
      <w:marRight w:val="0"/>
      <w:marTop w:val="0"/>
      <w:marBottom w:val="0"/>
      <w:divBdr>
        <w:top w:val="none" w:sz="0" w:space="0" w:color="auto"/>
        <w:left w:val="none" w:sz="0" w:space="0" w:color="auto"/>
        <w:bottom w:val="none" w:sz="0" w:space="0" w:color="auto"/>
        <w:right w:val="none" w:sz="0" w:space="0" w:color="auto"/>
      </w:divBdr>
    </w:div>
    <w:div w:id="1802309964">
      <w:bodyDiv w:val="1"/>
      <w:marLeft w:val="0"/>
      <w:marRight w:val="0"/>
      <w:marTop w:val="0"/>
      <w:marBottom w:val="0"/>
      <w:divBdr>
        <w:top w:val="none" w:sz="0" w:space="0" w:color="auto"/>
        <w:left w:val="none" w:sz="0" w:space="0" w:color="auto"/>
        <w:bottom w:val="none" w:sz="0" w:space="0" w:color="auto"/>
        <w:right w:val="none" w:sz="0" w:space="0" w:color="auto"/>
      </w:divBdr>
    </w:div>
    <w:div w:id="1839274446">
      <w:bodyDiv w:val="1"/>
      <w:marLeft w:val="0"/>
      <w:marRight w:val="0"/>
      <w:marTop w:val="0"/>
      <w:marBottom w:val="0"/>
      <w:divBdr>
        <w:top w:val="none" w:sz="0" w:space="0" w:color="auto"/>
        <w:left w:val="none" w:sz="0" w:space="0" w:color="auto"/>
        <w:bottom w:val="none" w:sz="0" w:space="0" w:color="auto"/>
        <w:right w:val="none" w:sz="0" w:space="0" w:color="auto"/>
      </w:divBdr>
    </w:div>
    <w:div w:id="1839611958">
      <w:bodyDiv w:val="1"/>
      <w:marLeft w:val="0"/>
      <w:marRight w:val="0"/>
      <w:marTop w:val="0"/>
      <w:marBottom w:val="0"/>
      <w:divBdr>
        <w:top w:val="none" w:sz="0" w:space="0" w:color="auto"/>
        <w:left w:val="none" w:sz="0" w:space="0" w:color="auto"/>
        <w:bottom w:val="none" w:sz="0" w:space="0" w:color="auto"/>
        <w:right w:val="none" w:sz="0" w:space="0" w:color="auto"/>
      </w:divBdr>
    </w:div>
    <w:div w:id="1849127061">
      <w:bodyDiv w:val="1"/>
      <w:marLeft w:val="0"/>
      <w:marRight w:val="0"/>
      <w:marTop w:val="0"/>
      <w:marBottom w:val="0"/>
      <w:divBdr>
        <w:top w:val="none" w:sz="0" w:space="0" w:color="auto"/>
        <w:left w:val="none" w:sz="0" w:space="0" w:color="auto"/>
        <w:bottom w:val="none" w:sz="0" w:space="0" w:color="auto"/>
        <w:right w:val="none" w:sz="0" w:space="0" w:color="auto"/>
      </w:divBdr>
      <w:divsChild>
        <w:div w:id="525481564">
          <w:marLeft w:val="0"/>
          <w:marRight w:val="0"/>
          <w:marTop w:val="0"/>
          <w:marBottom w:val="0"/>
          <w:divBdr>
            <w:top w:val="none" w:sz="0" w:space="0" w:color="auto"/>
            <w:left w:val="none" w:sz="0" w:space="0" w:color="auto"/>
            <w:bottom w:val="none" w:sz="0" w:space="0" w:color="auto"/>
            <w:right w:val="none" w:sz="0" w:space="0" w:color="auto"/>
          </w:divBdr>
          <w:divsChild>
            <w:div w:id="218322344">
              <w:marLeft w:val="-225"/>
              <w:marRight w:val="-225"/>
              <w:marTop w:val="0"/>
              <w:marBottom w:val="0"/>
              <w:divBdr>
                <w:top w:val="none" w:sz="0" w:space="0" w:color="auto"/>
                <w:left w:val="none" w:sz="0" w:space="0" w:color="auto"/>
                <w:bottom w:val="none" w:sz="0" w:space="0" w:color="auto"/>
                <w:right w:val="none" w:sz="0" w:space="0" w:color="auto"/>
              </w:divBdr>
              <w:divsChild>
                <w:div w:id="477769835">
                  <w:marLeft w:val="0"/>
                  <w:marRight w:val="0"/>
                  <w:marTop w:val="0"/>
                  <w:marBottom w:val="0"/>
                  <w:divBdr>
                    <w:top w:val="none" w:sz="0" w:space="0" w:color="auto"/>
                    <w:left w:val="none" w:sz="0" w:space="0" w:color="auto"/>
                    <w:bottom w:val="none" w:sz="0" w:space="0" w:color="auto"/>
                    <w:right w:val="none" w:sz="0" w:space="0" w:color="auto"/>
                  </w:divBdr>
                  <w:divsChild>
                    <w:div w:id="645012589">
                      <w:marLeft w:val="-225"/>
                      <w:marRight w:val="-225"/>
                      <w:marTop w:val="0"/>
                      <w:marBottom w:val="0"/>
                      <w:divBdr>
                        <w:top w:val="none" w:sz="0" w:space="0" w:color="auto"/>
                        <w:left w:val="none" w:sz="0" w:space="0" w:color="auto"/>
                        <w:bottom w:val="none" w:sz="0" w:space="0" w:color="auto"/>
                        <w:right w:val="none" w:sz="0" w:space="0" w:color="auto"/>
                      </w:divBdr>
                      <w:divsChild>
                        <w:div w:id="2058506290">
                          <w:marLeft w:val="0"/>
                          <w:marRight w:val="0"/>
                          <w:marTop w:val="0"/>
                          <w:marBottom w:val="0"/>
                          <w:divBdr>
                            <w:top w:val="none" w:sz="0" w:space="0" w:color="auto"/>
                            <w:left w:val="none" w:sz="0" w:space="0" w:color="auto"/>
                            <w:bottom w:val="none" w:sz="0" w:space="0" w:color="auto"/>
                            <w:right w:val="none" w:sz="0" w:space="0" w:color="auto"/>
                          </w:divBdr>
                          <w:divsChild>
                            <w:div w:id="1814984051">
                              <w:marLeft w:val="-225"/>
                              <w:marRight w:val="-225"/>
                              <w:marTop w:val="0"/>
                              <w:marBottom w:val="0"/>
                              <w:divBdr>
                                <w:top w:val="none" w:sz="0" w:space="0" w:color="auto"/>
                                <w:left w:val="none" w:sz="0" w:space="0" w:color="auto"/>
                                <w:bottom w:val="none" w:sz="0" w:space="0" w:color="auto"/>
                                <w:right w:val="none" w:sz="0" w:space="0" w:color="auto"/>
                              </w:divBdr>
                              <w:divsChild>
                                <w:div w:id="1136877481">
                                  <w:marLeft w:val="0"/>
                                  <w:marRight w:val="0"/>
                                  <w:marTop w:val="0"/>
                                  <w:marBottom w:val="0"/>
                                  <w:divBdr>
                                    <w:top w:val="none" w:sz="0" w:space="0" w:color="auto"/>
                                    <w:left w:val="none" w:sz="0" w:space="0" w:color="auto"/>
                                    <w:bottom w:val="none" w:sz="0" w:space="0" w:color="auto"/>
                                    <w:right w:val="none" w:sz="0" w:space="0" w:color="auto"/>
                                  </w:divBdr>
                                  <w:divsChild>
                                    <w:div w:id="1834835142">
                                      <w:marLeft w:val="-225"/>
                                      <w:marRight w:val="-225"/>
                                      <w:marTop w:val="0"/>
                                      <w:marBottom w:val="450"/>
                                      <w:divBdr>
                                        <w:top w:val="none" w:sz="0" w:space="0" w:color="auto"/>
                                        <w:left w:val="none" w:sz="0" w:space="0" w:color="auto"/>
                                        <w:bottom w:val="none" w:sz="0" w:space="0" w:color="auto"/>
                                        <w:right w:val="none" w:sz="0" w:space="0" w:color="auto"/>
                                      </w:divBdr>
                                      <w:divsChild>
                                        <w:div w:id="17792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697125">
      <w:bodyDiv w:val="1"/>
      <w:marLeft w:val="0"/>
      <w:marRight w:val="0"/>
      <w:marTop w:val="0"/>
      <w:marBottom w:val="0"/>
      <w:divBdr>
        <w:top w:val="none" w:sz="0" w:space="0" w:color="auto"/>
        <w:left w:val="none" w:sz="0" w:space="0" w:color="auto"/>
        <w:bottom w:val="none" w:sz="0" w:space="0" w:color="auto"/>
        <w:right w:val="none" w:sz="0" w:space="0" w:color="auto"/>
      </w:divBdr>
    </w:div>
    <w:div w:id="1899246242">
      <w:bodyDiv w:val="1"/>
      <w:marLeft w:val="0"/>
      <w:marRight w:val="0"/>
      <w:marTop w:val="0"/>
      <w:marBottom w:val="0"/>
      <w:divBdr>
        <w:top w:val="none" w:sz="0" w:space="0" w:color="auto"/>
        <w:left w:val="none" w:sz="0" w:space="0" w:color="auto"/>
        <w:bottom w:val="none" w:sz="0" w:space="0" w:color="auto"/>
        <w:right w:val="none" w:sz="0" w:space="0" w:color="auto"/>
      </w:divBdr>
    </w:div>
    <w:div w:id="1965503757">
      <w:bodyDiv w:val="1"/>
      <w:marLeft w:val="0"/>
      <w:marRight w:val="0"/>
      <w:marTop w:val="0"/>
      <w:marBottom w:val="0"/>
      <w:divBdr>
        <w:top w:val="none" w:sz="0" w:space="0" w:color="auto"/>
        <w:left w:val="none" w:sz="0" w:space="0" w:color="auto"/>
        <w:bottom w:val="none" w:sz="0" w:space="0" w:color="auto"/>
        <w:right w:val="none" w:sz="0" w:space="0" w:color="auto"/>
      </w:divBdr>
    </w:div>
    <w:div w:id="2106531373">
      <w:bodyDiv w:val="1"/>
      <w:marLeft w:val="0"/>
      <w:marRight w:val="0"/>
      <w:marTop w:val="0"/>
      <w:marBottom w:val="0"/>
      <w:divBdr>
        <w:top w:val="none" w:sz="0" w:space="0" w:color="auto"/>
        <w:left w:val="none" w:sz="0" w:space="0" w:color="auto"/>
        <w:bottom w:val="none" w:sz="0" w:space="0" w:color="auto"/>
        <w:right w:val="none" w:sz="0" w:space="0" w:color="auto"/>
      </w:divBdr>
    </w:div>
    <w:div w:id="2126533203">
      <w:bodyDiv w:val="1"/>
      <w:marLeft w:val="0"/>
      <w:marRight w:val="0"/>
      <w:marTop w:val="0"/>
      <w:marBottom w:val="0"/>
      <w:divBdr>
        <w:top w:val="none" w:sz="0" w:space="0" w:color="auto"/>
        <w:left w:val="none" w:sz="0" w:space="0" w:color="auto"/>
        <w:bottom w:val="none" w:sz="0" w:space="0" w:color="auto"/>
        <w:right w:val="none" w:sz="0" w:space="0" w:color="auto"/>
      </w:divBdr>
      <w:divsChild>
        <w:div w:id="512307360">
          <w:marLeft w:val="0"/>
          <w:marRight w:val="0"/>
          <w:marTop w:val="0"/>
          <w:marBottom w:val="0"/>
          <w:divBdr>
            <w:top w:val="none" w:sz="0" w:space="0" w:color="auto"/>
            <w:left w:val="none" w:sz="0" w:space="0" w:color="auto"/>
            <w:bottom w:val="none" w:sz="0" w:space="0" w:color="auto"/>
            <w:right w:val="none" w:sz="0" w:space="0" w:color="auto"/>
          </w:divBdr>
          <w:divsChild>
            <w:div w:id="614481231">
              <w:marLeft w:val="0"/>
              <w:marRight w:val="0"/>
              <w:marTop w:val="0"/>
              <w:marBottom w:val="0"/>
              <w:divBdr>
                <w:top w:val="none" w:sz="0" w:space="0" w:color="auto"/>
                <w:left w:val="none" w:sz="0" w:space="0" w:color="auto"/>
                <w:bottom w:val="none" w:sz="0" w:space="0" w:color="auto"/>
                <w:right w:val="none" w:sz="0" w:space="0" w:color="auto"/>
              </w:divBdr>
              <w:divsChild>
                <w:div w:id="2040349601">
                  <w:marLeft w:val="0"/>
                  <w:marRight w:val="0"/>
                  <w:marTop w:val="0"/>
                  <w:marBottom w:val="0"/>
                  <w:divBdr>
                    <w:top w:val="none" w:sz="0" w:space="0" w:color="auto"/>
                    <w:left w:val="none" w:sz="0" w:space="0" w:color="auto"/>
                    <w:bottom w:val="none" w:sz="0" w:space="0" w:color="auto"/>
                    <w:right w:val="none" w:sz="0" w:space="0" w:color="auto"/>
                  </w:divBdr>
                  <w:divsChild>
                    <w:div w:id="270743412">
                      <w:marLeft w:val="0"/>
                      <w:marRight w:val="0"/>
                      <w:marTop w:val="0"/>
                      <w:marBottom w:val="0"/>
                      <w:divBdr>
                        <w:top w:val="none" w:sz="0" w:space="0" w:color="auto"/>
                        <w:left w:val="none" w:sz="0" w:space="0" w:color="auto"/>
                        <w:bottom w:val="none" w:sz="0" w:space="0" w:color="auto"/>
                        <w:right w:val="none" w:sz="0" w:space="0" w:color="auto"/>
                      </w:divBdr>
                      <w:divsChild>
                        <w:div w:id="844395005">
                          <w:marLeft w:val="0"/>
                          <w:marRight w:val="0"/>
                          <w:marTop w:val="15"/>
                          <w:marBottom w:val="0"/>
                          <w:divBdr>
                            <w:top w:val="none" w:sz="0" w:space="0" w:color="auto"/>
                            <w:left w:val="none" w:sz="0" w:space="0" w:color="auto"/>
                            <w:bottom w:val="none" w:sz="0" w:space="0" w:color="auto"/>
                            <w:right w:val="none" w:sz="0" w:space="0" w:color="auto"/>
                          </w:divBdr>
                          <w:divsChild>
                            <w:div w:id="981882067">
                              <w:marLeft w:val="0"/>
                              <w:marRight w:val="0"/>
                              <w:marTop w:val="0"/>
                              <w:marBottom w:val="0"/>
                              <w:divBdr>
                                <w:top w:val="none" w:sz="0" w:space="0" w:color="auto"/>
                                <w:left w:val="none" w:sz="0" w:space="0" w:color="auto"/>
                                <w:bottom w:val="none" w:sz="0" w:space="0" w:color="auto"/>
                                <w:right w:val="none" w:sz="0" w:space="0" w:color="auto"/>
                              </w:divBdr>
                              <w:divsChild>
                                <w:div w:id="91320362">
                                  <w:marLeft w:val="0"/>
                                  <w:marRight w:val="0"/>
                                  <w:marTop w:val="0"/>
                                  <w:marBottom w:val="0"/>
                                  <w:divBdr>
                                    <w:top w:val="none" w:sz="0" w:space="0" w:color="auto"/>
                                    <w:left w:val="none" w:sz="0" w:space="0" w:color="auto"/>
                                    <w:bottom w:val="none" w:sz="0" w:space="0" w:color="auto"/>
                                    <w:right w:val="none" w:sz="0" w:space="0" w:color="auto"/>
                                  </w:divBdr>
                                </w:div>
                                <w:div w:id="130028649">
                                  <w:marLeft w:val="0"/>
                                  <w:marRight w:val="0"/>
                                  <w:marTop w:val="0"/>
                                  <w:marBottom w:val="0"/>
                                  <w:divBdr>
                                    <w:top w:val="none" w:sz="0" w:space="0" w:color="auto"/>
                                    <w:left w:val="none" w:sz="0" w:space="0" w:color="auto"/>
                                    <w:bottom w:val="none" w:sz="0" w:space="0" w:color="auto"/>
                                    <w:right w:val="none" w:sz="0" w:space="0" w:color="auto"/>
                                  </w:divBdr>
                                </w:div>
                                <w:div w:id="157503582">
                                  <w:marLeft w:val="0"/>
                                  <w:marRight w:val="0"/>
                                  <w:marTop w:val="0"/>
                                  <w:marBottom w:val="0"/>
                                  <w:divBdr>
                                    <w:top w:val="none" w:sz="0" w:space="0" w:color="auto"/>
                                    <w:left w:val="none" w:sz="0" w:space="0" w:color="auto"/>
                                    <w:bottom w:val="none" w:sz="0" w:space="0" w:color="auto"/>
                                    <w:right w:val="none" w:sz="0" w:space="0" w:color="auto"/>
                                  </w:divBdr>
                                </w:div>
                                <w:div w:id="462885916">
                                  <w:marLeft w:val="0"/>
                                  <w:marRight w:val="0"/>
                                  <w:marTop w:val="0"/>
                                  <w:marBottom w:val="0"/>
                                  <w:divBdr>
                                    <w:top w:val="none" w:sz="0" w:space="0" w:color="auto"/>
                                    <w:left w:val="none" w:sz="0" w:space="0" w:color="auto"/>
                                    <w:bottom w:val="none" w:sz="0" w:space="0" w:color="auto"/>
                                    <w:right w:val="none" w:sz="0" w:space="0" w:color="auto"/>
                                  </w:divBdr>
                                </w:div>
                                <w:div w:id="467865450">
                                  <w:marLeft w:val="0"/>
                                  <w:marRight w:val="0"/>
                                  <w:marTop w:val="0"/>
                                  <w:marBottom w:val="0"/>
                                  <w:divBdr>
                                    <w:top w:val="none" w:sz="0" w:space="0" w:color="auto"/>
                                    <w:left w:val="none" w:sz="0" w:space="0" w:color="auto"/>
                                    <w:bottom w:val="none" w:sz="0" w:space="0" w:color="auto"/>
                                    <w:right w:val="none" w:sz="0" w:space="0" w:color="auto"/>
                                  </w:divBdr>
                                </w:div>
                                <w:div w:id="495657710">
                                  <w:marLeft w:val="0"/>
                                  <w:marRight w:val="0"/>
                                  <w:marTop w:val="0"/>
                                  <w:marBottom w:val="0"/>
                                  <w:divBdr>
                                    <w:top w:val="none" w:sz="0" w:space="0" w:color="auto"/>
                                    <w:left w:val="none" w:sz="0" w:space="0" w:color="auto"/>
                                    <w:bottom w:val="none" w:sz="0" w:space="0" w:color="auto"/>
                                    <w:right w:val="none" w:sz="0" w:space="0" w:color="auto"/>
                                  </w:divBdr>
                                </w:div>
                                <w:div w:id="507907932">
                                  <w:marLeft w:val="0"/>
                                  <w:marRight w:val="0"/>
                                  <w:marTop w:val="0"/>
                                  <w:marBottom w:val="0"/>
                                  <w:divBdr>
                                    <w:top w:val="none" w:sz="0" w:space="0" w:color="auto"/>
                                    <w:left w:val="none" w:sz="0" w:space="0" w:color="auto"/>
                                    <w:bottom w:val="none" w:sz="0" w:space="0" w:color="auto"/>
                                    <w:right w:val="none" w:sz="0" w:space="0" w:color="auto"/>
                                  </w:divBdr>
                                </w:div>
                                <w:div w:id="946430169">
                                  <w:marLeft w:val="0"/>
                                  <w:marRight w:val="0"/>
                                  <w:marTop w:val="0"/>
                                  <w:marBottom w:val="0"/>
                                  <w:divBdr>
                                    <w:top w:val="none" w:sz="0" w:space="0" w:color="auto"/>
                                    <w:left w:val="none" w:sz="0" w:space="0" w:color="auto"/>
                                    <w:bottom w:val="none" w:sz="0" w:space="0" w:color="auto"/>
                                    <w:right w:val="none" w:sz="0" w:space="0" w:color="auto"/>
                                  </w:divBdr>
                                </w:div>
                                <w:div w:id="960771332">
                                  <w:marLeft w:val="0"/>
                                  <w:marRight w:val="0"/>
                                  <w:marTop w:val="0"/>
                                  <w:marBottom w:val="0"/>
                                  <w:divBdr>
                                    <w:top w:val="none" w:sz="0" w:space="0" w:color="auto"/>
                                    <w:left w:val="none" w:sz="0" w:space="0" w:color="auto"/>
                                    <w:bottom w:val="none" w:sz="0" w:space="0" w:color="auto"/>
                                    <w:right w:val="none" w:sz="0" w:space="0" w:color="auto"/>
                                  </w:divBdr>
                                </w:div>
                                <w:div w:id="1056047504">
                                  <w:marLeft w:val="0"/>
                                  <w:marRight w:val="0"/>
                                  <w:marTop w:val="0"/>
                                  <w:marBottom w:val="0"/>
                                  <w:divBdr>
                                    <w:top w:val="none" w:sz="0" w:space="0" w:color="auto"/>
                                    <w:left w:val="none" w:sz="0" w:space="0" w:color="auto"/>
                                    <w:bottom w:val="none" w:sz="0" w:space="0" w:color="auto"/>
                                    <w:right w:val="none" w:sz="0" w:space="0" w:color="auto"/>
                                  </w:divBdr>
                                </w:div>
                                <w:div w:id="1138718884">
                                  <w:marLeft w:val="0"/>
                                  <w:marRight w:val="0"/>
                                  <w:marTop w:val="0"/>
                                  <w:marBottom w:val="0"/>
                                  <w:divBdr>
                                    <w:top w:val="none" w:sz="0" w:space="0" w:color="auto"/>
                                    <w:left w:val="none" w:sz="0" w:space="0" w:color="auto"/>
                                    <w:bottom w:val="none" w:sz="0" w:space="0" w:color="auto"/>
                                    <w:right w:val="none" w:sz="0" w:space="0" w:color="auto"/>
                                  </w:divBdr>
                                </w:div>
                                <w:div w:id="1317690486">
                                  <w:marLeft w:val="0"/>
                                  <w:marRight w:val="0"/>
                                  <w:marTop w:val="0"/>
                                  <w:marBottom w:val="0"/>
                                  <w:divBdr>
                                    <w:top w:val="none" w:sz="0" w:space="0" w:color="auto"/>
                                    <w:left w:val="none" w:sz="0" w:space="0" w:color="auto"/>
                                    <w:bottom w:val="none" w:sz="0" w:space="0" w:color="auto"/>
                                    <w:right w:val="none" w:sz="0" w:space="0" w:color="auto"/>
                                  </w:divBdr>
                                </w:div>
                                <w:div w:id="1318001423">
                                  <w:marLeft w:val="0"/>
                                  <w:marRight w:val="0"/>
                                  <w:marTop w:val="0"/>
                                  <w:marBottom w:val="0"/>
                                  <w:divBdr>
                                    <w:top w:val="none" w:sz="0" w:space="0" w:color="auto"/>
                                    <w:left w:val="none" w:sz="0" w:space="0" w:color="auto"/>
                                    <w:bottom w:val="none" w:sz="0" w:space="0" w:color="auto"/>
                                    <w:right w:val="none" w:sz="0" w:space="0" w:color="auto"/>
                                  </w:divBdr>
                                </w:div>
                                <w:div w:id="1372539384">
                                  <w:marLeft w:val="0"/>
                                  <w:marRight w:val="0"/>
                                  <w:marTop w:val="0"/>
                                  <w:marBottom w:val="0"/>
                                  <w:divBdr>
                                    <w:top w:val="none" w:sz="0" w:space="0" w:color="auto"/>
                                    <w:left w:val="none" w:sz="0" w:space="0" w:color="auto"/>
                                    <w:bottom w:val="none" w:sz="0" w:space="0" w:color="auto"/>
                                    <w:right w:val="none" w:sz="0" w:space="0" w:color="auto"/>
                                  </w:divBdr>
                                </w:div>
                                <w:div w:id="1469712866">
                                  <w:marLeft w:val="0"/>
                                  <w:marRight w:val="0"/>
                                  <w:marTop w:val="0"/>
                                  <w:marBottom w:val="0"/>
                                  <w:divBdr>
                                    <w:top w:val="none" w:sz="0" w:space="0" w:color="auto"/>
                                    <w:left w:val="none" w:sz="0" w:space="0" w:color="auto"/>
                                    <w:bottom w:val="none" w:sz="0" w:space="0" w:color="auto"/>
                                    <w:right w:val="none" w:sz="0" w:space="0" w:color="auto"/>
                                  </w:divBdr>
                                </w:div>
                                <w:div w:id="1638491709">
                                  <w:marLeft w:val="0"/>
                                  <w:marRight w:val="0"/>
                                  <w:marTop w:val="0"/>
                                  <w:marBottom w:val="0"/>
                                  <w:divBdr>
                                    <w:top w:val="none" w:sz="0" w:space="0" w:color="auto"/>
                                    <w:left w:val="none" w:sz="0" w:space="0" w:color="auto"/>
                                    <w:bottom w:val="none" w:sz="0" w:space="0" w:color="auto"/>
                                    <w:right w:val="none" w:sz="0" w:space="0" w:color="auto"/>
                                  </w:divBdr>
                                </w:div>
                                <w:div w:id="1791241670">
                                  <w:marLeft w:val="0"/>
                                  <w:marRight w:val="0"/>
                                  <w:marTop w:val="0"/>
                                  <w:marBottom w:val="0"/>
                                  <w:divBdr>
                                    <w:top w:val="none" w:sz="0" w:space="0" w:color="auto"/>
                                    <w:left w:val="none" w:sz="0" w:space="0" w:color="auto"/>
                                    <w:bottom w:val="none" w:sz="0" w:space="0" w:color="auto"/>
                                    <w:right w:val="none" w:sz="0" w:space="0" w:color="auto"/>
                                  </w:divBdr>
                                </w:div>
                                <w:div w:id="2011054927">
                                  <w:marLeft w:val="0"/>
                                  <w:marRight w:val="0"/>
                                  <w:marTop w:val="0"/>
                                  <w:marBottom w:val="0"/>
                                  <w:divBdr>
                                    <w:top w:val="none" w:sz="0" w:space="0" w:color="auto"/>
                                    <w:left w:val="none" w:sz="0" w:space="0" w:color="auto"/>
                                    <w:bottom w:val="none" w:sz="0" w:space="0" w:color="auto"/>
                                    <w:right w:val="none" w:sz="0" w:space="0" w:color="auto"/>
                                  </w:divBdr>
                                </w:div>
                                <w:div w:id="20402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1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mhcirl.ie/File/2018ResidencesReport.pdf" TargetMode="External"/><Relationship Id="rId117" Type="http://schemas.openxmlformats.org/officeDocument/2006/relationships/hyperlink" Target="https://www.hse.ie/eng/services/publications/performancereports/april-to-june-quarterly-report-2019.pdf" TargetMode="External"/><Relationship Id="rId21" Type="http://schemas.openxmlformats.org/officeDocument/2006/relationships/hyperlink" Target="https://www.hse.ie/eng/services/list/4/disability/congregatedsettings/time-to-move-on-annual-progress-report-2018.pdf" TargetMode="External"/><Relationship Id="rId42" Type="http://schemas.openxmlformats.org/officeDocument/2006/relationships/hyperlink" Target="http://www.irishstatutebook.ie/eli/2005/act/14/section/25/enacted/en/html" TargetMode="External"/><Relationship Id="rId47" Type="http://schemas.openxmlformats.org/officeDocument/2006/relationships/hyperlink" Target="https://www.hiqa.ie/reports-and-publications/inspection-reports" TargetMode="External"/><Relationship Id="rId63"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68" Type="http://schemas.openxmlformats.org/officeDocument/2006/relationships/hyperlink" Target="https://www.solas.ie/f/70398/x/fb640012f5/pathwaysapprenticeshipreviewnov18.pdf" TargetMode="External"/><Relationship Id="rId84"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89"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112" Type="http://schemas.openxmlformats.org/officeDocument/2006/relationships/hyperlink" Target="https://www.hiqa.ie/sites/default/files/2019-08/HIQA-DCD-5-Year-Regulation-Report-2019.pdf" TargetMode="External"/><Relationship Id="rId133" Type="http://schemas.openxmlformats.org/officeDocument/2006/relationships/hyperlink" Target="https://www.mhcirl.ie/File/2016_AR_Incl_OIMS.pdf" TargetMode="External"/><Relationship Id="rId138" Type="http://schemas.openxmlformats.org/officeDocument/2006/relationships/hyperlink" Target="https://www.hse.ie/eng/services/publications/mentalhealth/mental-health---a-vision-for-change.pdf" TargetMode="External"/><Relationship Id="rId154" Type="http://schemas.openxmlformats.org/officeDocument/2006/relationships/hyperlink" Target="https://assets.gov.ie/9673/f528d4c3856044e9a2b5545230e77a04.pdf" TargetMode="External"/><Relationship Id="rId159" Type="http://schemas.openxmlformats.org/officeDocument/2006/relationships/hyperlink" Target="https://assets.gov.ie/42246/67c484f2d912437fbd6dc87f3c20e7b9.pdf" TargetMode="External"/><Relationship Id="rId16" Type="http://schemas.openxmlformats.org/officeDocument/2006/relationships/hyperlink" Target="https://www.ihrec.ie/app/uploads/2019/06/IHREC_2018_AR_English_Digital.pdf" TargetMode="External"/><Relationship Id="rId107" Type="http://schemas.openxmlformats.org/officeDocument/2006/relationships/hyperlink" Target="https://www.tcd.ie/swsp/assets/pdf/King%20et%20al.%202016.pdf" TargetMode="External"/><Relationship Id="rId11" Type="http://schemas.openxmlformats.org/officeDocument/2006/relationships/hyperlink" Target="https://www.cso.ie/en/statistics/socialconditions/equalityanddiscrimination/" TargetMode="External"/><Relationship Id="rId32" Type="http://schemas.openxmlformats.org/officeDocument/2006/relationships/hyperlink" Target="https://advocacy.ie/app/uploads/2019/09/NAS-Annual-Report-2018-published-September-2019.pdf" TargetMode="External"/><Relationship Id="rId37" Type="http://schemas.openxmlformats.org/officeDocument/2006/relationships/hyperlink" Target="https://www.citizensinformationboard.ie/downloads/cib/annual_report_2016_en.pdf" TargetMode="External"/><Relationship Id="rId53" Type="http://schemas.openxmlformats.org/officeDocument/2006/relationships/hyperlink" Target="http://www.justice.ie/en/JELR/CES_Action_Plan_2019_to_2021.pdf/Files/CES_Action_Plan_2019_to_2021.pdf" TargetMode="External"/><Relationship Id="rId58" Type="http://schemas.openxmlformats.org/officeDocument/2006/relationships/hyperlink" Target="https://www.education.ie/en/Publications/Policy-Reports/wellbeing-policy-statement-and-framework-for-practice-2018%E2%80%932023.pdf" TargetMode="External"/><Relationship Id="rId74" Type="http://schemas.openxmlformats.org/officeDocument/2006/relationships/hyperlink" Target="https://ec.europa.eu/info/sites/info/files/file_import/2019-european-semester-country-report-ireland_en.pdf" TargetMode="External"/><Relationship Id="rId79" Type="http://schemas.openxmlformats.org/officeDocument/2006/relationships/hyperlink" Target="https://www.welfare.ie/en/downloads/DSPReportonDisabilityAllowanceSurvey2015.pdf" TargetMode="External"/><Relationship Id="rId102" Type="http://schemas.openxmlformats.org/officeDocument/2006/relationships/hyperlink" Target="https://www.gov.ie/en/collection/156b21-social-inclusion-monitor/" TargetMode="External"/><Relationship Id="rId123" Type="http://schemas.openxmlformats.org/officeDocument/2006/relationships/hyperlink" Target="http://www.nrh.ie/wp-content/uploads/2019/05/2018-NRH-Annual-Report.pdf" TargetMode="External"/><Relationship Id="rId128" Type="http://schemas.openxmlformats.org/officeDocument/2006/relationships/hyperlink" Target="https://www.mhcirl.ie/File/2018_AR_Incl_OIMS.pdf" TargetMode="External"/><Relationship Id="rId144" Type="http://schemas.openxmlformats.org/officeDocument/2006/relationships/hyperlink" Target="https://www.hse.ie/eng/services/publications/mentalhealth/mental-health---a-vision-for-change.pdf" TargetMode="External"/><Relationship Id="rId149" Type="http://schemas.openxmlformats.org/officeDocument/2006/relationships/hyperlink" Target="https://www.housing.gov.ie/sites/default/files/publications/files/sha_summary_2019_dec_2019_web_1.pdf" TargetMode="External"/><Relationship Id="rId5"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90"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95" Type="http://schemas.openxmlformats.org/officeDocument/2006/relationships/hyperlink" Target="https://www.sportireland.ie/sites/default/files/2019-11/irish-sports-monitor-annual-report-2015-1.pdf" TargetMode="External"/><Relationship Id="rId160" Type="http://schemas.openxmlformats.org/officeDocument/2006/relationships/hyperlink" Target="file:///H:\Downloads\49487_6cd114e89ce3473a97d9678a7a5bbb49.pdf" TargetMode="External"/><Relationship Id="rId165" Type="http://schemas.openxmlformats.org/officeDocument/2006/relationships/hyperlink" Target="file:///H:\Downloads\49487_6cd114e89ce3473a97d9678a7a5bbb49.pdf" TargetMode="External"/><Relationship Id="rId22" Type="http://schemas.openxmlformats.org/officeDocument/2006/relationships/hyperlink" Target="https://www.mhcirl.ie/File/2016_AR_Incl_OIMS.pdf" TargetMode="External"/><Relationship Id="rId27" Type="http://schemas.openxmlformats.org/officeDocument/2006/relationships/hyperlink" Target="https://www.hrb.ie/fileadmin/2._Plugin_related_files/Publications/2019_Publication_files/2019_HIE/NPIRS/Census/Irish_Psychiatric_In-patient_Census_2019_Main_Findings.pdf" TargetMode="External"/><Relationship Id="rId43" Type="http://schemas.openxmlformats.org/officeDocument/2006/relationships/hyperlink" Target="https://ncca.ie/media/3755/suggested-transition-activities-for-preschools.pdf" TargetMode="External"/><Relationship Id="rId48" Type="http://schemas.openxmlformats.org/officeDocument/2006/relationships/hyperlink" Target="https://www.hse.ie/eng/services/list/4/disability/newdirections/interim%20standards%20for%20new%20directions%20report.pdf" TargetMode="External"/><Relationship Id="rId64"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69"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113" Type="http://schemas.openxmlformats.org/officeDocument/2006/relationships/hyperlink" Target="https://www.mhcirl.ie/File/2018_AR_Incl_OIMS.pdf" TargetMode="External"/><Relationship Id="rId118" Type="http://schemas.openxmlformats.org/officeDocument/2006/relationships/hyperlink" Target="https://www.hse.ie/eng/services/publications/performancereports/april-to-june-2017-quarterly-report.pdf" TargetMode="External"/><Relationship Id="rId134" Type="http://schemas.openxmlformats.org/officeDocument/2006/relationships/hyperlink" Target="https://www.hse.ie/eng/services/list/4/disability/congregatedsettings/time-to-move-on-annual-progress-report-2018.pdf" TargetMode="External"/><Relationship Id="rId139" Type="http://schemas.openxmlformats.org/officeDocument/2006/relationships/hyperlink" Target="https://www.hse.ie/eng/services/list/4/disability/congregatedsettings/time-to-move-on-from-congregated-settings-%E2%80%93-a-strategy-for-community-inclusion.pdf" TargetMode="External"/><Relationship Id="rId80" Type="http://schemas.openxmlformats.org/officeDocument/2006/relationships/hyperlink" Target="https://assets.gov.ie/10940/c4c20348897148eb9a50ac2755fd680f.pdf" TargetMode="External"/><Relationship Id="rId85" Type="http://schemas.openxmlformats.org/officeDocument/2006/relationships/hyperlink" Target="https://www.oireachtas.ie/en/debates/question/2019-01-15/1089/" TargetMode="External"/><Relationship Id="rId150" Type="http://schemas.openxmlformats.org/officeDocument/2006/relationships/hyperlink" Target="https://www.cso.ie/en/csolatestnews/pressreleases/2017pressreleases/pressstatementcensus2016resultsprofile5-homelesspersonsinireland/" TargetMode="External"/><Relationship Id="rId155" Type="http://schemas.openxmlformats.org/officeDocument/2006/relationships/hyperlink" Target="http://nda.ie/publications/attitudes/public-attitudes-to-disability-in-ireland-surveys/public-attitudes-to-disability-in-ireland-survey-2017.html" TargetMode="External"/><Relationship Id="rId12" Type="http://schemas.openxmlformats.org/officeDocument/2006/relationships/hyperlink" Target="https://www.cso.ie/en/statistics/socialconditions/equalityanddiscrimination/" TargetMode="External"/><Relationship Id="rId17" Type="http://schemas.openxmlformats.org/officeDocument/2006/relationships/hyperlink" Target="https://www.ihrec.ie/app/uploads/2018/06/Annual-Report-2017.pdf" TargetMode="External"/><Relationship Id="rId33" Type="http://schemas.openxmlformats.org/officeDocument/2006/relationships/hyperlink" Target="https://www.hse.ie/eng/services/publications/olderpeople/safeguarding-data-report-2016.pdf%20" TargetMode="External"/><Relationship Id="rId38" Type="http://schemas.openxmlformats.org/officeDocument/2006/relationships/hyperlink" Target="https://www.citizensinformationboard.ie/downloads/cib/annual_report_2018_en.pdf" TargetMode="External"/><Relationship Id="rId59" Type="http://schemas.openxmlformats.org/officeDocument/2006/relationships/hyperlink" Target="https://www.growingup.ie/pubs/SUSTAT58.pdf" TargetMode="External"/><Relationship Id="rId103" Type="http://schemas.openxmlformats.org/officeDocument/2006/relationships/hyperlink" Target="https://www.gov.ie/pdf/?file=https://assets.gov.ie/46558/5cea3d74aa934fe780cc521ddbe477a7.pdf" TargetMode="External"/><Relationship Id="rId108" Type="http://schemas.openxmlformats.org/officeDocument/2006/relationships/hyperlink" Target="https://www.hse.ie/eng/services/list/4/disability/newdirections/person-centred-planning-framework-demonstration-project.html" TargetMode="External"/><Relationship Id="rId124" Type="http://schemas.openxmlformats.org/officeDocument/2006/relationships/hyperlink" Target="https://www.hse.ie/eng/services/publications/performancereports/april-to-june-2017-quarterly-report.pdf" TargetMode="External"/><Relationship Id="rId129" Type="http://schemas.openxmlformats.org/officeDocument/2006/relationships/hyperlink" Target="https://www.gov.ie/pdf/?file=https://assets.gov.ie/46558/5cea3d74aa934fe780cc521ddbe477a7.pdf" TargetMode="External"/><Relationship Id="rId54" Type="http://schemas.openxmlformats.org/officeDocument/2006/relationships/hyperlink" Target="https://www.mentalhealthreform.ie/wp-content/uploads/2018/02/Steps-into-work-FINAL.pdf" TargetMode="External"/><Relationship Id="rId70"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75" Type="http://schemas.openxmlformats.org/officeDocument/2006/relationships/hyperlink" Target="https://www.esri.ie/system/files?file=media/file-uploads/2017-03/RS58.pdf" TargetMode="External"/><Relationship Id="rId91" Type="http://schemas.openxmlformats.org/officeDocument/2006/relationships/hyperlink" Target="https://www.cso.ie/en/statistics/health/irishhealthsurvey/" TargetMode="External"/><Relationship Id="rId96" Type="http://schemas.openxmlformats.org/officeDocument/2006/relationships/hyperlink" Target="https://www.sportireland.ie/sites/default/files/2019-11/ism-2019-mid-year-report-final_0.pdf" TargetMode="External"/><Relationship Id="rId140" Type="http://schemas.openxmlformats.org/officeDocument/2006/relationships/hyperlink" Target="https://www.hse.ie/eng/services/publications/disability/progress-report-on-the-implementation-of-time-to-move-on-from-congregated-settings-a-strategy-for-community-inclusion-annual-report-2016.pdf" TargetMode="External"/><Relationship Id="rId145" Type="http://schemas.openxmlformats.org/officeDocument/2006/relationships/hyperlink" Target="https://www.hse.ie/eng/services/list/4/disability/congregatedsettings/time-to-move-on-from-congregated-settings-%E2%80%93-a-strategy-for-community-inclusion.pdf" TargetMode="External"/><Relationship Id="rId161" Type="http://schemas.openxmlformats.org/officeDocument/2006/relationships/hyperlink" Target="https://www.irishrail.ie/travel-information/accessibility-onboard-trains/access-dart-app" TargetMode="External"/><Relationship Id="rId166" Type="http://schemas.openxmlformats.org/officeDocument/2006/relationships/hyperlink" Target="http://nda.ie/Publications/Environment-Housing/Environment-Publications/Operational-Review-of-the-Effectiveness-of-Section-25-of-the-Disability-Act-20051.pdf" TargetMode="External"/><Relationship Id="rId1" Type="http://schemas.openxmlformats.org/officeDocument/2006/relationships/hyperlink" Target="https://assets.gov.ie/18901/26182a87ecf84ddd8d60c215c0ce2520.pdf" TargetMode="External"/><Relationship Id="rId6" Type="http://schemas.openxmlformats.org/officeDocument/2006/relationships/hyperlink" Target="http://nda.ie/Publications/Justice-and-Safeguarding/National-Disability-Inclusion-Strategy/An-Indicator-Set-to-Monitor-the-NDIS1.pdf" TargetMode="External"/><Relationship Id="rId15" Type="http://schemas.openxmlformats.org/officeDocument/2006/relationships/hyperlink" Target="https://www.workplacerelations.ie/en/search/?advance=true" TargetMode="External"/><Relationship Id="rId23" Type="http://schemas.openxmlformats.org/officeDocument/2006/relationships/hyperlink" Target="https://www.mhcirl.ie/File/2018_AR_Incl_OIMS.pdf" TargetMode="External"/><Relationship Id="rId28" Type="http://schemas.openxmlformats.org/officeDocument/2006/relationships/hyperlink" Target="https://www.mhcirl.ie/File/2016_AR_Incl_OIMS.pdf" TargetMode="External"/><Relationship Id="rId36" Type="http://schemas.openxmlformats.org/officeDocument/2006/relationships/hyperlink" Target="https://www.lawreform.ie/_fileupload/Issues%20Papers/LRC%20IP%2018-2019%20A%20Regulatory%20Framework%20For%20Adult%20Safegaurding.pdf" TargetMode="External"/><Relationship Id="rId49" Type="http://schemas.openxmlformats.org/officeDocument/2006/relationships/hyperlink" Target="http://www.justice.ie/en/JELR/Midterm-Review-of-the-National-Disability-Inclusion-Strategy-2017-2021%5b1%5d.pdf/Files/Midterm-Review-of-the-National-Disability-Inclusion-Strategy-2017-2021%5b1%5d.pdf" TargetMode="External"/><Relationship Id="rId57" Type="http://schemas.openxmlformats.org/officeDocument/2006/relationships/hyperlink" Target="https://aim.gov.ie/wp-content/uploads/2019/10/aim-end-of-year-one-review.pdf" TargetMode="External"/><Relationship Id="rId106" Type="http://schemas.openxmlformats.org/officeDocument/2006/relationships/hyperlink" Target="https://www.hiqanews.com/the-experiences-of-people-with-disabilities-in-congregated-settings/" TargetMode="External"/><Relationship Id="rId114" Type="http://schemas.openxmlformats.org/officeDocument/2006/relationships/hyperlink" Target="https://www.hse.ie/eng/services/publications/performancereports/april-to-june-2017-quarterly-report.pdf" TargetMode="External"/><Relationship Id="rId119" Type="http://schemas.openxmlformats.org/officeDocument/2006/relationships/hyperlink" Target="https://www.hse.ie/eng/services/publications/performancereports/april-to-june-quarterly-report-2019.pdf" TargetMode="External"/><Relationship Id="rId127" Type="http://schemas.openxmlformats.org/officeDocument/2006/relationships/hyperlink" Target="https://www.mhcirl.ie/File/2016_AR_Incl_OIMS.pdf" TargetMode="External"/><Relationship Id="rId10" Type="http://schemas.openxmlformats.org/officeDocument/2006/relationships/hyperlink" Target="https://www.cso.ie/en/statistics/socialconditions/equalityanddiscrimination/" TargetMode="External"/><Relationship Id="rId31" Type="http://schemas.openxmlformats.org/officeDocument/2006/relationships/hyperlink" Target="https://www.citizensinformationboard.ie/downloads/cib/annual_report_2018_en.pdf" TargetMode="External"/><Relationship Id="rId44" Type="http://schemas.openxmlformats.org/officeDocument/2006/relationships/hyperlink" Target="https://assets.gov.ie/31184/62acc54f4bdf4405b74e53a4afb8e71b.pdf" TargetMode="External"/><Relationship Id="rId52" Type="http://schemas.openxmlformats.org/officeDocument/2006/relationships/hyperlink" Target="https://assets.gov.ie/10940/c4c20348897148eb9a50ac2755fd680f.pdf" TargetMode="External"/><Relationship Id="rId60" Type="http://schemas.openxmlformats.org/officeDocument/2006/relationships/hyperlink" Target="https://www.growingup.ie/pubs/Growing-Up-in-Ireland-Relationships-and-Socio-emotional-Well-being.pdf" TargetMode="External"/><Relationship Id="rId65"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73" Type="http://schemas.openxmlformats.org/officeDocument/2006/relationships/hyperlink" Target="https://www.gov.ie/en/press-release/c4f82d-new-medical-card-measures-to-remove-barriers-to-work-for-people-with/" TargetMode="External"/><Relationship Id="rId78" Type="http://schemas.openxmlformats.org/officeDocument/2006/relationships/hyperlink" Target="https://igees.gov.ie/wp-content/uploads/2019/01/An-analysis-of-Disability-Allowance-inflows-and-outflows.pdf" TargetMode="External"/><Relationship Id="rId81" Type="http://schemas.openxmlformats.org/officeDocument/2006/relationships/hyperlink" Target="http://nda.ie/nda-files/Part-5-Forms/Report-on-Compliance-with-Part-5-of-the-Disability-Act-2005-for-201711.pdf" TargetMode="External"/><Relationship Id="rId86" Type="http://schemas.openxmlformats.org/officeDocument/2006/relationships/hyperlink" Target="https://www.oireachtas.ie/en/debates/question/2018-12-04/667/" TargetMode="External"/><Relationship Id="rId94" Type="http://schemas.openxmlformats.org/officeDocument/2006/relationships/hyperlink" Target="https://assets.gov.ie/9673/f528d4c3856044e9a2b5545230e77a04.pdf" TargetMode="External"/><Relationship Id="rId99" Type="http://schemas.openxmlformats.org/officeDocument/2006/relationships/hyperlink" Target="https://www.hrb.ie/fileadmin/2._Plugin_related_files/Publications/2017_and_earlier_Pubs/NPIRS/Activities_Irish_Psychiatric_Units_Hospitals_2016.pdf" TargetMode="External"/><Relationship Id="rId101" Type="http://schemas.openxmlformats.org/officeDocument/2006/relationships/hyperlink" Target="https://www.mhcirl.ie/File/2018_AR_Incl_OIMS.pdf" TargetMode="External"/><Relationship Id="rId122" Type="http://schemas.openxmlformats.org/officeDocument/2006/relationships/hyperlink" Target="https://www.oireachtas.ie/en/debates/debate/seanad/2018-05-23/12/" TargetMode="External"/><Relationship Id="rId130" Type="http://schemas.openxmlformats.org/officeDocument/2006/relationships/hyperlink" Target="https://www.hse.ie/eng/services/list/4/disability/congregatedsettings/time-to-move-on-from-congregated-settings-%E2%80%93-a-strategy-for-community-inclusion.pdf" TargetMode="External"/><Relationship Id="rId135" Type="http://schemas.openxmlformats.org/officeDocument/2006/relationships/hyperlink" Target="https://www.hrb.ie/fileadmin/2._Plugin_related_files/Publications/2019_Publication_files/2019_HIE/NPIRS/Census/Irish_Psychiatric_In-patient_Census_2019_Main_Findings.pdf" TargetMode="External"/><Relationship Id="rId143" Type="http://schemas.openxmlformats.org/officeDocument/2006/relationships/hyperlink" Target="https://www.mhcirl.ie/File/2018_AR_Incl_OIMS.pdf" TargetMode="External"/><Relationship Id="rId148" Type="http://schemas.openxmlformats.org/officeDocument/2006/relationships/hyperlink" Target="http://www.housingagency.ie/sites/default/files/publications/27.%20SHA-Summary-December-2017.pdf" TargetMode="External"/><Relationship Id="rId151" Type="http://schemas.openxmlformats.org/officeDocument/2006/relationships/hyperlink" Target="https://www.housing.gov.ie/sites/default/files/migrated-files/en/Publications/DevelopmentandHousing/Housing/FileDownLoad%2C28016%2Cen.pdf" TargetMode="External"/><Relationship Id="rId156" Type="http://schemas.openxmlformats.org/officeDocument/2006/relationships/hyperlink" Target="file:///H:\Downloads\49487_6cd114e89ce3473a97d9678a7a5bbb49.pdf" TargetMode="External"/><Relationship Id="rId164" Type="http://schemas.openxmlformats.org/officeDocument/2006/relationships/hyperlink" Target="https://www.transportforireland.ie/getting-around/by-taxi/wheelchair-accessible-vehicle-wav-register/" TargetMode="External"/><Relationship Id="rId4" Type="http://schemas.openxmlformats.org/officeDocument/2006/relationships/hyperlink" Target="https://assets.gov.ie/9931/17cdb50249ef4927b2e7186f3714f8ab.pdf" TargetMode="External"/><Relationship Id="rId9" Type="http://schemas.openxmlformats.org/officeDocument/2006/relationships/hyperlink" Target="https://www.cso.ie/en/releasesandpublications/er/q-eq/qnhsequalitymodulequarter32014/" TargetMode="External"/><Relationship Id="rId13" Type="http://schemas.openxmlformats.org/officeDocument/2006/relationships/hyperlink" Target="https://www.workplacerelations.ie/en/publications_forms/workplace_relations_commission_-_annual_report_2017.pdf" TargetMode="External"/><Relationship Id="rId18" Type="http://schemas.openxmlformats.org/officeDocument/2006/relationships/hyperlink" Target="https://www.mhcirl.ie/File/2018_AR_Incl_OIMS.pdf" TargetMode="External"/><Relationship Id="rId39" Type="http://schemas.openxmlformats.org/officeDocument/2006/relationships/hyperlink" Target="https://www.oireachtas.ie/en/bills/bill/2016/78/" TargetMode="External"/><Relationship Id="rId109" Type="http://schemas.openxmlformats.org/officeDocument/2006/relationships/hyperlink" Target="https://www.hse.ie/eng/services/list/4/disability/newdirections/a%20national%20framework%20for%20person-centred%20planning%20in%20services%20for%20persons%20with%20a%20disability.pdf" TargetMode="External"/><Relationship Id="rId34" Type="http://schemas.openxmlformats.org/officeDocument/2006/relationships/hyperlink" Target="https://www.hse.ie/eng/about/who/socialcare/safeguardingvulnerableadults/safeguarding%20report%202018.pdf%20" TargetMode="External"/><Relationship Id="rId50"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55" Type="http://schemas.openxmlformats.org/officeDocument/2006/relationships/hyperlink" Target="https://www.housing.gov.ie/sites/default/files/migrated-files/en/Publications/DevelopmentandHousing/Housing/FileDownLoad%2C30737%2Cen.pdf" TargetMode="External"/><Relationship Id="rId76" Type="http://schemas.openxmlformats.org/officeDocument/2006/relationships/hyperlink" Target="https://www.gov.ie/pdf/?file=https://assets.gov.ie/46558/5cea3d74aa934fe780cc521ddbe477a7.pdf" TargetMode="External"/><Relationship Id="rId97" Type="http://schemas.openxmlformats.org/officeDocument/2006/relationships/hyperlink" Target="https://www.sportireland.ie/sites/default/files/2019-11/wis_policy.pdf" TargetMode="External"/><Relationship Id="rId104" Type="http://schemas.openxmlformats.org/officeDocument/2006/relationships/hyperlink" Target="http://nda.ie/nda-files/NDA-Paper-on-Outcomes-for-Disability-Services-May-20161.pdf" TargetMode="External"/><Relationship Id="rId120" Type="http://schemas.openxmlformats.org/officeDocument/2006/relationships/hyperlink" Target="https://www.independent.ie/irish-news/health/hike-in-waiting-list-for-rehab-beds-as-patients-suffer-36590477.html" TargetMode="External"/><Relationship Id="rId125" Type="http://schemas.openxmlformats.org/officeDocument/2006/relationships/hyperlink" Target="https://www.hse.ie/eng/services/publications/performancereports/april-to-june-quarterly-report-2019.pdf" TargetMode="External"/><Relationship Id="rId141" Type="http://schemas.openxmlformats.org/officeDocument/2006/relationships/hyperlink" Target="https://www.hse.ie/eng/services/list/4/disability/congregatedsettings/time-to-move-on-annual-progress-report-2018.pdf" TargetMode="External"/><Relationship Id="rId146" Type="http://schemas.openxmlformats.org/officeDocument/2006/relationships/hyperlink" Target="https://www.mhcirl.ie/File/2018ResidencesReport.pdf" TargetMode="External"/><Relationship Id="rId7" Type="http://schemas.openxmlformats.org/officeDocument/2006/relationships/hyperlink" Target="https://www.oireachtas.ie/en/debates/debate/dail/2018-03-07/17" TargetMode="External"/><Relationship Id="rId71"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92" Type="http://schemas.openxmlformats.org/officeDocument/2006/relationships/hyperlink" Target="http://nda.ie/publications/attitudes/public-attitudes-to-disability-in-ireland-surveys/public-attitudes-to-disability-in-ireland-survey-2017.html" TargetMode="External"/><Relationship Id="rId162" Type="http://schemas.openxmlformats.org/officeDocument/2006/relationships/hyperlink" Target="https://www.thejournal.ie/irish-rail-lift-upgrades-4996425-Feb2020/" TargetMode="External"/><Relationship Id="rId2" Type="http://schemas.openxmlformats.org/officeDocument/2006/relationships/hyperlink" Target="https://www.ohchr.org/Documents/Publications/Human_rights_indicators_en.pdf" TargetMode="External"/><Relationship Id="rId29" Type="http://schemas.openxmlformats.org/officeDocument/2006/relationships/hyperlink" Target="https://www.mhcirl.ie/File/2018_AR_Incl_OIMS.pdf" TargetMode="External"/><Relationship Id="rId24" Type="http://schemas.openxmlformats.org/officeDocument/2006/relationships/hyperlink" Target="https://www.hse.ie/eng/services/publications/mentalhealth/mental-health---a-vision-for-change.pdf" TargetMode="External"/><Relationship Id="rId40" Type="http://schemas.openxmlformats.org/officeDocument/2006/relationships/hyperlink" Target="https://www.eurofound.europa.eu/sites/default/files/ef_publication/field_ef_document/ef18023en.pdf" TargetMode="External"/><Relationship Id="rId45" Type="http://schemas.openxmlformats.org/officeDocument/2006/relationships/hyperlink" Target="https://www.education.ie/en/Publications/Education-Reports/indecon-review-of-career-guidance.pdf" TargetMode="External"/><Relationship Id="rId66" Type="http://schemas.openxmlformats.org/officeDocument/2006/relationships/hyperlink" Target="https://www.ahead.ie/userfiles/files/shop/free/Rates%202016-17%20-%20ONLINE.pdf" TargetMode="External"/><Relationship Id="rId87" Type="http://schemas.openxmlformats.org/officeDocument/2006/relationships/hyperlink" Target="http://nda.ie/File-upload/Reasonable-Accommodation-Obstacles-and-Opportunities-to-the-Employment-of-Persons-with-Disabilities-pdf.pdf" TargetMode="External"/><Relationship Id="rId110" Type="http://schemas.openxmlformats.org/officeDocument/2006/relationships/hyperlink" Target="https://www.hse.ie/eng/services/list/4/disability/newdirections/a%20national%20framework%20for%20person-centred%20planning%20in%20services%20for%20persons%20with%20a%20disability.pdf" TargetMode="External"/><Relationship Id="rId115" Type="http://schemas.openxmlformats.org/officeDocument/2006/relationships/hyperlink" Target="https://www.hse.ie/eng/services/publications/performancereports/april-to-june-quarterly-report-2019.pdf" TargetMode="External"/><Relationship Id="rId131" Type="http://schemas.openxmlformats.org/officeDocument/2006/relationships/hyperlink" Target="https://www.hse.ie/eng/services/publications/disability/progress-report-on-the-implementation-of-time-to-move-on-from-congregated-settings-a-strategy-for-community-inclusion-annual-report-2016.pdf" TargetMode="External"/><Relationship Id="rId136" Type="http://schemas.openxmlformats.org/officeDocument/2006/relationships/hyperlink" Target="https://www.mhcirl.ie/File/2018_AR_Incl_OIMS.pdf" TargetMode="External"/><Relationship Id="rId157" Type="http://schemas.openxmlformats.org/officeDocument/2006/relationships/hyperlink" Target="file:///H:\Downloads\49487_6cd114e89ce3473a97d9678a7a5bbb49.pdf" TargetMode="External"/><Relationship Id="rId61" Type="http://schemas.openxmlformats.org/officeDocument/2006/relationships/hyperlink" Target="http://www.nuigalway.ie/media/healthpromotionresearchcentre/hbscdocs/nationalreports/2018-report---online-version-interactive---updated.pdf" TargetMode="External"/><Relationship Id="rId82" Type="http://schemas.openxmlformats.org/officeDocument/2006/relationships/hyperlink" Target="http://nda.ie/nda-files/Report-on-Compliance-with-Part-5-of-the-Disability-Act-2005-for-20151.pdf" TargetMode="External"/><Relationship Id="rId152" Type="http://schemas.openxmlformats.org/officeDocument/2006/relationships/hyperlink" Target="http://nda.ie/publications/attitudes/public-attitudes-to-disability-in-ireland-surveys/public-attitudes-to-disability-in-ireland-survey-2017.html" TargetMode="External"/><Relationship Id="rId19" Type="http://schemas.openxmlformats.org/officeDocument/2006/relationships/hyperlink" Target="https://www.hse.ie/eng/services/list/4/disability/congregatedsettings/time-to-move-on-from-congregated-settings-%E2%80%93-a-strategy-for-community-inclusion.pdf" TargetMode="External"/><Relationship Id="rId14" Type="http://schemas.openxmlformats.org/officeDocument/2006/relationships/hyperlink" Target="https://www.workplacerelations.ie/en/news-media/workplace_relations_notices/annual-report-2018.pdf" TargetMode="External"/><Relationship Id="rId30" Type="http://schemas.openxmlformats.org/officeDocument/2006/relationships/hyperlink" Target="https://www.citizensinformationboard.ie/downloads/cib/annual_report_2016_en.pdf" TargetMode="External"/><Relationship Id="rId35" Type="http://schemas.openxmlformats.org/officeDocument/2006/relationships/hyperlink" Target="https://www.hse.ie/eng/services/publications/disability/confidential-recipient-annual-report-2018.pdf" TargetMode="External"/><Relationship Id="rId56" Type="http://schemas.openxmlformats.org/officeDocument/2006/relationships/hyperlink" Target="https://www.hse.ie/eng/services/list/4/mental-health-services/mentalhealthengagement/upcoming-events/upcoming-events-local-fora.pdf" TargetMode="External"/><Relationship Id="rId77" Type="http://schemas.openxmlformats.org/officeDocument/2006/relationships/hyperlink" Target="http://www.dsfa.ie/en/Pages/Annual-SWS-Statistical-Information-Report.aspx" TargetMode="External"/><Relationship Id="rId100" Type="http://schemas.openxmlformats.org/officeDocument/2006/relationships/hyperlink" Target="https://www.hrb.ie/fileadmin/2._Plugin_related_files/Publications/2019_Publication_files/2019_HIE/NPIRS/Activities_of_Irish_Psychiatric_Units_and_Hospitals_2018_-_Main_Findings.pdf" TargetMode="External"/><Relationship Id="rId105" Type="http://schemas.openxmlformats.org/officeDocument/2006/relationships/hyperlink" Target="https://www.hse.ie/eng/services/list/4/disability/newdirections/a%20national%20framework%20for%20person-centred%20planning%20in%20services%20for%20persons%20with%20a%20disability.pdf" TargetMode="External"/><Relationship Id="rId126" Type="http://schemas.openxmlformats.org/officeDocument/2006/relationships/hyperlink" Target="https://www.hiqa.ie/sites/default/files/2019-08/HIQA-DCD-5-Year-Regulation-Report-2019.pdf" TargetMode="External"/><Relationship Id="rId147" Type="http://schemas.openxmlformats.org/officeDocument/2006/relationships/hyperlink" Target="https://www.hrb.ie/fileadmin/2._Plugin_related_files/Publications/2019_Publication_files/2019_HIE/NPIRS/Census/Irish_Psychiatric_In-patient_Census_2019_Main_Findings.pdf" TargetMode="External"/><Relationship Id="rId8" Type="http://schemas.openxmlformats.org/officeDocument/2006/relationships/hyperlink" Target="https://www.mhcirl.ie/File/rpt_expgroupreview_mha2001.pdf" TargetMode="External"/><Relationship Id="rId51" Type="http://schemas.openxmlformats.org/officeDocument/2006/relationships/hyperlink" Target="http://nda.ie/Publications/Employment/Employment-Publications/Comprehensive-Employment-Strategy-2018-NDA-Review1.pdf" TargetMode="External"/><Relationship Id="rId72" Type="http://schemas.openxmlformats.org/officeDocument/2006/relationships/hyperlink" Target="https://www.gov.ie/en/publication/ba6e26-operational-guidelines-free-travel-scheme/" TargetMode="External"/><Relationship Id="rId93" Type="http://schemas.openxmlformats.org/officeDocument/2006/relationships/hyperlink" Target="https://www.cso.ie/en/statistics/health/irishhealthsurvey/" TargetMode="External"/><Relationship Id="rId98" Type="http://schemas.openxmlformats.org/officeDocument/2006/relationships/hyperlink" Target="https://assets.gov.ie/9673/f528d4c3856044e9a2b5545230e77a04.pdf" TargetMode="External"/><Relationship Id="rId121" Type="http://schemas.openxmlformats.org/officeDocument/2006/relationships/hyperlink" Target="https://www.oireachtas.ie/en/debates/debate/seanad/2017-05-23/10/?highlight%5B0%5D=national&amp;highlight%5B1%5D=rehabilitation&amp;highlight%5B2%5D=hospital" TargetMode="External"/><Relationship Id="rId142" Type="http://schemas.openxmlformats.org/officeDocument/2006/relationships/hyperlink" Target="https://www.mhcirl.ie/File/2016_AR_Incl_OIMS.pdf" TargetMode="External"/><Relationship Id="rId163" Type="http://schemas.openxmlformats.org/officeDocument/2006/relationships/hyperlink" Target="https://www.nationaltransport.ie/wp-content/uploads/2019/10/Taxi_Statistics_Bulletin_2018.pdf" TargetMode="External"/><Relationship Id="rId3" Type="http://schemas.openxmlformats.org/officeDocument/2006/relationships/hyperlink" Target="https://www.hse.ie/eng/services/list/4/disability/congregatedsettings/time-to-move-on-from-congregated-settings-%E2%80%93-a-strategy-for-community-inclusion.pdf" TargetMode="External"/><Relationship Id="rId25" Type="http://schemas.openxmlformats.org/officeDocument/2006/relationships/hyperlink" Target="https://www.hse.ie/eng/services/list/4/disability/congregatedsettings/time-to-move-on-from-congregated-settings-%E2%80%93-a-strategy-for-community-inclusion.pdf" TargetMode="External"/><Relationship Id="rId46" Type="http://schemas.openxmlformats.org/officeDocument/2006/relationships/hyperlink" Target="https://ncse.ie/wp-content/uploads/2018/04/NCSE-Post-School-Options.pdf" TargetMode="External"/><Relationship Id="rId67" Type="http://schemas.openxmlformats.org/officeDocument/2006/relationships/hyperlink" Target="https://www.ahead.ie/userfiles/files/shop/free/Numbers%20of%20Students%20with%20Disabilities%20Studying%20in%20Higher%20Education%20in%20Ireland%202017-18.pdf" TargetMode="External"/><Relationship Id="rId116" Type="http://schemas.openxmlformats.org/officeDocument/2006/relationships/hyperlink" Target="https://www.hse.ie/eng/services/publications/performancereports/april-to-june-2017-quarterly-report.pdf" TargetMode="External"/><Relationship Id="rId137" Type="http://schemas.openxmlformats.org/officeDocument/2006/relationships/hyperlink" Target="https://fra.europa.eu/sites/default/files/fra_uploads/ireland-independent-living-case-study-report_en.pdf" TargetMode="External"/><Relationship Id="rId158" Type="http://schemas.openxmlformats.org/officeDocument/2006/relationships/hyperlink" Target="file:///H:\Downloads\49487_6cd114e89ce3473a97d9678a7a5bbb49.pdf" TargetMode="External"/><Relationship Id="rId20" Type="http://schemas.openxmlformats.org/officeDocument/2006/relationships/hyperlink" Target="https://www.hse.ie/eng/services/publications/disability/progress-report-on-the-implementation-of-time-to-move-on-from-congregated-settings-a-strategy-for-community-inclusion-annual-report-2016.pdf" TargetMode="External"/><Relationship Id="rId41" Type="http://schemas.openxmlformats.org/officeDocument/2006/relationships/hyperlink" Target="http://nda.ie/Publications/Environment-Housing/Environment-Publications/Operational-Review-of-the-Effectiveness-of-Section-25-of-the-Disability-Act-20051.pdf" TargetMode="External"/><Relationship Id="rId62" Type="http://schemas.openxmlformats.org/officeDocument/2006/relationships/hyperlink" Target="https://statbank.cso.ie/px/pxeirestat/Database/eirestat/Profile%209%20-%20Health%20Disability%20and%20Carers/Profile%209%20-%20Health%20Disability%20and%20Carers_statbank.asp?SP=Profile%209%20-%20Health%20Disability%20and%20Carers&amp;Planguage=0" TargetMode="External"/><Relationship Id="rId83" Type="http://schemas.openxmlformats.org/officeDocument/2006/relationships/hyperlink" Target="http://nda.ie/Publications/Employment/Employment-of-people-with-disabilities-in-the-public-service/Reports-on-compliance-with-public-sector-jobs-target/Report-on-Compliance-with-Part-5-of-the-Disability-Act-2005-for-20161.pdf" TargetMode="External"/><Relationship Id="rId88" Type="http://schemas.openxmlformats.org/officeDocument/2006/relationships/hyperlink" Target="https://www.cso.ie/en/releasesandpublications/in/mdi/mortalitydifferentialsinireland2016-2017/" TargetMode="External"/><Relationship Id="rId111" Type="http://schemas.openxmlformats.org/officeDocument/2006/relationships/hyperlink" Target="https://www.hse.ie/eng/services/publications/disability/confidential-recipient-annual-report-2018.pdf" TargetMode="External"/><Relationship Id="rId132" Type="http://schemas.openxmlformats.org/officeDocument/2006/relationships/hyperlink" Target="https://www.hrb.ie/fileadmin/publications_files/Irish_Psychiatric_Units_and_Hospitals_Census_2016_Main_Findings.pdf" TargetMode="External"/><Relationship Id="rId153" Type="http://schemas.openxmlformats.org/officeDocument/2006/relationships/hyperlink" Target="https://www.ihrec.ie/allhumanall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3FB7-5C88-42B6-AF01-D61A69AB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20271</Words>
  <Characters>115546</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Mid-Term Review National Disability Inclusion Strategy Indicators</vt:lpstr>
    </vt:vector>
  </TitlesOfParts>
  <Company>Department of Justice &amp; Equality</Company>
  <LinksUpToDate>false</LinksUpToDate>
  <CharactersWithSpaces>135546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Review National Disability Inclusion Strategy Indicators</dc:title>
  <dc:subject/>
  <dc:creator>Jessica L. Doyle</dc:creator>
  <cp:keywords>Mid-Term Review National Disability Inclusion Strategy Indicators</cp:keywords>
  <dc:description/>
  <cp:lastModifiedBy>tammingre</cp:lastModifiedBy>
  <cp:revision>2</cp:revision>
  <cp:lastPrinted>2020-03-12T09:49:00Z</cp:lastPrinted>
  <dcterms:created xsi:type="dcterms:W3CDTF">2022-07-03T18:22:00Z</dcterms:created>
  <dcterms:modified xsi:type="dcterms:W3CDTF">2022-07-03T18:22:00Z</dcterms:modified>
</cp:coreProperties>
</file>