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A3F8" w14:textId="7FCEB0CF" w:rsidR="004B0D63" w:rsidRPr="0096337F" w:rsidRDefault="00C53419" w:rsidP="009C3BD7">
      <w:pPr>
        <w:pStyle w:val="Title"/>
        <w:rPr>
          <w:rFonts w:ascii="Rockwell" w:hAnsi="Rockwell"/>
          <w:color w:val="CC3399"/>
          <w:sz w:val="72"/>
          <w:szCs w:val="72"/>
        </w:rPr>
      </w:pPr>
      <w:bookmarkStart w:id="0" w:name="_Toc142561636"/>
      <w:bookmarkStart w:id="1" w:name="_Toc78967395"/>
      <w:bookmarkStart w:id="2" w:name="_Toc80626260"/>
      <w:r w:rsidRPr="0096337F">
        <w:rPr>
          <w:rFonts w:ascii="Rockwell" w:hAnsi="Rockwell"/>
          <w:color w:val="CC3399"/>
          <w:sz w:val="72"/>
          <w:szCs w:val="72"/>
        </w:rPr>
        <w:t xml:space="preserve">NDA Disability Act – Part 3 </w:t>
      </w:r>
      <w:r w:rsidR="00B225A4" w:rsidRPr="0096337F">
        <w:rPr>
          <w:rFonts w:ascii="Rockwell" w:hAnsi="Rockwell"/>
          <w:color w:val="CC3399"/>
          <w:sz w:val="72"/>
          <w:szCs w:val="72"/>
        </w:rPr>
        <w:t>Code of Practice on Accessibility of Public Services and Information provided by Public Bodies</w:t>
      </w:r>
      <w:bookmarkEnd w:id="0"/>
    </w:p>
    <w:p w14:paraId="69D3089A" w14:textId="62602526" w:rsidR="0083753F" w:rsidRPr="0096337F" w:rsidRDefault="00C53419" w:rsidP="009C3BD7">
      <w:pPr>
        <w:pStyle w:val="Title"/>
        <w:rPr>
          <w:rFonts w:ascii="Rockwell" w:hAnsi="Rockwell"/>
          <w:color w:val="CC3399"/>
          <w:sz w:val="72"/>
          <w:szCs w:val="72"/>
        </w:rPr>
      </w:pPr>
      <w:bookmarkStart w:id="3" w:name="_Toc142561637"/>
      <w:r w:rsidRPr="0096337F">
        <w:rPr>
          <w:rFonts w:ascii="Rockwell" w:hAnsi="Rockwell"/>
          <w:color w:val="CC3399"/>
          <w:sz w:val="72"/>
          <w:szCs w:val="72"/>
        </w:rPr>
        <w:t xml:space="preserve">Monitoring Report </w:t>
      </w:r>
      <w:r w:rsidR="006513F7" w:rsidRPr="0096337F">
        <w:rPr>
          <w:rFonts w:ascii="Rockwell" w:hAnsi="Rockwell"/>
          <w:color w:val="CC3399"/>
          <w:sz w:val="72"/>
          <w:szCs w:val="72"/>
        </w:rPr>
        <w:t>2022</w:t>
      </w:r>
      <w:bookmarkEnd w:id="1"/>
      <w:bookmarkEnd w:id="2"/>
      <w:bookmarkEnd w:id="3"/>
    </w:p>
    <w:p w14:paraId="5DC08FB7" w14:textId="1D7E19A5" w:rsidR="0083753F" w:rsidRPr="0096337F" w:rsidRDefault="00A618F8" w:rsidP="0083753F">
      <w:pPr>
        <w:pStyle w:val="Title"/>
        <w:rPr>
          <w:rFonts w:ascii="Rockwell" w:hAnsi="Rockwell"/>
          <w:color w:val="CC3399"/>
          <w:sz w:val="72"/>
          <w:szCs w:val="72"/>
        </w:rPr>
      </w:pPr>
      <w:bookmarkStart w:id="4" w:name="_Toc138067157"/>
      <w:bookmarkStart w:id="5" w:name="_Toc139529264"/>
      <w:bookmarkStart w:id="6" w:name="_Toc142561638"/>
      <w:r w:rsidRPr="0096337F">
        <w:rPr>
          <w:rFonts w:ascii="Rockwell" w:hAnsi="Rockwell"/>
          <w:color w:val="CC3399"/>
          <w:sz w:val="72"/>
          <w:szCs w:val="72"/>
        </w:rPr>
        <w:t xml:space="preserve">June </w:t>
      </w:r>
      <w:r w:rsidR="000C150E" w:rsidRPr="0096337F">
        <w:rPr>
          <w:rFonts w:ascii="Rockwell" w:hAnsi="Rockwell"/>
          <w:color w:val="CC3399"/>
          <w:sz w:val="72"/>
          <w:szCs w:val="72"/>
        </w:rPr>
        <w:t>2023</w:t>
      </w:r>
      <w:bookmarkEnd w:id="4"/>
      <w:bookmarkEnd w:id="5"/>
      <w:bookmarkEnd w:id="6"/>
    </w:p>
    <w:p w14:paraId="4B2CF74A" w14:textId="44991D33" w:rsidR="00453680" w:rsidRPr="00191726" w:rsidRDefault="0083753F">
      <w:pPr>
        <w:spacing w:after="0"/>
        <w:rPr>
          <w:rFonts w:ascii="Rockwell" w:hAnsi="Rockwell" w:cs="Arial"/>
          <w:b/>
          <w:bCs/>
          <w:color w:val="CC3399"/>
          <w:kern w:val="28"/>
          <w:sz w:val="120"/>
          <w:szCs w:val="120"/>
        </w:rPr>
      </w:pPr>
      <w:r w:rsidRPr="00D633FE">
        <w:rPr>
          <w:rFonts w:ascii="Rockwell" w:hAnsi="Rockwell"/>
          <w:noProof/>
          <w:color w:val="CC3399"/>
          <w:sz w:val="120"/>
          <w:szCs w:val="120"/>
          <w:lang w:eastAsia="en-IE"/>
        </w:rPr>
        <w:drawing>
          <wp:inline distT="0" distB="0" distL="0" distR="0" wp14:anchorId="4101F3F6" wp14:editId="6307FA06">
            <wp:extent cx="2650256" cy="1888176"/>
            <wp:effectExtent l="0" t="0" r="0" b="0"/>
            <wp:docPr id="1" name="Picture 1" descr="ND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8066" cy="1943611"/>
                    </a:xfrm>
                    <a:prstGeom prst="rect">
                      <a:avLst/>
                    </a:prstGeom>
                    <a:noFill/>
                    <a:ln>
                      <a:noFill/>
                    </a:ln>
                  </pic:spPr>
                </pic:pic>
              </a:graphicData>
            </a:graphic>
          </wp:inline>
        </w:drawing>
      </w:r>
      <w:r w:rsidR="00453680" w:rsidRPr="00D633FE">
        <w:rPr>
          <w:rFonts w:ascii="Rockwell" w:hAnsi="Rockwell"/>
          <w:color w:val="CC3399"/>
          <w:sz w:val="120"/>
          <w:szCs w:val="120"/>
        </w:rPr>
        <w:br w:type="page"/>
      </w:r>
    </w:p>
    <w:bookmarkStart w:id="7" w:name="_Toc142561639" w:displacedByCustomXml="next"/>
    <w:sdt>
      <w:sdtPr>
        <w:rPr>
          <w:rFonts w:cs="Times New Roman"/>
          <w:b w:val="0"/>
          <w:bCs w:val="0"/>
          <w:kern w:val="0"/>
          <w:sz w:val="26"/>
          <w:szCs w:val="24"/>
        </w:rPr>
        <w:id w:val="-225297309"/>
        <w:docPartObj>
          <w:docPartGallery w:val="Table of Contents"/>
          <w:docPartUnique/>
        </w:docPartObj>
      </w:sdtPr>
      <w:sdtEndPr>
        <w:rPr>
          <w:noProof/>
        </w:rPr>
      </w:sdtEndPr>
      <w:sdtContent>
        <w:p w14:paraId="1717ABF3" w14:textId="77777777" w:rsidR="000C03FA" w:rsidRPr="00C27D9B" w:rsidRDefault="000C03FA" w:rsidP="000C03FA">
          <w:pPr>
            <w:pStyle w:val="Heading1"/>
          </w:pPr>
          <w:r w:rsidRPr="00D633FE">
            <w:t>Table of Contents</w:t>
          </w:r>
          <w:bookmarkEnd w:id="7"/>
        </w:p>
        <w:p w14:paraId="23077DD4" w14:textId="1C47111E" w:rsidR="00E7520D" w:rsidRPr="00E7520D" w:rsidRDefault="000C03FA">
          <w:pPr>
            <w:pStyle w:val="TOC1"/>
            <w:rPr>
              <w:rFonts w:eastAsiaTheme="minorEastAsia" w:cstheme="minorBidi"/>
              <w:b w:val="0"/>
              <w:noProof/>
              <w:sz w:val="22"/>
              <w:szCs w:val="22"/>
              <w:lang w:eastAsia="en-IE"/>
            </w:rPr>
          </w:pPr>
          <w:r w:rsidRPr="00E7520D">
            <w:rPr>
              <w:sz w:val="24"/>
            </w:rPr>
            <w:fldChar w:fldCharType="begin"/>
          </w:r>
          <w:r w:rsidRPr="00E7520D">
            <w:rPr>
              <w:sz w:val="24"/>
            </w:rPr>
            <w:instrText xml:space="preserve"> TOC \o "1-3" \h \z \u </w:instrText>
          </w:r>
          <w:r w:rsidRPr="00E7520D">
            <w:rPr>
              <w:sz w:val="24"/>
            </w:rPr>
            <w:fldChar w:fldCharType="separate"/>
          </w:r>
          <w:hyperlink w:anchor="_Toc142561636" w:history="1">
            <w:r w:rsidR="00E7520D" w:rsidRPr="00E7520D">
              <w:rPr>
                <w:rStyle w:val="Hyperlink"/>
                <w:noProof/>
              </w:rPr>
              <w:t>NDA Disability Act – Part 3 Code of Practice on Accessibility of Public Services and Information provided by Public Bodies</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_Toc142561636 \h </w:instrText>
            </w:r>
            <w:r w:rsidR="00E7520D" w:rsidRPr="00E7520D">
              <w:rPr>
                <w:noProof/>
                <w:webHidden/>
              </w:rPr>
            </w:r>
            <w:r w:rsidR="00E7520D" w:rsidRPr="00E7520D">
              <w:rPr>
                <w:noProof/>
                <w:webHidden/>
              </w:rPr>
              <w:fldChar w:fldCharType="separate"/>
            </w:r>
            <w:r w:rsidR="00972915">
              <w:rPr>
                <w:noProof/>
                <w:webHidden/>
              </w:rPr>
              <w:t>1</w:t>
            </w:r>
            <w:r w:rsidR="00E7520D" w:rsidRPr="00E7520D">
              <w:rPr>
                <w:noProof/>
                <w:webHidden/>
              </w:rPr>
              <w:fldChar w:fldCharType="end"/>
            </w:r>
          </w:hyperlink>
        </w:p>
        <w:p w14:paraId="7172FF16" w14:textId="1EA48D00" w:rsidR="00E7520D" w:rsidRPr="00E7520D" w:rsidRDefault="00B93476">
          <w:pPr>
            <w:pStyle w:val="TOC1"/>
            <w:rPr>
              <w:rFonts w:eastAsiaTheme="minorEastAsia" w:cstheme="minorBidi"/>
              <w:b w:val="0"/>
              <w:noProof/>
              <w:sz w:val="22"/>
              <w:szCs w:val="22"/>
              <w:lang w:eastAsia="en-IE"/>
            </w:rPr>
          </w:pPr>
          <w:hyperlink w:anchor="_Toc142561637" w:history="1">
            <w:r w:rsidR="00E7520D" w:rsidRPr="00E7520D">
              <w:rPr>
                <w:rStyle w:val="Hyperlink"/>
                <w:noProof/>
              </w:rPr>
              <w:t>Monitoring Report 2022</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_Toc142561637 \h </w:instrText>
            </w:r>
            <w:r w:rsidR="00E7520D" w:rsidRPr="00E7520D">
              <w:rPr>
                <w:noProof/>
                <w:webHidden/>
              </w:rPr>
            </w:r>
            <w:r w:rsidR="00E7520D" w:rsidRPr="00E7520D">
              <w:rPr>
                <w:noProof/>
                <w:webHidden/>
              </w:rPr>
              <w:fldChar w:fldCharType="separate"/>
            </w:r>
            <w:r w:rsidR="00972915">
              <w:rPr>
                <w:noProof/>
                <w:webHidden/>
              </w:rPr>
              <w:t>1</w:t>
            </w:r>
            <w:r w:rsidR="00E7520D" w:rsidRPr="00E7520D">
              <w:rPr>
                <w:noProof/>
                <w:webHidden/>
              </w:rPr>
              <w:fldChar w:fldCharType="end"/>
            </w:r>
          </w:hyperlink>
        </w:p>
        <w:p w14:paraId="63B0DD5C" w14:textId="5CC5D9CD" w:rsidR="00E7520D" w:rsidRPr="00E7520D" w:rsidRDefault="00B93476">
          <w:pPr>
            <w:pStyle w:val="TOC1"/>
            <w:rPr>
              <w:rFonts w:eastAsiaTheme="minorEastAsia" w:cstheme="minorBidi"/>
              <w:b w:val="0"/>
              <w:noProof/>
              <w:sz w:val="22"/>
              <w:szCs w:val="22"/>
              <w:lang w:eastAsia="en-IE"/>
            </w:rPr>
          </w:pPr>
          <w:hyperlink w:anchor="_Toc142561638" w:history="1">
            <w:r w:rsidR="00E7520D" w:rsidRPr="00E7520D">
              <w:rPr>
                <w:rStyle w:val="Hyperlink"/>
                <w:noProof/>
              </w:rPr>
              <w:t>June 2023</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_Toc142561638 \h </w:instrText>
            </w:r>
            <w:r w:rsidR="00E7520D" w:rsidRPr="00E7520D">
              <w:rPr>
                <w:noProof/>
                <w:webHidden/>
              </w:rPr>
            </w:r>
            <w:r w:rsidR="00E7520D" w:rsidRPr="00E7520D">
              <w:rPr>
                <w:noProof/>
                <w:webHidden/>
              </w:rPr>
              <w:fldChar w:fldCharType="separate"/>
            </w:r>
            <w:r w:rsidR="00972915">
              <w:rPr>
                <w:noProof/>
                <w:webHidden/>
              </w:rPr>
              <w:t>1</w:t>
            </w:r>
            <w:r w:rsidR="00E7520D" w:rsidRPr="00E7520D">
              <w:rPr>
                <w:noProof/>
                <w:webHidden/>
              </w:rPr>
              <w:fldChar w:fldCharType="end"/>
            </w:r>
          </w:hyperlink>
        </w:p>
        <w:p w14:paraId="132901B2" w14:textId="59B33159" w:rsidR="00E7520D" w:rsidRPr="00E7520D" w:rsidRDefault="00B93476">
          <w:pPr>
            <w:pStyle w:val="TOC1"/>
            <w:rPr>
              <w:rFonts w:eastAsiaTheme="minorEastAsia" w:cstheme="minorBidi"/>
              <w:b w:val="0"/>
              <w:noProof/>
              <w:sz w:val="22"/>
              <w:szCs w:val="22"/>
              <w:lang w:eastAsia="en-IE"/>
            </w:rPr>
          </w:pPr>
          <w:hyperlink w:anchor="_Toc142561639" w:history="1">
            <w:r w:rsidR="00E7520D" w:rsidRPr="00E7520D">
              <w:rPr>
                <w:rStyle w:val="Hyperlink"/>
                <w:noProof/>
              </w:rPr>
              <w:t>Table of Contents</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_Toc142561639 \h </w:instrText>
            </w:r>
            <w:r w:rsidR="00E7520D" w:rsidRPr="00E7520D">
              <w:rPr>
                <w:noProof/>
                <w:webHidden/>
              </w:rPr>
            </w:r>
            <w:r w:rsidR="00E7520D" w:rsidRPr="00E7520D">
              <w:rPr>
                <w:noProof/>
                <w:webHidden/>
              </w:rPr>
              <w:fldChar w:fldCharType="separate"/>
            </w:r>
            <w:r w:rsidR="00972915">
              <w:rPr>
                <w:noProof/>
                <w:webHidden/>
              </w:rPr>
              <w:t>2</w:t>
            </w:r>
            <w:r w:rsidR="00E7520D" w:rsidRPr="00E7520D">
              <w:rPr>
                <w:noProof/>
                <w:webHidden/>
              </w:rPr>
              <w:fldChar w:fldCharType="end"/>
            </w:r>
          </w:hyperlink>
        </w:p>
        <w:p w14:paraId="2732B307" w14:textId="53E33CA7" w:rsidR="00E7520D" w:rsidRPr="00E7520D" w:rsidRDefault="00B93476">
          <w:pPr>
            <w:pStyle w:val="TOC1"/>
            <w:rPr>
              <w:rFonts w:eastAsiaTheme="minorEastAsia" w:cstheme="minorBidi"/>
              <w:b w:val="0"/>
              <w:noProof/>
              <w:sz w:val="22"/>
              <w:szCs w:val="22"/>
              <w:lang w:eastAsia="en-IE"/>
            </w:rPr>
          </w:pPr>
          <w:hyperlink w:anchor="_Toc142561640" w:history="1">
            <w:r w:rsidR="00E7520D" w:rsidRPr="00E7520D">
              <w:rPr>
                <w:rStyle w:val="Hyperlink"/>
                <w:noProof/>
              </w:rPr>
              <w:t>NDA Disability Act – Part 3 Monitoring Report 2022</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_Toc142561640 \h </w:instrText>
            </w:r>
            <w:r w:rsidR="00E7520D" w:rsidRPr="00E7520D">
              <w:rPr>
                <w:noProof/>
                <w:webHidden/>
              </w:rPr>
            </w:r>
            <w:r w:rsidR="00E7520D" w:rsidRPr="00E7520D">
              <w:rPr>
                <w:noProof/>
                <w:webHidden/>
              </w:rPr>
              <w:fldChar w:fldCharType="separate"/>
            </w:r>
            <w:r w:rsidR="00972915">
              <w:rPr>
                <w:noProof/>
                <w:webHidden/>
              </w:rPr>
              <w:t>3</w:t>
            </w:r>
            <w:r w:rsidR="00E7520D" w:rsidRPr="00E7520D">
              <w:rPr>
                <w:noProof/>
                <w:webHidden/>
              </w:rPr>
              <w:fldChar w:fldCharType="end"/>
            </w:r>
          </w:hyperlink>
        </w:p>
        <w:p w14:paraId="5F0AD135" w14:textId="4A6DC112" w:rsidR="00E7520D" w:rsidRPr="00E7520D" w:rsidRDefault="00B93476">
          <w:pPr>
            <w:pStyle w:val="TOC1"/>
            <w:rPr>
              <w:rFonts w:eastAsiaTheme="minorEastAsia" w:cstheme="minorBidi"/>
              <w:b w:val="0"/>
              <w:noProof/>
              <w:sz w:val="22"/>
              <w:szCs w:val="22"/>
              <w:lang w:eastAsia="en-IE"/>
            </w:rPr>
          </w:pPr>
          <w:hyperlink w:anchor="_Toc142561641" w:history="1">
            <w:r w:rsidR="00E7520D" w:rsidRPr="00E7520D">
              <w:rPr>
                <w:rStyle w:val="Hyperlink"/>
                <w:noProof/>
              </w:rPr>
              <w:t>Introduction</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_Toc142561641 \h </w:instrText>
            </w:r>
            <w:r w:rsidR="00E7520D" w:rsidRPr="00E7520D">
              <w:rPr>
                <w:noProof/>
                <w:webHidden/>
              </w:rPr>
            </w:r>
            <w:r w:rsidR="00E7520D" w:rsidRPr="00E7520D">
              <w:rPr>
                <w:noProof/>
                <w:webHidden/>
              </w:rPr>
              <w:fldChar w:fldCharType="separate"/>
            </w:r>
            <w:r w:rsidR="00972915">
              <w:rPr>
                <w:noProof/>
                <w:webHidden/>
              </w:rPr>
              <w:t>3</w:t>
            </w:r>
            <w:r w:rsidR="00E7520D" w:rsidRPr="00E7520D">
              <w:rPr>
                <w:noProof/>
                <w:webHidden/>
              </w:rPr>
              <w:fldChar w:fldCharType="end"/>
            </w:r>
          </w:hyperlink>
        </w:p>
        <w:p w14:paraId="3D08CAE7" w14:textId="33A25C83" w:rsidR="00E7520D" w:rsidRPr="00E7520D" w:rsidRDefault="00B93476">
          <w:pPr>
            <w:pStyle w:val="TOC2"/>
            <w:tabs>
              <w:tab w:val="right" w:leader="dot" w:pos="8630"/>
            </w:tabs>
            <w:rPr>
              <w:rFonts w:eastAsiaTheme="minorEastAsia" w:cstheme="minorBidi"/>
              <w:noProof/>
              <w:sz w:val="22"/>
              <w:szCs w:val="22"/>
              <w:lang w:eastAsia="en-IE"/>
            </w:rPr>
          </w:pPr>
          <w:hyperlink w:anchor="_Toc142561642" w:history="1">
            <w:r w:rsidR="00E7520D" w:rsidRPr="00E7520D">
              <w:rPr>
                <w:rStyle w:val="Hyperlink"/>
                <w:noProof/>
              </w:rPr>
              <w:t>Who we are</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_Toc142561642 \h </w:instrText>
            </w:r>
            <w:r w:rsidR="00E7520D" w:rsidRPr="00E7520D">
              <w:rPr>
                <w:noProof/>
                <w:webHidden/>
              </w:rPr>
            </w:r>
            <w:r w:rsidR="00E7520D" w:rsidRPr="00E7520D">
              <w:rPr>
                <w:noProof/>
                <w:webHidden/>
              </w:rPr>
              <w:fldChar w:fldCharType="separate"/>
            </w:r>
            <w:r w:rsidR="00972915">
              <w:rPr>
                <w:noProof/>
                <w:webHidden/>
              </w:rPr>
              <w:t>3</w:t>
            </w:r>
            <w:r w:rsidR="00E7520D" w:rsidRPr="00E7520D">
              <w:rPr>
                <w:noProof/>
                <w:webHidden/>
              </w:rPr>
              <w:fldChar w:fldCharType="end"/>
            </w:r>
          </w:hyperlink>
        </w:p>
        <w:p w14:paraId="155CC1EF" w14:textId="5997D69B" w:rsidR="00E7520D" w:rsidRPr="00E7520D" w:rsidRDefault="00B93476">
          <w:pPr>
            <w:pStyle w:val="TOC2"/>
            <w:tabs>
              <w:tab w:val="right" w:leader="dot" w:pos="8630"/>
            </w:tabs>
            <w:rPr>
              <w:rFonts w:eastAsiaTheme="minorEastAsia" w:cstheme="minorBidi"/>
              <w:noProof/>
              <w:sz w:val="22"/>
              <w:szCs w:val="22"/>
              <w:lang w:eastAsia="en-IE"/>
            </w:rPr>
          </w:pPr>
          <w:hyperlink w:anchor="_Toc142561643" w:history="1">
            <w:r w:rsidR="00E7520D" w:rsidRPr="00E7520D">
              <w:rPr>
                <w:rStyle w:val="Hyperlink"/>
                <w:noProof/>
              </w:rPr>
              <w:t>The Disability Act 2005</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_Toc142561643 \h </w:instrText>
            </w:r>
            <w:r w:rsidR="00E7520D" w:rsidRPr="00E7520D">
              <w:rPr>
                <w:noProof/>
                <w:webHidden/>
              </w:rPr>
            </w:r>
            <w:r w:rsidR="00E7520D" w:rsidRPr="00E7520D">
              <w:rPr>
                <w:noProof/>
                <w:webHidden/>
              </w:rPr>
              <w:fldChar w:fldCharType="separate"/>
            </w:r>
            <w:r w:rsidR="00972915">
              <w:rPr>
                <w:noProof/>
                <w:webHidden/>
              </w:rPr>
              <w:t>3</w:t>
            </w:r>
            <w:r w:rsidR="00E7520D" w:rsidRPr="00E7520D">
              <w:rPr>
                <w:noProof/>
                <w:webHidden/>
              </w:rPr>
              <w:fldChar w:fldCharType="end"/>
            </w:r>
          </w:hyperlink>
        </w:p>
        <w:p w14:paraId="2288A247" w14:textId="49395CFC" w:rsidR="00E7520D" w:rsidRPr="00E7520D" w:rsidRDefault="00B93476">
          <w:pPr>
            <w:pStyle w:val="TOC2"/>
            <w:tabs>
              <w:tab w:val="right" w:leader="dot" w:pos="8630"/>
            </w:tabs>
            <w:rPr>
              <w:rFonts w:eastAsiaTheme="minorEastAsia" w:cstheme="minorBidi"/>
              <w:noProof/>
              <w:sz w:val="22"/>
              <w:szCs w:val="22"/>
              <w:lang w:eastAsia="en-IE"/>
            </w:rPr>
          </w:pPr>
          <w:hyperlink w:anchor="_Toc142561644" w:history="1">
            <w:r w:rsidR="00E7520D" w:rsidRPr="00E7520D">
              <w:rPr>
                <w:rStyle w:val="Hyperlink"/>
                <w:noProof/>
              </w:rPr>
              <w:t>Code of Practice on Accessibility of Public Services and Information provided by Public Bodies</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_Toc142561644 \h </w:instrText>
            </w:r>
            <w:r w:rsidR="00E7520D" w:rsidRPr="00E7520D">
              <w:rPr>
                <w:noProof/>
                <w:webHidden/>
              </w:rPr>
            </w:r>
            <w:r w:rsidR="00E7520D" w:rsidRPr="00E7520D">
              <w:rPr>
                <w:noProof/>
                <w:webHidden/>
              </w:rPr>
              <w:fldChar w:fldCharType="separate"/>
            </w:r>
            <w:r w:rsidR="00972915">
              <w:rPr>
                <w:noProof/>
                <w:webHidden/>
              </w:rPr>
              <w:t>4</w:t>
            </w:r>
            <w:r w:rsidR="00E7520D" w:rsidRPr="00E7520D">
              <w:rPr>
                <w:noProof/>
                <w:webHidden/>
              </w:rPr>
              <w:fldChar w:fldCharType="end"/>
            </w:r>
          </w:hyperlink>
        </w:p>
        <w:p w14:paraId="6EC636F6" w14:textId="5B51F4A9" w:rsidR="00E7520D" w:rsidRPr="00E7520D" w:rsidRDefault="00B93476">
          <w:pPr>
            <w:pStyle w:val="TOC2"/>
            <w:tabs>
              <w:tab w:val="right" w:leader="dot" w:pos="8630"/>
            </w:tabs>
            <w:rPr>
              <w:rFonts w:eastAsiaTheme="minorEastAsia" w:cstheme="minorBidi"/>
              <w:noProof/>
              <w:sz w:val="22"/>
              <w:szCs w:val="22"/>
              <w:lang w:eastAsia="en-IE"/>
            </w:rPr>
          </w:pPr>
          <w:hyperlink w:anchor="_Toc142561645" w:history="1">
            <w:r w:rsidR="00E7520D" w:rsidRPr="00E7520D">
              <w:rPr>
                <w:rStyle w:val="Hyperlink"/>
                <w:noProof/>
              </w:rPr>
              <w:t>The NDA’s monitoring responsibilities</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_Toc142561645 \h </w:instrText>
            </w:r>
            <w:r w:rsidR="00E7520D" w:rsidRPr="00E7520D">
              <w:rPr>
                <w:noProof/>
                <w:webHidden/>
              </w:rPr>
            </w:r>
            <w:r w:rsidR="00E7520D" w:rsidRPr="00E7520D">
              <w:rPr>
                <w:noProof/>
                <w:webHidden/>
              </w:rPr>
              <w:fldChar w:fldCharType="separate"/>
            </w:r>
            <w:r w:rsidR="00972915">
              <w:rPr>
                <w:noProof/>
                <w:webHidden/>
              </w:rPr>
              <w:t>4</w:t>
            </w:r>
            <w:r w:rsidR="00E7520D" w:rsidRPr="00E7520D">
              <w:rPr>
                <w:noProof/>
                <w:webHidden/>
              </w:rPr>
              <w:fldChar w:fldCharType="end"/>
            </w:r>
          </w:hyperlink>
        </w:p>
        <w:p w14:paraId="45376BE9" w14:textId="49F6B828" w:rsidR="00E7520D" w:rsidRPr="00E7520D" w:rsidRDefault="00B93476">
          <w:pPr>
            <w:pStyle w:val="TOC3"/>
            <w:rPr>
              <w:rFonts w:eastAsiaTheme="minorEastAsia" w:cstheme="minorBidi"/>
              <w:noProof/>
              <w:sz w:val="22"/>
              <w:szCs w:val="22"/>
              <w:lang w:eastAsia="en-IE"/>
            </w:rPr>
          </w:pPr>
          <w:hyperlink w:anchor="_Toc142561646" w:history="1">
            <w:r w:rsidR="00E7520D" w:rsidRPr="00E7520D">
              <w:rPr>
                <w:rStyle w:val="Hyperlink"/>
                <w:noProof/>
              </w:rPr>
              <w:t>Framework for monitoring</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_Toc142561646 \h </w:instrText>
            </w:r>
            <w:r w:rsidR="00E7520D" w:rsidRPr="00E7520D">
              <w:rPr>
                <w:noProof/>
                <w:webHidden/>
              </w:rPr>
            </w:r>
            <w:r w:rsidR="00E7520D" w:rsidRPr="00E7520D">
              <w:rPr>
                <w:noProof/>
                <w:webHidden/>
              </w:rPr>
              <w:fldChar w:fldCharType="separate"/>
            </w:r>
            <w:r w:rsidR="00972915">
              <w:rPr>
                <w:noProof/>
                <w:webHidden/>
              </w:rPr>
              <w:t>4</w:t>
            </w:r>
            <w:r w:rsidR="00E7520D" w:rsidRPr="00E7520D">
              <w:rPr>
                <w:noProof/>
                <w:webHidden/>
              </w:rPr>
              <w:fldChar w:fldCharType="end"/>
            </w:r>
          </w:hyperlink>
        </w:p>
        <w:p w14:paraId="7A339CE3" w14:textId="3CBBE131" w:rsidR="00E7520D" w:rsidRPr="00E7520D" w:rsidRDefault="00B93476">
          <w:pPr>
            <w:pStyle w:val="TOC2"/>
            <w:tabs>
              <w:tab w:val="right" w:leader="dot" w:pos="8630"/>
            </w:tabs>
            <w:rPr>
              <w:rFonts w:eastAsiaTheme="minorEastAsia" w:cstheme="minorBidi"/>
              <w:noProof/>
              <w:sz w:val="22"/>
              <w:szCs w:val="22"/>
              <w:lang w:eastAsia="en-IE"/>
            </w:rPr>
          </w:pPr>
          <w:hyperlink w:anchor="_Toc142561647" w:history="1">
            <w:r w:rsidR="00E7520D" w:rsidRPr="00E7520D">
              <w:rPr>
                <w:rStyle w:val="Hyperlink"/>
                <w:noProof/>
              </w:rPr>
              <w:t>The purpose of this monitoring report</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_Toc142561647 \h </w:instrText>
            </w:r>
            <w:r w:rsidR="00E7520D" w:rsidRPr="00E7520D">
              <w:rPr>
                <w:noProof/>
                <w:webHidden/>
              </w:rPr>
            </w:r>
            <w:r w:rsidR="00E7520D" w:rsidRPr="00E7520D">
              <w:rPr>
                <w:noProof/>
                <w:webHidden/>
              </w:rPr>
              <w:fldChar w:fldCharType="separate"/>
            </w:r>
            <w:r w:rsidR="00972915">
              <w:rPr>
                <w:noProof/>
                <w:webHidden/>
              </w:rPr>
              <w:t>7</w:t>
            </w:r>
            <w:r w:rsidR="00E7520D" w:rsidRPr="00E7520D">
              <w:rPr>
                <w:noProof/>
                <w:webHidden/>
              </w:rPr>
              <w:fldChar w:fldCharType="end"/>
            </w:r>
          </w:hyperlink>
        </w:p>
        <w:p w14:paraId="2916A91A" w14:textId="75C00444" w:rsidR="00E7520D" w:rsidRPr="00E7520D" w:rsidRDefault="00B93476">
          <w:pPr>
            <w:pStyle w:val="TOC3"/>
            <w:rPr>
              <w:rFonts w:eastAsiaTheme="minorEastAsia" w:cstheme="minorBidi"/>
              <w:noProof/>
              <w:sz w:val="22"/>
              <w:szCs w:val="22"/>
              <w:lang w:eastAsia="en-IE"/>
            </w:rPr>
          </w:pPr>
          <w:hyperlink w:anchor="_Toc142561648" w:history="1">
            <w:r w:rsidR="00E7520D" w:rsidRPr="00E7520D">
              <w:rPr>
                <w:rStyle w:val="Hyperlink"/>
                <w:noProof/>
              </w:rPr>
              <w:t>Section 26 (2) Access Officer</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_Toc142561648 \h </w:instrText>
            </w:r>
            <w:r w:rsidR="00E7520D" w:rsidRPr="00E7520D">
              <w:rPr>
                <w:noProof/>
                <w:webHidden/>
              </w:rPr>
            </w:r>
            <w:r w:rsidR="00E7520D" w:rsidRPr="00E7520D">
              <w:rPr>
                <w:noProof/>
                <w:webHidden/>
              </w:rPr>
              <w:fldChar w:fldCharType="separate"/>
            </w:r>
            <w:r w:rsidR="00972915">
              <w:rPr>
                <w:noProof/>
                <w:webHidden/>
              </w:rPr>
              <w:t>7</w:t>
            </w:r>
            <w:r w:rsidR="00E7520D" w:rsidRPr="00E7520D">
              <w:rPr>
                <w:noProof/>
                <w:webHidden/>
              </w:rPr>
              <w:fldChar w:fldCharType="end"/>
            </w:r>
          </w:hyperlink>
        </w:p>
        <w:p w14:paraId="65620F01" w14:textId="08AE811B" w:rsidR="00E7520D" w:rsidRPr="00E7520D" w:rsidRDefault="00B93476">
          <w:pPr>
            <w:pStyle w:val="TOC2"/>
            <w:tabs>
              <w:tab w:val="right" w:leader="dot" w:pos="8630"/>
            </w:tabs>
            <w:rPr>
              <w:rFonts w:eastAsiaTheme="minorEastAsia" w:cstheme="minorBidi"/>
              <w:noProof/>
              <w:sz w:val="22"/>
              <w:szCs w:val="22"/>
              <w:lang w:eastAsia="en-IE"/>
            </w:rPr>
          </w:pPr>
          <w:hyperlink w:anchor="_Toc142561649" w:history="1">
            <w:r w:rsidR="00E7520D" w:rsidRPr="00E7520D">
              <w:rPr>
                <w:rStyle w:val="Hyperlink"/>
                <w:noProof/>
              </w:rPr>
              <w:t>Methods</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_Toc142561649 \h </w:instrText>
            </w:r>
            <w:r w:rsidR="00E7520D" w:rsidRPr="00E7520D">
              <w:rPr>
                <w:noProof/>
                <w:webHidden/>
              </w:rPr>
            </w:r>
            <w:r w:rsidR="00E7520D" w:rsidRPr="00E7520D">
              <w:rPr>
                <w:noProof/>
                <w:webHidden/>
              </w:rPr>
              <w:fldChar w:fldCharType="separate"/>
            </w:r>
            <w:r w:rsidR="00972915">
              <w:rPr>
                <w:noProof/>
                <w:webHidden/>
              </w:rPr>
              <w:t>7</w:t>
            </w:r>
            <w:r w:rsidR="00E7520D" w:rsidRPr="00E7520D">
              <w:rPr>
                <w:noProof/>
                <w:webHidden/>
              </w:rPr>
              <w:fldChar w:fldCharType="end"/>
            </w:r>
          </w:hyperlink>
        </w:p>
        <w:p w14:paraId="7DE67AEB" w14:textId="23B6948B" w:rsidR="00E7520D" w:rsidRPr="00E7520D" w:rsidRDefault="00B93476">
          <w:pPr>
            <w:pStyle w:val="TOC3"/>
            <w:rPr>
              <w:rFonts w:eastAsiaTheme="minorEastAsia" w:cstheme="minorBidi"/>
              <w:noProof/>
              <w:sz w:val="22"/>
              <w:szCs w:val="22"/>
              <w:lang w:eastAsia="en-IE"/>
            </w:rPr>
          </w:pPr>
          <w:hyperlink w:anchor="_Toc142561650" w:history="1">
            <w:r w:rsidR="00E7520D" w:rsidRPr="00E7520D">
              <w:rPr>
                <w:rStyle w:val="Hyperlink"/>
                <w:noProof/>
              </w:rPr>
              <w:t>Section 26(2) Access Officer</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_Toc142561650 \h </w:instrText>
            </w:r>
            <w:r w:rsidR="00E7520D" w:rsidRPr="00E7520D">
              <w:rPr>
                <w:noProof/>
                <w:webHidden/>
              </w:rPr>
            </w:r>
            <w:r w:rsidR="00E7520D" w:rsidRPr="00E7520D">
              <w:rPr>
                <w:noProof/>
                <w:webHidden/>
              </w:rPr>
              <w:fldChar w:fldCharType="separate"/>
            </w:r>
            <w:r w:rsidR="00972915">
              <w:rPr>
                <w:noProof/>
                <w:webHidden/>
              </w:rPr>
              <w:t>8</w:t>
            </w:r>
            <w:r w:rsidR="00E7520D" w:rsidRPr="00E7520D">
              <w:rPr>
                <w:noProof/>
                <w:webHidden/>
              </w:rPr>
              <w:fldChar w:fldCharType="end"/>
            </w:r>
          </w:hyperlink>
        </w:p>
        <w:p w14:paraId="0E06763F" w14:textId="5156460D" w:rsidR="00E7520D" w:rsidRPr="00E7520D" w:rsidRDefault="00B93476">
          <w:pPr>
            <w:pStyle w:val="TOC1"/>
            <w:rPr>
              <w:rFonts w:eastAsiaTheme="minorEastAsia" w:cstheme="minorBidi"/>
              <w:b w:val="0"/>
              <w:noProof/>
              <w:sz w:val="22"/>
              <w:szCs w:val="22"/>
              <w:lang w:eastAsia="en-IE"/>
            </w:rPr>
          </w:pPr>
          <w:hyperlink w:anchor="_Toc142561651" w:history="1">
            <w:r w:rsidR="00E7520D" w:rsidRPr="00E7520D">
              <w:rPr>
                <w:rStyle w:val="Hyperlink"/>
                <w:noProof/>
              </w:rPr>
              <w:t>Initial Monitoring Findings</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_Toc142561651 \h </w:instrText>
            </w:r>
            <w:r w:rsidR="00E7520D" w:rsidRPr="00E7520D">
              <w:rPr>
                <w:noProof/>
                <w:webHidden/>
              </w:rPr>
            </w:r>
            <w:r w:rsidR="00E7520D" w:rsidRPr="00E7520D">
              <w:rPr>
                <w:noProof/>
                <w:webHidden/>
              </w:rPr>
              <w:fldChar w:fldCharType="separate"/>
            </w:r>
            <w:r w:rsidR="00972915">
              <w:rPr>
                <w:noProof/>
                <w:webHidden/>
              </w:rPr>
              <w:t>10</w:t>
            </w:r>
            <w:r w:rsidR="00E7520D" w:rsidRPr="00E7520D">
              <w:rPr>
                <w:noProof/>
                <w:webHidden/>
              </w:rPr>
              <w:fldChar w:fldCharType="end"/>
            </w:r>
          </w:hyperlink>
        </w:p>
        <w:p w14:paraId="28F2FF84" w14:textId="51C6EF65" w:rsidR="00E7520D" w:rsidRPr="00E7520D" w:rsidRDefault="00B93476">
          <w:pPr>
            <w:pStyle w:val="TOC1"/>
            <w:rPr>
              <w:rFonts w:eastAsiaTheme="minorEastAsia" w:cstheme="minorBidi"/>
              <w:b w:val="0"/>
              <w:noProof/>
              <w:sz w:val="22"/>
              <w:szCs w:val="22"/>
              <w:lang w:eastAsia="en-IE"/>
            </w:rPr>
          </w:pPr>
          <w:hyperlink w:anchor="_Toc142561652" w:history="1">
            <w:r w:rsidR="00E7520D" w:rsidRPr="00E7520D">
              <w:rPr>
                <w:rStyle w:val="Hyperlink"/>
                <w:noProof/>
              </w:rPr>
              <w:t>Final Monitoring Findings</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_Toc142561652 \h </w:instrText>
            </w:r>
            <w:r w:rsidR="00E7520D" w:rsidRPr="00E7520D">
              <w:rPr>
                <w:noProof/>
                <w:webHidden/>
              </w:rPr>
            </w:r>
            <w:r w:rsidR="00E7520D" w:rsidRPr="00E7520D">
              <w:rPr>
                <w:noProof/>
                <w:webHidden/>
              </w:rPr>
              <w:fldChar w:fldCharType="separate"/>
            </w:r>
            <w:r w:rsidR="00972915">
              <w:rPr>
                <w:noProof/>
                <w:webHidden/>
              </w:rPr>
              <w:t>11</w:t>
            </w:r>
            <w:r w:rsidR="00E7520D" w:rsidRPr="00E7520D">
              <w:rPr>
                <w:noProof/>
                <w:webHidden/>
              </w:rPr>
              <w:fldChar w:fldCharType="end"/>
            </w:r>
          </w:hyperlink>
        </w:p>
        <w:p w14:paraId="0D414060" w14:textId="3921F5D2" w:rsidR="00E7520D" w:rsidRPr="00E7520D" w:rsidRDefault="00B93476">
          <w:pPr>
            <w:pStyle w:val="TOC2"/>
            <w:tabs>
              <w:tab w:val="right" w:leader="dot" w:pos="8630"/>
            </w:tabs>
            <w:rPr>
              <w:rFonts w:eastAsiaTheme="minorEastAsia" w:cstheme="minorBidi"/>
              <w:noProof/>
              <w:sz w:val="22"/>
              <w:szCs w:val="22"/>
              <w:lang w:eastAsia="en-IE"/>
            </w:rPr>
          </w:pPr>
          <w:hyperlink w:anchor="_Toc142561653" w:history="1">
            <w:r w:rsidR="00E7520D" w:rsidRPr="00E7520D">
              <w:rPr>
                <w:rStyle w:val="Hyperlink"/>
                <w:noProof/>
              </w:rPr>
              <w:t>Table 1 – Compliance of Departments and their aegis bodies with the Access Officer indicator</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_Toc142561653 \h </w:instrText>
            </w:r>
            <w:r w:rsidR="00E7520D" w:rsidRPr="00E7520D">
              <w:rPr>
                <w:noProof/>
                <w:webHidden/>
              </w:rPr>
            </w:r>
            <w:r w:rsidR="00E7520D" w:rsidRPr="00E7520D">
              <w:rPr>
                <w:noProof/>
                <w:webHidden/>
              </w:rPr>
              <w:fldChar w:fldCharType="separate"/>
            </w:r>
            <w:r w:rsidR="00972915">
              <w:rPr>
                <w:noProof/>
                <w:webHidden/>
              </w:rPr>
              <w:t>15</w:t>
            </w:r>
            <w:r w:rsidR="00E7520D" w:rsidRPr="00E7520D">
              <w:rPr>
                <w:noProof/>
                <w:webHidden/>
              </w:rPr>
              <w:fldChar w:fldCharType="end"/>
            </w:r>
          </w:hyperlink>
        </w:p>
        <w:p w14:paraId="1B4F590D" w14:textId="130EED9A" w:rsidR="00E7520D" w:rsidRPr="00E7520D" w:rsidRDefault="00B93476">
          <w:pPr>
            <w:pStyle w:val="TOC1"/>
            <w:rPr>
              <w:rFonts w:eastAsiaTheme="minorEastAsia" w:cstheme="minorBidi"/>
              <w:b w:val="0"/>
              <w:noProof/>
              <w:sz w:val="22"/>
              <w:szCs w:val="22"/>
              <w:lang w:eastAsia="en-IE"/>
            </w:rPr>
          </w:pPr>
          <w:hyperlink w:anchor="_Toc142561654" w:history="1">
            <w:r w:rsidR="00E7520D" w:rsidRPr="00E7520D">
              <w:rPr>
                <w:rStyle w:val="Hyperlink"/>
                <w:noProof/>
              </w:rPr>
              <w:t>Impact of Monitoring</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_Toc142561654 \h </w:instrText>
            </w:r>
            <w:r w:rsidR="00E7520D" w:rsidRPr="00E7520D">
              <w:rPr>
                <w:noProof/>
                <w:webHidden/>
              </w:rPr>
            </w:r>
            <w:r w:rsidR="00E7520D" w:rsidRPr="00E7520D">
              <w:rPr>
                <w:noProof/>
                <w:webHidden/>
              </w:rPr>
              <w:fldChar w:fldCharType="separate"/>
            </w:r>
            <w:r w:rsidR="00972915">
              <w:rPr>
                <w:noProof/>
                <w:webHidden/>
              </w:rPr>
              <w:t>17</w:t>
            </w:r>
            <w:r w:rsidR="00E7520D" w:rsidRPr="00E7520D">
              <w:rPr>
                <w:noProof/>
                <w:webHidden/>
              </w:rPr>
              <w:fldChar w:fldCharType="end"/>
            </w:r>
          </w:hyperlink>
        </w:p>
        <w:p w14:paraId="4E1807B6" w14:textId="7B111AB1" w:rsidR="00E7520D" w:rsidRPr="00E7520D" w:rsidRDefault="00B93476">
          <w:pPr>
            <w:pStyle w:val="TOC3"/>
            <w:rPr>
              <w:rFonts w:eastAsiaTheme="minorEastAsia" w:cstheme="minorBidi"/>
              <w:noProof/>
              <w:sz w:val="22"/>
              <w:szCs w:val="22"/>
              <w:lang w:eastAsia="en-IE"/>
            </w:rPr>
          </w:pPr>
          <w:hyperlink w:anchor="_Toc142561655" w:history="1">
            <w:r w:rsidR="00E7520D" w:rsidRPr="00E7520D">
              <w:rPr>
                <w:rStyle w:val="Hyperlink"/>
                <w:noProof/>
              </w:rPr>
              <w:t>Limitations of the monitoring process</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_Toc142561655 \h </w:instrText>
            </w:r>
            <w:r w:rsidR="00E7520D" w:rsidRPr="00E7520D">
              <w:rPr>
                <w:noProof/>
                <w:webHidden/>
              </w:rPr>
            </w:r>
            <w:r w:rsidR="00E7520D" w:rsidRPr="00E7520D">
              <w:rPr>
                <w:noProof/>
                <w:webHidden/>
              </w:rPr>
              <w:fldChar w:fldCharType="separate"/>
            </w:r>
            <w:r w:rsidR="00972915">
              <w:rPr>
                <w:noProof/>
                <w:webHidden/>
              </w:rPr>
              <w:t>19</w:t>
            </w:r>
            <w:r w:rsidR="00E7520D" w:rsidRPr="00E7520D">
              <w:rPr>
                <w:noProof/>
                <w:webHidden/>
              </w:rPr>
              <w:fldChar w:fldCharType="end"/>
            </w:r>
          </w:hyperlink>
        </w:p>
        <w:p w14:paraId="0AECAF9B" w14:textId="4B3A2B11" w:rsidR="00E7520D" w:rsidRPr="00E7520D" w:rsidRDefault="00B93476">
          <w:pPr>
            <w:pStyle w:val="TOC1"/>
            <w:rPr>
              <w:rFonts w:eastAsiaTheme="minorEastAsia" w:cstheme="minorBidi"/>
              <w:b w:val="0"/>
              <w:noProof/>
              <w:sz w:val="22"/>
              <w:szCs w:val="22"/>
              <w:lang w:eastAsia="en-IE"/>
            </w:rPr>
          </w:pPr>
          <w:hyperlink w:anchor="_Toc142561656" w:history="1">
            <w:r w:rsidR="00E7520D" w:rsidRPr="00E7520D">
              <w:rPr>
                <w:rStyle w:val="Hyperlink"/>
                <w:rFonts w:eastAsia="SimSun"/>
                <w:noProof/>
                <w:lang w:eastAsia="en-IE"/>
              </w:rPr>
              <w:t>Conclusion and Recommendations</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_Toc142561656 \h </w:instrText>
            </w:r>
            <w:r w:rsidR="00E7520D" w:rsidRPr="00E7520D">
              <w:rPr>
                <w:noProof/>
                <w:webHidden/>
              </w:rPr>
            </w:r>
            <w:r w:rsidR="00E7520D" w:rsidRPr="00E7520D">
              <w:rPr>
                <w:noProof/>
                <w:webHidden/>
              </w:rPr>
              <w:fldChar w:fldCharType="separate"/>
            </w:r>
            <w:r w:rsidR="00972915">
              <w:rPr>
                <w:noProof/>
                <w:webHidden/>
              </w:rPr>
              <w:t>21</w:t>
            </w:r>
            <w:r w:rsidR="00E7520D" w:rsidRPr="00E7520D">
              <w:rPr>
                <w:noProof/>
                <w:webHidden/>
              </w:rPr>
              <w:fldChar w:fldCharType="end"/>
            </w:r>
          </w:hyperlink>
        </w:p>
        <w:p w14:paraId="351982A9" w14:textId="7126C023" w:rsidR="00E7520D" w:rsidRPr="00E7520D" w:rsidRDefault="00B93476">
          <w:pPr>
            <w:pStyle w:val="TOC2"/>
            <w:tabs>
              <w:tab w:val="right" w:leader="dot" w:pos="8630"/>
            </w:tabs>
            <w:rPr>
              <w:rFonts w:eastAsiaTheme="minorEastAsia" w:cstheme="minorBidi"/>
              <w:noProof/>
              <w:sz w:val="22"/>
              <w:szCs w:val="22"/>
              <w:lang w:eastAsia="en-IE"/>
            </w:rPr>
          </w:pPr>
          <w:hyperlink w:anchor="_Toc142561657" w:history="1">
            <w:r w:rsidR="00E7520D" w:rsidRPr="00E7520D">
              <w:rPr>
                <w:rStyle w:val="Hyperlink"/>
                <w:noProof/>
              </w:rPr>
              <w:t>Conclusion</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_Toc142561657 \h </w:instrText>
            </w:r>
            <w:r w:rsidR="00E7520D" w:rsidRPr="00E7520D">
              <w:rPr>
                <w:noProof/>
                <w:webHidden/>
              </w:rPr>
            </w:r>
            <w:r w:rsidR="00E7520D" w:rsidRPr="00E7520D">
              <w:rPr>
                <w:noProof/>
                <w:webHidden/>
              </w:rPr>
              <w:fldChar w:fldCharType="separate"/>
            </w:r>
            <w:r w:rsidR="00972915">
              <w:rPr>
                <w:noProof/>
                <w:webHidden/>
              </w:rPr>
              <w:t>21</w:t>
            </w:r>
            <w:r w:rsidR="00E7520D" w:rsidRPr="00E7520D">
              <w:rPr>
                <w:noProof/>
                <w:webHidden/>
              </w:rPr>
              <w:fldChar w:fldCharType="end"/>
            </w:r>
          </w:hyperlink>
        </w:p>
        <w:p w14:paraId="2EB64D76" w14:textId="4A10A109" w:rsidR="00E7520D" w:rsidRPr="00E7520D" w:rsidRDefault="00B93476">
          <w:pPr>
            <w:pStyle w:val="TOC2"/>
            <w:tabs>
              <w:tab w:val="right" w:leader="dot" w:pos="8630"/>
            </w:tabs>
            <w:rPr>
              <w:rFonts w:eastAsiaTheme="minorEastAsia" w:cstheme="minorBidi"/>
              <w:noProof/>
              <w:sz w:val="22"/>
              <w:szCs w:val="22"/>
              <w:lang w:eastAsia="en-IE"/>
            </w:rPr>
          </w:pPr>
          <w:hyperlink w:anchor="_Toc142561658" w:history="1">
            <w:r w:rsidR="00E7520D" w:rsidRPr="00E7520D">
              <w:rPr>
                <w:rStyle w:val="Hyperlink"/>
                <w:noProof/>
              </w:rPr>
              <w:t>Recommendations</w:t>
            </w:r>
            <w:r w:rsidR="00E7520D" w:rsidRPr="00E7520D">
              <w:rPr>
                <w:noProof/>
                <w:webHidden/>
              </w:rPr>
              <w:tab/>
            </w:r>
            <w:r w:rsidR="00E7520D" w:rsidRPr="00E7520D">
              <w:rPr>
                <w:noProof/>
                <w:webHidden/>
              </w:rPr>
              <w:fldChar w:fldCharType="begin"/>
            </w:r>
            <w:r w:rsidR="00E7520D" w:rsidRPr="00E7520D">
              <w:rPr>
                <w:noProof/>
                <w:webHidden/>
              </w:rPr>
              <w:instrText xml:space="preserve"> PAGEREF _Toc142561658 \h </w:instrText>
            </w:r>
            <w:r w:rsidR="00E7520D" w:rsidRPr="00E7520D">
              <w:rPr>
                <w:noProof/>
                <w:webHidden/>
              </w:rPr>
            </w:r>
            <w:r w:rsidR="00E7520D" w:rsidRPr="00E7520D">
              <w:rPr>
                <w:noProof/>
                <w:webHidden/>
              </w:rPr>
              <w:fldChar w:fldCharType="separate"/>
            </w:r>
            <w:r w:rsidR="00972915">
              <w:rPr>
                <w:noProof/>
                <w:webHidden/>
              </w:rPr>
              <w:t>22</w:t>
            </w:r>
            <w:r w:rsidR="00E7520D" w:rsidRPr="00E7520D">
              <w:rPr>
                <w:noProof/>
                <w:webHidden/>
              </w:rPr>
              <w:fldChar w:fldCharType="end"/>
            </w:r>
          </w:hyperlink>
        </w:p>
        <w:p w14:paraId="5646F51D" w14:textId="22C666F5" w:rsidR="000C03FA" w:rsidRPr="00E7520D" w:rsidRDefault="000C03FA">
          <w:r w:rsidRPr="00E7520D">
            <w:rPr>
              <w:b/>
              <w:bCs/>
              <w:noProof/>
              <w:sz w:val="24"/>
            </w:rPr>
            <w:fldChar w:fldCharType="end"/>
          </w:r>
        </w:p>
      </w:sdtContent>
    </w:sdt>
    <w:p w14:paraId="433CE8E4" w14:textId="00AE21A8" w:rsidR="006E43F4" w:rsidRDefault="006E43F4">
      <w:pPr>
        <w:spacing w:after="0"/>
        <w:rPr>
          <w:rFonts w:cs="Arial"/>
          <w:b/>
          <w:bCs/>
          <w:kern w:val="28"/>
          <w:sz w:val="36"/>
          <w:szCs w:val="32"/>
        </w:rPr>
      </w:pPr>
      <w:bookmarkStart w:id="8" w:name="_Toc78967397"/>
      <w:r>
        <w:rPr>
          <w:rFonts w:cs="Arial"/>
          <w:b/>
          <w:bCs/>
          <w:kern w:val="28"/>
          <w:sz w:val="36"/>
          <w:szCs w:val="32"/>
        </w:rPr>
        <w:br w:type="page"/>
      </w:r>
    </w:p>
    <w:p w14:paraId="12BF439B" w14:textId="14254D1C" w:rsidR="00DB2A93" w:rsidRPr="00D633FE" w:rsidRDefault="00DB2A93" w:rsidP="00DB2A93">
      <w:pPr>
        <w:pStyle w:val="Title"/>
      </w:pPr>
      <w:bookmarkStart w:id="9" w:name="_Toc142561640"/>
      <w:r w:rsidRPr="00D633FE">
        <w:lastRenderedPageBreak/>
        <w:t>NDA Disability Act – Part 3 Monitoring Report 202</w:t>
      </w:r>
      <w:r w:rsidR="00575E0F" w:rsidRPr="00D633FE">
        <w:t>2</w:t>
      </w:r>
      <w:bookmarkEnd w:id="9"/>
    </w:p>
    <w:p w14:paraId="4E913D71" w14:textId="77777777" w:rsidR="009C3BD7" w:rsidRPr="00D633FE" w:rsidRDefault="00453680" w:rsidP="009C3BD7">
      <w:pPr>
        <w:pStyle w:val="Heading1"/>
      </w:pPr>
      <w:bookmarkStart w:id="10" w:name="_Toc142561641"/>
      <w:bookmarkEnd w:id="8"/>
      <w:r w:rsidRPr="00D633FE">
        <w:t>I</w:t>
      </w:r>
      <w:r w:rsidR="00C53419" w:rsidRPr="00D633FE">
        <w:t>ntroduction</w:t>
      </w:r>
      <w:bookmarkEnd w:id="10"/>
      <w:r w:rsidR="00C53419" w:rsidRPr="00D633FE">
        <w:t xml:space="preserve"> </w:t>
      </w:r>
    </w:p>
    <w:p w14:paraId="34EEF15E" w14:textId="77777777" w:rsidR="00841C6D" w:rsidRPr="00A618F8" w:rsidRDefault="00841C6D" w:rsidP="00412B25">
      <w:pPr>
        <w:pStyle w:val="Heading2"/>
      </w:pPr>
      <w:bookmarkStart w:id="11" w:name="_Toc142561642"/>
      <w:r w:rsidRPr="00A618F8">
        <w:t>Who we are</w:t>
      </w:r>
      <w:bookmarkEnd w:id="11"/>
    </w:p>
    <w:p w14:paraId="2C7ECF41" w14:textId="77777777" w:rsidR="00AF7857" w:rsidRPr="00A618F8" w:rsidRDefault="00AF7857" w:rsidP="00AF7857">
      <w:pPr>
        <w:rPr>
          <w:szCs w:val="26"/>
        </w:rPr>
      </w:pPr>
      <w:r w:rsidRPr="00A618F8">
        <w:rPr>
          <w:szCs w:val="26"/>
        </w:rPr>
        <w:t xml:space="preserve">The National Disability Authority (NDA) is the independent statutory body that provides information and advice to the Government on policy and practice relevant to the lives of persons with disabilities. </w:t>
      </w:r>
      <w:r w:rsidRPr="00656765">
        <w:rPr>
          <w:szCs w:val="26"/>
        </w:rPr>
        <w:t xml:space="preserve">We work through our Centre for Excellence in Universal Design (CEUD) to promote the universal design of the built </w:t>
      </w:r>
      <w:r>
        <w:rPr>
          <w:szCs w:val="26"/>
        </w:rPr>
        <w:t xml:space="preserve">and digital </w:t>
      </w:r>
      <w:r w:rsidRPr="00656765">
        <w:rPr>
          <w:szCs w:val="26"/>
        </w:rPr>
        <w:t>environment</w:t>
      </w:r>
      <w:r>
        <w:rPr>
          <w:szCs w:val="26"/>
        </w:rPr>
        <w:t>s</w:t>
      </w:r>
      <w:r w:rsidRPr="00656765">
        <w:rPr>
          <w:szCs w:val="26"/>
        </w:rPr>
        <w:t xml:space="preserve">, </w:t>
      </w:r>
      <w:r>
        <w:rPr>
          <w:szCs w:val="26"/>
        </w:rPr>
        <w:t>as well as</w:t>
      </w:r>
      <w:r w:rsidRPr="00656765">
        <w:rPr>
          <w:szCs w:val="26"/>
        </w:rPr>
        <w:t xml:space="preserve"> services and </w:t>
      </w:r>
      <w:r>
        <w:rPr>
          <w:szCs w:val="26"/>
        </w:rPr>
        <w:t>systems</w:t>
      </w:r>
      <w:r w:rsidRPr="00656765">
        <w:rPr>
          <w:szCs w:val="26"/>
        </w:rPr>
        <w:t xml:space="preserve"> so that they can be easily accessed, understood, and used by everyone, including persons with disabilities.</w:t>
      </w:r>
    </w:p>
    <w:p w14:paraId="3734E7A8" w14:textId="77777777" w:rsidR="00841C6D" w:rsidRPr="00A618F8" w:rsidRDefault="00841C6D" w:rsidP="00412B25">
      <w:pPr>
        <w:pStyle w:val="Heading2"/>
      </w:pPr>
      <w:bookmarkStart w:id="12" w:name="_Toc142561643"/>
      <w:r w:rsidRPr="00A618F8">
        <w:t>The Disability Act 2005</w:t>
      </w:r>
      <w:bookmarkEnd w:id="12"/>
    </w:p>
    <w:p w14:paraId="03A7E3A3" w14:textId="77777777" w:rsidR="005229DB" w:rsidRPr="00A618F8" w:rsidRDefault="005229DB" w:rsidP="005229DB">
      <w:pPr>
        <w:rPr>
          <w:szCs w:val="26"/>
        </w:rPr>
      </w:pPr>
      <w:r w:rsidRPr="00A618F8">
        <w:rPr>
          <w:szCs w:val="26"/>
        </w:rPr>
        <w:t xml:space="preserve">The Disability Act 2005 (“the Act”) </w:t>
      </w:r>
      <w:r w:rsidRPr="00D633FE">
        <w:rPr>
          <w:color w:val="000000"/>
          <w:szCs w:val="26"/>
        </w:rPr>
        <w:t>places a statutory obligation</w:t>
      </w:r>
      <w:r w:rsidRPr="00C27D9B">
        <w:rPr>
          <w:color w:val="000000"/>
          <w:szCs w:val="26"/>
        </w:rPr>
        <w:t xml:space="preserve"> on a public body to make their public services accessible to persons</w:t>
      </w:r>
      <w:r w:rsidRPr="00191726">
        <w:rPr>
          <w:color w:val="000000"/>
          <w:szCs w:val="26"/>
        </w:rPr>
        <w:t xml:space="preserve"> with disabilities. Public </w:t>
      </w:r>
      <w:r w:rsidRPr="00A618F8">
        <w:rPr>
          <w:szCs w:val="26"/>
        </w:rPr>
        <w:t xml:space="preserve">bodies have a legal duty to ensure their information, goods and services are accessible to persons with disabilities as far as practicable. </w:t>
      </w:r>
    </w:p>
    <w:p w14:paraId="5AD4A241" w14:textId="77777777" w:rsidR="005229DB" w:rsidRPr="00A618F8" w:rsidRDefault="004E2337" w:rsidP="005229DB">
      <w:pPr>
        <w:rPr>
          <w:szCs w:val="26"/>
        </w:rPr>
      </w:pPr>
      <w:r w:rsidRPr="00A618F8">
        <w:rPr>
          <w:szCs w:val="26"/>
        </w:rPr>
        <w:t>Responsibilities set out under P</w:t>
      </w:r>
      <w:r w:rsidR="005229DB" w:rsidRPr="00A618F8">
        <w:rPr>
          <w:szCs w:val="26"/>
        </w:rPr>
        <w:t>art 3 in the Act include:</w:t>
      </w:r>
    </w:p>
    <w:p w14:paraId="2A6180BD" w14:textId="77777777" w:rsidR="005229DB" w:rsidRPr="00A618F8" w:rsidRDefault="005229DB" w:rsidP="00136BE4">
      <w:pPr>
        <w:pStyle w:val="ListParagraph"/>
        <w:numPr>
          <w:ilvl w:val="0"/>
          <w:numId w:val="8"/>
        </w:numPr>
        <w:spacing w:after="0"/>
        <w:ind w:left="714" w:hanging="357"/>
        <w:contextualSpacing w:val="0"/>
        <w:rPr>
          <w:rFonts w:ascii="Gill Sans MT" w:hAnsi="Gill Sans MT"/>
          <w:szCs w:val="26"/>
        </w:rPr>
      </w:pPr>
      <w:r w:rsidRPr="00A618F8">
        <w:rPr>
          <w:rFonts w:ascii="Gill Sans MT" w:hAnsi="Gill Sans MT"/>
          <w:szCs w:val="26"/>
        </w:rPr>
        <w:t>Section 26, public bodies are required to ensure that their services are accessible for persons with disabilities by providing integrated access to mainstream services where practicable and appropriate;</w:t>
      </w:r>
    </w:p>
    <w:p w14:paraId="7994A66D" w14:textId="77777777" w:rsidR="005229DB" w:rsidRPr="00A618F8" w:rsidRDefault="005229DB" w:rsidP="00136BE4">
      <w:pPr>
        <w:pStyle w:val="ListParagraph"/>
        <w:numPr>
          <w:ilvl w:val="0"/>
          <w:numId w:val="8"/>
        </w:numPr>
        <w:spacing w:before="240" w:after="0"/>
        <w:ind w:left="714" w:hanging="357"/>
        <w:contextualSpacing w:val="0"/>
        <w:rPr>
          <w:rFonts w:ascii="Gill Sans MT" w:hAnsi="Gill Sans MT"/>
          <w:szCs w:val="26"/>
        </w:rPr>
      </w:pPr>
      <w:r w:rsidRPr="00A618F8">
        <w:rPr>
          <w:rFonts w:ascii="Gill Sans MT" w:hAnsi="Gill Sans MT"/>
          <w:szCs w:val="26"/>
        </w:rPr>
        <w:t>Section 27, public bodies are required to ensure that the goods or services that they purchase intended to be used by the public or staff are accessible, unless it would not be practicable or justifiable on cost grounds or would result in an unreasonable delay;</w:t>
      </w:r>
    </w:p>
    <w:p w14:paraId="56C1A6A5" w14:textId="77777777" w:rsidR="005229DB" w:rsidRPr="00A618F8" w:rsidRDefault="005229DB" w:rsidP="00136BE4">
      <w:pPr>
        <w:pStyle w:val="ListParagraph"/>
        <w:numPr>
          <w:ilvl w:val="0"/>
          <w:numId w:val="8"/>
        </w:numPr>
        <w:spacing w:before="240" w:after="0"/>
        <w:ind w:left="714" w:hanging="357"/>
        <w:contextualSpacing w:val="0"/>
        <w:rPr>
          <w:rFonts w:ascii="Gill Sans MT" w:hAnsi="Gill Sans MT"/>
          <w:szCs w:val="26"/>
        </w:rPr>
      </w:pPr>
      <w:r w:rsidRPr="00A618F8">
        <w:rPr>
          <w:rFonts w:ascii="Gill Sans MT" w:hAnsi="Gill Sans MT"/>
          <w:szCs w:val="26"/>
        </w:rPr>
        <w:t>Section 28, communications by a public body to a person with a hearing or vision impairment, as far as practicable, must be provided in an accessible format where so requested. Information provided electronically must, as far as practicable, be made accessible to a person with a visual impairment availing of adaptive technology. Published information, relevant to persons with intellectual disabilities, as far as practicable, must be made available in easy to read formats; and</w:t>
      </w:r>
    </w:p>
    <w:p w14:paraId="5E22FC4E" w14:textId="77777777" w:rsidR="005229DB" w:rsidRPr="00A618F8" w:rsidRDefault="005229DB" w:rsidP="00136BE4">
      <w:pPr>
        <w:pStyle w:val="ListParagraph"/>
        <w:numPr>
          <w:ilvl w:val="0"/>
          <w:numId w:val="8"/>
        </w:numPr>
        <w:spacing w:before="240"/>
        <w:ind w:left="714" w:hanging="357"/>
        <w:contextualSpacing w:val="0"/>
        <w:rPr>
          <w:rFonts w:ascii="Gill Sans MT" w:hAnsi="Gill Sans MT"/>
          <w:szCs w:val="26"/>
        </w:rPr>
      </w:pPr>
      <w:r w:rsidRPr="00A618F8">
        <w:rPr>
          <w:rFonts w:ascii="Gill Sans MT" w:hAnsi="Gill Sans MT"/>
          <w:szCs w:val="26"/>
        </w:rPr>
        <w:lastRenderedPageBreak/>
        <w:t xml:space="preserve">Section 38 and 39, public bodies must have clear procedures for making and investigating complaints alleging failure of compliance under sections 25, 26, 27, 28 and 29 of the Disability Act 2005. </w:t>
      </w:r>
    </w:p>
    <w:p w14:paraId="7F36198B" w14:textId="77777777" w:rsidR="00841C6D" w:rsidRPr="00A618F8" w:rsidRDefault="00841C6D" w:rsidP="00412B25">
      <w:pPr>
        <w:pStyle w:val="Heading2"/>
      </w:pPr>
      <w:bookmarkStart w:id="13" w:name="_Toc142561644"/>
      <w:r w:rsidRPr="00A618F8">
        <w:t>Code of Practice on Accessibility of Public Services and Information provided by Public Bodies</w:t>
      </w:r>
      <w:bookmarkEnd w:id="13"/>
    </w:p>
    <w:p w14:paraId="597EE833" w14:textId="6C08C232" w:rsidR="005229DB" w:rsidRPr="00191726" w:rsidRDefault="005229DB" w:rsidP="005229DB">
      <w:pPr>
        <w:spacing w:after="120"/>
        <w:rPr>
          <w:szCs w:val="26"/>
        </w:rPr>
      </w:pPr>
      <w:r w:rsidRPr="00A618F8">
        <w:rPr>
          <w:szCs w:val="26"/>
        </w:rPr>
        <w:t>The Disability Act places statutory responsibility on the National Disability Authority (NDA) to prepare Codes of Practice to support public bodies in meeting their obligations under certain sections of the Act. The Code of Practice on Accessibility of Public Services and Information (“the Code”) was prepared at the request of the Minister for Justice and Equality under section 30 of the Act to guide public bodies to meet requirements</w:t>
      </w:r>
      <w:r w:rsidR="00203F16" w:rsidRPr="00A618F8">
        <w:rPr>
          <w:szCs w:val="26"/>
        </w:rPr>
        <w:t xml:space="preserve"> under Section 26, 27 and 28 of the Disability Act</w:t>
      </w:r>
      <w:r w:rsidRPr="00A618F8">
        <w:rPr>
          <w:szCs w:val="26"/>
        </w:rPr>
        <w:t>.</w:t>
      </w:r>
      <w:r w:rsidRPr="00D633FE">
        <w:rPr>
          <w:szCs w:val="26"/>
        </w:rPr>
        <w:t xml:space="preserve"> </w:t>
      </w:r>
      <w:r w:rsidRPr="00BF7A8B">
        <w:rPr>
          <w:szCs w:val="26"/>
        </w:rPr>
        <w:t>By complying with the Cod</w:t>
      </w:r>
      <w:r w:rsidRPr="00C27D9B">
        <w:rPr>
          <w:szCs w:val="26"/>
        </w:rPr>
        <w:t>e of Practice public bodies are considered to be in compliance with those sections of the Act.</w:t>
      </w:r>
      <w:r w:rsidR="00841C6D" w:rsidRPr="00C27D9B">
        <w:rPr>
          <w:szCs w:val="26"/>
        </w:rPr>
        <w:t xml:space="preserve"> </w:t>
      </w:r>
    </w:p>
    <w:p w14:paraId="749ECC5C" w14:textId="1532CE80" w:rsidR="005229DB" w:rsidRPr="00D633FE" w:rsidRDefault="005229DB" w:rsidP="005229DB">
      <w:pPr>
        <w:spacing w:after="120"/>
        <w:rPr>
          <w:szCs w:val="26"/>
        </w:rPr>
      </w:pPr>
      <w:r w:rsidRPr="00D633FE">
        <w:rPr>
          <w:szCs w:val="26"/>
        </w:rPr>
        <w:t>This Code of Practice</w:t>
      </w:r>
      <w:r w:rsidR="00841C6D" w:rsidRPr="00D633FE">
        <w:rPr>
          <w:szCs w:val="26"/>
        </w:rPr>
        <w:t>,</w:t>
      </w:r>
      <w:r w:rsidRPr="00D633FE">
        <w:rPr>
          <w:szCs w:val="26"/>
        </w:rPr>
        <w:t xml:space="preserve"> </w:t>
      </w:r>
      <w:r w:rsidR="00841C6D" w:rsidRPr="00D633FE">
        <w:rPr>
          <w:szCs w:val="26"/>
        </w:rPr>
        <w:t>first published in 2006,</w:t>
      </w:r>
      <w:r w:rsidR="00203F16" w:rsidRPr="00D633FE">
        <w:rPr>
          <w:szCs w:val="26"/>
        </w:rPr>
        <w:t xml:space="preserve"> </w:t>
      </w:r>
      <w:r w:rsidRPr="00D633FE">
        <w:rPr>
          <w:szCs w:val="26"/>
        </w:rPr>
        <w:t>has recently been revised and has been submitted to the Minister for approval. The revised</w:t>
      </w:r>
      <w:r w:rsidR="00EE40C5" w:rsidRPr="00D633FE">
        <w:rPr>
          <w:szCs w:val="26"/>
        </w:rPr>
        <w:t xml:space="preserve"> Code</w:t>
      </w:r>
      <w:r w:rsidRPr="00D633FE">
        <w:rPr>
          <w:szCs w:val="26"/>
        </w:rPr>
        <w:t xml:space="preserve"> provides updated and additional guidance under the Disability Act. This Revised Code will be published shortly. </w:t>
      </w:r>
    </w:p>
    <w:p w14:paraId="0B12CB7A" w14:textId="17099A79" w:rsidR="00150AB4" w:rsidRPr="00D633FE" w:rsidRDefault="00150AB4" w:rsidP="00412B25">
      <w:pPr>
        <w:pStyle w:val="Heading2"/>
      </w:pPr>
      <w:bookmarkStart w:id="14" w:name="_Toc142561645"/>
      <w:r w:rsidRPr="00D633FE">
        <w:t>The NDA</w:t>
      </w:r>
      <w:r w:rsidR="00777243" w:rsidRPr="00D633FE">
        <w:t>’</w:t>
      </w:r>
      <w:r w:rsidRPr="00D633FE">
        <w:t>s monitoring responsibilities</w:t>
      </w:r>
      <w:bookmarkEnd w:id="14"/>
    </w:p>
    <w:p w14:paraId="6B14CA14" w14:textId="18414CA9" w:rsidR="00841C6D" w:rsidRPr="00D633FE" w:rsidRDefault="005229DB" w:rsidP="00841C6D">
      <w:pPr>
        <w:spacing w:after="120"/>
      </w:pPr>
      <w:r w:rsidRPr="00D633FE">
        <w:rPr>
          <w:szCs w:val="26"/>
        </w:rPr>
        <w:t xml:space="preserve">Under Part II, section 8(2) (d) of the National Disability Authority Act, 1999, (NDA Act, 1999), the </w:t>
      </w:r>
      <w:r w:rsidR="00A64B84" w:rsidRPr="00D633FE">
        <w:rPr>
          <w:szCs w:val="26"/>
        </w:rPr>
        <w:t>NDA</w:t>
      </w:r>
      <w:r w:rsidRPr="00D633FE">
        <w:rPr>
          <w:szCs w:val="26"/>
        </w:rPr>
        <w:t xml:space="preserve"> has a role to monitor the implementation of Codes of Practice approved by the Minister and to report the findings. </w:t>
      </w:r>
      <w:r w:rsidR="00841C6D" w:rsidRPr="00D633FE">
        <w:rPr>
          <w:szCs w:val="26"/>
        </w:rPr>
        <w:t xml:space="preserve">NDA monitoring activity follows the framework of the Code </w:t>
      </w:r>
      <w:r w:rsidR="00841C6D" w:rsidRPr="00D633FE">
        <w:t xml:space="preserve">of Practice on Accessibility of Public Services and Information provided by Public Bodies and the requirements set out to this </w:t>
      </w:r>
      <w:r w:rsidR="007F7432" w:rsidRPr="00D633FE">
        <w:t xml:space="preserve">regard. </w:t>
      </w:r>
      <w:r w:rsidR="00841C6D" w:rsidRPr="00D633FE">
        <w:t>See Figure 1:</w:t>
      </w:r>
    </w:p>
    <w:p w14:paraId="17995B67" w14:textId="585B6061" w:rsidR="004E2337" w:rsidRPr="00D633FE" w:rsidRDefault="004E2337" w:rsidP="00841C6D">
      <w:pPr>
        <w:spacing w:after="120"/>
      </w:pPr>
      <w:r w:rsidRPr="00D633FE">
        <w:t>Figure 1 – Framework for monitoring</w:t>
      </w:r>
    </w:p>
    <w:p w14:paraId="448D4C98" w14:textId="087B1E02" w:rsidR="000F5746" w:rsidRPr="00D633FE" w:rsidRDefault="000F5746" w:rsidP="00841C6D">
      <w:pPr>
        <w:spacing w:after="120"/>
      </w:pPr>
    </w:p>
    <w:tbl>
      <w:tblPr>
        <w:tblStyle w:val="TableGrid"/>
        <w:tblW w:w="0" w:type="auto"/>
        <w:tblLook w:val="04A0" w:firstRow="1" w:lastRow="0" w:firstColumn="1" w:lastColumn="0" w:noHBand="0" w:noVBand="1"/>
        <w:tblCaption w:val="Framework for Monitoring "/>
        <w:tblDescription w:val="Detailing Sections 26, 27 and 28 Covered by the Code of Practice on Accessibility of Public Services and Information provided by public bodies"/>
      </w:tblPr>
      <w:tblGrid>
        <w:gridCol w:w="2876"/>
        <w:gridCol w:w="2877"/>
        <w:gridCol w:w="2877"/>
      </w:tblGrid>
      <w:tr w:rsidR="004E14FC" w:rsidRPr="00D633FE" w14:paraId="433EB70D" w14:textId="77777777" w:rsidTr="006F4707">
        <w:trPr>
          <w:tblHeader/>
        </w:trPr>
        <w:tc>
          <w:tcPr>
            <w:tcW w:w="8630" w:type="dxa"/>
            <w:gridSpan w:val="3"/>
          </w:tcPr>
          <w:p w14:paraId="0468CAF4" w14:textId="4CD89123" w:rsidR="004E14FC" w:rsidRPr="00D633FE" w:rsidRDefault="004E14FC" w:rsidP="00B940E3">
            <w:pPr>
              <w:pStyle w:val="Heading3"/>
              <w:jc w:val="center"/>
            </w:pPr>
            <w:bookmarkStart w:id="15" w:name="_Toc142561646"/>
            <w:r w:rsidRPr="00D633FE">
              <w:t>Framework for monitoring</w:t>
            </w:r>
            <w:bookmarkEnd w:id="15"/>
          </w:p>
        </w:tc>
      </w:tr>
      <w:tr w:rsidR="004E14FC" w:rsidRPr="00D633FE" w14:paraId="380E2095" w14:textId="77777777" w:rsidTr="00261CF6">
        <w:tc>
          <w:tcPr>
            <w:tcW w:w="8630" w:type="dxa"/>
            <w:gridSpan w:val="3"/>
            <w:tcBorders>
              <w:top w:val="nil"/>
              <w:left w:val="single" w:sz="4" w:space="0" w:color="auto"/>
              <w:bottom w:val="single" w:sz="4" w:space="0" w:color="auto"/>
              <w:right w:val="single" w:sz="4" w:space="0" w:color="auto"/>
            </w:tcBorders>
            <w:shd w:val="clear" w:color="000000" w:fill="D9D9D9"/>
            <w:vAlign w:val="center"/>
          </w:tcPr>
          <w:p w14:paraId="5446B803" w14:textId="007F1E89" w:rsidR="004E14FC" w:rsidRPr="00D633FE" w:rsidRDefault="004E14FC" w:rsidP="00261CF6">
            <w:pPr>
              <w:spacing w:after="120"/>
              <w:jc w:val="center"/>
              <w:rPr>
                <w:szCs w:val="26"/>
              </w:rPr>
            </w:pPr>
            <w:r w:rsidRPr="00D633FE">
              <w:rPr>
                <w:rFonts w:cs="Calibri"/>
                <w:b/>
                <w:bCs/>
                <w:color w:val="000000"/>
                <w:sz w:val="24"/>
                <w:szCs w:val="26"/>
                <w:lang w:eastAsia="en-IE"/>
              </w:rPr>
              <w:t>The Code of Practice on Accessibility of Public Services and information provided by Public Bodies</w:t>
            </w:r>
          </w:p>
        </w:tc>
      </w:tr>
      <w:tr w:rsidR="004E14FC" w:rsidRPr="00D633FE" w14:paraId="790B6B9A" w14:textId="77777777" w:rsidTr="00261CF6">
        <w:tc>
          <w:tcPr>
            <w:tcW w:w="2876" w:type="dxa"/>
            <w:tcBorders>
              <w:top w:val="nil"/>
              <w:left w:val="single" w:sz="4" w:space="0" w:color="auto"/>
              <w:bottom w:val="single" w:sz="4" w:space="0" w:color="auto"/>
              <w:right w:val="single" w:sz="4" w:space="0" w:color="auto"/>
            </w:tcBorders>
            <w:shd w:val="clear" w:color="000000" w:fill="D9D9D9"/>
          </w:tcPr>
          <w:p w14:paraId="1EC506B3" w14:textId="77777777" w:rsidR="004E14FC" w:rsidRPr="00D633FE" w:rsidRDefault="004E14FC" w:rsidP="004E14FC">
            <w:pPr>
              <w:spacing w:after="0"/>
              <w:jc w:val="center"/>
              <w:rPr>
                <w:rFonts w:cs="Calibri"/>
                <w:b/>
                <w:bCs/>
                <w:color w:val="000000"/>
                <w:sz w:val="24"/>
                <w:szCs w:val="26"/>
                <w:lang w:eastAsia="en-IE"/>
              </w:rPr>
            </w:pPr>
            <w:r w:rsidRPr="00D633FE">
              <w:rPr>
                <w:rFonts w:cs="Calibri"/>
                <w:b/>
                <w:bCs/>
                <w:color w:val="000000"/>
                <w:sz w:val="24"/>
                <w:szCs w:val="26"/>
                <w:lang w:eastAsia="en-IE"/>
              </w:rPr>
              <w:t>Section 26</w:t>
            </w:r>
          </w:p>
          <w:p w14:paraId="1104D7A3" w14:textId="079EC404" w:rsidR="004E14FC" w:rsidRPr="00D633FE" w:rsidRDefault="004E14FC" w:rsidP="004E14FC">
            <w:pPr>
              <w:spacing w:after="120"/>
              <w:rPr>
                <w:szCs w:val="26"/>
              </w:rPr>
            </w:pPr>
            <w:r w:rsidRPr="00D633FE">
              <w:rPr>
                <w:rFonts w:cs="Calibri"/>
                <w:bCs/>
                <w:color w:val="000000"/>
                <w:sz w:val="24"/>
                <w:szCs w:val="26"/>
                <w:lang w:eastAsia="en-IE"/>
              </w:rPr>
              <w:t>Access to services</w:t>
            </w:r>
          </w:p>
        </w:tc>
        <w:tc>
          <w:tcPr>
            <w:tcW w:w="2877" w:type="dxa"/>
            <w:tcBorders>
              <w:top w:val="nil"/>
              <w:left w:val="nil"/>
              <w:bottom w:val="single" w:sz="4" w:space="0" w:color="auto"/>
              <w:right w:val="single" w:sz="4" w:space="0" w:color="auto"/>
            </w:tcBorders>
            <w:shd w:val="clear" w:color="000000" w:fill="D9D9D9"/>
          </w:tcPr>
          <w:p w14:paraId="01D14416" w14:textId="1BD62885" w:rsidR="004E14FC" w:rsidRPr="00D633FE" w:rsidRDefault="004E14FC" w:rsidP="004E14FC">
            <w:pPr>
              <w:spacing w:after="120"/>
              <w:rPr>
                <w:szCs w:val="26"/>
              </w:rPr>
            </w:pPr>
            <w:r w:rsidRPr="00D633FE">
              <w:rPr>
                <w:rFonts w:cs="Calibri"/>
                <w:b/>
                <w:bCs/>
                <w:color w:val="000000"/>
                <w:sz w:val="24"/>
                <w:szCs w:val="26"/>
                <w:lang w:eastAsia="en-IE"/>
              </w:rPr>
              <w:t>Section 27</w:t>
            </w:r>
            <w:r w:rsidRPr="00D633FE">
              <w:rPr>
                <w:rFonts w:cs="Calibri"/>
                <w:bCs/>
                <w:color w:val="000000"/>
                <w:sz w:val="24"/>
                <w:szCs w:val="26"/>
                <w:lang w:eastAsia="en-IE"/>
              </w:rPr>
              <w:t xml:space="preserve"> Accessibility of service provided to a public body</w:t>
            </w:r>
          </w:p>
        </w:tc>
        <w:tc>
          <w:tcPr>
            <w:tcW w:w="2877" w:type="dxa"/>
            <w:tcBorders>
              <w:top w:val="nil"/>
              <w:left w:val="nil"/>
              <w:bottom w:val="single" w:sz="4" w:space="0" w:color="auto"/>
              <w:right w:val="single" w:sz="4" w:space="0" w:color="auto"/>
            </w:tcBorders>
            <w:shd w:val="clear" w:color="000000" w:fill="D9D9D9"/>
          </w:tcPr>
          <w:p w14:paraId="66EB3B34" w14:textId="77777777" w:rsidR="004E14FC" w:rsidRPr="00D633FE" w:rsidRDefault="004E14FC" w:rsidP="004E14FC">
            <w:pPr>
              <w:spacing w:after="0"/>
              <w:jc w:val="center"/>
              <w:rPr>
                <w:rFonts w:cs="Calibri"/>
                <w:b/>
                <w:bCs/>
                <w:color w:val="000000"/>
                <w:sz w:val="24"/>
                <w:szCs w:val="26"/>
                <w:lang w:eastAsia="en-IE"/>
              </w:rPr>
            </w:pPr>
            <w:r w:rsidRPr="00D633FE">
              <w:rPr>
                <w:rFonts w:cs="Calibri"/>
                <w:b/>
                <w:bCs/>
                <w:color w:val="000000"/>
                <w:sz w:val="24"/>
                <w:szCs w:val="26"/>
                <w:lang w:eastAsia="en-IE"/>
              </w:rPr>
              <w:t>Section 28</w:t>
            </w:r>
          </w:p>
          <w:p w14:paraId="542DB87D" w14:textId="694B38BE" w:rsidR="004E14FC" w:rsidRPr="00D633FE" w:rsidRDefault="004E14FC" w:rsidP="004E14FC">
            <w:pPr>
              <w:spacing w:after="120"/>
              <w:rPr>
                <w:szCs w:val="26"/>
              </w:rPr>
            </w:pPr>
            <w:r w:rsidRPr="00D633FE">
              <w:rPr>
                <w:rFonts w:cs="Calibri"/>
                <w:bCs/>
                <w:color w:val="000000"/>
                <w:sz w:val="24"/>
                <w:szCs w:val="26"/>
                <w:lang w:eastAsia="en-IE"/>
              </w:rPr>
              <w:t>Access to information</w:t>
            </w:r>
          </w:p>
        </w:tc>
      </w:tr>
      <w:tr w:rsidR="004E14FC" w:rsidRPr="00D633FE" w14:paraId="249555F9" w14:textId="77777777" w:rsidTr="00261CF6">
        <w:tc>
          <w:tcPr>
            <w:tcW w:w="2876" w:type="dxa"/>
            <w:tcBorders>
              <w:top w:val="nil"/>
              <w:left w:val="single" w:sz="4" w:space="0" w:color="auto"/>
              <w:bottom w:val="single" w:sz="4" w:space="0" w:color="auto"/>
              <w:right w:val="single" w:sz="4" w:space="0" w:color="auto"/>
            </w:tcBorders>
            <w:shd w:val="clear" w:color="000000" w:fill="FFE5FF"/>
            <w:vAlign w:val="center"/>
          </w:tcPr>
          <w:p w14:paraId="462BDBC5" w14:textId="70D28FC3" w:rsidR="004E14FC" w:rsidRPr="00D633FE" w:rsidRDefault="004E14FC" w:rsidP="004E14FC">
            <w:pPr>
              <w:spacing w:after="120"/>
              <w:rPr>
                <w:szCs w:val="26"/>
              </w:rPr>
            </w:pPr>
            <w:r w:rsidRPr="00D633FE">
              <w:rPr>
                <w:rFonts w:cs="Calibri"/>
                <w:b/>
                <w:color w:val="000000"/>
                <w:sz w:val="22"/>
                <w:szCs w:val="26"/>
                <w:lang w:eastAsia="en-IE"/>
              </w:rPr>
              <w:t>Section 26 (1) (a)</w:t>
            </w:r>
            <w:r w:rsidRPr="00D633FE">
              <w:rPr>
                <w:rFonts w:cs="Calibri"/>
                <w:color w:val="000000"/>
                <w:sz w:val="22"/>
                <w:szCs w:val="26"/>
                <w:lang w:eastAsia="en-IE"/>
              </w:rPr>
              <w:t xml:space="preserve"> Integrated Access to Service</w:t>
            </w:r>
          </w:p>
        </w:tc>
        <w:tc>
          <w:tcPr>
            <w:tcW w:w="2877" w:type="dxa"/>
            <w:tcBorders>
              <w:top w:val="nil"/>
              <w:left w:val="nil"/>
              <w:bottom w:val="single" w:sz="4" w:space="0" w:color="auto"/>
              <w:right w:val="single" w:sz="4" w:space="0" w:color="auto"/>
            </w:tcBorders>
            <w:shd w:val="clear" w:color="000000" w:fill="FCE4D6"/>
            <w:vAlign w:val="center"/>
          </w:tcPr>
          <w:p w14:paraId="1B9AF2E7" w14:textId="01DD26CD" w:rsidR="004E14FC" w:rsidRPr="00D633FE" w:rsidRDefault="004E14FC" w:rsidP="004E14FC">
            <w:pPr>
              <w:spacing w:after="120"/>
              <w:rPr>
                <w:szCs w:val="26"/>
              </w:rPr>
            </w:pPr>
            <w:r w:rsidRPr="00D633FE">
              <w:rPr>
                <w:rFonts w:cs="Calibri"/>
                <w:b/>
                <w:color w:val="000000"/>
                <w:sz w:val="22"/>
                <w:szCs w:val="26"/>
                <w:lang w:eastAsia="en-IE"/>
              </w:rPr>
              <w:t>Section 27</w:t>
            </w:r>
            <w:r w:rsidRPr="00D633FE">
              <w:rPr>
                <w:rFonts w:cs="Calibri"/>
                <w:color w:val="000000"/>
                <w:sz w:val="22"/>
                <w:szCs w:val="26"/>
                <w:lang w:eastAsia="en-IE"/>
              </w:rPr>
              <w:t xml:space="preserve"> Accessibility of service provided to a public body</w:t>
            </w:r>
          </w:p>
        </w:tc>
        <w:tc>
          <w:tcPr>
            <w:tcW w:w="2877" w:type="dxa"/>
            <w:tcBorders>
              <w:top w:val="nil"/>
              <w:left w:val="nil"/>
              <w:bottom w:val="single" w:sz="4" w:space="0" w:color="auto"/>
              <w:right w:val="single" w:sz="4" w:space="0" w:color="auto"/>
            </w:tcBorders>
            <w:shd w:val="clear" w:color="000000" w:fill="DDEBF7"/>
            <w:vAlign w:val="center"/>
          </w:tcPr>
          <w:p w14:paraId="226555B2" w14:textId="05CCBEB9" w:rsidR="004E14FC" w:rsidRPr="00D633FE" w:rsidRDefault="004E14FC" w:rsidP="004E14FC">
            <w:pPr>
              <w:spacing w:after="120"/>
              <w:rPr>
                <w:szCs w:val="26"/>
              </w:rPr>
            </w:pPr>
            <w:r w:rsidRPr="00D633FE">
              <w:rPr>
                <w:rFonts w:cs="Calibri"/>
                <w:b/>
                <w:color w:val="000000"/>
                <w:sz w:val="22"/>
                <w:szCs w:val="26"/>
                <w:lang w:eastAsia="en-IE"/>
              </w:rPr>
              <w:t>Section 28 (1) (a)</w:t>
            </w:r>
            <w:r w:rsidRPr="00D633FE">
              <w:rPr>
                <w:rFonts w:cs="Calibri"/>
                <w:color w:val="000000"/>
                <w:sz w:val="22"/>
                <w:szCs w:val="26"/>
                <w:lang w:eastAsia="en-IE"/>
              </w:rPr>
              <w:t xml:space="preserve"> Spoken information</w:t>
            </w:r>
          </w:p>
        </w:tc>
      </w:tr>
      <w:tr w:rsidR="004E14FC" w:rsidRPr="00D633FE" w14:paraId="42DCC631" w14:textId="77777777" w:rsidTr="00261CF6">
        <w:tc>
          <w:tcPr>
            <w:tcW w:w="2876" w:type="dxa"/>
            <w:tcBorders>
              <w:top w:val="nil"/>
              <w:left w:val="single" w:sz="4" w:space="0" w:color="auto"/>
              <w:bottom w:val="single" w:sz="4" w:space="0" w:color="auto"/>
              <w:right w:val="single" w:sz="4" w:space="0" w:color="auto"/>
            </w:tcBorders>
            <w:shd w:val="clear" w:color="000000" w:fill="FFE5FF"/>
            <w:vAlign w:val="center"/>
          </w:tcPr>
          <w:p w14:paraId="00FA304B" w14:textId="58E22286" w:rsidR="004E14FC" w:rsidRPr="00D633FE" w:rsidRDefault="004E14FC" w:rsidP="004E14FC">
            <w:pPr>
              <w:spacing w:after="120"/>
              <w:rPr>
                <w:szCs w:val="26"/>
              </w:rPr>
            </w:pPr>
            <w:r w:rsidRPr="00D633FE">
              <w:rPr>
                <w:rFonts w:cs="Calibri"/>
                <w:b/>
                <w:color w:val="000000"/>
                <w:sz w:val="22"/>
                <w:szCs w:val="26"/>
                <w:lang w:eastAsia="en-IE"/>
              </w:rPr>
              <w:t>Section 26 (1) (b)</w:t>
            </w:r>
            <w:r w:rsidRPr="00D633FE">
              <w:rPr>
                <w:rFonts w:cs="Calibri"/>
                <w:color w:val="000000"/>
                <w:sz w:val="22"/>
                <w:szCs w:val="26"/>
                <w:lang w:eastAsia="en-IE"/>
              </w:rPr>
              <w:t xml:space="preserve"> Providing Assistance</w:t>
            </w:r>
          </w:p>
        </w:tc>
        <w:tc>
          <w:tcPr>
            <w:tcW w:w="2877" w:type="dxa"/>
          </w:tcPr>
          <w:p w14:paraId="191B6106" w14:textId="77777777" w:rsidR="004E14FC" w:rsidRPr="00D633FE" w:rsidRDefault="004E14FC" w:rsidP="004E14FC">
            <w:pPr>
              <w:spacing w:after="120"/>
              <w:rPr>
                <w:szCs w:val="26"/>
              </w:rPr>
            </w:pPr>
          </w:p>
        </w:tc>
        <w:tc>
          <w:tcPr>
            <w:tcW w:w="2877" w:type="dxa"/>
            <w:tcBorders>
              <w:top w:val="nil"/>
              <w:left w:val="nil"/>
              <w:bottom w:val="single" w:sz="4" w:space="0" w:color="auto"/>
              <w:right w:val="single" w:sz="4" w:space="0" w:color="auto"/>
            </w:tcBorders>
            <w:shd w:val="clear" w:color="000000" w:fill="DDEBF7"/>
            <w:vAlign w:val="center"/>
          </w:tcPr>
          <w:p w14:paraId="4A65EA5D" w14:textId="1ABD6FB0" w:rsidR="004E14FC" w:rsidRPr="00D633FE" w:rsidRDefault="004E14FC" w:rsidP="004E14FC">
            <w:pPr>
              <w:spacing w:after="120"/>
              <w:rPr>
                <w:szCs w:val="26"/>
              </w:rPr>
            </w:pPr>
            <w:r w:rsidRPr="00D633FE">
              <w:rPr>
                <w:rFonts w:cs="Calibri"/>
                <w:b/>
                <w:color w:val="000000"/>
                <w:sz w:val="22"/>
                <w:szCs w:val="26"/>
                <w:lang w:eastAsia="en-IE"/>
              </w:rPr>
              <w:t>Section 28 (1) (b)</w:t>
            </w:r>
            <w:r w:rsidRPr="00D633FE">
              <w:rPr>
                <w:rFonts w:cs="Calibri"/>
                <w:color w:val="000000"/>
                <w:sz w:val="22"/>
                <w:szCs w:val="26"/>
                <w:lang w:eastAsia="en-IE"/>
              </w:rPr>
              <w:t xml:space="preserve"> Written information</w:t>
            </w:r>
          </w:p>
        </w:tc>
      </w:tr>
      <w:tr w:rsidR="004E14FC" w:rsidRPr="00D633FE" w14:paraId="054BDA4A" w14:textId="77777777" w:rsidTr="00261CF6">
        <w:tc>
          <w:tcPr>
            <w:tcW w:w="2876" w:type="dxa"/>
            <w:tcBorders>
              <w:top w:val="nil"/>
              <w:left w:val="single" w:sz="4" w:space="0" w:color="auto"/>
              <w:bottom w:val="single" w:sz="4" w:space="0" w:color="auto"/>
              <w:right w:val="single" w:sz="4" w:space="0" w:color="auto"/>
            </w:tcBorders>
            <w:shd w:val="clear" w:color="000000" w:fill="FFE5FF"/>
            <w:vAlign w:val="center"/>
          </w:tcPr>
          <w:p w14:paraId="0D469C42" w14:textId="77777777" w:rsidR="009938B1" w:rsidRPr="00D633FE" w:rsidRDefault="004E14FC" w:rsidP="004E14FC">
            <w:pPr>
              <w:spacing w:after="120"/>
              <w:rPr>
                <w:rFonts w:cs="Calibri"/>
                <w:color w:val="000000"/>
                <w:sz w:val="22"/>
                <w:szCs w:val="26"/>
                <w:lang w:eastAsia="en-IE"/>
              </w:rPr>
            </w:pPr>
            <w:r w:rsidRPr="00D633FE">
              <w:rPr>
                <w:rFonts w:cs="Calibri"/>
                <w:b/>
                <w:color w:val="000000"/>
                <w:sz w:val="22"/>
                <w:szCs w:val="26"/>
                <w:lang w:eastAsia="en-IE"/>
              </w:rPr>
              <w:lastRenderedPageBreak/>
              <w:t>Section 26 (1) (c)</w:t>
            </w:r>
            <w:r w:rsidRPr="00D633FE">
              <w:rPr>
                <w:rFonts w:cs="Calibri"/>
                <w:color w:val="000000"/>
                <w:sz w:val="22"/>
                <w:szCs w:val="26"/>
                <w:lang w:eastAsia="en-IE"/>
              </w:rPr>
              <w:t xml:space="preserve"> </w:t>
            </w:r>
          </w:p>
          <w:p w14:paraId="4F06D371" w14:textId="2E6FACD8" w:rsidR="004E14FC" w:rsidRPr="00D633FE" w:rsidRDefault="004E14FC" w:rsidP="004E14FC">
            <w:pPr>
              <w:spacing w:after="120"/>
              <w:rPr>
                <w:szCs w:val="26"/>
              </w:rPr>
            </w:pPr>
            <w:r w:rsidRPr="00D633FE">
              <w:rPr>
                <w:rFonts w:cs="Calibri"/>
                <w:color w:val="000000"/>
                <w:sz w:val="22"/>
                <w:szCs w:val="26"/>
                <w:lang w:eastAsia="en-IE"/>
              </w:rPr>
              <w:t>Expert Advice</w:t>
            </w:r>
          </w:p>
        </w:tc>
        <w:tc>
          <w:tcPr>
            <w:tcW w:w="2877" w:type="dxa"/>
          </w:tcPr>
          <w:p w14:paraId="53EA7728" w14:textId="77777777" w:rsidR="004E14FC" w:rsidRPr="00D633FE" w:rsidRDefault="004E14FC" w:rsidP="004E14FC">
            <w:pPr>
              <w:spacing w:after="120"/>
              <w:rPr>
                <w:szCs w:val="26"/>
              </w:rPr>
            </w:pPr>
          </w:p>
        </w:tc>
        <w:tc>
          <w:tcPr>
            <w:tcW w:w="2877" w:type="dxa"/>
            <w:tcBorders>
              <w:top w:val="nil"/>
              <w:left w:val="nil"/>
              <w:bottom w:val="single" w:sz="4" w:space="0" w:color="auto"/>
              <w:right w:val="single" w:sz="4" w:space="0" w:color="auto"/>
            </w:tcBorders>
            <w:shd w:val="clear" w:color="000000" w:fill="DDEBF7"/>
            <w:vAlign w:val="center"/>
          </w:tcPr>
          <w:p w14:paraId="64EA22F4" w14:textId="70727A6B" w:rsidR="004E14FC" w:rsidRPr="00D633FE" w:rsidRDefault="004E14FC" w:rsidP="004E14FC">
            <w:pPr>
              <w:spacing w:after="120"/>
              <w:rPr>
                <w:szCs w:val="26"/>
              </w:rPr>
            </w:pPr>
            <w:r w:rsidRPr="00D633FE">
              <w:rPr>
                <w:rFonts w:cs="Calibri"/>
                <w:b/>
                <w:color w:val="000000"/>
                <w:sz w:val="22"/>
                <w:szCs w:val="26"/>
                <w:lang w:eastAsia="en-IE"/>
              </w:rPr>
              <w:t>Section 28 (1) (c)</w:t>
            </w:r>
            <w:r w:rsidRPr="00D633FE">
              <w:rPr>
                <w:rFonts w:cs="Calibri"/>
                <w:color w:val="000000"/>
                <w:sz w:val="22"/>
                <w:szCs w:val="26"/>
                <w:lang w:eastAsia="en-IE"/>
              </w:rPr>
              <w:t xml:space="preserve"> Electronic (digital) information</w:t>
            </w:r>
          </w:p>
        </w:tc>
      </w:tr>
      <w:tr w:rsidR="004E14FC" w:rsidRPr="00D633FE" w14:paraId="54DA7AF0" w14:textId="77777777" w:rsidTr="00261CF6">
        <w:tc>
          <w:tcPr>
            <w:tcW w:w="2876" w:type="dxa"/>
            <w:tcBorders>
              <w:top w:val="nil"/>
              <w:left w:val="single" w:sz="4" w:space="0" w:color="auto"/>
              <w:bottom w:val="single" w:sz="4" w:space="0" w:color="auto"/>
              <w:right w:val="single" w:sz="4" w:space="0" w:color="auto"/>
            </w:tcBorders>
            <w:shd w:val="clear" w:color="000000" w:fill="FFE5FF"/>
            <w:vAlign w:val="center"/>
          </w:tcPr>
          <w:p w14:paraId="7833B865" w14:textId="77777777" w:rsidR="004E14FC" w:rsidRPr="00D633FE" w:rsidRDefault="004E14FC" w:rsidP="009938B1">
            <w:pPr>
              <w:spacing w:after="0"/>
              <w:rPr>
                <w:rFonts w:cs="Calibri"/>
                <w:b/>
                <w:color w:val="000000"/>
                <w:sz w:val="22"/>
                <w:szCs w:val="26"/>
                <w:lang w:eastAsia="en-IE"/>
              </w:rPr>
            </w:pPr>
            <w:r w:rsidRPr="00D633FE">
              <w:rPr>
                <w:rFonts w:cs="Calibri"/>
                <w:b/>
                <w:color w:val="000000"/>
                <w:sz w:val="22"/>
                <w:szCs w:val="26"/>
                <w:lang w:eastAsia="en-IE"/>
              </w:rPr>
              <w:t>Section 26 (2)</w:t>
            </w:r>
          </w:p>
          <w:p w14:paraId="6CED67EB" w14:textId="7335E636" w:rsidR="004E14FC" w:rsidRPr="00D633FE" w:rsidRDefault="004E14FC" w:rsidP="004E14FC">
            <w:pPr>
              <w:spacing w:after="120"/>
              <w:rPr>
                <w:szCs w:val="26"/>
              </w:rPr>
            </w:pPr>
            <w:r w:rsidRPr="00D633FE">
              <w:rPr>
                <w:rFonts w:cs="Calibri"/>
                <w:color w:val="000000"/>
                <w:sz w:val="22"/>
                <w:szCs w:val="26"/>
                <w:lang w:eastAsia="en-IE"/>
              </w:rPr>
              <w:t>Access Officers</w:t>
            </w:r>
          </w:p>
        </w:tc>
        <w:tc>
          <w:tcPr>
            <w:tcW w:w="2877" w:type="dxa"/>
          </w:tcPr>
          <w:p w14:paraId="6AB89921" w14:textId="77777777" w:rsidR="004E14FC" w:rsidRPr="00D633FE" w:rsidRDefault="004E14FC" w:rsidP="004E14FC">
            <w:pPr>
              <w:spacing w:after="120"/>
              <w:rPr>
                <w:szCs w:val="26"/>
              </w:rPr>
            </w:pPr>
          </w:p>
        </w:tc>
        <w:tc>
          <w:tcPr>
            <w:tcW w:w="2877" w:type="dxa"/>
            <w:tcBorders>
              <w:top w:val="nil"/>
              <w:left w:val="nil"/>
              <w:bottom w:val="single" w:sz="4" w:space="0" w:color="auto"/>
              <w:right w:val="single" w:sz="4" w:space="0" w:color="auto"/>
            </w:tcBorders>
            <w:shd w:val="clear" w:color="000000" w:fill="DDEBF7"/>
            <w:vAlign w:val="center"/>
          </w:tcPr>
          <w:p w14:paraId="72CF3FA6" w14:textId="77777777" w:rsidR="004E14FC" w:rsidRPr="00D633FE" w:rsidRDefault="004E14FC" w:rsidP="009938B1">
            <w:pPr>
              <w:spacing w:after="0"/>
              <w:rPr>
                <w:rFonts w:cs="Calibri"/>
                <w:b/>
                <w:color w:val="000000"/>
                <w:sz w:val="22"/>
                <w:szCs w:val="26"/>
                <w:lang w:eastAsia="en-IE"/>
              </w:rPr>
            </w:pPr>
            <w:r w:rsidRPr="00D633FE">
              <w:rPr>
                <w:rFonts w:cs="Calibri"/>
                <w:b/>
                <w:color w:val="000000"/>
                <w:sz w:val="22"/>
                <w:szCs w:val="26"/>
                <w:lang w:eastAsia="en-IE"/>
              </w:rPr>
              <w:t>Section 28 (2)</w:t>
            </w:r>
          </w:p>
          <w:p w14:paraId="46D78372" w14:textId="13C9A8FC" w:rsidR="004E14FC" w:rsidRPr="00D633FE" w:rsidRDefault="004E14FC" w:rsidP="004E14FC">
            <w:pPr>
              <w:spacing w:after="120"/>
              <w:rPr>
                <w:szCs w:val="26"/>
              </w:rPr>
            </w:pPr>
            <w:r w:rsidRPr="00D633FE">
              <w:rPr>
                <w:rFonts w:cs="Calibri"/>
                <w:color w:val="000000"/>
                <w:sz w:val="22"/>
                <w:szCs w:val="26"/>
                <w:lang w:eastAsia="en-IE"/>
              </w:rPr>
              <w:t>Easy to read information</w:t>
            </w:r>
          </w:p>
        </w:tc>
      </w:tr>
    </w:tbl>
    <w:p w14:paraId="08C9C09E" w14:textId="77777777" w:rsidR="00680702" w:rsidRDefault="00680702" w:rsidP="00424436"/>
    <w:p w14:paraId="686B3B93" w14:textId="691945C1" w:rsidR="00424436" w:rsidRPr="00D633FE" w:rsidRDefault="00986173" w:rsidP="00424436">
      <w:r>
        <w:t>The NDA also carr</w:t>
      </w:r>
      <w:r w:rsidR="00D630ED">
        <w:t>ies</w:t>
      </w:r>
      <w:r>
        <w:t xml:space="preserve"> out </w:t>
      </w:r>
      <w:r w:rsidR="00CA3C92">
        <w:t xml:space="preserve">other </w:t>
      </w:r>
      <w:r w:rsidR="00CA3C92" w:rsidRPr="00D633FE">
        <w:t>monitoring</w:t>
      </w:r>
      <w:r w:rsidR="00424436" w:rsidRPr="00D633FE">
        <w:t xml:space="preserve"> function</w:t>
      </w:r>
      <w:r>
        <w:t>s.</w:t>
      </w:r>
      <w:r w:rsidRPr="00986173">
        <w:rPr>
          <w:szCs w:val="26"/>
        </w:rPr>
        <w:t xml:space="preserve"> </w:t>
      </w:r>
      <w:r w:rsidRPr="00A618F8">
        <w:rPr>
          <w:szCs w:val="26"/>
        </w:rPr>
        <w:t xml:space="preserve">It is important to highlight these monitoring functions upon releasing </w:t>
      </w:r>
      <w:r w:rsidR="00485881">
        <w:rPr>
          <w:szCs w:val="26"/>
        </w:rPr>
        <w:t xml:space="preserve">the most recent </w:t>
      </w:r>
      <w:r w:rsidRPr="00A618F8">
        <w:rPr>
          <w:szCs w:val="26"/>
        </w:rPr>
        <w:t xml:space="preserve">report dealing with this Code, as it is vital for Departments and public bodies to understand the importance of interconnected thinking and approaches to accessibility across their organisations and across the wider public sector. </w:t>
      </w:r>
    </w:p>
    <w:p w14:paraId="51B9D73E" w14:textId="685D1D8D" w:rsidR="00424436" w:rsidRPr="00D633FE" w:rsidRDefault="00424436" w:rsidP="00424436">
      <w:r w:rsidRPr="00D633FE">
        <w:t xml:space="preserve">Since 2007 the NDA has produced an annual report reporting on Part 5 of the Disability Act 2005. Part 5 details the obligations public bodies have to promote and support the employment of persons with disabilities. This obligation is assessed using a minimum target of 3% employment of persons with disabilities in the public sector. This target will be increasing from 3% to 6%, </w:t>
      </w:r>
      <w:r w:rsidR="009938B1" w:rsidRPr="00D633FE">
        <w:t>with compliance required by</w:t>
      </w:r>
      <w:r w:rsidRPr="00D633FE">
        <w:t xml:space="preserve"> 2025. It is </w:t>
      </w:r>
      <w:r w:rsidR="00A64B84" w:rsidRPr="00D633FE">
        <w:t>the job of the NDA</w:t>
      </w:r>
      <w:r w:rsidRPr="00D633FE">
        <w:t xml:space="preserve"> to monitor compliance with Part 5 in the public sector. The annual reports on part 5 compliance can be accessed </w:t>
      </w:r>
      <w:hyperlink r:id="rId9" w:history="1">
        <w:r w:rsidRPr="00D633FE">
          <w:rPr>
            <w:rStyle w:val="Hyperlink"/>
          </w:rPr>
          <w:t>here</w:t>
        </w:r>
      </w:hyperlink>
      <w:r w:rsidRPr="00D633FE">
        <w:t>.</w:t>
      </w:r>
    </w:p>
    <w:p w14:paraId="618355D7" w14:textId="6757D9D8" w:rsidR="00424436" w:rsidRPr="00583AEA" w:rsidRDefault="00424436" w:rsidP="00424436">
      <w:r w:rsidRPr="00C27D9B">
        <w:t xml:space="preserve">Another monitoring function of the NDA is the monitoring of public bodies’ compliance with </w:t>
      </w:r>
      <w:r w:rsidRPr="00191726">
        <w:t>S.I. No. 358/2020 - European Union (Accessibility of Websites and Mobile Applications of Public Sector Bodies) Regulations 2020</w:t>
      </w:r>
      <w:r w:rsidRPr="00583AEA">
        <w:t xml:space="preserve">, commonly referred to as the </w:t>
      </w:r>
      <w:r w:rsidRPr="00A618F8">
        <w:t xml:space="preserve">EU Web Accessibility Directive (WAD). </w:t>
      </w:r>
      <w:r w:rsidRPr="00D633FE">
        <w:t>The WAD requires Member States to ensure that websites and mobile applications (apps) of public sector bodies are fully accessible to persons with disabilities. The NDA is the monitoring body for the WAD and in December 2021 we published the first WAD monitoring r</w:t>
      </w:r>
      <w:r w:rsidRPr="00C27D9B">
        <w:t>eport</w:t>
      </w:r>
      <w:r w:rsidRPr="00D633FE">
        <w:t xml:space="preserve">. </w:t>
      </w:r>
      <w:r w:rsidR="00BD0D73" w:rsidRPr="00C27D9B">
        <w:t>The WAD</w:t>
      </w:r>
      <w:r w:rsidRPr="00C27D9B">
        <w:t xml:space="preserve"> reports, like part 5 </w:t>
      </w:r>
      <w:r w:rsidR="00A64B84" w:rsidRPr="00191726">
        <w:t xml:space="preserve">reports, </w:t>
      </w:r>
      <w:r w:rsidRPr="00583AEA">
        <w:t>will be produced annually.</w:t>
      </w:r>
      <w:r w:rsidR="0077543A">
        <w:t xml:space="preserve"> The second WAD report has now been published and this report and all </w:t>
      </w:r>
      <w:r w:rsidR="006E43F4">
        <w:t xml:space="preserve">previous and </w:t>
      </w:r>
      <w:r w:rsidR="0077543A">
        <w:t xml:space="preserve">subsequent WAD monitoring reports can be found </w:t>
      </w:r>
      <w:hyperlink r:id="rId10" w:history="1">
        <w:r w:rsidR="0077543A" w:rsidRPr="0077543A">
          <w:rPr>
            <w:rStyle w:val="Hyperlink"/>
          </w:rPr>
          <w:t>on the NDA’s Website</w:t>
        </w:r>
      </w:hyperlink>
      <w:r w:rsidR="0077543A">
        <w:t xml:space="preserve">. </w:t>
      </w:r>
      <w:r w:rsidRPr="00583AEA">
        <w:t xml:space="preserve"> </w:t>
      </w:r>
    </w:p>
    <w:p w14:paraId="72871FCF" w14:textId="09CB2FE3" w:rsidR="004226C6" w:rsidRPr="00A618F8" w:rsidRDefault="000D6FD2" w:rsidP="00424436">
      <w:pPr>
        <w:rPr>
          <w:szCs w:val="26"/>
        </w:rPr>
      </w:pPr>
      <w:r>
        <w:rPr>
          <w:szCs w:val="26"/>
        </w:rPr>
        <w:t>T</w:t>
      </w:r>
      <w:r w:rsidR="00424436" w:rsidRPr="00A618F8">
        <w:rPr>
          <w:szCs w:val="26"/>
        </w:rPr>
        <w:t>he first monitoring activity under th</w:t>
      </w:r>
      <w:r w:rsidR="00F67487" w:rsidRPr="00A618F8">
        <w:rPr>
          <w:szCs w:val="26"/>
        </w:rPr>
        <w:t xml:space="preserve">is </w:t>
      </w:r>
      <w:r w:rsidR="00424436" w:rsidRPr="00A618F8">
        <w:rPr>
          <w:szCs w:val="26"/>
        </w:rPr>
        <w:t xml:space="preserve">Code examined Departments and public bodies against section 26(2) of the Act (detailed </w:t>
      </w:r>
      <w:r w:rsidR="00EC451E" w:rsidRPr="00A618F8">
        <w:rPr>
          <w:szCs w:val="26"/>
        </w:rPr>
        <w:t xml:space="preserve">in the report </w:t>
      </w:r>
      <w:r w:rsidR="00424436" w:rsidRPr="00A618F8">
        <w:rPr>
          <w:szCs w:val="26"/>
        </w:rPr>
        <w:t xml:space="preserve">below) which has to do with the appointment of an Access Officer and promotion of details of same. The easiest way to assess whether information was available to the public was by </w:t>
      </w:r>
      <w:r w:rsidR="00F70507">
        <w:rPr>
          <w:szCs w:val="26"/>
        </w:rPr>
        <w:t>reviewing</w:t>
      </w:r>
      <w:r w:rsidR="00F70507" w:rsidRPr="00A618F8">
        <w:rPr>
          <w:szCs w:val="26"/>
        </w:rPr>
        <w:t xml:space="preserve"> </w:t>
      </w:r>
      <w:r w:rsidR="002B7FB9">
        <w:rPr>
          <w:szCs w:val="26"/>
        </w:rPr>
        <w:t xml:space="preserve">the </w:t>
      </w:r>
      <w:r w:rsidR="00424436" w:rsidRPr="00A618F8">
        <w:rPr>
          <w:szCs w:val="26"/>
        </w:rPr>
        <w:t xml:space="preserve">websites </w:t>
      </w:r>
      <w:r w:rsidR="002B7FB9">
        <w:rPr>
          <w:szCs w:val="26"/>
        </w:rPr>
        <w:t xml:space="preserve">of public bodies </w:t>
      </w:r>
      <w:r w:rsidR="00424436" w:rsidRPr="00A618F8">
        <w:rPr>
          <w:szCs w:val="26"/>
        </w:rPr>
        <w:t xml:space="preserve">for information on the Access Officer and contact details, </w:t>
      </w:r>
      <w:r w:rsidR="002B7FB9">
        <w:rPr>
          <w:szCs w:val="26"/>
        </w:rPr>
        <w:t xml:space="preserve">this highlights </w:t>
      </w:r>
      <w:r w:rsidR="00424436" w:rsidRPr="00A618F8">
        <w:rPr>
          <w:szCs w:val="26"/>
        </w:rPr>
        <w:t xml:space="preserve">the importance of digital communication and information for Departments and public bodies in communicating with the public. </w:t>
      </w:r>
    </w:p>
    <w:p w14:paraId="410B18AC" w14:textId="30A3BC83" w:rsidR="00D13899" w:rsidRDefault="004226C6" w:rsidP="00424436">
      <w:pPr>
        <w:rPr>
          <w:szCs w:val="26"/>
        </w:rPr>
      </w:pPr>
      <w:r w:rsidRPr="00A618F8">
        <w:rPr>
          <w:szCs w:val="26"/>
        </w:rPr>
        <w:lastRenderedPageBreak/>
        <w:t>The NDA undertook this monitoring of websites for information</w:t>
      </w:r>
      <w:r w:rsidR="00D633FE" w:rsidRPr="00A618F8">
        <w:rPr>
          <w:szCs w:val="26"/>
        </w:rPr>
        <w:t xml:space="preserve"> on Access </w:t>
      </w:r>
      <w:r w:rsidR="00B93476">
        <w:rPr>
          <w:szCs w:val="26"/>
        </w:rPr>
        <w:t>O</w:t>
      </w:r>
      <w:r w:rsidR="00D633FE" w:rsidRPr="00A618F8">
        <w:rPr>
          <w:szCs w:val="26"/>
        </w:rPr>
        <w:t>fficers,</w:t>
      </w:r>
      <w:r w:rsidRPr="00A618F8">
        <w:rPr>
          <w:szCs w:val="26"/>
        </w:rPr>
        <w:t xml:space="preserve"> as this is likely to be one of the most common and convenient way</w:t>
      </w:r>
      <w:r w:rsidR="005009F6">
        <w:rPr>
          <w:szCs w:val="26"/>
        </w:rPr>
        <w:t xml:space="preserve"> </w:t>
      </w:r>
      <w:r w:rsidRPr="00A618F8">
        <w:rPr>
          <w:szCs w:val="26"/>
        </w:rPr>
        <w:t>members of the public access information about services provided by public bodies</w:t>
      </w:r>
      <w:r w:rsidR="00F70507">
        <w:rPr>
          <w:szCs w:val="26"/>
        </w:rPr>
        <w:t>.</w:t>
      </w:r>
      <w:r w:rsidRPr="00A618F8">
        <w:rPr>
          <w:szCs w:val="26"/>
        </w:rPr>
        <w:t xml:space="preserve"> While internet usage isn’t completely ubiquitous, 2022 Census data shows</w:t>
      </w:r>
      <w:r w:rsidR="002F78A1">
        <w:rPr>
          <w:rFonts w:cs="Arial"/>
          <w:szCs w:val="26"/>
          <w:shd w:val="clear" w:color="auto" w:fill="FFFFFF"/>
        </w:rPr>
        <w:t xml:space="preserve"> that</w:t>
      </w:r>
      <w:r w:rsidRPr="0096337F">
        <w:rPr>
          <w:rFonts w:cs="Arial"/>
          <w:szCs w:val="26"/>
          <w:shd w:val="clear" w:color="auto" w:fill="FFFFFF"/>
        </w:rPr>
        <w:t xml:space="preserve"> 94% of </w:t>
      </w:r>
      <w:r w:rsidR="00FB48A8">
        <w:rPr>
          <w:rFonts w:cs="Arial"/>
          <w:szCs w:val="26"/>
          <w:shd w:val="clear" w:color="auto" w:fill="FFFFFF"/>
        </w:rPr>
        <w:t xml:space="preserve">Irish households </w:t>
      </w:r>
      <w:r w:rsidRPr="0096337F">
        <w:rPr>
          <w:rFonts w:cs="Arial"/>
          <w:szCs w:val="26"/>
          <w:shd w:val="clear" w:color="auto" w:fill="FFFFFF"/>
        </w:rPr>
        <w:t>had an internet connection</w:t>
      </w:r>
      <w:r w:rsidRPr="0096337F">
        <w:rPr>
          <w:rStyle w:val="FootnoteReference"/>
          <w:rFonts w:ascii="Gill Sans MT" w:hAnsi="Gill Sans MT" w:cs="Arial"/>
          <w:sz w:val="26"/>
          <w:szCs w:val="26"/>
          <w:shd w:val="clear" w:color="auto" w:fill="FFFFFF"/>
        </w:rPr>
        <w:footnoteReference w:id="1"/>
      </w:r>
      <w:r w:rsidR="00D13899">
        <w:rPr>
          <w:rFonts w:cs="Arial"/>
          <w:szCs w:val="26"/>
          <w:shd w:val="clear" w:color="auto" w:fill="FFFFFF"/>
        </w:rPr>
        <w:t>.</w:t>
      </w:r>
      <w:r w:rsidRPr="0096337F">
        <w:rPr>
          <w:rFonts w:ascii="Arial" w:hAnsi="Arial" w:cs="Arial"/>
          <w:sz w:val="23"/>
          <w:szCs w:val="23"/>
          <w:shd w:val="clear" w:color="auto" w:fill="FFFFFF"/>
        </w:rPr>
        <w:t> </w:t>
      </w:r>
      <w:r w:rsidRPr="00A618F8">
        <w:rPr>
          <w:szCs w:val="26"/>
        </w:rPr>
        <w:t>Further to this, i</w:t>
      </w:r>
      <w:r w:rsidR="00C544C6" w:rsidRPr="00A618F8">
        <w:rPr>
          <w:szCs w:val="26"/>
        </w:rPr>
        <w:t xml:space="preserve">n 2020, </w:t>
      </w:r>
      <w:r w:rsidR="00424436" w:rsidRPr="00A618F8">
        <w:rPr>
          <w:szCs w:val="26"/>
        </w:rPr>
        <w:t>66% of Irish internet users de</w:t>
      </w:r>
      <w:r w:rsidR="004E1D42" w:rsidRPr="00A618F8">
        <w:rPr>
          <w:szCs w:val="26"/>
        </w:rPr>
        <w:t>tailed at this time</w:t>
      </w:r>
      <w:r w:rsidR="00424436" w:rsidRPr="00A618F8">
        <w:rPr>
          <w:szCs w:val="26"/>
        </w:rPr>
        <w:t xml:space="preserve"> that they had used the internet to search health related information and access to health services</w:t>
      </w:r>
      <w:r w:rsidR="00424436" w:rsidRPr="00A618F8">
        <w:rPr>
          <w:rStyle w:val="FootnoteReference"/>
          <w:szCs w:val="26"/>
        </w:rPr>
        <w:footnoteReference w:id="2"/>
      </w:r>
      <w:r w:rsidR="009938B1" w:rsidRPr="00A618F8">
        <w:rPr>
          <w:szCs w:val="26"/>
        </w:rPr>
        <w:t xml:space="preserve">, </w:t>
      </w:r>
      <w:r w:rsidR="00A92AF6">
        <w:rPr>
          <w:szCs w:val="26"/>
        </w:rPr>
        <w:t>which</w:t>
      </w:r>
      <w:r w:rsidR="00A92AF6" w:rsidRPr="00A618F8">
        <w:rPr>
          <w:szCs w:val="26"/>
        </w:rPr>
        <w:t xml:space="preserve"> </w:t>
      </w:r>
      <w:r w:rsidR="00424436" w:rsidRPr="00A618F8">
        <w:rPr>
          <w:szCs w:val="26"/>
        </w:rPr>
        <w:t xml:space="preserve">illustrates how widely used the internet has become for communication and access to services. </w:t>
      </w:r>
    </w:p>
    <w:p w14:paraId="563E6143" w14:textId="6E3E58EE" w:rsidR="00424436" w:rsidRPr="00A618F8" w:rsidRDefault="00424436" w:rsidP="00424436">
      <w:pPr>
        <w:rPr>
          <w:szCs w:val="26"/>
        </w:rPr>
      </w:pPr>
      <w:r w:rsidRPr="00A618F8">
        <w:rPr>
          <w:szCs w:val="26"/>
        </w:rPr>
        <w:t>Meeting requirements under the WAD therefore can also contribute to meeting so</w:t>
      </w:r>
      <w:r w:rsidR="00FD08F1" w:rsidRPr="00A618F8">
        <w:rPr>
          <w:szCs w:val="26"/>
        </w:rPr>
        <w:t xml:space="preserve">me requirements under the Code. The most obvious link is with accessibility of digital </w:t>
      </w:r>
      <w:r w:rsidR="00D13899">
        <w:rPr>
          <w:szCs w:val="26"/>
        </w:rPr>
        <w:t>information</w:t>
      </w:r>
      <w:r w:rsidR="00FD08F1" w:rsidRPr="00A618F8">
        <w:rPr>
          <w:szCs w:val="26"/>
        </w:rPr>
        <w:t>, however, the links are not</w:t>
      </w:r>
      <w:r w:rsidRPr="00A618F8">
        <w:rPr>
          <w:szCs w:val="26"/>
        </w:rPr>
        <w:t xml:space="preserve"> solely to do with information</w:t>
      </w:r>
      <w:r w:rsidR="009938B1" w:rsidRPr="00A618F8">
        <w:rPr>
          <w:szCs w:val="26"/>
        </w:rPr>
        <w:t>,</w:t>
      </w:r>
      <w:r w:rsidRPr="00A618F8">
        <w:rPr>
          <w:szCs w:val="26"/>
        </w:rPr>
        <w:t xml:space="preserve"> as more and more public services require some </w:t>
      </w:r>
      <w:r w:rsidR="00F70507">
        <w:rPr>
          <w:szCs w:val="26"/>
        </w:rPr>
        <w:t>level</w:t>
      </w:r>
      <w:r w:rsidR="00F70507" w:rsidRPr="00A618F8">
        <w:rPr>
          <w:szCs w:val="26"/>
        </w:rPr>
        <w:t xml:space="preserve"> </w:t>
      </w:r>
      <w:r w:rsidRPr="00A618F8">
        <w:rPr>
          <w:szCs w:val="26"/>
        </w:rPr>
        <w:t xml:space="preserve">of online interaction </w:t>
      </w:r>
      <w:r w:rsidR="00FD08F1" w:rsidRPr="00A618F8">
        <w:rPr>
          <w:szCs w:val="26"/>
        </w:rPr>
        <w:t>in order to access services</w:t>
      </w:r>
      <w:r w:rsidRPr="00A618F8">
        <w:rPr>
          <w:szCs w:val="26"/>
        </w:rPr>
        <w:t>. It must be noted</w:t>
      </w:r>
      <w:r w:rsidR="00601653">
        <w:rPr>
          <w:szCs w:val="26"/>
        </w:rPr>
        <w:t xml:space="preserve">, however, </w:t>
      </w:r>
      <w:r w:rsidRPr="00A618F8">
        <w:rPr>
          <w:szCs w:val="26"/>
        </w:rPr>
        <w:t>that accessibility of all forms of communication (not just digital) is still a requirement for</w:t>
      </w:r>
      <w:r w:rsidR="00FD08F1" w:rsidRPr="00A618F8">
        <w:rPr>
          <w:szCs w:val="26"/>
        </w:rPr>
        <w:t xml:space="preserve"> Departments and public bodies.</w:t>
      </w:r>
      <w:r w:rsidRPr="00A618F8">
        <w:rPr>
          <w:rStyle w:val="FootnoteReference"/>
          <w:szCs w:val="26"/>
        </w:rPr>
        <w:footnoteReference w:id="3"/>
      </w:r>
    </w:p>
    <w:p w14:paraId="39AD6511" w14:textId="36855890" w:rsidR="00A92AF6" w:rsidRDefault="00A92AF6" w:rsidP="00A92AF6">
      <w:pPr>
        <w:rPr>
          <w:szCs w:val="26"/>
        </w:rPr>
      </w:pPr>
      <w:r>
        <w:rPr>
          <w:szCs w:val="26"/>
        </w:rPr>
        <w:t>A further example</w:t>
      </w:r>
      <w:r w:rsidR="00601653">
        <w:rPr>
          <w:szCs w:val="26"/>
        </w:rPr>
        <w:t xml:space="preserve"> of the interconnected nature of accessibility requirements and the NDA’s monitoring can be found in looking at </w:t>
      </w:r>
      <w:r>
        <w:rPr>
          <w:szCs w:val="26"/>
        </w:rPr>
        <w:t>how the</w:t>
      </w:r>
      <w:r w:rsidRPr="00A618F8">
        <w:rPr>
          <w:szCs w:val="26"/>
        </w:rPr>
        <w:t xml:space="preserve"> provision and promotion of an Access Officer can also be linked to Part 5 of the Disability Act in considering the needs of applicants and interview candidates to have a point of contact to ensure</w:t>
      </w:r>
      <w:r>
        <w:rPr>
          <w:szCs w:val="26"/>
        </w:rPr>
        <w:t>:</w:t>
      </w:r>
    </w:p>
    <w:p w14:paraId="4C0B02DC" w14:textId="77777777" w:rsidR="00A92AF6" w:rsidRDefault="00A92AF6" w:rsidP="00A92AF6">
      <w:pPr>
        <w:pStyle w:val="ListParagraph"/>
        <w:numPr>
          <w:ilvl w:val="0"/>
          <w:numId w:val="79"/>
        </w:numPr>
        <w:rPr>
          <w:szCs w:val="26"/>
        </w:rPr>
      </w:pPr>
      <w:r w:rsidRPr="00F70507">
        <w:rPr>
          <w:szCs w:val="26"/>
        </w:rPr>
        <w:t xml:space="preserve">access to the building or </w:t>
      </w:r>
    </w:p>
    <w:p w14:paraId="5D7988EA" w14:textId="77777777" w:rsidR="00A92AF6" w:rsidRDefault="00A92AF6" w:rsidP="00A92AF6">
      <w:pPr>
        <w:pStyle w:val="ListParagraph"/>
        <w:numPr>
          <w:ilvl w:val="0"/>
          <w:numId w:val="79"/>
        </w:numPr>
        <w:rPr>
          <w:szCs w:val="26"/>
        </w:rPr>
      </w:pPr>
      <w:r w:rsidRPr="00F70507">
        <w:rPr>
          <w:szCs w:val="26"/>
        </w:rPr>
        <w:t xml:space="preserve">inquire about accommodations or </w:t>
      </w:r>
    </w:p>
    <w:p w14:paraId="1A864E6E" w14:textId="77777777" w:rsidR="00A92AF6" w:rsidRDefault="00A92AF6" w:rsidP="00A92AF6">
      <w:pPr>
        <w:pStyle w:val="ListParagraph"/>
        <w:numPr>
          <w:ilvl w:val="0"/>
          <w:numId w:val="79"/>
        </w:numPr>
        <w:rPr>
          <w:szCs w:val="26"/>
        </w:rPr>
      </w:pPr>
      <w:r w:rsidRPr="00F70507">
        <w:rPr>
          <w:szCs w:val="26"/>
        </w:rPr>
        <w:t xml:space="preserve">provision of accessibility services such as ISL interpretation. </w:t>
      </w:r>
    </w:p>
    <w:p w14:paraId="2D7B8823" w14:textId="4CA786B5" w:rsidR="00A92AF6" w:rsidRPr="00F70507" w:rsidRDefault="00A92AF6" w:rsidP="00A92AF6">
      <w:pPr>
        <w:rPr>
          <w:szCs w:val="26"/>
        </w:rPr>
      </w:pPr>
      <w:r w:rsidRPr="00F70507">
        <w:rPr>
          <w:szCs w:val="26"/>
        </w:rPr>
        <w:t xml:space="preserve">Access Officers can also be a point of contact for persons already employed within the organisation. As Access Officers operate as a point of contact for staff and candidates to raise issues, having an Access Officer within an organisation can therefore help foster a more inclusive working culture. </w:t>
      </w:r>
    </w:p>
    <w:p w14:paraId="471D8C4B" w14:textId="60A7535F" w:rsidR="00CF7FD1" w:rsidRDefault="00A92AF6" w:rsidP="00424436">
      <w:pPr>
        <w:rPr>
          <w:szCs w:val="26"/>
        </w:rPr>
      </w:pPr>
      <w:r>
        <w:rPr>
          <w:szCs w:val="26"/>
        </w:rPr>
        <w:lastRenderedPageBreak/>
        <w:t>These are illustrations</w:t>
      </w:r>
      <w:r w:rsidR="00CF7FD1" w:rsidRPr="00CF7FD1">
        <w:rPr>
          <w:szCs w:val="26"/>
        </w:rPr>
        <w:t xml:space="preserve"> of how some of our monitoring functions are interconnected. As </w:t>
      </w:r>
      <w:r w:rsidR="00CF7FD1">
        <w:rPr>
          <w:szCs w:val="26"/>
        </w:rPr>
        <w:t>the NDA</w:t>
      </w:r>
      <w:r w:rsidR="00CF7FD1" w:rsidRPr="00CF7FD1">
        <w:rPr>
          <w:szCs w:val="26"/>
        </w:rPr>
        <w:t xml:space="preserve"> progress</w:t>
      </w:r>
      <w:r w:rsidR="00CF7FD1">
        <w:rPr>
          <w:szCs w:val="26"/>
        </w:rPr>
        <w:t>es</w:t>
      </w:r>
      <w:r w:rsidR="00CF7FD1" w:rsidRPr="00CF7FD1">
        <w:rPr>
          <w:szCs w:val="26"/>
        </w:rPr>
        <w:t xml:space="preserve"> with the monitoring of this Code as well as continu</w:t>
      </w:r>
      <w:r>
        <w:rPr>
          <w:szCs w:val="26"/>
        </w:rPr>
        <w:t>ing</w:t>
      </w:r>
      <w:r w:rsidR="00CF7FD1" w:rsidRPr="00CF7FD1">
        <w:rPr>
          <w:szCs w:val="26"/>
        </w:rPr>
        <w:t xml:space="preserve"> with other monitoring functions </w:t>
      </w:r>
      <w:r w:rsidR="00CF7FD1">
        <w:rPr>
          <w:szCs w:val="26"/>
        </w:rPr>
        <w:t>the NDA will</w:t>
      </w:r>
      <w:r w:rsidR="00CF7FD1" w:rsidRPr="00CF7FD1">
        <w:rPr>
          <w:szCs w:val="26"/>
        </w:rPr>
        <w:t xml:space="preserve"> </w:t>
      </w:r>
      <w:r>
        <w:rPr>
          <w:szCs w:val="26"/>
        </w:rPr>
        <w:t xml:space="preserve">aim to </w:t>
      </w:r>
      <w:r w:rsidR="00CF7FD1">
        <w:rPr>
          <w:szCs w:val="26"/>
        </w:rPr>
        <w:t>coordinate</w:t>
      </w:r>
      <w:r w:rsidR="00CF7FD1" w:rsidRPr="00CF7FD1">
        <w:rPr>
          <w:szCs w:val="26"/>
        </w:rPr>
        <w:t xml:space="preserve"> these links within </w:t>
      </w:r>
      <w:r w:rsidR="00CF7FD1">
        <w:rPr>
          <w:szCs w:val="26"/>
        </w:rPr>
        <w:t xml:space="preserve">the NDA </w:t>
      </w:r>
      <w:r w:rsidR="00EB63D3">
        <w:rPr>
          <w:szCs w:val="26"/>
        </w:rPr>
        <w:t>statutory</w:t>
      </w:r>
      <w:r w:rsidR="00CF7FD1" w:rsidRPr="00CF7FD1">
        <w:rPr>
          <w:szCs w:val="26"/>
        </w:rPr>
        <w:t xml:space="preserve"> monitoring processes and by extension</w:t>
      </w:r>
      <w:r>
        <w:rPr>
          <w:szCs w:val="26"/>
        </w:rPr>
        <w:t>,</w:t>
      </w:r>
      <w:r w:rsidR="00CF7FD1" w:rsidRPr="00CF7FD1">
        <w:rPr>
          <w:szCs w:val="26"/>
        </w:rPr>
        <w:t xml:space="preserve"> across the Departments and public bodies </w:t>
      </w:r>
      <w:r>
        <w:rPr>
          <w:szCs w:val="26"/>
        </w:rPr>
        <w:t>with these statutory obligations</w:t>
      </w:r>
      <w:r w:rsidR="00CF7FD1" w:rsidRPr="00CF7FD1">
        <w:rPr>
          <w:szCs w:val="26"/>
        </w:rPr>
        <w:t xml:space="preserve">. </w:t>
      </w:r>
    </w:p>
    <w:p w14:paraId="69F6D318" w14:textId="77777777" w:rsidR="00150AB4" w:rsidRPr="00D633FE" w:rsidRDefault="00150AB4" w:rsidP="00150AB4">
      <w:pPr>
        <w:pStyle w:val="Heading2"/>
      </w:pPr>
      <w:bookmarkStart w:id="16" w:name="_Toc142561647"/>
      <w:r w:rsidRPr="00D633FE">
        <w:t>The purpose of this monitoring report</w:t>
      </w:r>
      <w:bookmarkEnd w:id="16"/>
    </w:p>
    <w:p w14:paraId="3D0D408F" w14:textId="04AEA3A5" w:rsidR="00A51545" w:rsidRPr="00D633FE" w:rsidRDefault="008500B6" w:rsidP="009A2E80">
      <w:pPr>
        <w:spacing w:after="120"/>
      </w:pPr>
      <w:r w:rsidRPr="00C27D9B">
        <w:t>For the purposes of this report, the</w:t>
      </w:r>
      <w:r w:rsidR="00EA6100" w:rsidRPr="00C27D9B">
        <w:t xml:space="preserve"> </w:t>
      </w:r>
      <w:r w:rsidR="00A54CC6" w:rsidRPr="00583AEA">
        <w:t xml:space="preserve">NDA </w:t>
      </w:r>
      <w:r w:rsidR="009938B1" w:rsidRPr="00583AEA">
        <w:t>carried out a desk-based evaluation of</w:t>
      </w:r>
      <w:r w:rsidR="00EA6100" w:rsidRPr="00583AEA">
        <w:t xml:space="preserve"> conformance </w:t>
      </w:r>
      <w:r w:rsidR="00EA6100" w:rsidRPr="00D633FE">
        <w:t xml:space="preserve">of all public bodies against </w:t>
      </w:r>
      <w:r w:rsidR="00717572" w:rsidRPr="00D633FE">
        <w:t>specific statutory requirements</w:t>
      </w:r>
      <w:r w:rsidR="00A51545" w:rsidRPr="00D633FE">
        <w:t xml:space="preserve"> regarding</w:t>
      </w:r>
      <w:r w:rsidR="00952720" w:rsidRPr="00D633FE">
        <w:t>:</w:t>
      </w:r>
    </w:p>
    <w:p w14:paraId="45C94FFD" w14:textId="77777777" w:rsidR="00952720" w:rsidRPr="00D633FE" w:rsidRDefault="00952720" w:rsidP="00412B25">
      <w:pPr>
        <w:pStyle w:val="Heading3"/>
      </w:pPr>
      <w:bookmarkStart w:id="17" w:name="_Toc142561648"/>
      <w:r w:rsidRPr="00D633FE">
        <w:t>Section 26 (2) Access Officer</w:t>
      </w:r>
      <w:bookmarkEnd w:id="17"/>
    </w:p>
    <w:p w14:paraId="570E70E7" w14:textId="77777777" w:rsidR="008F4917" w:rsidRPr="00D633FE" w:rsidRDefault="00DB7104" w:rsidP="009A2E80">
      <w:pPr>
        <w:spacing w:after="120"/>
      </w:pPr>
      <w:r w:rsidRPr="00D633FE">
        <w:t>As set</w:t>
      </w:r>
      <w:r w:rsidR="00AC7B9D" w:rsidRPr="00D633FE">
        <w:t xml:space="preserve"> out </w:t>
      </w:r>
      <w:r w:rsidR="008F4917" w:rsidRPr="00D633FE">
        <w:t>under</w:t>
      </w:r>
      <w:r w:rsidR="00AC7B9D" w:rsidRPr="00D633FE">
        <w:t xml:space="preserve"> </w:t>
      </w:r>
      <w:r w:rsidR="008F4917" w:rsidRPr="00D633FE">
        <w:t>S</w:t>
      </w:r>
      <w:r w:rsidR="00721DDA" w:rsidRPr="00D633FE">
        <w:t>ection 2</w:t>
      </w:r>
      <w:r w:rsidR="00EA6100" w:rsidRPr="00D633FE">
        <w:t>6</w:t>
      </w:r>
      <w:r w:rsidR="00721DDA" w:rsidRPr="00D633FE">
        <w:t xml:space="preserve"> of the Disability Act 2005</w:t>
      </w:r>
      <w:r w:rsidR="00AC7B9D" w:rsidRPr="00D633FE">
        <w:t xml:space="preserve">, </w:t>
      </w:r>
      <w:r w:rsidR="008F4917" w:rsidRPr="00D633FE">
        <w:t xml:space="preserve">public </w:t>
      </w:r>
      <w:r w:rsidR="00351252" w:rsidRPr="00D633FE">
        <w:t xml:space="preserve">bodies </w:t>
      </w:r>
      <w:r w:rsidR="008F4917" w:rsidRPr="00D633FE">
        <w:t>have a statutory requirement to</w:t>
      </w:r>
      <w:r w:rsidR="00721DDA" w:rsidRPr="00D633FE">
        <w:t xml:space="preserve"> appoint an Access Officer in the organisation</w:t>
      </w:r>
      <w:r w:rsidRPr="00D633FE">
        <w:t xml:space="preserve">. </w:t>
      </w:r>
    </w:p>
    <w:p w14:paraId="600E3F82" w14:textId="7CBE3B09" w:rsidR="008F4917" w:rsidRPr="00D633FE" w:rsidRDefault="008F4917" w:rsidP="00412B25">
      <w:pPr>
        <w:pStyle w:val="BlockQuote"/>
      </w:pPr>
      <w:r w:rsidRPr="00D633FE">
        <w:t>Each head of a public body shall authorise at least one of his or her officers (referred to in this Act as “access officers”) to provide or arrange for and co-ordinate the provision of assistance and guidance to persons with disabilities in accessing its services</w:t>
      </w:r>
      <w:r w:rsidR="00990197" w:rsidRPr="00D633FE">
        <w:rPr>
          <w:rStyle w:val="FootnoteReference"/>
        </w:rPr>
        <w:footnoteReference w:id="4"/>
      </w:r>
    </w:p>
    <w:p w14:paraId="1E2614F3" w14:textId="156BBDE3" w:rsidR="006F679B" w:rsidRPr="00D633FE" w:rsidRDefault="0079270C" w:rsidP="00412B25">
      <w:r w:rsidRPr="00C27D9B">
        <w:rPr>
          <w:szCs w:val="26"/>
        </w:rPr>
        <w:t>This report</w:t>
      </w:r>
      <w:r w:rsidR="005617CD" w:rsidRPr="00C27D9B">
        <w:rPr>
          <w:szCs w:val="26"/>
        </w:rPr>
        <w:t xml:space="preserve"> presents the fin</w:t>
      </w:r>
      <w:r w:rsidR="005617CD" w:rsidRPr="00F73534">
        <w:rPr>
          <w:szCs w:val="26"/>
        </w:rPr>
        <w:t>dings of this NDA monitoring exercise</w:t>
      </w:r>
      <w:r w:rsidR="00CF7FD1">
        <w:rPr>
          <w:szCs w:val="26"/>
        </w:rPr>
        <w:t>.</w:t>
      </w:r>
      <w:r w:rsidR="00B7625F" w:rsidRPr="00583AEA">
        <w:rPr>
          <w:szCs w:val="26"/>
        </w:rPr>
        <w:t xml:space="preserve"> </w:t>
      </w:r>
      <w:r w:rsidR="008E12CE" w:rsidRPr="00D633FE">
        <w:rPr>
          <w:szCs w:val="26"/>
        </w:rPr>
        <w:t xml:space="preserve">The NDA </w:t>
      </w:r>
      <w:r w:rsidR="000D09E0" w:rsidRPr="00D633FE">
        <w:rPr>
          <w:szCs w:val="26"/>
        </w:rPr>
        <w:t xml:space="preserve">will continue carrying out </w:t>
      </w:r>
      <w:r w:rsidR="008E12CE" w:rsidRPr="00D633FE">
        <w:rPr>
          <w:szCs w:val="26"/>
        </w:rPr>
        <w:t xml:space="preserve">targeted monitoring </w:t>
      </w:r>
      <w:r w:rsidR="000D09E0" w:rsidRPr="00D633FE">
        <w:rPr>
          <w:szCs w:val="26"/>
        </w:rPr>
        <w:t>regularly following th</w:t>
      </w:r>
      <w:r w:rsidR="00CF7FD1">
        <w:rPr>
          <w:szCs w:val="26"/>
        </w:rPr>
        <w:t>e</w:t>
      </w:r>
      <w:r w:rsidR="000D09E0" w:rsidRPr="00D633FE">
        <w:rPr>
          <w:szCs w:val="26"/>
        </w:rPr>
        <w:t xml:space="preserve"> </w:t>
      </w:r>
      <w:r w:rsidR="00CF7FD1">
        <w:rPr>
          <w:szCs w:val="26"/>
        </w:rPr>
        <w:t xml:space="preserve">publication of this monitoring report. </w:t>
      </w:r>
    </w:p>
    <w:p w14:paraId="35FE7B3B" w14:textId="77777777" w:rsidR="00377E52" w:rsidRPr="00D633FE" w:rsidRDefault="00B86C05" w:rsidP="009938B1">
      <w:pPr>
        <w:pStyle w:val="Heading2"/>
      </w:pPr>
      <w:bookmarkStart w:id="18" w:name="_Toc142561649"/>
      <w:r w:rsidRPr="00D633FE">
        <w:t>Methods</w:t>
      </w:r>
      <w:bookmarkEnd w:id="18"/>
    </w:p>
    <w:p w14:paraId="170D1924" w14:textId="32102A50" w:rsidR="00BD6A52" w:rsidRDefault="00D633FE" w:rsidP="00351252">
      <w:pPr>
        <w:rPr>
          <w:szCs w:val="26"/>
        </w:rPr>
      </w:pPr>
      <w:r w:rsidRPr="00A618F8">
        <w:rPr>
          <w:szCs w:val="26"/>
        </w:rPr>
        <w:t xml:space="preserve">As detailed above the NDA undertook a </w:t>
      </w:r>
      <w:r w:rsidR="00EA1676" w:rsidRPr="00A618F8">
        <w:rPr>
          <w:szCs w:val="26"/>
        </w:rPr>
        <w:t>desk-based</w:t>
      </w:r>
      <w:r w:rsidRPr="00A618F8">
        <w:rPr>
          <w:szCs w:val="26"/>
        </w:rPr>
        <w:t xml:space="preserve"> monitoring activity which consisted of analysing the websites of </w:t>
      </w:r>
      <w:r>
        <w:rPr>
          <w:szCs w:val="26"/>
        </w:rPr>
        <w:t xml:space="preserve">public bodies considered to be included in the definition of public bodies under Part 3 of the Disability Act 2005. </w:t>
      </w:r>
    </w:p>
    <w:p w14:paraId="7ECA4ED0" w14:textId="7D42A4FA" w:rsidR="005F4AF6" w:rsidRPr="00A618F8" w:rsidRDefault="00D633FE" w:rsidP="00351252">
      <w:pPr>
        <w:rPr>
          <w:szCs w:val="26"/>
        </w:rPr>
      </w:pPr>
      <w:r>
        <w:rPr>
          <w:szCs w:val="26"/>
        </w:rPr>
        <w:t xml:space="preserve">The NDA initially identified 292 public bodies who were considered to be included </w:t>
      </w:r>
      <w:r w:rsidR="00CF7FD1">
        <w:rPr>
          <w:szCs w:val="26"/>
        </w:rPr>
        <w:t xml:space="preserve">under </w:t>
      </w:r>
      <w:r>
        <w:rPr>
          <w:szCs w:val="26"/>
        </w:rPr>
        <w:t xml:space="preserve">this definition and were confirmed by the Office of each Department’s Secretary General in March 2021. However, following this monitoring exercise and communication with Departments, some updates and changes to public bodies have occurred. For the </w:t>
      </w:r>
      <w:r w:rsidR="00EA1676">
        <w:rPr>
          <w:szCs w:val="26"/>
        </w:rPr>
        <w:t>f</w:t>
      </w:r>
      <w:r>
        <w:rPr>
          <w:szCs w:val="26"/>
        </w:rPr>
        <w:t xml:space="preserve">inal monitoring </w:t>
      </w:r>
      <w:r w:rsidR="00A0404F">
        <w:rPr>
          <w:szCs w:val="26"/>
        </w:rPr>
        <w:t>report,</w:t>
      </w:r>
      <w:r>
        <w:rPr>
          <w:szCs w:val="26"/>
        </w:rPr>
        <w:t xml:space="preserve"> the NDA identified 28</w:t>
      </w:r>
      <w:r w:rsidR="00856473">
        <w:rPr>
          <w:szCs w:val="26"/>
        </w:rPr>
        <w:t>1</w:t>
      </w:r>
      <w:r>
        <w:rPr>
          <w:szCs w:val="26"/>
        </w:rPr>
        <w:t xml:space="preserve"> public bodies who were considered to be included in the definition of public bodies under Part 3 of the Disability Act 2005. </w:t>
      </w:r>
    </w:p>
    <w:p w14:paraId="323E6D3C" w14:textId="77777777" w:rsidR="00351252" w:rsidRPr="00D633FE" w:rsidRDefault="00351252" w:rsidP="00351252">
      <w:pPr>
        <w:rPr>
          <w:szCs w:val="26"/>
        </w:rPr>
      </w:pPr>
      <w:r w:rsidRPr="00D633FE">
        <w:rPr>
          <w:szCs w:val="26"/>
        </w:rPr>
        <w:t>Part 3 of the Disability Act</w:t>
      </w:r>
      <w:r w:rsidR="00506E9C" w:rsidRPr="00D633FE">
        <w:rPr>
          <w:szCs w:val="26"/>
        </w:rPr>
        <w:t xml:space="preserve"> (Section 2(1))</w:t>
      </w:r>
      <w:r w:rsidRPr="00D633FE">
        <w:rPr>
          <w:szCs w:val="26"/>
        </w:rPr>
        <w:t xml:space="preserve"> </w:t>
      </w:r>
      <w:r w:rsidR="00506E9C" w:rsidRPr="00D633FE">
        <w:rPr>
          <w:szCs w:val="26"/>
        </w:rPr>
        <w:t>defines a public body</w:t>
      </w:r>
      <w:r w:rsidRPr="00D633FE">
        <w:rPr>
          <w:szCs w:val="26"/>
        </w:rPr>
        <w:t xml:space="preserve"> as follows: </w:t>
      </w:r>
    </w:p>
    <w:p w14:paraId="1FF17163" w14:textId="77777777" w:rsidR="00351252" w:rsidRPr="00C27D9B" w:rsidRDefault="00351252" w:rsidP="00412B25">
      <w:pPr>
        <w:pStyle w:val="BlockQuote"/>
      </w:pPr>
      <w:r w:rsidRPr="00C27D9B">
        <w:lastRenderedPageBreak/>
        <w:t>“public body” means—</w:t>
      </w:r>
    </w:p>
    <w:p w14:paraId="0C97AD99" w14:textId="77777777" w:rsidR="00351252" w:rsidRPr="00F73534" w:rsidRDefault="00351252" w:rsidP="00412B25">
      <w:pPr>
        <w:pStyle w:val="BlockQuote"/>
      </w:pPr>
      <w:r w:rsidRPr="00F73534">
        <w:t>(a) a Department of State,</w:t>
      </w:r>
    </w:p>
    <w:p w14:paraId="31EB76C3" w14:textId="77777777" w:rsidR="00351252" w:rsidRPr="00D633FE" w:rsidRDefault="00351252" w:rsidP="00412B25">
      <w:pPr>
        <w:pStyle w:val="BlockQuote"/>
      </w:pPr>
      <w:r w:rsidRPr="00D633FE">
        <w:t>(b) the Office of the President,</w:t>
      </w:r>
    </w:p>
    <w:p w14:paraId="3137E8D0" w14:textId="77777777" w:rsidR="00351252" w:rsidRPr="00D633FE" w:rsidRDefault="00351252" w:rsidP="00412B25">
      <w:pPr>
        <w:pStyle w:val="BlockQuote"/>
      </w:pPr>
      <w:r w:rsidRPr="00D633FE">
        <w:t>(c) the Office of the Attorney General,</w:t>
      </w:r>
    </w:p>
    <w:p w14:paraId="48EB4276" w14:textId="77777777" w:rsidR="00351252" w:rsidRPr="00D633FE" w:rsidRDefault="00351252" w:rsidP="00412B25">
      <w:pPr>
        <w:pStyle w:val="BlockQuote"/>
      </w:pPr>
      <w:r w:rsidRPr="00D633FE">
        <w:t>(d) the Office of the Comptroller and Auditor General,</w:t>
      </w:r>
    </w:p>
    <w:p w14:paraId="04618CFA" w14:textId="77777777" w:rsidR="00351252" w:rsidRPr="00D633FE" w:rsidRDefault="00351252" w:rsidP="00412B25">
      <w:pPr>
        <w:pStyle w:val="BlockQuote"/>
      </w:pPr>
      <w:r w:rsidRPr="00D633FE">
        <w:t>(e) the Office of the Houses of the Oireachtas,</w:t>
      </w:r>
    </w:p>
    <w:p w14:paraId="2D69F9B6" w14:textId="77777777" w:rsidR="00351252" w:rsidRPr="00D633FE" w:rsidRDefault="00351252" w:rsidP="00412B25">
      <w:pPr>
        <w:pStyle w:val="BlockQuote"/>
      </w:pPr>
      <w:r w:rsidRPr="00D633FE">
        <w:t>(f) a local authority,</w:t>
      </w:r>
    </w:p>
    <w:p w14:paraId="559D7902" w14:textId="77777777" w:rsidR="00351252" w:rsidRPr="00D633FE" w:rsidRDefault="00351252" w:rsidP="00412B25">
      <w:pPr>
        <w:pStyle w:val="BlockQuote"/>
      </w:pPr>
      <w:r w:rsidRPr="00D633FE">
        <w:t>(g) the Executive,</w:t>
      </w:r>
    </w:p>
    <w:p w14:paraId="15381CEB" w14:textId="77777777" w:rsidR="00351252" w:rsidRPr="00D633FE" w:rsidRDefault="00351252" w:rsidP="00412B25">
      <w:pPr>
        <w:pStyle w:val="BlockQuote"/>
      </w:pPr>
      <w:r w:rsidRPr="00D633FE">
        <w:t>(h) a person, body or organisation (other than the Defence Forces) established—</w:t>
      </w:r>
    </w:p>
    <w:p w14:paraId="24BA1906" w14:textId="77777777" w:rsidR="00351252" w:rsidRPr="00D633FE" w:rsidRDefault="00351252" w:rsidP="00412B25">
      <w:pPr>
        <w:pStyle w:val="BlockQuote"/>
      </w:pPr>
      <w:r w:rsidRPr="00D633FE">
        <w:t>(i) by or under any enactment (other than the Companies Acts 1963 to 2003), or</w:t>
      </w:r>
    </w:p>
    <w:p w14:paraId="125EB0C2" w14:textId="57C0A2F1" w:rsidR="00351252" w:rsidRPr="00D633FE" w:rsidRDefault="00351252" w:rsidP="00412B25">
      <w:pPr>
        <w:pStyle w:val="BlockQuote"/>
      </w:pPr>
      <w:r w:rsidRPr="00D633FE">
        <w:t>(ii) under the Companies Acts 1963 to 2003, in pursuance of powers conferred by or under another enactment, and financed wholly or partly, whether directly or indirectly, by means of moneys provided, or loans made or guaranteed, by a Minister of the Government or shares held by or on behalf of a Minister of the Government;</w:t>
      </w:r>
    </w:p>
    <w:p w14:paraId="55AFB115" w14:textId="3DFB3189" w:rsidR="008F60BB" w:rsidRPr="00A618F8" w:rsidRDefault="009F12DE" w:rsidP="008F60BB">
      <w:pPr>
        <w:rPr>
          <w:szCs w:val="26"/>
        </w:rPr>
      </w:pPr>
      <w:r w:rsidRPr="00A618F8">
        <w:rPr>
          <w:szCs w:val="26"/>
        </w:rPr>
        <w:t>In 2021 t</w:t>
      </w:r>
      <w:r w:rsidR="008F60BB" w:rsidRPr="00A618F8">
        <w:rPr>
          <w:szCs w:val="26"/>
        </w:rPr>
        <w:t>he NDA monitored the websites of each public body</w:t>
      </w:r>
      <w:r w:rsidR="0095659F" w:rsidRPr="00A618F8">
        <w:rPr>
          <w:szCs w:val="26"/>
        </w:rPr>
        <w:t xml:space="preserve"> </w:t>
      </w:r>
      <w:r w:rsidR="00506E9C" w:rsidRPr="00A618F8">
        <w:rPr>
          <w:szCs w:val="26"/>
        </w:rPr>
        <w:t>with responsibilities under the Disability Act</w:t>
      </w:r>
      <w:r w:rsidR="008F60BB" w:rsidRPr="00A618F8">
        <w:rPr>
          <w:szCs w:val="26"/>
        </w:rPr>
        <w:t xml:space="preserve"> with regards to the provision of information for </w:t>
      </w:r>
      <w:r w:rsidR="00D532AF" w:rsidRPr="00A618F8">
        <w:rPr>
          <w:szCs w:val="26"/>
        </w:rPr>
        <w:t>the statutory requirement laid out in Section 26(2)</w:t>
      </w:r>
      <w:r w:rsidR="008F60BB" w:rsidRPr="00A618F8">
        <w:rPr>
          <w:szCs w:val="26"/>
        </w:rPr>
        <w:t>:</w:t>
      </w:r>
    </w:p>
    <w:p w14:paraId="5A7E0C2F" w14:textId="77777777" w:rsidR="008F60BB" w:rsidRPr="00A618F8" w:rsidRDefault="008F60BB" w:rsidP="008F60BB">
      <w:pPr>
        <w:pStyle w:val="Heading3"/>
      </w:pPr>
      <w:bookmarkStart w:id="19" w:name="_Toc142561650"/>
      <w:r w:rsidRPr="00A618F8">
        <w:t>Section 26(2) Access Officer</w:t>
      </w:r>
      <w:bookmarkEnd w:id="19"/>
    </w:p>
    <w:p w14:paraId="30A657EB" w14:textId="77777777" w:rsidR="008F60BB" w:rsidRPr="00D633FE" w:rsidRDefault="008F60BB" w:rsidP="008F60BB">
      <w:pPr>
        <w:pStyle w:val="NormalBeforeList"/>
      </w:pPr>
      <w:r w:rsidRPr="00D633FE">
        <w:t>The Code of Practice explains what is necessary to be deemed compliant under Section 26(2) of the Disability Act 2005 and states that a public body can achieve this by:</w:t>
      </w:r>
    </w:p>
    <w:p w14:paraId="78879AF9" w14:textId="77777777" w:rsidR="008F60BB" w:rsidRPr="00F2613A" w:rsidRDefault="008F60BB" w:rsidP="008F60BB">
      <w:pPr>
        <w:pStyle w:val="BlockQuote"/>
      </w:pPr>
      <w:r w:rsidRPr="00F2613A">
        <w:t>Promoting the appointment and availability of Access Officer(s) and how they may be contacted, so that the general public is made aware of them and knows how to avail of their assistance.</w:t>
      </w:r>
    </w:p>
    <w:p w14:paraId="0551430A" w14:textId="4F0B909D" w:rsidR="008F60BB" w:rsidRPr="00D633FE" w:rsidRDefault="009938B1" w:rsidP="008F60BB">
      <w:pPr>
        <w:pStyle w:val="NormalBeforeList"/>
      </w:pPr>
      <w:r w:rsidRPr="00C27D9B">
        <w:t>The</w:t>
      </w:r>
      <w:r w:rsidR="008F60BB" w:rsidRPr="00C27D9B">
        <w:t xml:space="preserve"> websites of each public body were monitored </w:t>
      </w:r>
      <w:r w:rsidR="00994F6B" w:rsidRPr="00583AEA">
        <w:t xml:space="preserve">against </w:t>
      </w:r>
      <w:r w:rsidR="0077543A">
        <w:t>an indicator consisting of three criteria</w:t>
      </w:r>
      <w:r w:rsidR="00994F6B" w:rsidRPr="00583AEA">
        <w:t xml:space="preserve"> </w:t>
      </w:r>
      <w:r w:rsidR="008F60BB" w:rsidRPr="00D633FE">
        <w:t xml:space="preserve">to evaluate if the </w:t>
      </w:r>
      <w:r w:rsidR="00994F6B" w:rsidRPr="00D633FE">
        <w:t>required</w:t>
      </w:r>
      <w:r w:rsidR="008F60BB" w:rsidRPr="00D633FE">
        <w:t xml:space="preserve"> information was promoted with regards to the Access Officer</w:t>
      </w:r>
      <w:r w:rsidR="0077543A">
        <w:t>. The three criteria are as follows</w:t>
      </w:r>
      <w:r w:rsidR="008F60BB" w:rsidRPr="00D633FE">
        <w:t>:</w:t>
      </w:r>
    </w:p>
    <w:p w14:paraId="19857E6C" w14:textId="77777777" w:rsidR="008F60BB" w:rsidRPr="00D633FE" w:rsidRDefault="008F60BB" w:rsidP="008F60BB">
      <w:pPr>
        <w:pStyle w:val="ListBullet"/>
      </w:pPr>
      <w:r w:rsidRPr="00D633FE">
        <w:lastRenderedPageBreak/>
        <w:t xml:space="preserve">The </w:t>
      </w:r>
      <w:r w:rsidR="009B333B" w:rsidRPr="00D633FE">
        <w:t xml:space="preserve">promotion of the </w:t>
      </w:r>
      <w:r w:rsidR="00A332E9" w:rsidRPr="00D633FE">
        <w:t>appointment</w:t>
      </w:r>
      <w:r w:rsidRPr="00D633FE">
        <w:t xml:space="preserve"> of an Access Officer </w:t>
      </w:r>
    </w:p>
    <w:p w14:paraId="314FBA05" w14:textId="2C45066F" w:rsidR="008F60BB" w:rsidRPr="00D633FE" w:rsidRDefault="008F60BB" w:rsidP="008F60BB">
      <w:pPr>
        <w:pStyle w:val="ListBullet"/>
      </w:pPr>
      <w:r w:rsidRPr="00D633FE">
        <w:t>Information o</w:t>
      </w:r>
      <w:r w:rsidR="004D5312" w:rsidRPr="00D633FE">
        <w:t>n</w:t>
      </w:r>
      <w:r w:rsidRPr="00D633FE">
        <w:t xml:space="preserve"> how to contact the Access Officer</w:t>
      </w:r>
    </w:p>
    <w:p w14:paraId="5AA021EA" w14:textId="77777777" w:rsidR="008F60BB" w:rsidRPr="00D633FE" w:rsidRDefault="008F60BB" w:rsidP="00412B25">
      <w:pPr>
        <w:pStyle w:val="ListBullet"/>
      </w:pPr>
      <w:r w:rsidRPr="00D633FE">
        <w:t xml:space="preserve">A variety of communication channels for contacting them. </w:t>
      </w:r>
    </w:p>
    <w:p w14:paraId="7EB2BE72" w14:textId="61F53C9D" w:rsidR="00E7780D" w:rsidRDefault="008F60BB" w:rsidP="008F60BB">
      <w:pPr>
        <w:rPr>
          <w:szCs w:val="26"/>
        </w:rPr>
      </w:pPr>
      <w:r w:rsidRPr="00A618F8">
        <w:rPr>
          <w:szCs w:val="26"/>
        </w:rPr>
        <w:t xml:space="preserve">The NDA monitoring team evaluated the information provided on the websites </w:t>
      </w:r>
      <w:r w:rsidR="00453680" w:rsidRPr="00A618F8">
        <w:rPr>
          <w:szCs w:val="26"/>
        </w:rPr>
        <w:t>of 292</w:t>
      </w:r>
      <w:r w:rsidR="00AE657D" w:rsidRPr="00A618F8">
        <w:rPr>
          <w:szCs w:val="26"/>
        </w:rPr>
        <w:t xml:space="preserve"> </w:t>
      </w:r>
      <w:r w:rsidRPr="00A618F8">
        <w:rPr>
          <w:szCs w:val="26"/>
        </w:rPr>
        <w:t>public bodies</w:t>
      </w:r>
      <w:r w:rsidR="00583AEA">
        <w:rPr>
          <w:szCs w:val="26"/>
        </w:rPr>
        <w:t xml:space="preserve"> (later adjusted to 28</w:t>
      </w:r>
      <w:r w:rsidR="00856473">
        <w:rPr>
          <w:szCs w:val="26"/>
        </w:rPr>
        <w:t>1</w:t>
      </w:r>
      <w:r w:rsidR="00583AEA">
        <w:rPr>
          <w:szCs w:val="26"/>
        </w:rPr>
        <w:t>)</w:t>
      </w:r>
      <w:r w:rsidRPr="00A618F8">
        <w:rPr>
          <w:szCs w:val="26"/>
        </w:rPr>
        <w:t xml:space="preserve"> and made an assessment on </w:t>
      </w:r>
      <w:r w:rsidR="004D5312" w:rsidRPr="00A618F8">
        <w:rPr>
          <w:szCs w:val="26"/>
        </w:rPr>
        <w:t xml:space="preserve">conformance </w:t>
      </w:r>
      <w:r w:rsidRPr="00A618F8">
        <w:rPr>
          <w:szCs w:val="26"/>
        </w:rPr>
        <w:t>against the above indicator derived from the Code of Practice</w:t>
      </w:r>
      <w:r w:rsidR="00A72C69" w:rsidRPr="00A618F8">
        <w:rPr>
          <w:szCs w:val="26"/>
        </w:rPr>
        <w:t xml:space="preserve"> and the findings were recorded into a database</w:t>
      </w:r>
      <w:r w:rsidRPr="00A618F8">
        <w:rPr>
          <w:szCs w:val="26"/>
        </w:rPr>
        <w:t xml:space="preserve">. </w:t>
      </w:r>
      <w:r w:rsidR="00E7780D">
        <w:rPr>
          <w:szCs w:val="26"/>
        </w:rPr>
        <w:t xml:space="preserve">One member of staff would do an initial examination of websites and then in the instance of no details being found two further staff members went through to check and finally verify that they were also unable to find the Access Officer details. </w:t>
      </w:r>
    </w:p>
    <w:p w14:paraId="46AE2FE4" w14:textId="10B4AF38" w:rsidR="00A838FA" w:rsidRDefault="00BF7A8B" w:rsidP="008F60BB">
      <w:pPr>
        <w:rPr>
          <w:szCs w:val="26"/>
        </w:rPr>
      </w:pPr>
      <w:r>
        <w:rPr>
          <w:szCs w:val="26"/>
        </w:rPr>
        <w:t>Th</w:t>
      </w:r>
      <w:r w:rsidR="004F755C">
        <w:rPr>
          <w:szCs w:val="26"/>
        </w:rPr>
        <w:t xml:space="preserve">ese findings were then analysed and presented in draft </w:t>
      </w:r>
      <w:r w:rsidR="00A0404F">
        <w:rPr>
          <w:szCs w:val="26"/>
        </w:rPr>
        <w:t>reports, which</w:t>
      </w:r>
      <w:r w:rsidR="004F755C">
        <w:rPr>
          <w:szCs w:val="26"/>
        </w:rPr>
        <w:t xml:space="preserve"> were </w:t>
      </w:r>
      <w:r w:rsidR="000B749B">
        <w:rPr>
          <w:szCs w:val="26"/>
        </w:rPr>
        <w:t xml:space="preserve">sent </w:t>
      </w:r>
      <w:r w:rsidR="004F755C">
        <w:rPr>
          <w:szCs w:val="26"/>
        </w:rPr>
        <w:t xml:space="preserve">to the Offices of the Secretaries General for each Department. </w:t>
      </w:r>
      <w:r w:rsidR="00F2613A">
        <w:rPr>
          <w:szCs w:val="26"/>
        </w:rPr>
        <w:t xml:space="preserve">Departments were asked to circulate the draft reports to public bodies under their aegis and were given the opportunity to </w:t>
      </w:r>
      <w:r w:rsidR="001301DD">
        <w:rPr>
          <w:szCs w:val="26"/>
        </w:rPr>
        <w:t xml:space="preserve">respond to the draft report. </w:t>
      </w:r>
    </w:p>
    <w:p w14:paraId="4890390D" w14:textId="0853CA9B" w:rsidR="00913D5A" w:rsidRDefault="00BD6A52" w:rsidP="008F60BB">
      <w:pPr>
        <w:rPr>
          <w:szCs w:val="26"/>
        </w:rPr>
      </w:pPr>
      <w:r>
        <w:rPr>
          <w:szCs w:val="26"/>
        </w:rPr>
        <w:t xml:space="preserve">Allowing for response is an important part of the monitoring process for this activity. </w:t>
      </w:r>
      <w:r w:rsidR="00270DBE">
        <w:rPr>
          <w:szCs w:val="26"/>
        </w:rPr>
        <w:t>The aim of the NDA in this monitoring exercise, was not to</w:t>
      </w:r>
      <w:r>
        <w:rPr>
          <w:szCs w:val="26"/>
        </w:rPr>
        <w:t xml:space="preserve"> catch public bodies by surprise,</w:t>
      </w:r>
      <w:r w:rsidR="00270DBE">
        <w:rPr>
          <w:szCs w:val="26"/>
        </w:rPr>
        <w:t xml:space="preserve"> but rather to increase awareness</w:t>
      </w:r>
      <w:r w:rsidR="00FE50D9">
        <w:rPr>
          <w:szCs w:val="26"/>
        </w:rPr>
        <w:t xml:space="preserve"> of, </w:t>
      </w:r>
      <w:r w:rsidR="00270DBE">
        <w:rPr>
          <w:szCs w:val="26"/>
        </w:rPr>
        <w:t>and thus adherence to</w:t>
      </w:r>
      <w:r w:rsidR="00FE50D9">
        <w:rPr>
          <w:szCs w:val="26"/>
        </w:rPr>
        <w:t>,</w:t>
      </w:r>
      <w:r w:rsidR="00270DBE">
        <w:rPr>
          <w:szCs w:val="26"/>
        </w:rPr>
        <w:t xml:space="preserve"> require</w:t>
      </w:r>
      <w:r w:rsidR="00A838FA">
        <w:rPr>
          <w:szCs w:val="26"/>
        </w:rPr>
        <w:t>ments under the Disability Act</w:t>
      </w:r>
      <w:r w:rsidR="00972915">
        <w:rPr>
          <w:szCs w:val="26"/>
        </w:rPr>
        <w:t xml:space="preserve">, </w:t>
      </w:r>
      <w:r w:rsidR="00EA1676">
        <w:rPr>
          <w:szCs w:val="26"/>
        </w:rPr>
        <w:t>2005</w:t>
      </w:r>
      <w:r w:rsidR="00A838FA">
        <w:rPr>
          <w:szCs w:val="26"/>
        </w:rPr>
        <w:t>. Therefore, prior to the issuing of draft reports, representatives of each Department were invited to attend an information session and round table discussion to discuss the monitoring process, high level findings and future monitoring under the Codes of Practice</w:t>
      </w:r>
      <w:r w:rsidR="00327A90">
        <w:rPr>
          <w:szCs w:val="26"/>
        </w:rPr>
        <w:t xml:space="preserve">. Ample </w:t>
      </w:r>
      <w:r w:rsidR="00A838FA">
        <w:rPr>
          <w:szCs w:val="26"/>
        </w:rPr>
        <w:t>time was permitted for response following the first mo</w:t>
      </w:r>
      <w:r w:rsidR="00B36284">
        <w:rPr>
          <w:szCs w:val="26"/>
        </w:rPr>
        <w:t xml:space="preserve">nitoring activity of this sort. </w:t>
      </w:r>
    </w:p>
    <w:p w14:paraId="714ABCCD" w14:textId="1B58D916" w:rsidR="00A0404F" w:rsidRDefault="00913D5A" w:rsidP="008F60BB">
      <w:pPr>
        <w:rPr>
          <w:szCs w:val="26"/>
        </w:rPr>
      </w:pPr>
      <w:r>
        <w:rPr>
          <w:szCs w:val="26"/>
        </w:rPr>
        <w:t>Following the issuing of the draft report</w:t>
      </w:r>
      <w:r w:rsidR="000B749B">
        <w:rPr>
          <w:szCs w:val="26"/>
        </w:rPr>
        <w:t>s</w:t>
      </w:r>
      <w:r>
        <w:rPr>
          <w:szCs w:val="26"/>
        </w:rPr>
        <w:t>, p</w:t>
      </w:r>
      <w:r w:rsidR="001301DD">
        <w:rPr>
          <w:szCs w:val="26"/>
        </w:rPr>
        <w:t xml:space="preserve">ublic bodies were invited </w:t>
      </w:r>
      <w:r>
        <w:rPr>
          <w:szCs w:val="26"/>
        </w:rPr>
        <w:t>to engage with the NDA</w:t>
      </w:r>
      <w:r w:rsidR="00A0404F">
        <w:rPr>
          <w:szCs w:val="26"/>
        </w:rPr>
        <w:t>:</w:t>
      </w:r>
    </w:p>
    <w:p w14:paraId="69DE266F" w14:textId="77777777" w:rsidR="00A0404F" w:rsidRDefault="00913D5A" w:rsidP="0096337F">
      <w:pPr>
        <w:ind w:firstLine="720"/>
        <w:rPr>
          <w:szCs w:val="26"/>
        </w:rPr>
      </w:pPr>
      <w:r>
        <w:rPr>
          <w:szCs w:val="26"/>
        </w:rPr>
        <w:t xml:space="preserve"> with any queries they may have, </w:t>
      </w:r>
    </w:p>
    <w:p w14:paraId="6883CAA6" w14:textId="77777777" w:rsidR="004B61FB" w:rsidRDefault="001301DD" w:rsidP="0096337F">
      <w:pPr>
        <w:ind w:left="720"/>
        <w:rPr>
          <w:szCs w:val="26"/>
        </w:rPr>
      </w:pPr>
      <w:r>
        <w:rPr>
          <w:szCs w:val="26"/>
        </w:rPr>
        <w:t xml:space="preserve">to provide </w:t>
      </w:r>
      <w:r w:rsidR="00B36284">
        <w:rPr>
          <w:szCs w:val="26"/>
        </w:rPr>
        <w:t>addresses of</w:t>
      </w:r>
      <w:r w:rsidR="00913D5A">
        <w:rPr>
          <w:szCs w:val="26"/>
        </w:rPr>
        <w:t xml:space="preserve"> pages containing information on the Access Officer </w:t>
      </w:r>
      <w:r>
        <w:rPr>
          <w:szCs w:val="26"/>
        </w:rPr>
        <w:t xml:space="preserve">in the instance information was missed in the NDA’s initial inspection, </w:t>
      </w:r>
    </w:p>
    <w:p w14:paraId="51526EF0" w14:textId="77777777" w:rsidR="004B61FB" w:rsidRDefault="00913D5A" w:rsidP="0096337F">
      <w:pPr>
        <w:ind w:left="720"/>
        <w:rPr>
          <w:szCs w:val="26"/>
        </w:rPr>
      </w:pPr>
      <w:r>
        <w:rPr>
          <w:szCs w:val="26"/>
        </w:rPr>
        <w:t xml:space="preserve">provide </w:t>
      </w:r>
      <w:r w:rsidR="001301DD">
        <w:rPr>
          <w:szCs w:val="26"/>
        </w:rPr>
        <w:t xml:space="preserve">updates on the status of public bodies, and </w:t>
      </w:r>
    </w:p>
    <w:p w14:paraId="75D8BAD9" w14:textId="2C298EA7" w:rsidR="00C3242C" w:rsidRDefault="001301DD" w:rsidP="0096337F">
      <w:pPr>
        <w:ind w:left="720"/>
        <w:rPr>
          <w:szCs w:val="26"/>
        </w:rPr>
      </w:pPr>
      <w:r>
        <w:rPr>
          <w:szCs w:val="26"/>
        </w:rPr>
        <w:t>let the NDA know of any updates to the website following the r</w:t>
      </w:r>
      <w:r w:rsidR="00913D5A">
        <w:rPr>
          <w:szCs w:val="26"/>
        </w:rPr>
        <w:t xml:space="preserve">eport. </w:t>
      </w:r>
    </w:p>
    <w:p w14:paraId="4AEEB06F" w14:textId="67962CB5" w:rsidR="00C27D9B" w:rsidRDefault="00C27D9B" w:rsidP="008F60BB">
      <w:pPr>
        <w:rPr>
          <w:szCs w:val="26"/>
        </w:rPr>
      </w:pPr>
      <w:r>
        <w:rPr>
          <w:szCs w:val="26"/>
        </w:rPr>
        <w:t xml:space="preserve">It is envisaged that </w:t>
      </w:r>
      <w:r w:rsidR="00D424F3">
        <w:rPr>
          <w:szCs w:val="26"/>
        </w:rPr>
        <w:t xml:space="preserve">a follow up exercise will be conducted </w:t>
      </w:r>
      <w:r w:rsidR="00B1011F">
        <w:rPr>
          <w:szCs w:val="26"/>
        </w:rPr>
        <w:t>at regular intervals</w:t>
      </w:r>
      <w:r w:rsidR="00D424F3">
        <w:rPr>
          <w:szCs w:val="26"/>
        </w:rPr>
        <w:t xml:space="preserve"> following publication of this final report to track additional trends in Access Officer provision across public bodies. </w:t>
      </w:r>
    </w:p>
    <w:p w14:paraId="3D7E746A" w14:textId="24CA1CD3" w:rsidR="00C27D9B" w:rsidRDefault="00C27D9B" w:rsidP="008F60BB">
      <w:pPr>
        <w:rPr>
          <w:szCs w:val="26"/>
        </w:rPr>
      </w:pPr>
      <w:r>
        <w:rPr>
          <w:szCs w:val="26"/>
        </w:rPr>
        <w:lastRenderedPageBreak/>
        <w:t xml:space="preserve">Detailed results from each Department following this exercise are available in Appendix A. </w:t>
      </w:r>
    </w:p>
    <w:p w14:paraId="538BBC46" w14:textId="77777777" w:rsidR="00BF7A8B" w:rsidRPr="00A618F8" w:rsidRDefault="00BF7A8B" w:rsidP="008F60BB">
      <w:pPr>
        <w:rPr>
          <w:szCs w:val="26"/>
        </w:rPr>
      </w:pPr>
    </w:p>
    <w:p w14:paraId="636C0BFD" w14:textId="046FBC74" w:rsidR="00AB020C" w:rsidRPr="00D633FE" w:rsidRDefault="005A38C5" w:rsidP="00412B25">
      <w:pPr>
        <w:pStyle w:val="Heading1"/>
      </w:pPr>
      <w:bookmarkStart w:id="20" w:name="_Toc142561651"/>
      <w:r w:rsidRPr="00D633FE">
        <w:t>Initial</w:t>
      </w:r>
      <w:r w:rsidR="000D731A" w:rsidRPr="00D633FE">
        <w:t xml:space="preserve"> </w:t>
      </w:r>
      <w:r w:rsidR="002041EB">
        <w:t>M</w:t>
      </w:r>
      <w:r w:rsidR="002041EB" w:rsidRPr="00383B6A">
        <w:t xml:space="preserve">onitoring </w:t>
      </w:r>
      <w:r w:rsidR="002041EB">
        <w:t>F</w:t>
      </w:r>
      <w:r w:rsidR="00B7410B" w:rsidRPr="00383B6A">
        <w:t>indings</w:t>
      </w:r>
      <w:bookmarkEnd w:id="20"/>
    </w:p>
    <w:p w14:paraId="50633C64" w14:textId="77777777" w:rsidR="00F73534" w:rsidRDefault="00F73534" w:rsidP="00E41CA1">
      <w:pPr>
        <w:pStyle w:val="NormalBeforeList"/>
      </w:pPr>
      <w:r>
        <w:t xml:space="preserve">As stated previously the final number of public bodies has been updated following the reporting of initial findings. </w:t>
      </w:r>
    </w:p>
    <w:p w14:paraId="0E6BF255" w14:textId="2D5C8DB6" w:rsidR="00E41CA1" w:rsidRPr="00F73534" w:rsidRDefault="003716E2" w:rsidP="00E41CA1">
      <w:pPr>
        <w:pStyle w:val="NormalBeforeList"/>
      </w:pPr>
      <w:r>
        <w:t>Throughout 2021, t</w:t>
      </w:r>
      <w:r w:rsidR="00E41CA1" w:rsidRPr="00F73534">
        <w:t>he websites of each public body were monitored to evaluate if the following information was promoted with regards to the Access Officer:</w:t>
      </w:r>
    </w:p>
    <w:p w14:paraId="5E3C5063" w14:textId="77777777" w:rsidR="00E41CA1" w:rsidRPr="00F73534" w:rsidRDefault="00E41CA1" w:rsidP="00E41CA1">
      <w:pPr>
        <w:pStyle w:val="ListBullet"/>
      </w:pPr>
      <w:r w:rsidRPr="00F73534">
        <w:t xml:space="preserve">The promotion of the appointment of an Access Officer </w:t>
      </w:r>
    </w:p>
    <w:p w14:paraId="4AE4D7EE" w14:textId="518C7C44" w:rsidR="00E41CA1" w:rsidRPr="00270DBE" w:rsidRDefault="00E41CA1" w:rsidP="00E41CA1">
      <w:pPr>
        <w:pStyle w:val="ListBullet"/>
      </w:pPr>
      <w:r w:rsidRPr="00270DBE">
        <w:t>Information o</w:t>
      </w:r>
      <w:r w:rsidR="0020262A" w:rsidRPr="00270DBE">
        <w:t>n</w:t>
      </w:r>
      <w:r w:rsidRPr="00270DBE">
        <w:t xml:space="preserve"> how to contact the Access Officer</w:t>
      </w:r>
    </w:p>
    <w:p w14:paraId="483CA9DD" w14:textId="77777777" w:rsidR="00E41CA1" w:rsidRPr="00B36284" w:rsidRDefault="00E41CA1" w:rsidP="00E41CA1">
      <w:pPr>
        <w:pStyle w:val="ListBullet"/>
      </w:pPr>
      <w:r w:rsidRPr="00A838FA">
        <w:t>A variety of communica</w:t>
      </w:r>
      <w:r w:rsidRPr="00B36284">
        <w:t xml:space="preserve">tion channels for contacting them. </w:t>
      </w:r>
    </w:p>
    <w:p w14:paraId="29715F41" w14:textId="77777777" w:rsidR="00042313" w:rsidRDefault="00042313" w:rsidP="00AE657D">
      <w:r>
        <w:t xml:space="preserve">Analysis and drafting of the monitoring report took place in late 2021 and early 2022. </w:t>
      </w:r>
    </w:p>
    <w:p w14:paraId="7E372212" w14:textId="4E916007" w:rsidR="008E4C4B" w:rsidRPr="00F73534" w:rsidRDefault="00106E5F" w:rsidP="00AE657D">
      <w:r>
        <w:t>Adjusting for the updated number of public bodies, i</w:t>
      </w:r>
      <w:r w:rsidR="00F73534">
        <w:t>nitial findings found, that o</w:t>
      </w:r>
      <w:r w:rsidR="007B18ED" w:rsidRPr="00F73534">
        <w:t xml:space="preserve">f </w:t>
      </w:r>
      <w:r>
        <w:t>28</w:t>
      </w:r>
      <w:r w:rsidR="00856473">
        <w:t>1</w:t>
      </w:r>
      <w:r>
        <w:t xml:space="preserve"> public bodies</w:t>
      </w:r>
      <w:r w:rsidR="006D7E05" w:rsidRPr="001301DD">
        <w:t xml:space="preserve">, </w:t>
      </w:r>
      <w:r w:rsidR="00565E6C" w:rsidRPr="001301DD">
        <w:t>13</w:t>
      </w:r>
      <w:r w:rsidR="00565E6C">
        <w:t>4</w:t>
      </w:r>
      <w:r w:rsidR="00565E6C" w:rsidRPr="001301DD">
        <w:t xml:space="preserve"> </w:t>
      </w:r>
      <w:r w:rsidR="006D7E05" w:rsidRPr="001301DD">
        <w:t>(</w:t>
      </w:r>
      <w:r>
        <w:t>47.</w:t>
      </w:r>
      <w:r w:rsidR="009E3BB8">
        <w:t>7</w:t>
      </w:r>
      <w:r w:rsidR="00E41CA1" w:rsidRPr="00F73534">
        <w:t>%)</w:t>
      </w:r>
      <w:r w:rsidR="00AE657D" w:rsidRPr="00F73534">
        <w:t xml:space="preserve"> </w:t>
      </w:r>
      <w:r w:rsidR="0020262A" w:rsidRPr="00F73534">
        <w:t xml:space="preserve">promoted </w:t>
      </w:r>
      <w:r w:rsidR="00E41CA1" w:rsidRPr="00F73534">
        <w:t xml:space="preserve">the </w:t>
      </w:r>
      <w:r w:rsidR="00AE657D" w:rsidRPr="00F73534">
        <w:t>appointment of an Access Officer o</w:t>
      </w:r>
      <w:r w:rsidR="00E41CA1" w:rsidRPr="00F73534">
        <w:t xml:space="preserve">n their public website, whereas </w:t>
      </w:r>
      <w:r w:rsidR="00A872A4" w:rsidRPr="00F73534">
        <w:t>1</w:t>
      </w:r>
      <w:r w:rsidR="00A872A4">
        <w:t>4</w:t>
      </w:r>
      <w:r w:rsidR="00DE59D3">
        <w:t>7</w:t>
      </w:r>
      <w:r w:rsidR="00A872A4">
        <w:t xml:space="preserve"> </w:t>
      </w:r>
      <w:r w:rsidR="00AE657D" w:rsidRPr="00F73534">
        <w:t>(</w:t>
      </w:r>
      <w:r w:rsidR="00A872A4">
        <w:t>52.</w:t>
      </w:r>
      <w:r w:rsidR="007E7315">
        <w:t>3</w:t>
      </w:r>
      <w:r w:rsidR="00AE657D" w:rsidRPr="00F73534">
        <w:t>%) public bodies appeared to have no information on their public websites concerning Access Officers</w:t>
      </w:r>
      <w:r w:rsidR="0020262A" w:rsidRPr="00F73534">
        <w:t>.</w:t>
      </w:r>
      <w:r w:rsidR="00895EB6">
        <w:t xml:space="preserve"> See Chart 1. </w:t>
      </w:r>
    </w:p>
    <w:p w14:paraId="4DEB7568" w14:textId="31D36D00" w:rsidR="00565E6C" w:rsidRDefault="00565E6C" w:rsidP="00A618F8">
      <w:pPr>
        <w:pStyle w:val="Caption"/>
        <w:keepNext/>
        <w:jc w:val="left"/>
      </w:pPr>
      <w:r>
        <w:rPr>
          <w:noProof/>
        </w:rPr>
        <w:t>Chart 1-Initial Findings- Access Officer Promoted</w:t>
      </w:r>
    </w:p>
    <w:p w14:paraId="20FA3F17" w14:textId="0E8485B8" w:rsidR="0020262A" w:rsidRPr="00D633FE" w:rsidRDefault="00565E6C" w:rsidP="00A618F8">
      <w:pPr>
        <w:tabs>
          <w:tab w:val="left" w:pos="7875"/>
        </w:tabs>
      </w:pPr>
      <w:r>
        <w:rPr>
          <w:noProof/>
          <w:lang w:eastAsia="en-IE"/>
        </w:rPr>
        <w:drawing>
          <wp:inline distT="0" distB="0" distL="0" distR="0" wp14:anchorId="48FDAD1C" wp14:editId="6015235E">
            <wp:extent cx="4912242" cy="2583712"/>
            <wp:effectExtent l="0" t="0" r="3175" b="7620"/>
            <wp:docPr id="3" name="Chart 3" descr="Pie chart showing that in initial findings 52.3% of public bodies did not promote an Access Officer on their websites and 47.7% of public bodies did promote an access officer on their websit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9FF5B0" w14:textId="073E1165" w:rsidR="0020262A" w:rsidRPr="00D633FE" w:rsidRDefault="00E60E2A" w:rsidP="00A872A4">
      <w:pPr>
        <w:pStyle w:val="ListBullet"/>
        <w:numPr>
          <w:ilvl w:val="0"/>
          <w:numId w:val="0"/>
        </w:numPr>
      </w:pPr>
      <w:r w:rsidRPr="00D424F3">
        <w:t>Of the bodies which did have</w:t>
      </w:r>
      <w:r w:rsidRPr="000C5CCA">
        <w:t xml:space="preserve"> Access Officers advertised on their website;</w:t>
      </w:r>
      <w:r w:rsidR="006D7E05" w:rsidRPr="004A1D17">
        <w:t xml:space="preserve"> 13</w:t>
      </w:r>
      <w:r w:rsidR="00565E6C">
        <w:t xml:space="preserve">0 </w:t>
      </w:r>
      <w:r w:rsidR="006D7E05" w:rsidRPr="004A1D17">
        <w:t>(97%) provided contact information and four (</w:t>
      </w:r>
      <w:r w:rsidR="00CB3658">
        <w:t>3</w:t>
      </w:r>
      <w:r w:rsidR="006D7E05" w:rsidRPr="004A1D17">
        <w:t>%) did not provide contact information.</w:t>
      </w:r>
      <w:r w:rsidR="0020262A" w:rsidRPr="004A1D17">
        <w:t xml:space="preserve"> </w:t>
      </w:r>
    </w:p>
    <w:p w14:paraId="554FACB1" w14:textId="732E09E8" w:rsidR="006D7E05" w:rsidRPr="00D633FE" w:rsidRDefault="006D7E05" w:rsidP="00E60E2A">
      <w:pPr>
        <w:pStyle w:val="ListBullet"/>
        <w:numPr>
          <w:ilvl w:val="0"/>
          <w:numId w:val="0"/>
        </w:numPr>
      </w:pPr>
      <w:r w:rsidRPr="00D633FE">
        <w:lastRenderedPageBreak/>
        <w:t>Of the 13</w:t>
      </w:r>
      <w:r w:rsidR="00FB3C48">
        <w:t>0</w:t>
      </w:r>
      <w:r w:rsidRPr="00D633FE">
        <w:t xml:space="preserve"> public bodies that promoted the Access Officer on their website and provided contact details, </w:t>
      </w:r>
      <w:r w:rsidR="00FB3C48" w:rsidRPr="00D633FE">
        <w:t>9</w:t>
      </w:r>
      <w:r w:rsidR="00FB3C48">
        <w:t>8</w:t>
      </w:r>
      <w:r w:rsidR="00FB3C48" w:rsidRPr="00D633FE">
        <w:t xml:space="preserve"> </w:t>
      </w:r>
      <w:r w:rsidRPr="00D633FE">
        <w:t>(</w:t>
      </w:r>
      <w:r w:rsidR="00A70182">
        <w:t>75.4</w:t>
      </w:r>
      <w:r w:rsidRPr="00D633FE">
        <w:t xml:space="preserve">%) provided communication channels which would facilitate both spoken and written </w:t>
      </w:r>
      <w:r w:rsidR="001A3C55" w:rsidRPr="00270DBE">
        <w:t xml:space="preserve">contact </w:t>
      </w:r>
      <w:r w:rsidR="0020262A" w:rsidRPr="00270DBE">
        <w:t>with the Access Officer</w:t>
      </w:r>
      <w:r w:rsidRPr="00A838FA">
        <w:t xml:space="preserve"> whereas </w:t>
      </w:r>
      <w:r w:rsidR="006C04E5" w:rsidRPr="00D633FE">
        <w:t>32 (24.</w:t>
      </w:r>
      <w:r w:rsidR="00FB3C48">
        <w:t>6</w:t>
      </w:r>
      <w:r w:rsidR="006C04E5" w:rsidRPr="00D633FE">
        <w:t>%) provided only one method of communication.</w:t>
      </w:r>
    </w:p>
    <w:p w14:paraId="420852A9" w14:textId="4AD40EB9" w:rsidR="00C76C68" w:rsidRDefault="00A872A4" w:rsidP="00E60E2A">
      <w:pPr>
        <w:pStyle w:val="ListBullet"/>
        <w:numPr>
          <w:ilvl w:val="0"/>
          <w:numId w:val="0"/>
        </w:numPr>
      </w:pPr>
      <w:r>
        <w:t xml:space="preserve">Therefore, </w:t>
      </w:r>
      <w:r w:rsidR="000B1DF3">
        <w:t>out of the total 281 public bodies,</w:t>
      </w:r>
      <w:r>
        <w:t xml:space="preserve"> </w:t>
      </w:r>
      <w:r w:rsidR="006C04E5" w:rsidRPr="00A872A4">
        <w:t>9</w:t>
      </w:r>
      <w:r w:rsidR="00FB3C48">
        <w:t>8</w:t>
      </w:r>
      <w:r w:rsidR="006C04E5" w:rsidRPr="00A872A4">
        <w:t xml:space="preserve"> (</w:t>
      </w:r>
      <w:r w:rsidR="00C76C68">
        <w:t>34.</w:t>
      </w:r>
      <w:r w:rsidR="00D563FE">
        <w:t>9</w:t>
      </w:r>
      <w:r w:rsidR="006C04E5" w:rsidRPr="00A872A4">
        <w:t>%) public bodies met all the criteria of the indicator with regard to Access Officer</w:t>
      </w:r>
      <w:r w:rsidR="00C76C68">
        <w:t>. See Chart 2</w:t>
      </w:r>
    </w:p>
    <w:p w14:paraId="5BB28AB7" w14:textId="78BD2BB4" w:rsidR="00C76C68" w:rsidRDefault="00C76C68" w:rsidP="00A618F8">
      <w:pPr>
        <w:pStyle w:val="Caption"/>
        <w:keepNext/>
        <w:jc w:val="left"/>
      </w:pPr>
      <w:r>
        <w:rPr>
          <w:noProof/>
        </w:rPr>
        <w:t>Chart 2- Initial Findings- Public bodies who met all criteria of the indicator</w:t>
      </w:r>
    </w:p>
    <w:p w14:paraId="1F57AC93" w14:textId="22569BAB" w:rsidR="0020262A" w:rsidRPr="00D633FE" w:rsidRDefault="00C76C68" w:rsidP="00E60E2A">
      <w:pPr>
        <w:pStyle w:val="ListBullet"/>
        <w:numPr>
          <w:ilvl w:val="0"/>
          <w:numId w:val="0"/>
        </w:numPr>
      </w:pPr>
      <w:r>
        <w:rPr>
          <w:noProof/>
          <w:lang w:eastAsia="en-IE"/>
        </w:rPr>
        <w:drawing>
          <wp:inline distT="0" distB="0" distL="0" distR="0" wp14:anchorId="4577FF22" wp14:editId="1478CABE">
            <wp:extent cx="4965405" cy="2721934"/>
            <wp:effectExtent l="0" t="0" r="6985" b="2540"/>
            <wp:docPr id="4" name="Chart 4" descr="Pie chart showing that in initial findings 34.9% of public bodies met all criteria of the indicator whereas 65.1% did not meet all criteria of the indicato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F737D8" w14:textId="7C2723FC" w:rsidR="007B09C3" w:rsidRPr="00A618F8" w:rsidRDefault="005A38C5" w:rsidP="007B09C3">
      <w:pPr>
        <w:pStyle w:val="Heading1"/>
        <w:ind w:left="0"/>
      </w:pPr>
      <w:bookmarkStart w:id="21" w:name="_Toc142561652"/>
      <w:r w:rsidRPr="00A618F8">
        <w:t>Final Monitoring Findings</w:t>
      </w:r>
      <w:bookmarkEnd w:id="21"/>
      <w:r w:rsidRPr="00A618F8">
        <w:t xml:space="preserve"> </w:t>
      </w:r>
    </w:p>
    <w:p w14:paraId="673B61AC" w14:textId="52B54E2A" w:rsidR="00677C76" w:rsidRPr="00A618F8" w:rsidRDefault="00677C76" w:rsidP="005A38C5">
      <w:r w:rsidRPr="00A618F8">
        <w:t xml:space="preserve">Final monitoring findings </w:t>
      </w:r>
      <w:r w:rsidR="002E662B">
        <w:t>were</w:t>
      </w:r>
      <w:r w:rsidR="002E662B" w:rsidRPr="00A618F8">
        <w:t xml:space="preserve"> </w:t>
      </w:r>
      <w:r w:rsidRPr="00A618F8">
        <w:t>assessed in the same way as the initial findings</w:t>
      </w:r>
      <w:r w:rsidR="00BF08BC">
        <w:t xml:space="preserve"> reported above</w:t>
      </w:r>
      <w:r w:rsidRPr="00A618F8">
        <w:t xml:space="preserve">. </w:t>
      </w:r>
    </w:p>
    <w:p w14:paraId="16D50BF2" w14:textId="0B72525C" w:rsidR="00677C76" w:rsidRDefault="00BF08BC" w:rsidP="00677C76">
      <w:r>
        <w:t>Following on from the issuing of the draft report and taking into account the resulting updated information provided by public bodies, o</w:t>
      </w:r>
      <w:r w:rsidR="00677C76" w:rsidRPr="00F73534">
        <w:t xml:space="preserve">f </w:t>
      </w:r>
      <w:r w:rsidR="00677C76">
        <w:t>28</w:t>
      </w:r>
      <w:r w:rsidR="00856473">
        <w:t>1</w:t>
      </w:r>
      <w:r w:rsidR="00677C76">
        <w:t xml:space="preserve"> public bodies</w:t>
      </w:r>
      <w:r w:rsidR="00677C76" w:rsidRPr="001301DD">
        <w:t xml:space="preserve">, </w:t>
      </w:r>
      <w:r w:rsidR="00B51F46">
        <w:t>19</w:t>
      </w:r>
      <w:r w:rsidR="006A242D">
        <w:t>2</w:t>
      </w:r>
      <w:r w:rsidR="00B51F46">
        <w:t xml:space="preserve"> </w:t>
      </w:r>
      <w:r w:rsidR="00677C76" w:rsidRPr="001301DD">
        <w:t>(</w:t>
      </w:r>
      <w:r w:rsidR="00BF11FB">
        <w:t>68.</w:t>
      </w:r>
      <w:r w:rsidR="006A242D">
        <w:t>3</w:t>
      </w:r>
      <w:r w:rsidR="00677C76" w:rsidRPr="00F73534">
        <w:t xml:space="preserve">%) promoted the appointment of an Access Officer on their public website, whereas </w:t>
      </w:r>
      <w:r w:rsidR="00B51F46">
        <w:t>89</w:t>
      </w:r>
      <w:r w:rsidR="006A242D">
        <w:t xml:space="preserve"> </w:t>
      </w:r>
      <w:r w:rsidR="00677C76" w:rsidRPr="00F73534">
        <w:t>(</w:t>
      </w:r>
      <w:r w:rsidR="00C47D89">
        <w:t>3</w:t>
      </w:r>
      <w:r w:rsidR="006A242D">
        <w:t>1</w:t>
      </w:r>
      <w:r w:rsidR="00C47D89">
        <w:t>.</w:t>
      </w:r>
      <w:r w:rsidR="006A242D">
        <w:t>7</w:t>
      </w:r>
      <w:r w:rsidR="00677C76" w:rsidRPr="00F73534">
        <w:t>%) public bodies appeared to have no information on their public websites concerning Access Officers.</w:t>
      </w:r>
      <w:r w:rsidR="00C47D89">
        <w:t xml:space="preserve"> See Chart 3. </w:t>
      </w:r>
    </w:p>
    <w:p w14:paraId="51A149FB" w14:textId="6EE67CDD" w:rsidR="00C47D89" w:rsidRDefault="00C47D89" w:rsidP="00A618F8">
      <w:pPr>
        <w:pStyle w:val="Caption"/>
        <w:keepNext/>
        <w:jc w:val="left"/>
      </w:pPr>
      <w:r>
        <w:lastRenderedPageBreak/>
        <w:t xml:space="preserve">Chart 3- </w:t>
      </w:r>
      <w:r>
        <w:rPr>
          <w:noProof/>
        </w:rPr>
        <w:t>Final Monitoring Findings- Access Officer Promoted on Website</w:t>
      </w:r>
    </w:p>
    <w:p w14:paraId="2C7FCBCC" w14:textId="77777777" w:rsidR="00DB0AA6" w:rsidRDefault="00C47D89" w:rsidP="00677C76">
      <w:pPr>
        <w:pStyle w:val="ListBullet"/>
        <w:numPr>
          <w:ilvl w:val="0"/>
          <w:numId w:val="0"/>
        </w:numPr>
      </w:pPr>
      <w:r>
        <w:rPr>
          <w:noProof/>
          <w:lang w:eastAsia="en-IE"/>
        </w:rPr>
        <w:drawing>
          <wp:inline distT="0" distB="0" distL="0" distR="0" wp14:anchorId="373E3F53" wp14:editId="40835D51">
            <wp:extent cx="4610100" cy="2360428"/>
            <wp:effectExtent l="0" t="0" r="0" b="1905"/>
            <wp:docPr id="7" name="Chart 7" descr="Pie chart showing that in final monitoring analysis  68.3% of public bodies promoted an access officer on their websites, while 31.7% of public bodies did not promote an access officer on their websi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C8776D" w14:textId="77777777" w:rsidR="00E703DB" w:rsidRDefault="00E703DB" w:rsidP="00677C76">
      <w:pPr>
        <w:pStyle w:val="ListBullet"/>
        <w:numPr>
          <w:ilvl w:val="0"/>
          <w:numId w:val="0"/>
        </w:numPr>
      </w:pPr>
    </w:p>
    <w:p w14:paraId="06380BAC" w14:textId="54D4DA53" w:rsidR="00677C76" w:rsidRDefault="00677C76" w:rsidP="00677C76">
      <w:pPr>
        <w:pStyle w:val="ListBullet"/>
        <w:numPr>
          <w:ilvl w:val="0"/>
          <w:numId w:val="0"/>
        </w:numPr>
      </w:pPr>
      <w:r w:rsidRPr="00D424F3">
        <w:t>Of the bodies which did have</w:t>
      </w:r>
      <w:r w:rsidRPr="000C5CCA">
        <w:t xml:space="preserve"> Access Officers advertised on their website;</w:t>
      </w:r>
      <w:r w:rsidRPr="004A1D17">
        <w:t xml:space="preserve"> </w:t>
      </w:r>
      <w:r w:rsidR="002F2010">
        <w:t>19</w:t>
      </w:r>
      <w:r w:rsidR="00AF1672">
        <w:t>1</w:t>
      </w:r>
      <w:r w:rsidR="002F2010">
        <w:t xml:space="preserve"> </w:t>
      </w:r>
      <w:r w:rsidR="00243285">
        <w:t>(99.5</w:t>
      </w:r>
      <w:r w:rsidRPr="004A1D17">
        <w:t xml:space="preserve">%) provided contact information and </w:t>
      </w:r>
      <w:r w:rsidR="00C47D89">
        <w:t>one</w:t>
      </w:r>
      <w:r w:rsidR="00243285">
        <w:t xml:space="preserve"> (0.5</w:t>
      </w:r>
      <w:r w:rsidRPr="004A1D17">
        <w:t xml:space="preserve">%) did not provide contact information. </w:t>
      </w:r>
      <w:r w:rsidR="00243285">
        <w:t>See Chart 4.</w:t>
      </w:r>
    </w:p>
    <w:p w14:paraId="46D74FC8" w14:textId="09ACEA32" w:rsidR="00243285" w:rsidRDefault="00243285" w:rsidP="00A618F8">
      <w:pPr>
        <w:pStyle w:val="Caption"/>
        <w:keepNext/>
        <w:jc w:val="left"/>
      </w:pPr>
      <w:r>
        <w:t xml:space="preserve">Chart 4- </w:t>
      </w:r>
      <w:r>
        <w:rPr>
          <w:noProof/>
        </w:rPr>
        <w:t>Final Monitoring Findings- Access Officer Promoted with Contact Information</w:t>
      </w:r>
    </w:p>
    <w:p w14:paraId="3D6D3883" w14:textId="77777777" w:rsidR="000F3B61" w:rsidRDefault="00243285" w:rsidP="00677C76">
      <w:pPr>
        <w:pStyle w:val="ListBullet"/>
        <w:numPr>
          <w:ilvl w:val="0"/>
          <w:numId w:val="0"/>
        </w:numPr>
      </w:pPr>
      <w:r>
        <w:rPr>
          <w:noProof/>
          <w:lang w:eastAsia="en-IE"/>
        </w:rPr>
        <w:drawing>
          <wp:inline distT="0" distB="0" distL="0" distR="0" wp14:anchorId="16205C3B" wp14:editId="30436781">
            <wp:extent cx="4610100" cy="2571750"/>
            <wp:effectExtent l="0" t="0" r="0" b="0"/>
            <wp:docPr id="8" name="Chart 8" descr="Chart showing that of the 192 public bodies which promote access officers on their website 0.5% did not provide any contact information while 99.5% provided contact inform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11B97D" w14:textId="77777777" w:rsidR="000F3B61" w:rsidRPr="000F3B61" w:rsidRDefault="000F3B61" w:rsidP="00DB0AA6"/>
    <w:p w14:paraId="0DA502F7" w14:textId="77777777" w:rsidR="000F3B61" w:rsidRPr="000F3B61" w:rsidRDefault="000F3B61" w:rsidP="00DB0AA6"/>
    <w:p w14:paraId="6328FD81" w14:textId="77777777" w:rsidR="000F3B61" w:rsidRPr="000F3B61" w:rsidRDefault="000F3B61" w:rsidP="00DB0AA6"/>
    <w:p w14:paraId="1F2DF459" w14:textId="77777777" w:rsidR="000F3B61" w:rsidRDefault="000F3B61" w:rsidP="00677C76">
      <w:pPr>
        <w:pStyle w:val="ListBullet"/>
        <w:numPr>
          <w:ilvl w:val="0"/>
          <w:numId w:val="0"/>
        </w:numPr>
      </w:pPr>
    </w:p>
    <w:p w14:paraId="46BF3DE5" w14:textId="77777777" w:rsidR="000F3B61" w:rsidRDefault="000F3B61" w:rsidP="00677C76">
      <w:pPr>
        <w:pStyle w:val="ListBullet"/>
        <w:numPr>
          <w:ilvl w:val="0"/>
          <w:numId w:val="0"/>
        </w:numPr>
      </w:pPr>
    </w:p>
    <w:p w14:paraId="55748A67" w14:textId="31B65634" w:rsidR="00243285" w:rsidRDefault="000F3B61" w:rsidP="00DB0AA6">
      <w:pPr>
        <w:pStyle w:val="ListBullet"/>
        <w:numPr>
          <w:ilvl w:val="0"/>
          <w:numId w:val="0"/>
        </w:numPr>
        <w:tabs>
          <w:tab w:val="left" w:pos="820"/>
        </w:tabs>
      </w:pPr>
      <w:r>
        <w:tab/>
      </w:r>
      <w:r>
        <w:br w:type="textWrapping" w:clear="all"/>
      </w:r>
    </w:p>
    <w:p w14:paraId="434CEEDF" w14:textId="77777777" w:rsidR="00243285" w:rsidRPr="00D633FE" w:rsidRDefault="00243285" w:rsidP="00677C76">
      <w:pPr>
        <w:pStyle w:val="ListBullet"/>
        <w:numPr>
          <w:ilvl w:val="0"/>
          <w:numId w:val="0"/>
        </w:numPr>
      </w:pPr>
    </w:p>
    <w:p w14:paraId="2F248746" w14:textId="457380ED" w:rsidR="00677C76" w:rsidRDefault="00677C76" w:rsidP="00677C76">
      <w:pPr>
        <w:pStyle w:val="ListBullet"/>
        <w:numPr>
          <w:ilvl w:val="0"/>
          <w:numId w:val="0"/>
        </w:numPr>
      </w:pPr>
      <w:r w:rsidRPr="00D633FE">
        <w:t xml:space="preserve">Of the </w:t>
      </w:r>
      <w:r w:rsidR="002F2010">
        <w:t>19</w:t>
      </w:r>
      <w:r w:rsidR="00D25D15">
        <w:t>1</w:t>
      </w:r>
      <w:r w:rsidR="002F2010" w:rsidRPr="00D633FE">
        <w:t xml:space="preserve"> </w:t>
      </w:r>
      <w:r w:rsidRPr="00D633FE">
        <w:t xml:space="preserve">public bodies that promoted the Access Officer on their website and provided contact details, </w:t>
      </w:r>
      <w:r w:rsidR="00243285">
        <w:t xml:space="preserve">165 </w:t>
      </w:r>
      <w:r w:rsidRPr="00D633FE">
        <w:t>(</w:t>
      </w:r>
      <w:r w:rsidR="002F2010">
        <w:t>8</w:t>
      </w:r>
      <w:r w:rsidR="00647EFF">
        <w:t>6</w:t>
      </w:r>
      <w:r w:rsidR="002F2010">
        <w:t>.</w:t>
      </w:r>
      <w:r w:rsidR="00AC3A28">
        <w:t>4</w:t>
      </w:r>
      <w:r w:rsidRPr="00D633FE">
        <w:t xml:space="preserve">%) provided communication channels which would facilitate both spoken and written </w:t>
      </w:r>
      <w:r w:rsidRPr="00270DBE">
        <w:t>contact with the Access Officer</w:t>
      </w:r>
      <w:r w:rsidRPr="00A838FA">
        <w:t xml:space="preserve"> whereas </w:t>
      </w:r>
      <w:r w:rsidR="002F2010">
        <w:t>2</w:t>
      </w:r>
      <w:r w:rsidR="00B647E5">
        <w:t xml:space="preserve">6 </w:t>
      </w:r>
      <w:r w:rsidRPr="00814242">
        <w:t>(</w:t>
      </w:r>
      <w:r w:rsidR="00B647E5">
        <w:t>13.6</w:t>
      </w:r>
      <w:r w:rsidRPr="00814242">
        <w:t>%) provided only one method of communication.</w:t>
      </w:r>
      <w:r w:rsidR="00243285">
        <w:t xml:space="preserve"> (See Chart 5). </w:t>
      </w:r>
    </w:p>
    <w:p w14:paraId="679229CB" w14:textId="77777777" w:rsidR="00021A24" w:rsidRDefault="00021A24" w:rsidP="00677C76">
      <w:pPr>
        <w:pStyle w:val="ListBullet"/>
        <w:numPr>
          <w:ilvl w:val="0"/>
          <w:numId w:val="0"/>
        </w:numPr>
      </w:pPr>
    </w:p>
    <w:p w14:paraId="45EFB4B7" w14:textId="1084934D" w:rsidR="00021A24" w:rsidRDefault="00021A24" w:rsidP="00A618F8">
      <w:pPr>
        <w:pStyle w:val="Caption"/>
        <w:keepNext/>
        <w:jc w:val="left"/>
      </w:pPr>
      <w:r>
        <w:rPr>
          <w:noProof/>
        </w:rPr>
        <w:t xml:space="preserve">Chart 5- </w:t>
      </w:r>
      <w:r w:rsidR="00360118">
        <w:rPr>
          <w:noProof/>
        </w:rPr>
        <w:t xml:space="preserve">Final </w:t>
      </w:r>
      <w:r>
        <w:rPr>
          <w:noProof/>
        </w:rPr>
        <w:t>Findings- Written and Spoken Communications</w:t>
      </w:r>
    </w:p>
    <w:p w14:paraId="1A35CEE8" w14:textId="34F92C11" w:rsidR="00021A24" w:rsidRPr="00814242" w:rsidRDefault="00021A24" w:rsidP="00677C76">
      <w:pPr>
        <w:pStyle w:val="ListBullet"/>
        <w:numPr>
          <w:ilvl w:val="0"/>
          <w:numId w:val="0"/>
        </w:numPr>
      </w:pPr>
      <w:r>
        <w:rPr>
          <w:noProof/>
          <w:lang w:eastAsia="en-IE"/>
        </w:rPr>
        <w:drawing>
          <wp:inline distT="0" distB="0" distL="0" distR="0" wp14:anchorId="561C4A43" wp14:editId="6442B19F">
            <wp:extent cx="4572000" cy="2743200"/>
            <wp:effectExtent l="0" t="0" r="0" b="0"/>
            <wp:docPr id="10" name="Chart 10" descr="Pie chart showing that of the 191 public bodies which promoted an access officer on their website  and provided contact information 13.6% provided only one mode of contact, whereas 86.4% provided both written and spoken communication channel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9E2B4A" w14:textId="77777777" w:rsidR="001F10ED" w:rsidRDefault="001F10ED" w:rsidP="00677C76">
      <w:pPr>
        <w:pStyle w:val="ListBullet"/>
        <w:numPr>
          <w:ilvl w:val="0"/>
          <w:numId w:val="0"/>
        </w:numPr>
      </w:pPr>
    </w:p>
    <w:p w14:paraId="27664E57" w14:textId="7126A00F" w:rsidR="00677C76" w:rsidRDefault="00677C76" w:rsidP="00677C76">
      <w:pPr>
        <w:pStyle w:val="ListBullet"/>
        <w:numPr>
          <w:ilvl w:val="0"/>
          <w:numId w:val="0"/>
        </w:numPr>
      </w:pPr>
      <w:r>
        <w:t xml:space="preserve">Therefore, overall, a </w:t>
      </w:r>
      <w:r w:rsidRPr="00A872A4">
        <w:t xml:space="preserve">total of </w:t>
      </w:r>
      <w:r w:rsidR="00021A24">
        <w:t>165</w:t>
      </w:r>
      <w:r w:rsidRPr="00A872A4">
        <w:t xml:space="preserve"> (</w:t>
      </w:r>
      <w:r w:rsidR="00021A24">
        <w:t>58.</w:t>
      </w:r>
      <w:r w:rsidR="005F7CA9">
        <w:t>7</w:t>
      </w:r>
      <w:r w:rsidRPr="00A872A4">
        <w:t>%) public bodies met all the criteria of the indicato</w:t>
      </w:r>
      <w:r w:rsidR="00CC4C19">
        <w:t>r with regard to Access Officer while 11</w:t>
      </w:r>
      <w:r w:rsidR="00BE43EA">
        <w:t>6</w:t>
      </w:r>
      <w:r w:rsidR="00CC4C19">
        <w:t xml:space="preserve"> (41.</w:t>
      </w:r>
      <w:r w:rsidR="00BE43EA">
        <w:t>3</w:t>
      </w:r>
      <w:r w:rsidR="00CC4C19">
        <w:t xml:space="preserve">%) did not. </w:t>
      </w:r>
      <w:r w:rsidR="00021A24">
        <w:t xml:space="preserve">(See Chart 6) </w:t>
      </w:r>
    </w:p>
    <w:p w14:paraId="24698182" w14:textId="77777777" w:rsidR="000F3B61" w:rsidRDefault="000F3B61" w:rsidP="00677C76">
      <w:pPr>
        <w:pStyle w:val="ListBullet"/>
        <w:numPr>
          <w:ilvl w:val="0"/>
          <w:numId w:val="0"/>
        </w:numPr>
      </w:pPr>
    </w:p>
    <w:p w14:paraId="38C8E0C8" w14:textId="1F7CA03A" w:rsidR="008541D6" w:rsidRDefault="008541D6" w:rsidP="00A618F8">
      <w:pPr>
        <w:pStyle w:val="Caption"/>
        <w:keepNext/>
        <w:jc w:val="left"/>
      </w:pPr>
      <w:r>
        <w:lastRenderedPageBreak/>
        <w:t xml:space="preserve">Chart 6- Final Findings- Public Bodies who </w:t>
      </w:r>
      <w:r w:rsidR="00E36F7C">
        <w:t>met</w:t>
      </w:r>
      <w:r>
        <w:t xml:space="preserve"> all Criteria</w:t>
      </w:r>
    </w:p>
    <w:p w14:paraId="5C8ECB6A" w14:textId="02B95D3F" w:rsidR="00021A24" w:rsidRDefault="00021A24" w:rsidP="00677C76">
      <w:pPr>
        <w:pStyle w:val="ListBullet"/>
        <w:numPr>
          <w:ilvl w:val="0"/>
          <w:numId w:val="0"/>
        </w:numPr>
      </w:pPr>
      <w:r>
        <w:rPr>
          <w:noProof/>
          <w:lang w:eastAsia="en-IE"/>
        </w:rPr>
        <w:drawing>
          <wp:inline distT="0" distB="0" distL="0" distR="0" wp14:anchorId="323344E7" wp14:editId="511271C8">
            <wp:extent cx="4705350" cy="2676525"/>
            <wp:effectExtent l="0" t="0" r="0" b="9525"/>
            <wp:docPr id="12" name="Chart 12" descr="Pie chart detailing that in the final findings of the repot 58.7% of public bodies met all criteria of the indicator while 41.3% of public bodies did not meet the criteria of the indicato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3ADE61" w14:textId="1971F454" w:rsidR="00B80534" w:rsidRDefault="00B80534" w:rsidP="00677C76">
      <w:pPr>
        <w:pStyle w:val="ListBullet"/>
        <w:numPr>
          <w:ilvl w:val="0"/>
          <w:numId w:val="0"/>
        </w:numPr>
      </w:pPr>
    </w:p>
    <w:p w14:paraId="5157E80F" w14:textId="77777777" w:rsidR="00B80534" w:rsidRDefault="00B80534" w:rsidP="00677C76">
      <w:pPr>
        <w:pStyle w:val="ListBullet"/>
        <w:numPr>
          <w:ilvl w:val="0"/>
          <w:numId w:val="0"/>
        </w:numPr>
      </w:pPr>
    </w:p>
    <w:p w14:paraId="0CB6419B" w14:textId="77777777" w:rsidR="00B80534" w:rsidRDefault="00B80534" w:rsidP="00677C76">
      <w:pPr>
        <w:pStyle w:val="ListBullet"/>
        <w:numPr>
          <w:ilvl w:val="0"/>
          <w:numId w:val="0"/>
        </w:numPr>
      </w:pPr>
    </w:p>
    <w:p w14:paraId="55340A6A" w14:textId="77777777" w:rsidR="00B80534" w:rsidRDefault="00B80534" w:rsidP="00677C76">
      <w:pPr>
        <w:pStyle w:val="ListBullet"/>
        <w:numPr>
          <w:ilvl w:val="0"/>
          <w:numId w:val="0"/>
        </w:numPr>
      </w:pPr>
    </w:p>
    <w:p w14:paraId="495DC827" w14:textId="77777777" w:rsidR="00B80534" w:rsidRDefault="00B80534" w:rsidP="00677C76">
      <w:pPr>
        <w:pStyle w:val="ListBullet"/>
        <w:numPr>
          <w:ilvl w:val="0"/>
          <w:numId w:val="0"/>
        </w:numPr>
        <w:sectPr w:rsidR="00B80534">
          <w:headerReference w:type="default" r:id="rId17"/>
          <w:footerReference w:type="default" r:id="rId18"/>
          <w:pgSz w:w="12240" w:h="15840"/>
          <w:pgMar w:top="1440" w:right="1800" w:bottom="1440" w:left="1800" w:header="708" w:footer="708" w:gutter="0"/>
          <w:cols w:space="708"/>
          <w:docGrid w:linePitch="360"/>
        </w:sectPr>
      </w:pPr>
    </w:p>
    <w:p w14:paraId="43B6F0C4" w14:textId="46FF8F94" w:rsidR="00B80534" w:rsidRDefault="00B80534" w:rsidP="00677C76">
      <w:pPr>
        <w:pStyle w:val="ListBullet"/>
        <w:numPr>
          <w:ilvl w:val="0"/>
          <w:numId w:val="0"/>
        </w:numPr>
      </w:pPr>
      <w:r>
        <w:lastRenderedPageBreak/>
        <w:t xml:space="preserve">Below is a table which details performance against this indicator by Department and the public bodies under their aegis. More detailed information on departmental analysis is available in Appendix A. </w:t>
      </w:r>
    </w:p>
    <w:p w14:paraId="066CEDB9" w14:textId="61A71365" w:rsidR="00B80534" w:rsidRDefault="00B80534" w:rsidP="00677C76">
      <w:pPr>
        <w:pStyle w:val="ListBullet"/>
        <w:numPr>
          <w:ilvl w:val="0"/>
          <w:numId w:val="0"/>
        </w:numPr>
      </w:pPr>
    </w:p>
    <w:p w14:paraId="619FF7AF" w14:textId="085733CE" w:rsidR="00B80534" w:rsidRDefault="00B80534" w:rsidP="00677C76">
      <w:pPr>
        <w:pStyle w:val="ListBullet"/>
        <w:numPr>
          <w:ilvl w:val="0"/>
          <w:numId w:val="0"/>
        </w:numPr>
      </w:pPr>
    </w:p>
    <w:p w14:paraId="21868FD3" w14:textId="389A2A7E" w:rsidR="00B80534" w:rsidRDefault="00B80534" w:rsidP="00B80534">
      <w:pPr>
        <w:pStyle w:val="Heading2"/>
        <w:jc w:val="center"/>
      </w:pPr>
      <w:bookmarkStart w:id="22" w:name="_Toc142561653"/>
      <w:r w:rsidRPr="00220E38">
        <w:t xml:space="preserve">Table </w:t>
      </w:r>
      <w:r>
        <w:t>1</w:t>
      </w:r>
      <w:r w:rsidRPr="00220E38">
        <w:t xml:space="preserve"> – </w:t>
      </w:r>
      <w:r>
        <w:t>Compliance of Departments and their aegis bodies with the Access Officer indicator</w:t>
      </w:r>
      <w:bookmarkEnd w:id="22"/>
    </w:p>
    <w:tbl>
      <w:tblPr>
        <w:tblpPr w:leftFromText="180" w:rightFromText="180" w:vertAnchor="text" w:horzAnchor="margin" w:tblpY="833"/>
        <w:tblW w:w="133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89"/>
        <w:gridCol w:w="3284"/>
        <w:gridCol w:w="3284"/>
      </w:tblGrid>
      <w:tr w:rsidR="00B80534" w:rsidRPr="009F0AF4" w14:paraId="5290607D" w14:textId="77777777" w:rsidTr="00135D7B">
        <w:trPr>
          <w:trHeight w:val="10"/>
          <w:tblHeader/>
        </w:trPr>
        <w:tc>
          <w:tcPr>
            <w:tcW w:w="6789" w:type="dxa"/>
            <w:tcBorders>
              <w:bottom w:val="single" w:sz="12" w:space="0" w:color="000000"/>
            </w:tcBorders>
            <w:shd w:val="clear" w:color="auto" w:fill="auto"/>
          </w:tcPr>
          <w:p w14:paraId="42484654" w14:textId="77777777" w:rsidR="00B80534" w:rsidRPr="009F0AF4" w:rsidRDefault="00B80534" w:rsidP="00BB4BB6">
            <w:pPr>
              <w:spacing w:after="0"/>
              <w:jc w:val="right"/>
              <w:rPr>
                <w:b/>
                <w:sz w:val="24"/>
              </w:rPr>
            </w:pPr>
            <w:r w:rsidRPr="009F0AF4">
              <w:rPr>
                <w:b/>
                <w:sz w:val="24"/>
              </w:rPr>
              <w:t xml:space="preserve">Name of </w:t>
            </w:r>
            <w:r>
              <w:rPr>
                <w:b/>
                <w:sz w:val="24"/>
              </w:rPr>
              <w:t>Department *</w:t>
            </w:r>
          </w:p>
        </w:tc>
        <w:tc>
          <w:tcPr>
            <w:tcW w:w="3284" w:type="dxa"/>
            <w:tcBorders>
              <w:bottom w:val="single" w:sz="12" w:space="0" w:color="000000"/>
            </w:tcBorders>
          </w:tcPr>
          <w:p w14:paraId="69BED297" w14:textId="77777777" w:rsidR="00B80534" w:rsidRPr="009F0AF4" w:rsidRDefault="00B80534" w:rsidP="00BB4BB6">
            <w:pPr>
              <w:spacing w:after="0"/>
              <w:jc w:val="right"/>
              <w:rPr>
                <w:b/>
                <w:sz w:val="24"/>
              </w:rPr>
            </w:pPr>
            <w:r w:rsidRPr="009F0AF4">
              <w:rPr>
                <w:b/>
                <w:sz w:val="24"/>
              </w:rPr>
              <w:t>Access officer promoted</w:t>
            </w:r>
            <w:r>
              <w:rPr>
                <w:b/>
                <w:sz w:val="24"/>
              </w:rPr>
              <w:t xml:space="preserve"> (%)</w:t>
            </w:r>
          </w:p>
        </w:tc>
        <w:tc>
          <w:tcPr>
            <w:tcW w:w="3284" w:type="dxa"/>
            <w:tcBorders>
              <w:bottom w:val="single" w:sz="12" w:space="0" w:color="000000"/>
            </w:tcBorders>
          </w:tcPr>
          <w:p w14:paraId="58A1CF09" w14:textId="77777777" w:rsidR="00B80534" w:rsidRPr="009F0AF4" w:rsidRDefault="00B80534" w:rsidP="00BB4BB6">
            <w:pPr>
              <w:spacing w:after="0"/>
              <w:jc w:val="right"/>
              <w:rPr>
                <w:b/>
                <w:sz w:val="24"/>
              </w:rPr>
            </w:pPr>
            <w:r w:rsidRPr="009F0AF4">
              <w:rPr>
                <w:b/>
                <w:sz w:val="24"/>
              </w:rPr>
              <w:t>Compliant with all criteria</w:t>
            </w:r>
            <w:r>
              <w:rPr>
                <w:b/>
                <w:sz w:val="24"/>
              </w:rPr>
              <w:t xml:space="preserve"> (%)</w:t>
            </w:r>
          </w:p>
        </w:tc>
      </w:tr>
      <w:tr w:rsidR="00135D7B" w:rsidRPr="009F0AF4" w14:paraId="1A4E5B48" w14:textId="77777777" w:rsidTr="00135D7B">
        <w:trPr>
          <w:trHeight w:val="10"/>
        </w:trPr>
        <w:tc>
          <w:tcPr>
            <w:tcW w:w="6789" w:type="dxa"/>
            <w:shd w:val="clear" w:color="auto" w:fill="auto"/>
          </w:tcPr>
          <w:p w14:paraId="22758BFA" w14:textId="4CDDAC42" w:rsidR="00135D7B" w:rsidRPr="00B33C41" w:rsidRDefault="00135D7B" w:rsidP="00B33C41">
            <w:pPr>
              <w:keepNext/>
              <w:spacing w:after="0"/>
              <w:rPr>
                <w:sz w:val="24"/>
              </w:rPr>
            </w:pPr>
            <w:r w:rsidRPr="00B33C41">
              <w:rPr>
                <w:sz w:val="24"/>
              </w:rPr>
              <w:t>Dept</w:t>
            </w:r>
            <w:r w:rsidR="00B33C41">
              <w:rPr>
                <w:sz w:val="24"/>
              </w:rPr>
              <w:t>.</w:t>
            </w:r>
            <w:r w:rsidRPr="00B33C41">
              <w:rPr>
                <w:sz w:val="24"/>
              </w:rPr>
              <w:t xml:space="preserve"> of Education</w:t>
            </w:r>
          </w:p>
        </w:tc>
        <w:tc>
          <w:tcPr>
            <w:tcW w:w="3284" w:type="dxa"/>
          </w:tcPr>
          <w:p w14:paraId="1287C386" w14:textId="5ED05636" w:rsidR="00135D7B" w:rsidRDefault="00135D7B" w:rsidP="00BB4BB6">
            <w:pPr>
              <w:spacing w:after="0"/>
              <w:jc w:val="right"/>
              <w:rPr>
                <w:bCs/>
                <w:sz w:val="24"/>
              </w:rPr>
            </w:pPr>
            <w:r>
              <w:rPr>
                <w:bCs/>
                <w:sz w:val="24"/>
              </w:rPr>
              <w:t>100.0</w:t>
            </w:r>
          </w:p>
        </w:tc>
        <w:tc>
          <w:tcPr>
            <w:tcW w:w="3284" w:type="dxa"/>
          </w:tcPr>
          <w:p w14:paraId="7D64AD04" w14:textId="5C3125B7" w:rsidR="00135D7B" w:rsidRDefault="00135D7B" w:rsidP="00BB4BB6">
            <w:pPr>
              <w:spacing w:after="0"/>
              <w:jc w:val="right"/>
              <w:rPr>
                <w:bCs/>
                <w:sz w:val="24"/>
              </w:rPr>
            </w:pPr>
            <w:r>
              <w:rPr>
                <w:bCs/>
                <w:sz w:val="24"/>
              </w:rPr>
              <w:t>100.0</w:t>
            </w:r>
          </w:p>
        </w:tc>
      </w:tr>
      <w:tr w:rsidR="00135D7B" w:rsidRPr="009F0AF4" w14:paraId="2B20D7BD" w14:textId="77777777" w:rsidTr="00135D7B">
        <w:trPr>
          <w:trHeight w:val="10"/>
        </w:trPr>
        <w:tc>
          <w:tcPr>
            <w:tcW w:w="6789" w:type="dxa"/>
            <w:shd w:val="clear" w:color="auto" w:fill="auto"/>
          </w:tcPr>
          <w:p w14:paraId="5CAC5295" w14:textId="74431731" w:rsidR="00135D7B" w:rsidRPr="00B33C41" w:rsidRDefault="00135D7B" w:rsidP="00B33C41">
            <w:pPr>
              <w:keepNext/>
              <w:spacing w:after="0"/>
              <w:rPr>
                <w:sz w:val="24"/>
              </w:rPr>
            </w:pPr>
            <w:r w:rsidRPr="00B33C41">
              <w:rPr>
                <w:sz w:val="24"/>
              </w:rPr>
              <w:t>Dept</w:t>
            </w:r>
            <w:r w:rsidR="00B33C41">
              <w:rPr>
                <w:sz w:val="24"/>
              </w:rPr>
              <w:t>.</w:t>
            </w:r>
            <w:r w:rsidRPr="00B33C41">
              <w:rPr>
                <w:sz w:val="24"/>
              </w:rPr>
              <w:t xml:space="preserve"> of Foreign Affairs</w:t>
            </w:r>
          </w:p>
        </w:tc>
        <w:tc>
          <w:tcPr>
            <w:tcW w:w="3284" w:type="dxa"/>
          </w:tcPr>
          <w:p w14:paraId="59E8FE09" w14:textId="2407CFF8" w:rsidR="00135D7B" w:rsidRDefault="00135D7B" w:rsidP="00BB4BB6">
            <w:pPr>
              <w:spacing w:after="0"/>
              <w:jc w:val="right"/>
              <w:rPr>
                <w:bCs/>
                <w:sz w:val="24"/>
              </w:rPr>
            </w:pPr>
            <w:r>
              <w:rPr>
                <w:bCs/>
                <w:sz w:val="24"/>
              </w:rPr>
              <w:t>100.0</w:t>
            </w:r>
          </w:p>
        </w:tc>
        <w:tc>
          <w:tcPr>
            <w:tcW w:w="3284" w:type="dxa"/>
          </w:tcPr>
          <w:p w14:paraId="5A668C4A" w14:textId="147A1B3D" w:rsidR="00135D7B" w:rsidRDefault="00135D7B" w:rsidP="00BB4BB6">
            <w:pPr>
              <w:spacing w:after="0"/>
              <w:jc w:val="right"/>
              <w:rPr>
                <w:bCs/>
                <w:sz w:val="24"/>
              </w:rPr>
            </w:pPr>
            <w:r>
              <w:rPr>
                <w:bCs/>
                <w:sz w:val="24"/>
              </w:rPr>
              <w:t>100.0</w:t>
            </w:r>
          </w:p>
        </w:tc>
      </w:tr>
      <w:tr w:rsidR="00135D7B" w:rsidRPr="009F0AF4" w14:paraId="6E160881" w14:textId="77777777" w:rsidTr="00135D7B">
        <w:trPr>
          <w:trHeight w:val="10"/>
        </w:trPr>
        <w:tc>
          <w:tcPr>
            <w:tcW w:w="6789" w:type="dxa"/>
            <w:shd w:val="clear" w:color="auto" w:fill="auto"/>
          </w:tcPr>
          <w:p w14:paraId="4E558F84" w14:textId="3DF828D4" w:rsidR="00135D7B" w:rsidRPr="00B33C41" w:rsidRDefault="00135D7B" w:rsidP="00B33C41">
            <w:pPr>
              <w:keepNext/>
              <w:spacing w:after="0"/>
              <w:rPr>
                <w:sz w:val="24"/>
              </w:rPr>
            </w:pPr>
            <w:r w:rsidRPr="00B33C41">
              <w:rPr>
                <w:sz w:val="24"/>
              </w:rPr>
              <w:t>Dept</w:t>
            </w:r>
            <w:r w:rsidR="00B33C41">
              <w:rPr>
                <w:sz w:val="24"/>
              </w:rPr>
              <w:t>.</w:t>
            </w:r>
            <w:r w:rsidRPr="00B33C41">
              <w:rPr>
                <w:sz w:val="24"/>
              </w:rPr>
              <w:t xml:space="preserve"> of Finance</w:t>
            </w:r>
          </w:p>
        </w:tc>
        <w:tc>
          <w:tcPr>
            <w:tcW w:w="3284" w:type="dxa"/>
          </w:tcPr>
          <w:p w14:paraId="436FA880" w14:textId="51C7C915" w:rsidR="00135D7B" w:rsidRDefault="00B33C41" w:rsidP="00BB4BB6">
            <w:pPr>
              <w:spacing w:after="0"/>
              <w:jc w:val="right"/>
              <w:rPr>
                <w:bCs/>
                <w:sz w:val="24"/>
              </w:rPr>
            </w:pPr>
            <w:r>
              <w:rPr>
                <w:bCs/>
                <w:sz w:val="24"/>
              </w:rPr>
              <w:t>90.9</w:t>
            </w:r>
          </w:p>
        </w:tc>
        <w:tc>
          <w:tcPr>
            <w:tcW w:w="3284" w:type="dxa"/>
          </w:tcPr>
          <w:p w14:paraId="2D9FFF68" w14:textId="0E2D3CC0" w:rsidR="00135D7B" w:rsidRDefault="00B33C41" w:rsidP="00BB4BB6">
            <w:pPr>
              <w:spacing w:after="0"/>
              <w:jc w:val="right"/>
              <w:rPr>
                <w:bCs/>
                <w:sz w:val="24"/>
              </w:rPr>
            </w:pPr>
            <w:r>
              <w:rPr>
                <w:bCs/>
                <w:sz w:val="24"/>
              </w:rPr>
              <w:t>90.9</w:t>
            </w:r>
          </w:p>
        </w:tc>
      </w:tr>
      <w:tr w:rsidR="00135D7B" w:rsidRPr="009F0AF4" w14:paraId="2815700C" w14:textId="77777777" w:rsidTr="00135D7B">
        <w:trPr>
          <w:trHeight w:val="10"/>
        </w:trPr>
        <w:tc>
          <w:tcPr>
            <w:tcW w:w="6789" w:type="dxa"/>
            <w:shd w:val="clear" w:color="auto" w:fill="auto"/>
          </w:tcPr>
          <w:p w14:paraId="046DC50E" w14:textId="455DE3C7" w:rsidR="00135D7B" w:rsidRPr="00B33C41" w:rsidRDefault="00B33C41" w:rsidP="00B33C41">
            <w:pPr>
              <w:keepNext/>
              <w:spacing w:after="0"/>
              <w:rPr>
                <w:sz w:val="24"/>
              </w:rPr>
            </w:pPr>
            <w:r w:rsidRPr="00B33C41">
              <w:rPr>
                <w:sz w:val="24"/>
              </w:rPr>
              <w:t>Dept</w:t>
            </w:r>
            <w:r>
              <w:rPr>
                <w:sz w:val="24"/>
              </w:rPr>
              <w:t>.</w:t>
            </w:r>
            <w:r w:rsidRPr="00B33C41">
              <w:rPr>
                <w:sz w:val="24"/>
              </w:rPr>
              <w:t xml:space="preserve"> of Justice</w:t>
            </w:r>
          </w:p>
        </w:tc>
        <w:tc>
          <w:tcPr>
            <w:tcW w:w="3284" w:type="dxa"/>
          </w:tcPr>
          <w:p w14:paraId="022D58B2" w14:textId="32AA58E8" w:rsidR="00135D7B" w:rsidRDefault="00B33C41" w:rsidP="00BB4BB6">
            <w:pPr>
              <w:spacing w:after="0"/>
              <w:jc w:val="right"/>
              <w:rPr>
                <w:bCs/>
                <w:sz w:val="24"/>
              </w:rPr>
            </w:pPr>
            <w:r>
              <w:rPr>
                <w:bCs/>
                <w:sz w:val="24"/>
              </w:rPr>
              <w:t>96.2</w:t>
            </w:r>
          </w:p>
        </w:tc>
        <w:tc>
          <w:tcPr>
            <w:tcW w:w="3284" w:type="dxa"/>
          </w:tcPr>
          <w:p w14:paraId="20B05765" w14:textId="0B805711" w:rsidR="00135D7B" w:rsidRDefault="00B33C41" w:rsidP="00BB4BB6">
            <w:pPr>
              <w:spacing w:after="0"/>
              <w:jc w:val="right"/>
              <w:rPr>
                <w:bCs/>
                <w:sz w:val="24"/>
              </w:rPr>
            </w:pPr>
            <w:r>
              <w:rPr>
                <w:bCs/>
                <w:sz w:val="24"/>
              </w:rPr>
              <w:t>88.5</w:t>
            </w:r>
          </w:p>
        </w:tc>
      </w:tr>
      <w:tr w:rsidR="00B33C41" w:rsidRPr="009F0AF4" w14:paraId="3A1CDBFA" w14:textId="77777777" w:rsidTr="00135D7B">
        <w:trPr>
          <w:trHeight w:val="10"/>
        </w:trPr>
        <w:tc>
          <w:tcPr>
            <w:tcW w:w="6789" w:type="dxa"/>
            <w:shd w:val="clear" w:color="auto" w:fill="auto"/>
          </w:tcPr>
          <w:p w14:paraId="41D0153B" w14:textId="6A61CF62" w:rsidR="00B33C41" w:rsidRPr="00B33C41" w:rsidRDefault="00B33C41" w:rsidP="00B33C41">
            <w:pPr>
              <w:keepNext/>
              <w:spacing w:after="0"/>
              <w:rPr>
                <w:sz w:val="24"/>
              </w:rPr>
            </w:pPr>
            <w:r w:rsidRPr="00B33C41">
              <w:rPr>
                <w:sz w:val="24"/>
              </w:rPr>
              <w:t>Dept</w:t>
            </w:r>
            <w:r>
              <w:rPr>
                <w:sz w:val="24"/>
              </w:rPr>
              <w:t>.</w:t>
            </w:r>
            <w:r w:rsidRPr="00B33C41">
              <w:rPr>
                <w:sz w:val="24"/>
              </w:rPr>
              <w:t xml:space="preserve"> of Agriculture</w:t>
            </w:r>
          </w:p>
        </w:tc>
        <w:tc>
          <w:tcPr>
            <w:tcW w:w="3284" w:type="dxa"/>
          </w:tcPr>
          <w:p w14:paraId="66CB538B" w14:textId="60B666BE" w:rsidR="00B33C41" w:rsidRDefault="00B33C41" w:rsidP="00BB4BB6">
            <w:pPr>
              <w:spacing w:after="0"/>
              <w:jc w:val="right"/>
              <w:rPr>
                <w:bCs/>
                <w:sz w:val="24"/>
              </w:rPr>
            </w:pPr>
            <w:r>
              <w:rPr>
                <w:bCs/>
                <w:sz w:val="24"/>
              </w:rPr>
              <w:t>84.2</w:t>
            </w:r>
          </w:p>
        </w:tc>
        <w:tc>
          <w:tcPr>
            <w:tcW w:w="3284" w:type="dxa"/>
          </w:tcPr>
          <w:p w14:paraId="2150F6E8" w14:textId="0842E931" w:rsidR="00B33C41" w:rsidRDefault="00B33C41" w:rsidP="00BB4BB6">
            <w:pPr>
              <w:spacing w:after="0"/>
              <w:jc w:val="right"/>
              <w:rPr>
                <w:bCs/>
                <w:sz w:val="24"/>
              </w:rPr>
            </w:pPr>
            <w:r>
              <w:rPr>
                <w:bCs/>
                <w:sz w:val="24"/>
              </w:rPr>
              <w:t>76.9</w:t>
            </w:r>
          </w:p>
        </w:tc>
      </w:tr>
      <w:tr w:rsidR="00B80534" w:rsidRPr="009F0AF4" w14:paraId="39CD23DA" w14:textId="77777777" w:rsidTr="00135D7B">
        <w:trPr>
          <w:trHeight w:val="10"/>
        </w:trPr>
        <w:tc>
          <w:tcPr>
            <w:tcW w:w="6789" w:type="dxa"/>
            <w:shd w:val="clear" w:color="auto" w:fill="auto"/>
          </w:tcPr>
          <w:p w14:paraId="1235A6C0" w14:textId="77777777" w:rsidR="00B80534" w:rsidRPr="00B33C41" w:rsidRDefault="00B80534" w:rsidP="00B33C41">
            <w:pPr>
              <w:keepNext/>
              <w:spacing w:after="0"/>
              <w:rPr>
                <w:sz w:val="24"/>
              </w:rPr>
            </w:pPr>
            <w:r w:rsidRPr="00B33C41">
              <w:rPr>
                <w:sz w:val="24"/>
              </w:rPr>
              <w:t>Dept. of Further and Higher Education, Research, Innovation and Science</w:t>
            </w:r>
          </w:p>
        </w:tc>
        <w:tc>
          <w:tcPr>
            <w:tcW w:w="3284" w:type="dxa"/>
          </w:tcPr>
          <w:p w14:paraId="2F4AC6ED" w14:textId="77777777" w:rsidR="00B80534" w:rsidRDefault="00B80534" w:rsidP="00BB4BB6">
            <w:pPr>
              <w:spacing w:after="0"/>
              <w:jc w:val="right"/>
              <w:rPr>
                <w:bCs/>
                <w:sz w:val="24"/>
              </w:rPr>
            </w:pPr>
            <w:r>
              <w:rPr>
                <w:bCs/>
                <w:sz w:val="24"/>
              </w:rPr>
              <w:t>79.2</w:t>
            </w:r>
          </w:p>
        </w:tc>
        <w:tc>
          <w:tcPr>
            <w:tcW w:w="3284" w:type="dxa"/>
          </w:tcPr>
          <w:p w14:paraId="62BE4E42" w14:textId="77777777" w:rsidR="00B80534" w:rsidRDefault="00B80534" w:rsidP="00BB4BB6">
            <w:pPr>
              <w:spacing w:after="0"/>
              <w:jc w:val="right"/>
              <w:rPr>
                <w:bCs/>
                <w:sz w:val="24"/>
              </w:rPr>
            </w:pPr>
            <w:r>
              <w:rPr>
                <w:bCs/>
                <w:sz w:val="24"/>
              </w:rPr>
              <w:t>75.0</w:t>
            </w:r>
          </w:p>
        </w:tc>
      </w:tr>
      <w:tr w:rsidR="00B80534" w:rsidRPr="009F0AF4" w14:paraId="58CE9C4A" w14:textId="77777777" w:rsidTr="00135D7B">
        <w:trPr>
          <w:trHeight w:val="10"/>
        </w:trPr>
        <w:tc>
          <w:tcPr>
            <w:tcW w:w="6789" w:type="dxa"/>
            <w:shd w:val="clear" w:color="auto" w:fill="auto"/>
          </w:tcPr>
          <w:p w14:paraId="0DE52EED" w14:textId="3A51ACE0" w:rsidR="00B80534" w:rsidRPr="00B33C41" w:rsidRDefault="00B80534" w:rsidP="00B33C41">
            <w:pPr>
              <w:keepNext/>
              <w:spacing w:after="0"/>
              <w:rPr>
                <w:sz w:val="24"/>
              </w:rPr>
            </w:pPr>
            <w:r w:rsidRPr="00B33C41">
              <w:rPr>
                <w:sz w:val="24"/>
              </w:rPr>
              <w:t>Dept</w:t>
            </w:r>
            <w:r w:rsidR="00B33C41">
              <w:rPr>
                <w:sz w:val="24"/>
              </w:rPr>
              <w:t>.</w:t>
            </w:r>
            <w:r w:rsidRPr="00B33C41">
              <w:rPr>
                <w:sz w:val="24"/>
              </w:rPr>
              <w:t xml:space="preserve"> of Rural and Community Development</w:t>
            </w:r>
          </w:p>
        </w:tc>
        <w:tc>
          <w:tcPr>
            <w:tcW w:w="3284" w:type="dxa"/>
          </w:tcPr>
          <w:p w14:paraId="2C45ED93" w14:textId="77777777" w:rsidR="00B80534" w:rsidRDefault="00B80534" w:rsidP="00BB4BB6">
            <w:pPr>
              <w:spacing w:after="0"/>
              <w:jc w:val="right"/>
              <w:rPr>
                <w:bCs/>
                <w:sz w:val="24"/>
              </w:rPr>
            </w:pPr>
            <w:r>
              <w:rPr>
                <w:bCs/>
                <w:sz w:val="24"/>
              </w:rPr>
              <w:t>75.0</w:t>
            </w:r>
          </w:p>
        </w:tc>
        <w:tc>
          <w:tcPr>
            <w:tcW w:w="3284" w:type="dxa"/>
          </w:tcPr>
          <w:p w14:paraId="11B7F214" w14:textId="77777777" w:rsidR="00B80534" w:rsidRDefault="00B80534" w:rsidP="00BB4BB6">
            <w:pPr>
              <w:spacing w:after="0"/>
              <w:jc w:val="right"/>
              <w:rPr>
                <w:bCs/>
                <w:sz w:val="24"/>
              </w:rPr>
            </w:pPr>
            <w:r>
              <w:rPr>
                <w:bCs/>
                <w:sz w:val="24"/>
              </w:rPr>
              <w:t>75.0</w:t>
            </w:r>
          </w:p>
        </w:tc>
      </w:tr>
      <w:tr w:rsidR="00B80534" w:rsidRPr="009F0AF4" w14:paraId="610DAB99" w14:textId="77777777" w:rsidTr="00135D7B">
        <w:trPr>
          <w:trHeight w:val="10"/>
        </w:trPr>
        <w:tc>
          <w:tcPr>
            <w:tcW w:w="6789" w:type="dxa"/>
            <w:shd w:val="clear" w:color="auto" w:fill="auto"/>
          </w:tcPr>
          <w:p w14:paraId="094EB77A" w14:textId="07B80983" w:rsidR="00B80534" w:rsidRPr="00B33C41" w:rsidRDefault="00B80534" w:rsidP="00B33C41">
            <w:pPr>
              <w:keepNext/>
              <w:spacing w:after="0"/>
              <w:rPr>
                <w:sz w:val="24"/>
              </w:rPr>
            </w:pPr>
            <w:r w:rsidRPr="00B33C41">
              <w:rPr>
                <w:sz w:val="24"/>
              </w:rPr>
              <w:t>Dept</w:t>
            </w:r>
            <w:r w:rsidR="00B33C41">
              <w:rPr>
                <w:sz w:val="24"/>
              </w:rPr>
              <w:t>.</w:t>
            </w:r>
            <w:r w:rsidRPr="00B33C41">
              <w:rPr>
                <w:sz w:val="24"/>
              </w:rPr>
              <w:t xml:space="preserve"> of Health</w:t>
            </w:r>
          </w:p>
        </w:tc>
        <w:tc>
          <w:tcPr>
            <w:tcW w:w="3284" w:type="dxa"/>
          </w:tcPr>
          <w:p w14:paraId="2BE168B6" w14:textId="77777777" w:rsidR="00B80534" w:rsidRDefault="00B80534" w:rsidP="00BB4BB6">
            <w:pPr>
              <w:spacing w:after="0"/>
              <w:jc w:val="right"/>
              <w:rPr>
                <w:bCs/>
                <w:sz w:val="24"/>
              </w:rPr>
            </w:pPr>
            <w:r>
              <w:rPr>
                <w:bCs/>
                <w:sz w:val="24"/>
              </w:rPr>
              <w:t>70.0</w:t>
            </w:r>
          </w:p>
        </w:tc>
        <w:tc>
          <w:tcPr>
            <w:tcW w:w="3284" w:type="dxa"/>
          </w:tcPr>
          <w:p w14:paraId="017ADA19" w14:textId="77777777" w:rsidR="00B80534" w:rsidRDefault="00B80534" w:rsidP="00BB4BB6">
            <w:pPr>
              <w:spacing w:after="0"/>
              <w:jc w:val="right"/>
              <w:rPr>
                <w:bCs/>
                <w:sz w:val="24"/>
              </w:rPr>
            </w:pPr>
            <w:r>
              <w:rPr>
                <w:bCs/>
                <w:sz w:val="24"/>
              </w:rPr>
              <w:t>60.0</w:t>
            </w:r>
          </w:p>
        </w:tc>
      </w:tr>
      <w:tr w:rsidR="00B80534" w:rsidRPr="009F0AF4" w14:paraId="72318E66" w14:textId="77777777" w:rsidTr="00135D7B">
        <w:trPr>
          <w:trHeight w:val="10"/>
        </w:trPr>
        <w:tc>
          <w:tcPr>
            <w:tcW w:w="6789" w:type="dxa"/>
            <w:shd w:val="clear" w:color="auto" w:fill="auto"/>
          </w:tcPr>
          <w:p w14:paraId="647D0777" w14:textId="11410DB8" w:rsidR="00B80534" w:rsidRPr="00B33C41" w:rsidRDefault="00B80534" w:rsidP="00B33C41">
            <w:pPr>
              <w:keepNext/>
              <w:spacing w:after="0"/>
              <w:rPr>
                <w:sz w:val="24"/>
              </w:rPr>
            </w:pPr>
            <w:r w:rsidRPr="00B33C41">
              <w:rPr>
                <w:sz w:val="24"/>
              </w:rPr>
              <w:t>Dept</w:t>
            </w:r>
            <w:r w:rsidR="00B33C41">
              <w:rPr>
                <w:sz w:val="24"/>
              </w:rPr>
              <w:t>.</w:t>
            </w:r>
            <w:r w:rsidRPr="00B33C41">
              <w:rPr>
                <w:sz w:val="24"/>
              </w:rPr>
              <w:t xml:space="preserve"> of Environment, Climate and Communications</w:t>
            </w:r>
          </w:p>
        </w:tc>
        <w:tc>
          <w:tcPr>
            <w:tcW w:w="3284" w:type="dxa"/>
          </w:tcPr>
          <w:p w14:paraId="2B944157" w14:textId="77777777" w:rsidR="00B80534" w:rsidRDefault="00B80534" w:rsidP="00BB4BB6">
            <w:pPr>
              <w:spacing w:after="0"/>
              <w:jc w:val="right"/>
              <w:rPr>
                <w:bCs/>
                <w:sz w:val="24"/>
              </w:rPr>
            </w:pPr>
            <w:r>
              <w:rPr>
                <w:bCs/>
                <w:sz w:val="24"/>
              </w:rPr>
              <w:t>64.3</w:t>
            </w:r>
          </w:p>
        </w:tc>
        <w:tc>
          <w:tcPr>
            <w:tcW w:w="3284" w:type="dxa"/>
          </w:tcPr>
          <w:p w14:paraId="719B69AA" w14:textId="77777777" w:rsidR="00B80534" w:rsidRDefault="00B80534" w:rsidP="00BB4BB6">
            <w:pPr>
              <w:spacing w:after="0"/>
              <w:jc w:val="right"/>
              <w:rPr>
                <w:bCs/>
                <w:sz w:val="24"/>
              </w:rPr>
            </w:pPr>
            <w:r>
              <w:rPr>
                <w:bCs/>
                <w:sz w:val="24"/>
              </w:rPr>
              <w:t>57.1</w:t>
            </w:r>
          </w:p>
        </w:tc>
      </w:tr>
      <w:tr w:rsidR="00B80534" w:rsidRPr="009F0AF4" w14:paraId="77940D26" w14:textId="77777777" w:rsidTr="00135D7B">
        <w:trPr>
          <w:trHeight w:val="10"/>
        </w:trPr>
        <w:tc>
          <w:tcPr>
            <w:tcW w:w="6789" w:type="dxa"/>
            <w:shd w:val="clear" w:color="auto" w:fill="auto"/>
          </w:tcPr>
          <w:p w14:paraId="7230D1C4" w14:textId="0FC19A17" w:rsidR="00B80534" w:rsidRPr="00B33C41" w:rsidRDefault="00B80534" w:rsidP="00B33C41">
            <w:pPr>
              <w:keepNext/>
              <w:spacing w:after="0"/>
              <w:rPr>
                <w:sz w:val="24"/>
              </w:rPr>
            </w:pPr>
            <w:r w:rsidRPr="00B33C41">
              <w:rPr>
                <w:sz w:val="24"/>
              </w:rPr>
              <w:t>Dept</w:t>
            </w:r>
            <w:r w:rsidR="00B33C41">
              <w:rPr>
                <w:sz w:val="24"/>
              </w:rPr>
              <w:t>.</w:t>
            </w:r>
            <w:r w:rsidRPr="00B33C41">
              <w:rPr>
                <w:sz w:val="24"/>
              </w:rPr>
              <w:t xml:space="preserve"> of Social Protection</w:t>
            </w:r>
          </w:p>
        </w:tc>
        <w:tc>
          <w:tcPr>
            <w:tcW w:w="3284" w:type="dxa"/>
          </w:tcPr>
          <w:p w14:paraId="55EC5000" w14:textId="77777777" w:rsidR="00B80534" w:rsidRDefault="00B80534" w:rsidP="00BB4BB6">
            <w:pPr>
              <w:spacing w:after="0"/>
              <w:jc w:val="right"/>
              <w:rPr>
                <w:bCs/>
                <w:sz w:val="24"/>
              </w:rPr>
            </w:pPr>
            <w:r>
              <w:rPr>
                <w:bCs/>
                <w:sz w:val="24"/>
              </w:rPr>
              <w:t>57.1</w:t>
            </w:r>
          </w:p>
        </w:tc>
        <w:tc>
          <w:tcPr>
            <w:tcW w:w="3284" w:type="dxa"/>
          </w:tcPr>
          <w:p w14:paraId="65C5FD52" w14:textId="77777777" w:rsidR="00B80534" w:rsidRDefault="00B80534" w:rsidP="00BB4BB6">
            <w:pPr>
              <w:spacing w:after="0"/>
              <w:jc w:val="right"/>
              <w:rPr>
                <w:bCs/>
                <w:sz w:val="24"/>
              </w:rPr>
            </w:pPr>
            <w:r>
              <w:rPr>
                <w:bCs/>
                <w:sz w:val="24"/>
              </w:rPr>
              <w:t>57.1</w:t>
            </w:r>
          </w:p>
        </w:tc>
      </w:tr>
      <w:tr w:rsidR="00B80534" w:rsidRPr="009F0AF4" w14:paraId="6A93B29C" w14:textId="77777777" w:rsidTr="00135D7B">
        <w:trPr>
          <w:trHeight w:val="10"/>
        </w:trPr>
        <w:tc>
          <w:tcPr>
            <w:tcW w:w="6789" w:type="dxa"/>
            <w:shd w:val="clear" w:color="auto" w:fill="auto"/>
          </w:tcPr>
          <w:p w14:paraId="05C96D42" w14:textId="0D0EE706" w:rsidR="00B80534" w:rsidRPr="00B33C41" w:rsidRDefault="00B80534" w:rsidP="00B33C41">
            <w:pPr>
              <w:keepNext/>
              <w:spacing w:after="0"/>
              <w:rPr>
                <w:sz w:val="24"/>
              </w:rPr>
            </w:pPr>
            <w:r w:rsidRPr="00B33C41">
              <w:rPr>
                <w:sz w:val="24"/>
              </w:rPr>
              <w:t>Dept</w:t>
            </w:r>
            <w:r w:rsidR="00B33C41">
              <w:rPr>
                <w:sz w:val="24"/>
              </w:rPr>
              <w:t>.</w:t>
            </w:r>
            <w:r w:rsidRPr="00B33C41">
              <w:rPr>
                <w:sz w:val="24"/>
              </w:rPr>
              <w:t xml:space="preserve"> of Public Expenditure, NDP Delivery and Reform</w:t>
            </w:r>
          </w:p>
        </w:tc>
        <w:tc>
          <w:tcPr>
            <w:tcW w:w="3284" w:type="dxa"/>
          </w:tcPr>
          <w:p w14:paraId="1B713999" w14:textId="77777777" w:rsidR="00B80534" w:rsidRDefault="00B80534" w:rsidP="00BB4BB6">
            <w:pPr>
              <w:spacing w:after="0"/>
              <w:jc w:val="right"/>
              <w:rPr>
                <w:bCs/>
                <w:sz w:val="24"/>
              </w:rPr>
            </w:pPr>
            <w:r>
              <w:rPr>
                <w:bCs/>
                <w:sz w:val="24"/>
              </w:rPr>
              <w:t>69.2</w:t>
            </w:r>
          </w:p>
        </w:tc>
        <w:tc>
          <w:tcPr>
            <w:tcW w:w="3284" w:type="dxa"/>
          </w:tcPr>
          <w:p w14:paraId="61BB5408" w14:textId="77777777" w:rsidR="00B80534" w:rsidRDefault="00B80534" w:rsidP="00BB4BB6">
            <w:pPr>
              <w:spacing w:after="0"/>
              <w:jc w:val="right"/>
              <w:rPr>
                <w:bCs/>
                <w:sz w:val="24"/>
              </w:rPr>
            </w:pPr>
            <w:r>
              <w:rPr>
                <w:bCs/>
                <w:sz w:val="24"/>
              </w:rPr>
              <w:t>53.8</w:t>
            </w:r>
          </w:p>
        </w:tc>
      </w:tr>
      <w:tr w:rsidR="00B80534" w:rsidRPr="009F0AF4" w14:paraId="1566966C" w14:textId="77777777" w:rsidTr="00135D7B">
        <w:trPr>
          <w:trHeight w:val="10"/>
        </w:trPr>
        <w:tc>
          <w:tcPr>
            <w:tcW w:w="6789" w:type="dxa"/>
            <w:shd w:val="clear" w:color="auto" w:fill="auto"/>
          </w:tcPr>
          <w:p w14:paraId="3F38069B" w14:textId="7F5222D3" w:rsidR="00B80534" w:rsidRPr="00B33C41" w:rsidRDefault="00B80534" w:rsidP="00B33C41">
            <w:pPr>
              <w:keepNext/>
              <w:spacing w:after="0"/>
              <w:rPr>
                <w:sz w:val="24"/>
              </w:rPr>
            </w:pPr>
            <w:r w:rsidRPr="00B33C41">
              <w:rPr>
                <w:sz w:val="24"/>
              </w:rPr>
              <w:t>Dept</w:t>
            </w:r>
            <w:r w:rsidR="00B33C41">
              <w:rPr>
                <w:sz w:val="24"/>
              </w:rPr>
              <w:t>.</w:t>
            </w:r>
            <w:r w:rsidRPr="00B33C41">
              <w:rPr>
                <w:sz w:val="24"/>
              </w:rPr>
              <w:t xml:space="preserve"> of Enterprise Trade and Employment</w:t>
            </w:r>
          </w:p>
        </w:tc>
        <w:tc>
          <w:tcPr>
            <w:tcW w:w="3284" w:type="dxa"/>
          </w:tcPr>
          <w:p w14:paraId="63622C6B" w14:textId="77777777" w:rsidR="00B80534" w:rsidRDefault="00B80534" w:rsidP="00BB4BB6">
            <w:pPr>
              <w:spacing w:after="0"/>
              <w:jc w:val="right"/>
              <w:rPr>
                <w:bCs/>
                <w:sz w:val="24"/>
              </w:rPr>
            </w:pPr>
            <w:r>
              <w:rPr>
                <w:bCs/>
                <w:sz w:val="24"/>
              </w:rPr>
              <w:t>64.3</w:t>
            </w:r>
          </w:p>
        </w:tc>
        <w:tc>
          <w:tcPr>
            <w:tcW w:w="3284" w:type="dxa"/>
          </w:tcPr>
          <w:p w14:paraId="484EE2FB" w14:textId="77777777" w:rsidR="00B80534" w:rsidRDefault="00B80534" w:rsidP="00BB4BB6">
            <w:pPr>
              <w:spacing w:after="0"/>
              <w:jc w:val="right"/>
              <w:rPr>
                <w:bCs/>
                <w:sz w:val="24"/>
              </w:rPr>
            </w:pPr>
            <w:r>
              <w:rPr>
                <w:bCs/>
                <w:sz w:val="24"/>
              </w:rPr>
              <w:t>50.0</w:t>
            </w:r>
          </w:p>
        </w:tc>
      </w:tr>
      <w:tr w:rsidR="00B527E8" w:rsidRPr="009F0AF4" w14:paraId="3A3C5EE6" w14:textId="77777777" w:rsidTr="00135D7B">
        <w:trPr>
          <w:trHeight w:val="10"/>
        </w:trPr>
        <w:tc>
          <w:tcPr>
            <w:tcW w:w="6789" w:type="dxa"/>
            <w:shd w:val="clear" w:color="auto" w:fill="auto"/>
          </w:tcPr>
          <w:p w14:paraId="7D7D33EB" w14:textId="3B8BDAB5" w:rsidR="00B527E8" w:rsidRPr="00B33C41" w:rsidRDefault="00B527E8" w:rsidP="00B33C41">
            <w:pPr>
              <w:keepNext/>
              <w:spacing w:after="0"/>
              <w:rPr>
                <w:sz w:val="24"/>
              </w:rPr>
            </w:pPr>
            <w:r w:rsidRPr="00B33C41">
              <w:rPr>
                <w:sz w:val="24"/>
              </w:rPr>
              <w:t>Dept</w:t>
            </w:r>
            <w:r w:rsidR="00B33C41">
              <w:rPr>
                <w:sz w:val="24"/>
              </w:rPr>
              <w:t>.</w:t>
            </w:r>
            <w:r w:rsidRPr="00B33C41">
              <w:rPr>
                <w:sz w:val="24"/>
              </w:rPr>
              <w:t xml:space="preserve"> of Children, Equality, Disability, Integration and Youth</w:t>
            </w:r>
          </w:p>
        </w:tc>
        <w:tc>
          <w:tcPr>
            <w:tcW w:w="3284" w:type="dxa"/>
          </w:tcPr>
          <w:p w14:paraId="473DC6E4" w14:textId="2DC6B467" w:rsidR="00B527E8" w:rsidRDefault="00B527E8" w:rsidP="00BB4BB6">
            <w:pPr>
              <w:spacing w:after="0"/>
              <w:jc w:val="right"/>
              <w:rPr>
                <w:bCs/>
                <w:sz w:val="24"/>
              </w:rPr>
            </w:pPr>
            <w:r>
              <w:rPr>
                <w:bCs/>
                <w:sz w:val="24"/>
              </w:rPr>
              <w:t>57.1</w:t>
            </w:r>
          </w:p>
        </w:tc>
        <w:tc>
          <w:tcPr>
            <w:tcW w:w="3284" w:type="dxa"/>
          </w:tcPr>
          <w:p w14:paraId="2803F0DF" w14:textId="45EDB600" w:rsidR="00B527E8" w:rsidRDefault="00B527E8" w:rsidP="00BB4BB6">
            <w:pPr>
              <w:spacing w:after="0"/>
              <w:jc w:val="right"/>
              <w:rPr>
                <w:bCs/>
                <w:sz w:val="24"/>
              </w:rPr>
            </w:pPr>
            <w:r>
              <w:rPr>
                <w:bCs/>
                <w:sz w:val="24"/>
              </w:rPr>
              <w:t>42.9</w:t>
            </w:r>
          </w:p>
        </w:tc>
      </w:tr>
      <w:tr w:rsidR="00B80534" w:rsidRPr="009F0AF4" w14:paraId="6E66B129" w14:textId="77777777" w:rsidTr="00135D7B">
        <w:trPr>
          <w:trHeight w:val="10"/>
        </w:trPr>
        <w:tc>
          <w:tcPr>
            <w:tcW w:w="6789" w:type="dxa"/>
            <w:shd w:val="clear" w:color="auto" w:fill="auto"/>
          </w:tcPr>
          <w:p w14:paraId="1BA55B8B" w14:textId="6119F2FE" w:rsidR="00B80534" w:rsidRPr="00B33C41" w:rsidRDefault="00B80534" w:rsidP="00B33C41">
            <w:pPr>
              <w:keepNext/>
              <w:spacing w:after="0"/>
              <w:rPr>
                <w:sz w:val="24"/>
              </w:rPr>
            </w:pPr>
            <w:r w:rsidRPr="00B33C41">
              <w:rPr>
                <w:sz w:val="24"/>
              </w:rPr>
              <w:t>Dept</w:t>
            </w:r>
            <w:r w:rsidR="00B33C41">
              <w:rPr>
                <w:sz w:val="24"/>
              </w:rPr>
              <w:t>.</w:t>
            </w:r>
            <w:r w:rsidRPr="00B33C41">
              <w:rPr>
                <w:sz w:val="24"/>
              </w:rPr>
              <w:t xml:space="preserve"> of Housing, Local Government and Heritage</w:t>
            </w:r>
          </w:p>
        </w:tc>
        <w:tc>
          <w:tcPr>
            <w:tcW w:w="3284" w:type="dxa"/>
          </w:tcPr>
          <w:p w14:paraId="31B5A0B7" w14:textId="77777777" w:rsidR="00B80534" w:rsidRDefault="00B80534" w:rsidP="00BB4BB6">
            <w:pPr>
              <w:spacing w:after="0"/>
              <w:jc w:val="right"/>
              <w:rPr>
                <w:bCs/>
                <w:sz w:val="24"/>
              </w:rPr>
            </w:pPr>
            <w:r>
              <w:rPr>
                <w:bCs/>
                <w:sz w:val="24"/>
              </w:rPr>
              <w:t>52.7</w:t>
            </w:r>
          </w:p>
        </w:tc>
        <w:tc>
          <w:tcPr>
            <w:tcW w:w="3284" w:type="dxa"/>
          </w:tcPr>
          <w:p w14:paraId="1FE34F52" w14:textId="77777777" w:rsidR="00B80534" w:rsidRDefault="00B80534" w:rsidP="00BB4BB6">
            <w:pPr>
              <w:spacing w:after="0"/>
              <w:jc w:val="right"/>
              <w:rPr>
                <w:bCs/>
                <w:sz w:val="24"/>
              </w:rPr>
            </w:pPr>
            <w:r>
              <w:rPr>
                <w:bCs/>
                <w:sz w:val="24"/>
              </w:rPr>
              <w:t>40.0</w:t>
            </w:r>
          </w:p>
        </w:tc>
      </w:tr>
      <w:tr w:rsidR="00B80534" w:rsidRPr="009F0AF4" w14:paraId="49AF5E4B" w14:textId="77777777" w:rsidTr="00135D7B">
        <w:trPr>
          <w:trHeight w:val="10"/>
        </w:trPr>
        <w:tc>
          <w:tcPr>
            <w:tcW w:w="6789" w:type="dxa"/>
            <w:shd w:val="clear" w:color="auto" w:fill="auto"/>
          </w:tcPr>
          <w:p w14:paraId="74A770D2" w14:textId="28CD253A" w:rsidR="00B80534" w:rsidRPr="00B33C41" w:rsidRDefault="00B80534" w:rsidP="00B33C41">
            <w:pPr>
              <w:keepNext/>
              <w:spacing w:after="0"/>
              <w:rPr>
                <w:sz w:val="24"/>
              </w:rPr>
            </w:pPr>
            <w:r w:rsidRPr="00B33C41">
              <w:rPr>
                <w:sz w:val="24"/>
              </w:rPr>
              <w:t>Dept</w:t>
            </w:r>
            <w:r w:rsidR="00B33C41">
              <w:rPr>
                <w:sz w:val="24"/>
              </w:rPr>
              <w:t>.</w:t>
            </w:r>
            <w:r w:rsidRPr="00B33C41">
              <w:rPr>
                <w:sz w:val="24"/>
              </w:rPr>
              <w:t xml:space="preserve"> of Transport</w:t>
            </w:r>
          </w:p>
        </w:tc>
        <w:tc>
          <w:tcPr>
            <w:tcW w:w="3284" w:type="dxa"/>
          </w:tcPr>
          <w:p w14:paraId="56A01D1A" w14:textId="77777777" w:rsidR="00B80534" w:rsidRDefault="00B80534" w:rsidP="00BB4BB6">
            <w:pPr>
              <w:spacing w:after="0"/>
              <w:jc w:val="right"/>
              <w:rPr>
                <w:bCs/>
                <w:sz w:val="24"/>
              </w:rPr>
            </w:pPr>
            <w:r>
              <w:rPr>
                <w:bCs/>
                <w:sz w:val="24"/>
              </w:rPr>
              <w:t>55.6</w:t>
            </w:r>
          </w:p>
        </w:tc>
        <w:tc>
          <w:tcPr>
            <w:tcW w:w="3284" w:type="dxa"/>
          </w:tcPr>
          <w:p w14:paraId="57894F2D" w14:textId="77777777" w:rsidR="00B80534" w:rsidRDefault="00B80534" w:rsidP="00BB4BB6">
            <w:pPr>
              <w:spacing w:after="0"/>
              <w:jc w:val="right"/>
              <w:rPr>
                <w:bCs/>
                <w:sz w:val="24"/>
              </w:rPr>
            </w:pPr>
            <w:r>
              <w:rPr>
                <w:bCs/>
                <w:sz w:val="24"/>
              </w:rPr>
              <w:t>38.9</w:t>
            </w:r>
          </w:p>
        </w:tc>
      </w:tr>
      <w:tr w:rsidR="00B80534" w:rsidRPr="009F0AF4" w14:paraId="6B934B6D" w14:textId="77777777" w:rsidTr="00135D7B">
        <w:trPr>
          <w:trHeight w:val="248"/>
        </w:trPr>
        <w:tc>
          <w:tcPr>
            <w:tcW w:w="6789" w:type="dxa"/>
            <w:shd w:val="clear" w:color="auto" w:fill="auto"/>
          </w:tcPr>
          <w:p w14:paraId="385B5575" w14:textId="77777777" w:rsidR="00B80534" w:rsidRPr="00B33C41" w:rsidRDefault="00B80534" w:rsidP="00B33C41">
            <w:pPr>
              <w:keepNext/>
              <w:spacing w:after="0"/>
              <w:rPr>
                <w:sz w:val="24"/>
              </w:rPr>
            </w:pPr>
            <w:r w:rsidRPr="00B33C41">
              <w:rPr>
                <w:sz w:val="24"/>
              </w:rPr>
              <w:t>Dept. of the Taoiseach</w:t>
            </w:r>
          </w:p>
        </w:tc>
        <w:tc>
          <w:tcPr>
            <w:tcW w:w="3284" w:type="dxa"/>
          </w:tcPr>
          <w:p w14:paraId="22EA3136" w14:textId="77777777" w:rsidR="00B80534" w:rsidRDefault="00B80534" w:rsidP="00BB4BB6">
            <w:pPr>
              <w:spacing w:after="0"/>
              <w:jc w:val="right"/>
              <w:rPr>
                <w:sz w:val="24"/>
              </w:rPr>
            </w:pPr>
            <w:r>
              <w:rPr>
                <w:sz w:val="24"/>
              </w:rPr>
              <w:t>66.7</w:t>
            </w:r>
          </w:p>
        </w:tc>
        <w:tc>
          <w:tcPr>
            <w:tcW w:w="3284" w:type="dxa"/>
          </w:tcPr>
          <w:p w14:paraId="0D6EB7F1" w14:textId="77777777" w:rsidR="00B80534" w:rsidRDefault="00B80534" w:rsidP="00BB4BB6">
            <w:pPr>
              <w:spacing w:after="0"/>
              <w:jc w:val="right"/>
              <w:rPr>
                <w:sz w:val="24"/>
              </w:rPr>
            </w:pPr>
            <w:r>
              <w:rPr>
                <w:sz w:val="24"/>
              </w:rPr>
              <w:t>33.3</w:t>
            </w:r>
          </w:p>
        </w:tc>
      </w:tr>
      <w:tr w:rsidR="00B80534" w:rsidRPr="009F0AF4" w14:paraId="0B124A65" w14:textId="77777777" w:rsidTr="00135D7B">
        <w:trPr>
          <w:trHeight w:val="248"/>
        </w:trPr>
        <w:tc>
          <w:tcPr>
            <w:tcW w:w="6789" w:type="dxa"/>
            <w:shd w:val="clear" w:color="auto" w:fill="auto"/>
          </w:tcPr>
          <w:p w14:paraId="0CC17B41" w14:textId="77777777" w:rsidR="00B80534" w:rsidRPr="00B33C41" w:rsidRDefault="00B80534" w:rsidP="00B33C41">
            <w:pPr>
              <w:keepNext/>
              <w:spacing w:after="0"/>
              <w:rPr>
                <w:sz w:val="24"/>
              </w:rPr>
            </w:pPr>
            <w:r w:rsidRPr="00B33C41">
              <w:rPr>
                <w:sz w:val="24"/>
              </w:rPr>
              <w:lastRenderedPageBreak/>
              <w:t>Dept. of Tourism, Culture, Arts, Gaeltacht, Sport and Media</w:t>
            </w:r>
          </w:p>
        </w:tc>
        <w:tc>
          <w:tcPr>
            <w:tcW w:w="3284" w:type="dxa"/>
          </w:tcPr>
          <w:p w14:paraId="75A21A64" w14:textId="77777777" w:rsidR="00B80534" w:rsidRDefault="00B80534" w:rsidP="00BB4BB6">
            <w:pPr>
              <w:spacing w:after="0"/>
              <w:jc w:val="right"/>
              <w:rPr>
                <w:sz w:val="24"/>
              </w:rPr>
            </w:pPr>
            <w:r>
              <w:rPr>
                <w:sz w:val="24"/>
              </w:rPr>
              <w:t>27.3</w:t>
            </w:r>
          </w:p>
        </w:tc>
        <w:tc>
          <w:tcPr>
            <w:tcW w:w="3284" w:type="dxa"/>
          </w:tcPr>
          <w:p w14:paraId="66DB6DDB" w14:textId="77777777" w:rsidR="00B80534" w:rsidRDefault="00B80534" w:rsidP="00BB4BB6">
            <w:pPr>
              <w:spacing w:after="0"/>
              <w:jc w:val="right"/>
              <w:rPr>
                <w:sz w:val="24"/>
              </w:rPr>
            </w:pPr>
            <w:r>
              <w:rPr>
                <w:sz w:val="24"/>
              </w:rPr>
              <w:t>13.6</w:t>
            </w:r>
          </w:p>
        </w:tc>
      </w:tr>
      <w:tr w:rsidR="00B80534" w:rsidRPr="009F0AF4" w14:paraId="65C67D7D" w14:textId="77777777" w:rsidTr="00135D7B">
        <w:trPr>
          <w:trHeight w:val="248"/>
        </w:trPr>
        <w:tc>
          <w:tcPr>
            <w:tcW w:w="6789" w:type="dxa"/>
            <w:shd w:val="clear" w:color="auto" w:fill="auto"/>
          </w:tcPr>
          <w:p w14:paraId="57BCC461" w14:textId="77777777" w:rsidR="00B80534" w:rsidRPr="00B33C41" w:rsidRDefault="00B80534" w:rsidP="00B33C41">
            <w:pPr>
              <w:keepNext/>
              <w:spacing w:after="0"/>
              <w:rPr>
                <w:sz w:val="24"/>
              </w:rPr>
            </w:pPr>
            <w:r w:rsidRPr="00B33C41">
              <w:rPr>
                <w:sz w:val="24"/>
              </w:rPr>
              <w:t xml:space="preserve">Dept. of Defence </w:t>
            </w:r>
          </w:p>
        </w:tc>
        <w:tc>
          <w:tcPr>
            <w:tcW w:w="3284" w:type="dxa"/>
          </w:tcPr>
          <w:p w14:paraId="7FC6A636" w14:textId="77777777" w:rsidR="00B80534" w:rsidRDefault="00B80534" w:rsidP="00BB4BB6">
            <w:pPr>
              <w:spacing w:after="0"/>
              <w:jc w:val="right"/>
              <w:rPr>
                <w:sz w:val="24"/>
              </w:rPr>
            </w:pPr>
            <w:r>
              <w:rPr>
                <w:sz w:val="24"/>
              </w:rPr>
              <w:t>50.0</w:t>
            </w:r>
          </w:p>
        </w:tc>
        <w:tc>
          <w:tcPr>
            <w:tcW w:w="3284" w:type="dxa"/>
          </w:tcPr>
          <w:p w14:paraId="02E351D1" w14:textId="77777777" w:rsidR="00B80534" w:rsidRDefault="00B80534" w:rsidP="00BB4BB6">
            <w:pPr>
              <w:spacing w:after="0"/>
              <w:jc w:val="right"/>
              <w:rPr>
                <w:sz w:val="24"/>
              </w:rPr>
            </w:pPr>
            <w:r>
              <w:rPr>
                <w:sz w:val="24"/>
              </w:rPr>
              <w:t>0.0</w:t>
            </w:r>
          </w:p>
        </w:tc>
      </w:tr>
      <w:tr w:rsidR="00B80534" w:rsidRPr="009F0AF4" w14:paraId="4B2CA4D5" w14:textId="77777777" w:rsidTr="00135D7B">
        <w:trPr>
          <w:trHeight w:val="248"/>
        </w:trPr>
        <w:tc>
          <w:tcPr>
            <w:tcW w:w="6789" w:type="dxa"/>
            <w:shd w:val="clear" w:color="auto" w:fill="auto"/>
          </w:tcPr>
          <w:p w14:paraId="0AC917F5" w14:textId="77777777" w:rsidR="00B80534" w:rsidRPr="003F60DF" w:rsidRDefault="00B80534" w:rsidP="00BB4BB6">
            <w:pPr>
              <w:keepNext/>
              <w:spacing w:after="0"/>
              <w:rPr>
                <w:b/>
                <w:bCs/>
                <w:sz w:val="24"/>
              </w:rPr>
            </w:pPr>
            <w:r w:rsidRPr="003F60DF">
              <w:rPr>
                <w:b/>
                <w:bCs/>
                <w:sz w:val="24"/>
              </w:rPr>
              <w:t xml:space="preserve">Overall Compliance Totals </w:t>
            </w:r>
          </w:p>
        </w:tc>
        <w:tc>
          <w:tcPr>
            <w:tcW w:w="3284" w:type="dxa"/>
          </w:tcPr>
          <w:p w14:paraId="5FA8B990" w14:textId="2BCB4F00" w:rsidR="00B80534" w:rsidRPr="003F60DF" w:rsidRDefault="00B80534" w:rsidP="00BB4BB6">
            <w:pPr>
              <w:spacing w:after="0"/>
              <w:jc w:val="right"/>
              <w:rPr>
                <w:b/>
                <w:bCs/>
                <w:sz w:val="24"/>
              </w:rPr>
            </w:pPr>
            <w:r w:rsidRPr="003F60DF">
              <w:rPr>
                <w:b/>
                <w:bCs/>
                <w:sz w:val="24"/>
              </w:rPr>
              <w:t>68.</w:t>
            </w:r>
            <w:r w:rsidR="00C54C26">
              <w:rPr>
                <w:b/>
                <w:bCs/>
                <w:sz w:val="24"/>
              </w:rPr>
              <w:t>3</w:t>
            </w:r>
          </w:p>
        </w:tc>
        <w:tc>
          <w:tcPr>
            <w:tcW w:w="3284" w:type="dxa"/>
          </w:tcPr>
          <w:p w14:paraId="66E3C5EB" w14:textId="0873F819" w:rsidR="00B80534" w:rsidRPr="003F60DF" w:rsidRDefault="00B80534" w:rsidP="00BB4BB6">
            <w:pPr>
              <w:spacing w:after="0"/>
              <w:jc w:val="right"/>
              <w:rPr>
                <w:b/>
                <w:bCs/>
                <w:sz w:val="24"/>
              </w:rPr>
            </w:pPr>
            <w:r w:rsidRPr="003F60DF">
              <w:rPr>
                <w:b/>
                <w:bCs/>
                <w:sz w:val="24"/>
              </w:rPr>
              <w:t>58.</w:t>
            </w:r>
            <w:r w:rsidR="00C54C26">
              <w:rPr>
                <w:b/>
                <w:bCs/>
                <w:sz w:val="24"/>
              </w:rPr>
              <w:t>7</w:t>
            </w:r>
          </w:p>
        </w:tc>
      </w:tr>
    </w:tbl>
    <w:p w14:paraId="2DD4652C" w14:textId="7992DB1A" w:rsidR="00B80534" w:rsidRDefault="00B80534" w:rsidP="009E3BB8">
      <w:pPr>
        <w:sectPr w:rsidR="00B80534" w:rsidSect="00B80534">
          <w:pgSz w:w="15840" w:h="12240" w:orient="landscape"/>
          <w:pgMar w:top="1797" w:right="1440" w:bottom="1797" w:left="1440" w:header="709" w:footer="709" w:gutter="0"/>
          <w:cols w:space="708"/>
          <w:docGrid w:linePitch="360"/>
        </w:sectPr>
      </w:pPr>
      <w:r>
        <w:t>*note that percentages are for the Department plus their aegis bodies</w:t>
      </w:r>
      <w:r w:rsidR="00195D0D">
        <w:t>.</w:t>
      </w:r>
    </w:p>
    <w:p w14:paraId="1FAED6E3" w14:textId="5139E6BC" w:rsidR="00460B5C" w:rsidRDefault="00460B5C" w:rsidP="00A618F8">
      <w:pPr>
        <w:pStyle w:val="Heading1"/>
      </w:pPr>
      <w:bookmarkStart w:id="23" w:name="_Toc142561654"/>
      <w:r>
        <w:lastRenderedPageBreak/>
        <w:t>Impact of Monitoring</w:t>
      </w:r>
      <w:bookmarkEnd w:id="23"/>
      <w:r>
        <w:t xml:space="preserve"> </w:t>
      </w:r>
    </w:p>
    <w:p w14:paraId="21064691" w14:textId="3009EEF9" w:rsidR="00E36F7C" w:rsidRDefault="000E21E4" w:rsidP="00217455">
      <w:r>
        <w:rPr>
          <w:szCs w:val="26"/>
        </w:rPr>
        <w:t>Overall,</w:t>
      </w:r>
      <w:r w:rsidR="00217455">
        <w:rPr>
          <w:szCs w:val="26"/>
        </w:rPr>
        <w:t xml:space="preserve"> since the issuing of the draft report the NDA notes there has been a marked improvement in the advertisement of Access Officers on public body websites. The advertisement on public body websites has jumped from 134 (47.</w:t>
      </w:r>
      <w:r w:rsidR="0012370C">
        <w:rPr>
          <w:szCs w:val="26"/>
        </w:rPr>
        <w:t>7</w:t>
      </w:r>
      <w:r w:rsidR="00217455">
        <w:rPr>
          <w:szCs w:val="26"/>
        </w:rPr>
        <w:t xml:space="preserve">% of all public bodies monitored) to </w:t>
      </w:r>
      <w:r w:rsidR="00BF11FB">
        <w:rPr>
          <w:szCs w:val="26"/>
        </w:rPr>
        <w:t>19</w:t>
      </w:r>
      <w:r w:rsidR="00846F23">
        <w:rPr>
          <w:szCs w:val="26"/>
        </w:rPr>
        <w:t>2</w:t>
      </w:r>
      <w:r w:rsidR="00BF11FB">
        <w:rPr>
          <w:szCs w:val="26"/>
        </w:rPr>
        <w:t xml:space="preserve"> </w:t>
      </w:r>
      <w:r w:rsidR="00217455">
        <w:rPr>
          <w:szCs w:val="26"/>
        </w:rPr>
        <w:t>(68.</w:t>
      </w:r>
      <w:r w:rsidR="00846F23">
        <w:rPr>
          <w:szCs w:val="26"/>
        </w:rPr>
        <w:t>3</w:t>
      </w:r>
      <w:r w:rsidR="00217455">
        <w:rPr>
          <w:szCs w:val="26"/>
        </w:rPr>
        <w:t xml:space="preserve">% of all public bodies monitored). This represents a </w:t>
      </w:r>
      <w:r w:rsidR="00554E5F">
        <w:rPr>
          <w:szCs w:val="26"/>
        </w:rPr>
        <w:t>4</w:t>
      </w:r>
      <w:r w:rsidR="00846F23">
        <w:rPr>
          <w:szCs w:val="26"/>
        </w:rPr>
        <w:t>3</w:t>
      </w:r>
      <w:r w:rsidR="00554E5F">
        <w:rPr>
          <w:szCs w:val="26"/>
        </w:rPr>
        <w:t>.</w:t>
      </w:r>
      <w:r w:rsidR="00846F23">
        <w:rPr>
          <w:szCs w:val="26"/>
        </w:rPr>
        <w:t>3</w:t>
      </w:r>
      <w:r w:rsidR="00217455">
        <w:rPr>
          <w:szCs w:val="26"/>
        </w:rPr>
        <w:t>% increase i</w:t>
      </w:r>
      <w:r w:rsidR="008E69CE">
        <w:rPr>
          <w:szCs w:val="26"/>
        </w:rPr>
        <w:t xml:space="preserve">n promotion of Access Officers on public body websites monitored. </w:t>
      </w:r>
      <w:r w:rsidR="00E36F7C">
        <w:rPr>
          <w:szCs w:val="26"/>
        </w:rPr>
        <w:t xml:space="preserve">(See Chart 7) </w:t>
      </w:r>
    </w:p>
    <w:p w14:paraId="4323789E" w14:textId="77777777" w:rsidR="000E21E4" w:rsidRDefault="000E21E4" w:rsidP="000E21E4">
      <w:pPr>
        <w:pStyle w:val="Caption"/>
        <w:keepNext/>
        <w:jc w:val="left"/>
      </w:pPr>
      <w:r>
        <w:t xml:space="preserve">Chart 7- </w:t>
      </w:r>
      <w:r>
        <w:rPr>
          <w:noProof/>
        </w:rPr>
        <w:t>Change to Promtion of Access Officers On Websites</w:t>
      </w:r>
    </w:p>
    <w:p w14:paraId="42D71F76" w14:textId="77777777" w:rsidR="000E21E4" w:rsidRDefault="000E21E4" w:rsidP="000E21E4">
      <w:pPr>
        <w:rPr>
          <w:szCs w:val="26"/>
        </w:rPr>
      </w:pPr>
      <w:r>
        <w:rPr>
          <w:noProof/>
        </w:rPr>
        <w:drawing>
          <wp:inline distT="0" distB="0" distL="0" distR="0" wp14:anchorId="51DED871" wp14:editId="149D4CB3">
            <wp:extent cx="4610100" cy="2733675"/>
            <wp:effectExtent l="0" t="0" r="0" b="9525"/>
            <wp:docPr id="2" name="Chart 2" descr="Bar chart showing difference in public bodies promoting access officers on their websites. From 47.5% in the initial findings to 68.1% in the final findings ">
              <a:extLst xmlns:a="http://schemas.openxmlformats.org/drawingml/2006/main">
                <a:ext uri="{FF2B5EF4-FFF2-40B4-BE49-F238E27FC236}">
                  <a16:creationId xmlns:a16="http://schemas.microsoft.com/office/drawing/2014/main" id="{04E395FE-BC22-CF0F-0C66-17589B3693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268A54" w14:textId="6189277D" w:rsidR="000A5519" w:rsidRDefault="00B96526" w:rsidP="00460B5C">
      <w:r>
        <w:rPr>
          <w:szCs w:val="26"/>
        </w:rPr>
        <w:t xml:space="preserve">In addition, there was a marked improvement in the provision of Access Officers with contact information provided </w:t>
      </w:r>
      <w:r w:rsidR="000A5519">
        <w:rPr>
          <w:szCs w:val="26"/>
        </w:rPr>
        <w:t>facilitating</w:t>
      </w:r>
      <w:r>
        <w:rPr>
          <w:szCs w:val="26"/>
        </w:rPr>
        <w:t xml:space="preserve"> written and spoken communication</w:t>
      </w:r>
      <w:r w:rsidR="000A5519">
        <w:rPr>
          <w:szCs w:val="26"/>
        </w:rPr>
        <w:t xml:space="preserve"> and therefore meeting all criteria under this indicator</w:t>
      </w:r>
      <w:r>
        <w:rPr>
          <w:szCs w:val="26"/>
        </w:rPr>
        <w:t xml:space="preserve">. </w:t>
      </w:r>
      <w:r w:rsidR="000A5519">
        <w:rPr>
          <w:szCs w:val="26"/>
        </w:rPr>
        <w:t>This improved from,</w:t>
      </w:r>
      <w:r>
        <w:rPr>
          <w:szCs w:val="26"/>
        </w:rPr>
        <w:t xml:space="preserve"> </w:t>
      </w:r>
      <w:r w:rsidRPr="00A872A4">
        <w:t>9</w:t>
      </w:r>
      <w:r>
        <w:t>8</w:t>
      </w:r>
      <w:r w:rsidRPr="00A872A4">
        <w:t xml:space="preserve"> (</w:t>
      </w:r>
      <w:r>
        <w:t>34.</w:t>
      </w:r>
      <w:r w:rsidR="001B2F93">
        <w:t>9</w:t>
      </w:r>
      <w:r>
        <w:t>% of public bodies monitored) to 165</w:t>
      </w:r>
      <w:r w:rsidRPr="00A872A4">
        <w:t xml:space="preserve"> (</w:t>
      </w:r>
      <w:r>
        <w:t>58.</w:t>
      </w:r>
      <w:r w:rsidR="001B2F93">
        <w:t>7</w:t>
      </w:r>
      <w:r>
        <w:t>% of public bodies monitored</w:t>
      </w:r>
      <w:r w:rsidRPr="00A872A4">
        <w:t>)</w:t>
      </w:r>
      <w:r>
        <w:t xml:space="preserve"> representing a </w:t>
      </w:r>
      <w:r w:rsidR="00554E5F">
        <w:t>68.4</w:t>
      </w:r>
      <w:r>
        <w:t xml:space="preserve">% improvement. </w:t>
      </w:r>
      <w:r>
        <w:rPr>
          <w:szCs w:val="26"/>
        </w:rPr>
        <w:t xml:space="preserve">(See Chart 8) </w:t>
      </w:r>
    </w:p>
    <w:p w14:paraId="7B5E4D40" w14:textId="77777777" w:rsidR="006C1829" w:rsidRDefault="006C1829" w:rsidP="006C1829">
      <w:pPr>
        <w:pStyle w:val="Caption"/>
        <w:keepNext/>
        <w:jc w:val="left"/>
      </w:pPr>
      <w:r>
        <w:lastRenderedPageBreak/>
        <w:t>Chart 8-</w:t>
      </w:r>
      <w:r>
        <w:rPr>
          <w:noProof/>
        </w:rPr>
        <w:t>Public Bodies meeting all Criteria</w:t>
      </w:r>
    </w:p>
    <w:p w14:paraId="6BC693AC" w14:textId="77777777" w:rsidR="006C1829" w:rsidRDefault="006C1829" w:rsidP="006C1829">
      <w:pPr>
        <w:rPr>
          <w:szCs w:val="26"/>
        </w:rPr>
      </w:pPr>
      <w:r>
        <w:rPr>
          <w:noProof/>
        </w:rPr>
        <w:drawing>
          <wp:inline distT="0" distB="0" distL="0" distR="0" wp14:anchorId="3C1C1E67" wp14:editId="275E86CE">
            <wp:extent cx="4785360" cy="2910840"/>
            <wp:effectExtent l="0" t="0" r="15240" b="3810"/>
            <wp:docPr id="5" name="Chart 5" descr="Bar chart showing difference in public bodies meeting all criteria. From 34.8% in the initial findings to 58.5% in the final findings ">
              <a:extLst xmlns:a="http://schemas.openxmlformats.org/drawingml/2006/main">
                <a:ext uri="{FF2B5EF4-FFF2-40B4-BE49-F238E27FC236}">
                  <a16:creationId xmlns:a16="http://schemas.microsoft.com/office/drawing/2014/main" id="{29061A46-CF10-85BD-144D-E309387BEB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CB6E521" w14:textId="40650EE6" w:rsidR="008541D6" w:rsidRDefault="00E630FB" w:rsidP="00460B5C">
      <w:pPr>
        <w:rPr>
          <w:szCs w:val="26"/>
        </w:rPr>
      </w:pPr>
      <w:r>
        <w:rPr>
          <w:szCs w:val="26"/>
        </w:rPr>
        <w:t>Precise</w:t>
      </w:r>
      <w:r w:rsidR="000A5519">
        <w:rPr>
          <w:szCs w:val="26"/>
        </w:rPr>
        <w:t xml:space="preserve"> measuring of </w:t>
      </w:r>
      <w:r>
        <w:rPr>
          <w:szCs w:val="26"/>
        </w:rPr>
        <w:t>the impact of the NDA’s monitoring on these numbers is difficult as there are many factors which can con</w:t>
      </w:r>
      <w:r w:rsidR="00822170">
        <w:rPr>
          <w:szCs w:val="26"/>
        </w:rPr>
        <w:t>tribute to the increased provision and promotion of Access Officers across the public service</w:t>
      </w:r>
      <w:r>
        <w:rPr>
          <w:szCs w:val="26"/>
        </w:rPr>
        <w:t xml:space="preserve">. However, since issuing the draft report the NDA has received 85 responses from public bodies. </w:t>
      </w:r>
      <w:r w:rsidR="001E2754">
        <w:rPr>
          <w:szCs w:val="26"/>
        </w:rPr>
        <w:t>Of these 85 responses, 75</w:t>
      </w:r>
      <w:r w:rsidR="00BE5973">
        <w:rPr>
          <w:szCs w:val="26"/>
        </w:rPr>
        <w:t xml:space="preserve"> responses provided information </w:t>
      </w:r>
      <w:r w:rsidR="00C76C68">
        <w:rPr>
          <w:szCs w:val="26"/>
        </w:rPr>
        <w:t xml:space="preserve">and updates </w:t>
      </w:r>
      <w:r w:rsidR="008541D6">
        <w:rPr>
          <w:szCs w:val="26"/>
        </w:rPr>
        <w:t xml:space="preserve">with regards </w:t>
      </w:r>
      <w:r w:rsidR="00C76C68">
        <w:rPr>
          <w:szCs w:val="26"/>
        </w:rPr>
        <w:t>to details on public websites.</w:t>
      </w:r>
      <w:r w:rsidR="00313442">
        <w:rPr>
          <w:szCs w:val="26"/>
        </w:rPr>
        <w:t xml:space="preserve"> </w:t>
      </w:r>
    </w:p>
    <w:p w14:paraId="6989C688" w14:textId="749ED9FF" w:rsidR="00313442" w:rsidRDefault="00313442" w:rsidP="00460B5C">
      <w:pPr>
        <w:rPr>
          <w:szCs w:val="26"/>
        </w:rPr>
      </w:pPr>
      <w:r>
        <w:rPr>
          <w:szCs w:val="26"/>
        </w:rPr>
        <w:t xml:space="preserve">Of the 75 responses received which provided updated information on public websites, 62 (82.7% of responses) indicated that the information was updated as a result of the draft report being issued. </w:t>
      </w:r>
      <w:r w:rsidR="001B38C5">
        <w:rPr>
          <w:szCs w:val="26"/>
        </w:rPr>
        <w:t>13 of the responses (17.3% of responses) did not specify</w:t>
      </w:r>
      <w:r w:rsidR="008541D6">
        <w:rPr>
          <w:szCs w:val="26"/>
        </w:rPr>
        <w:t xml:space="preserve">. </w:t>
      </w:r>
    </w:p>
    <w:p w14:paraId="0DB4DEAF" w14:textId="6C934A4F" w:rsidR="00BB248F" w:rsidRDefault="001B38C5" w:rsidP="00460B5C">
      <w:pPr>
        <w:rPr>
          <w:szCs w:val="26"/>
        </w:rPr>
      </w:pPr>
      <w:r>
        <w:rPr>
          <w:szCs w:val="26"/>
        </w:rPr>
        <w:t xml:space="preserve">Further to the improvements detailed above, </w:t>
      </w:r>
      <w:r w:rsidR="00360118">
        <w:rPr>
          <w:szCs w:val="26"/>
        </w:rPr>
        <w:t xml:space="preserve">individual </w:t>
      </w:r>
      <w:r w:rsidR="00F91100">
        <w:rPr>
          <w:szCs w:val="26"/>
        </w:rPr>
        <w:t>Departments</w:t>
      </w:r>
      <w:r w:rsidR="00360118">
        <w:rPr>
          <w:szCs w:val="26"/>
        </w:rPr>
        <w:t xml:space="preserve"> such as </w:t>
      </w:r>
      <w:r w:rsidRPr="001B38C5">
        <w:rPr>
          <w:szCs w:val="26"/>
        </w:rPr>
        <w:t>t</w:t>
      </w:r>
      <w:r w:rsidR="00460B5C" w:rsidRPr="00A618F8">
        <w:rPr>
          <w:szCs w:val="26"/>
        </w:rPr>
        <w:t xml:space="preserve">he Department of Justice </w:t>
      </w:r>
      <w:r w:rsidR="00626805" w:rsidRPr="00A618F8">
        <w:rPr>
          <w:szCs w:val="26"/>
        </w:rPr>
        <w:t>ha</w:t>
      </w:r>
      <w:r w:rsidR="00626805">
        <w:rPr>
          <w:szCs w:val="26"/>
        </w:rPr>
        <w:t>ve</w:t>
      </w:r>
      <w:r w:rsidR="00626805" w:rsidRPr="00A618F8">
        <w:rPr>
          <w:szCs w:val="26"/>
        </w:rPr>
        <w:t xml:space="preserve"> </w:t>
      </w:r>
      <w:r w:rsidR="00460B5C" w:rsidRPr="00A618F8">
        <w:rPr>
          <w:szCs w:val="26"/>
        </w:rPr>
        <w:t xml:space="preserve">used the opportunity to further engage with public bodies under its </w:t>
      </w:r>
      <w:r w:rsidR="00124891">
        <w:rPr>
          <w:szCs w:val="26"/>
        </w:rPr>
        <w:t>aegis</w:t>
      </w:r>
      <w:r w:rsidR="00E630FB" w:rsidRPr="00E630FB">
        <w:rPr>
          <w:szCs w:val="26"/>
        </w:rPr>
        <w:t xml:space="preserve"> in this regard</w:t>
      </w:r>
      <w:r w:rsidR="00460B5C" w:rsidRPr="00A618F8">
        <w:rPr>
          <w:szCs w:val="26"/>
        </w:rPr>
        <w:t xml:space="preserve">. </w:t>
      </w:r>
    </w:p>
    <w:p w14:paraId="0F2D227A" w14:textId="722A1ACC" w:rsidR="005A38C5" w:rsidRPr="00492E43" w:rsidRDefault="00460B5C" w:rsidP="005A38C5">
      <w:pPr>
        <w:rPr>
          <w:szCs w:val="26"/>
        </w:rPr>
      </w:pPr>
      <w:r w:rsidRPr="00A618F8">
        <w:rPr>
          <w:szCs w:val="26"/>
        </w:rPr>
        <w:t xml:space="preserve">This engagement has led to the development of a justice sector Access Officer </w:t>
      </w:r>
      <w:r w:rsidR="00BD6CCA" w:rsidRPr="00BD6CCA">
        <w:rPr>
          <w:szCs w:val="26"/>
        </w:rPr>
        <w:t>Network</w:t>
      </w:r>
      <w:r w:rsidRPr="00A618F8">
        <w:rPr>
          <w:szCs w:val="26"/>
        </w:rPr>
        <w:t xml:space="preserve"> </w:t>
      </w:r>
      <w:r w:rsidR="00360118">
        <w:rPr>
          <w:szCs w:val="26"/>
        </w:rPr>
        <w:t>that</w:t>
      </w:r>
      <w:r w:rsidR="00BB248F">
        <w:rPr>
          <w:szCs w:val="26"/>
        </w:rPr>
        <w:t xml:space="preserve"> will meet regularly to discuss best practice, advice, exchange information, listen to and learn from the lived experience of disabled people, and to keep apprised of new developments. </w:t>
      </w:r>
      <w:r w:rsidR="001B38C5" w:rsidRPr="001B38C5">
        <w:rPr>
          <w:szCs w:val="26"/>
        </w:rPr>
        <w:t>The NDA</w:t>
      </w:r>
      <w:r w:rsidR="00607DDD">
        <w:rPr>
          <w:szCs w:val="26"/>
        </w:rPr>
        <w:t xml:space="preserve"> welcomes this approa</w:t>
      </w:r>
      <w:r w:rsidR="00E630FB">
        <w:rPr>
          <w:szCs w:val="26"/>
        </w:rPr>
        <w:t xml:space="preserve">ch by the Department of Justice. </w:t>
      </w:r>
      <w:r w:rsidR="00607DDD">
        <w:rPr>
          <w:szCs w:val="26"/>
        </w:rPr>
        <w:t>The NDA</w:t>
      </w:r>
      <w:r w:rsidR="001B38C5" w:rsidRPr="001B38C5">
        <w:rPr>
          <w:szCs w:val="26"/>
        </w:rPr>
        <w:t xml:space="preserve"> </w:t>
      </w:r>
      <w:r w:rsidR="00A47332">
        <w:rPr>
          <w:szCs w:val="26"/>
        </w:rPr>
        <w:t xml:space="preserve">would </w:t>
      </w:r>
      <w:r w:rsidR="00E630FB">
        <w:rPr>
          <w:szCs w:val="26"/>
        </w:rPr>
        <w:t xml:space="preserve">suggest this be followed as a </w:t>
      </w:r>
      <w:r w:rsidR="00FE50D9">
        <w:rPr>
          <w:szCs w:val="26"/>
        </w:rPr>
        <w:t xml:space="preserve">good </w:t>
      </w:r>
      <w:r w:rsidR="00E630FB">
        <w:rPr>
          <w:szCs w:val="26"/>
        </w:rPr>
        <w:t xml:space="preserve">practice example and would </w:t>
      </w:r>
      <w:r w:rsidR="00A47332">
        <w:rPr>
          <w:szCs w:val="26"/>
        </w:rPr>
        <w:t xml:space="preserve">advise </w:t>
      </w:r>
      <w:r w:rsidR="001B38C5" w:rsidRPr="001B38C5">
        <w:rPr>
          <w:szCs w:val="26"/>
        </w:rPr>
        <w:t xml:space="preserve">that </w:t>
      </w:r>
      <w:r w:rsidR="00A47332">
        <w:rPr>
          <w:szCs w:val="26"/>
        </w:rPr>
        <w:t xml:space="preserve">other </w:t>
      </w:r>
      <w:r w:rsidR="001B38C5" w:rsidRPr="001B38C5">
        <w:rPr>
          <w:szCs w:val="26"/>
        </w:rPr>
        <w:t>Departments may find it useful to set up similar networks for bodies under</w:t>
      </w:r>
      <w:r w:rsidR="001B38C5">
        <w:rPr>
          <w:szCs w:val="26"/>
        </w:rPr>
        <w:t xml:space="preserve"> their aegis. </w:t>
      </w:r>
    </w:p>
    <w:p w14:paraId="13D39F07" w14:textId="77777777" w:rsidR="00F91100" w:rsidRPr="00A618F8" w:rsidRDefault="00F91100" w:rsidP="00F91100">
      <w:pPr>
        <w:pStyle w:val="Heading3"/>
      </w:pPr>
      <w:bookmarkStart w:id="24" w:name="_Toc142561655"/>
      <w:r w:rsidRPr="00A618F8">
        <w:lastRenderedPageBreak/>
        <w:t>Limitations of the monitoring process</w:t>
      </w:r>
      <w:bookmarkEnd w:id="24"/>
    </w:p>
    <w:p w14:paraId="388887E4" w14:textId="6FFE308D" w:rsidR="00F91100" w:rsidRPr="00D633FE" w:rsidRDefault="00F91100" w:rsidP="00F91100">
      <w:pPr>
        <w:pStyle w:val="ListBullet"/>
      </w:pPr>
      <w:r w:rsidRPr="00D633FE">
        <w:t xml:space="preserve">The purpose of this monitoring exercise was to evaluate information available </w:t>
      </w:r>
      <w:r w:rsidR="00EB63D3" w:rsidRPr="00D633FE">
        <w:t>publicly</w:t>
      </w:r>
      <w:r w:rsidR="003B4675">
        <w:t xml:space="preserve"> therefore</w:t>
      </w:r>
      <w:r w:rsidR="008C73A9">
        <w:t>,</w:t>
      </w:r>
      <w:r w:rsidR="003B4675">
        <w:t xml:space="preserve"> wh</w:t>
      </w:r>
      <w:r w:rsidR="008C73A9">
        <w:t xml:space="preserve">ere </w:t>
      </w:r>
      <w:r w:rsidR="003B4675">
        <w:t>public bodies have internally appointed an Access Officer</w:t>
      </w:r>
      <w:r w:rsidR="008C73A9">
        <w:t xml:space="preserve"> but not</w:t>
      </w:r>
      <w:r w:rsidR="003B4675">
        <w:t xml:space="preserve"> promoted </w:t>
      </w:r>
      <w:r w:rsidR="008C73A9">
        <w:t>the information publicly,</w:t>
      </w:r>
      <w:r w:rsidR="003B4675">
        <w:t xml:space="preserve"> this </w:t>
      </w:r>
      <w:r w:rsidR="005708DC">
        <w:t>is</w:t>
      </w:r>
      <w:r w:rsidR="003B4675">
        <w:t xml:space="preserve"> deemed as not compliant. </w:t>
      </w:r>
    </w:p>
    <w:p w14:paraId="21701434" w14:textId="6532BF5B" w:rsidR="000C22F0" w:rsidRDefault="008C73A9" w:rsidP="000C22F0">
      <w:pPr>
        <w:pStyle w:val="ListBullet"/>
      </w:pPr>
      <w:r>
        <w:t>While the NDA endeavours to engage</w:t>
      </w:r>
      <w:r w:rsidR="000C22F0">
        <w:t xml:space="preserve"> with persons with disabilities and the wider disability community</w:t>
      </w:r>
      <w:r w:rsidR="009767C1">
        <w:t xml:space="preserve"> in the course of its work,</w:t>
      </w:r>
      <w:r w:rsidR="000C22F0">
        <w:rPr>
          <w:rStyle w:val="FootnoteReference"/>
        </w:rPr>
        <w:footnoteReference w:id="5"/>
      </w:r>
      <w:r>
        <w:t xml:space="preserve"> </w:t>
      </w:r>
      <w:r w:rsidR="000C22F0">
        <w:t xml:space="preserve">as this monitoring </w:t>
      </w:r>
      <w:r w:rsidR="009767C1">
        <w:t xml:space="preserve">exercise </w:t>
      </w:r>
      <w:r w:rsidR="000C22F0">
        <w:t xml:space="preserve">was completed using direct inspection of public bodies websites, </w:t>
      </w:r>
      <w:r w:rsidR="009767C1">
        <w:t>we did not</w:t>
      </w:r>
      <w:r w:rsidR="000C22F0">
        <w:t xml:space="preserve"> engage with persons with disabilities</w:t>
      </w:r>
      <w:r w:rsidR="009767C1">
        <w:t xml:space="preserve"> as part of the process</w:t>
      </w:r>
      <w:r w:rsidR="000C22F0">
        <w:t xml:space="preserve">. However, upon launch and publication of this report we will be seeking the </w:t>
      </w:r>
      <w:r w:rsidR="00943563">
        <w:t xml:space="preserve">feedback </w:t>
      </w:r>
      <w:r w:rsidR="000C22F0">
        <w:t xml:space="preserve">of Disabled Persons Organisations (DPOs) and engagement and input </w:t>
      </w:r>
      <w:r w:rsidR="00403B57">
        <w:t xml:space="preserve">from DPOs </w:t>
      </w:r>
      <w:r w:rsidR="000C22F0">
        <w:t>will be sought in future monitoring activities</w:t>
      </w:r>
      <w:r w:rsidR="009767C1">
        <w:t xml:space="preserve"> as relevant and appropriate</w:t>
      </w:r>
      <w:r w:rsidR="000C22F0">
        <w:t xml:space="preserve">. </w:t>
      </w:r>
    </w:p>
    <w:p w14:paraId="5B59FFB1" w14:textId="6E2CF5E4" w:rsidR="00F91100" w:rsidRPr="00A138A3" w:rsidRDefault="00F91100" w:rsidP="00F91100">
      <w:pPr>
        <w:pStyle w:val="ListBullet"/>
      </w:pPr>
      <w:r>
        <w:t xml:space="preserve">At this time monitoring only examined the appointment of the Access Officer as promoted on public body websites, this monitoring did not analyse any operational elements such as ability to reach the Access Officer, response times etc. Monitoring of operational elements </w:t>
      </w:r>
      <w:r w:rsidR="00403B57">
        <w:t>do not</w:t>
      </w:r>
      <w:r>
        <w:t xml:space="preserve"> fall under the NDA’s legislative remit at this time, </w:t>
      </w:r>
      <w:r w:rsidR="00FE50D9">
        <w:t xml:space="preserve">and </w:t>
      </w:r>
      <w:r>
        <w:t xml:space="preserve">further monitoring in this area would be subject to legislative and capacity </w:t>
      </w:r>
      <w:r w:rsidR="00FE50D9">
        <w:t>considerations</w:t>
      </w:r>
      <w:r>
        <w:t>.</w:t>
      </w:r>
      <w:r w:rsidR="00AA556E">
        <w:t xml:space="preserve"> Departments and public bodies may wish to assess the efficiency of these operational elements internally for themselves as a method of monitoring their own progress over time. </w:t>
      </w:r>
    </w:p>
    <w:p w14:paraId="26B30FE1" w14:textId="01DA96F0" w:rsidR="00F91100" w:rsidRPr="000C5CCA" w:rsidRDefault="00F91100" w:rsidP="00F91100">
      <w:pPr>
        <w:pStyle w:val="ListBullet"/>
      </w:pPr>
      <w:r w:rsidRPr="00A838FA">
        <w:t>The monitoring exercise is an evaluation at a point-in-time only</w:t>
      </w:r>
      <w:r w:rsidR="00F83144">
        <w:t xml:space="preserve"> (2021</w:t>
      </w:r>
      <w:r w:rsidR="00AA556E">
        <w:t xml:space="preserve"> with updates </w:t>
      </w:r>
      <w:r w:rsidR="00503D70">
        <w:t xml:space="preserve">provided </w:t>
      </w:r>
      <w:r w:rsidR="00AA556E">
        <w:t>assessed in early 2023</w:t>
      </w:r>
      <w:r w:rsidR="00F83144">
        <w:t xml:space="preserve">). Developments </w:t>
      </w:r>
      <w:r w:rsidRPr="00A838FA">
        <w:t xml:space="preserve">in the focussed areas may have </w:t>
      </w:r>
      <w:r w:rsidRPr="00D633FE">
        <w:t xml:space="preserve">occurred </w:t>
      </w:r>
      <w:r w:rsidR="00F45A80">
        <w:t>that have not</w:t>
      </w:r>
      <w:r w:rsidR="00FC3ECA">
        <w:t xml:space="preserve"> yet</w:t>
      </w:r>
      <w:r w:rsidR="00F45A80">
        <w:t xml:space="preserve"> been captured by the NDA</w:t>
      </w:r>
      <w:r w:rsidR="00FC3ECA">
        <w:t>, therefore some public bodies may have moved to different Departments for example, or in the case of the Institutes of Technology have been incorporated into new organisations</w:t>
      </w:r>
      <w:r w:rsidR="00F83144">
        <w:t xml:space="preserve">. </w:t>
      </w:r>
      <w:r w:rsidR="00FC3ECA">
        <w:t xml:space="preserve">These changes are not captured in this </w:t>
      </w:r>
      <w:r w:rsidR="00733574">
        <w:t>report but</w:t>
      </w:r>
      <w:r w:rsidR="00FC3ECA">
        <w:t xml:space="preserve"> will be updated in future reports. Also, i</w:t>
      </w:r>
      <w:r>
        <w:t xml:space="preserve">t is acknowledged that the NDA received some responses from public bodies indicating that their websites will be updated but that these updates would take time. </w:t>
      </w:r>
      <w:r w:rsidR="00EB63D3">
        <w:t>Any</w:t>
      </w:r>
      <w:r>
        <w:t xml:space="preserve"> further updates to websites </w:t>
      </w:r>
      <w:r w:rsidR="00EB63D3">
        <w:t>completed after 15</w:t>
      </w:r>
      <w:r w:rsidR="00EB63D3" w:rsidRPr="004F16E3">
        <w:rPr>
          <w:vertAlign w:val="superscript"/>
        </w:rPr>
        <w:t>th</w:t>
      </w:r>
      <w:r w:rsidR="00EB63D3">
        <w:t xml:space="preserve"> June 2023 </w:t>
      </w:r>
      <w:r>
        <w:t xml:space="preserve">will be captured in subsequent monitoring reports. </w:t>
      </w:r>
    </w:p>
    <w:p w14:paraId="3E74F7C4" w14:textId="1EDEC5C3" w:rsidR="00F91100" w:rsidRPr="00A618F8" w:rsidRDefault="00F91100" w:rsidP="00F91100">
      <w:pPr>
        <w:pStyle w:val="ListBullet"/>
      </w:pPr>
      <w:r w:rsidRPr="00A618F8">
        <w:t xml:space="preserve">It was found that the information provided on many public body websites did not display a Universal Design approach and did not follow the </w:t>
      </w:r>
      <w:hyperlink r:id="rId21" w:history="1">
        <w:r>
          <w:rPr>
            <w:rStyle w:val="Hyperlink"/>
          </w:rPr>
          <w:t>Customer Communications Toolkit for Services to the Public - A Universal Design Approach</w:t>
        </w:r>
      </w:hyperlink>
      <w:r w:rsidRPr="00A618F8">
        <w:t xml:space="preserve"> which was produced by the NDA and </w:t>
      </w:r>
      <w:r w:rsidR="00FC3ECA" w:rsidRPr="00FC3ECA">
        <w:t xml:space="preserve">Department of Public </w:t>
      </w:r>
      <w:r w:rsidR="00FC3ECA" w:rsidRPr="00FC3ECA">
        <w:lastRenderedPageBreak/>
        <w:t>Expenditure, NDP Delivery and Reform</w:t>
      </w:r>
      <w:r w:rsidR="00FC3ECA">
        <w:t xml:space="preserve"> </w:t>
      </w:r>
      <w:r w:rsidRPr="00A618F8">
        <w:t>to inform the design and procurement of customer communications across the Public Service. As such, the information on the websites was often not easily accessed and understood. In conducting this exercise</w:t>
      </w:r>
      <w:r>
        <w:t>,</w:t>
      </w:r>
      <w:r w:rsidRPr="00A618F8">
        <w:t xml:space="preserve"> NDA staff found difficulty retrieving information on some websites due to the complexity in their navigation, despite undertaking significant work to search for the relevant data. These issues were also reflected when the NDA conducted its first monitoring activity under the </w:t>
      </w:r>
      <w:r w:rsidRPr="00D633FE">
        <w:t>S.I. No. 358/2020 - European Union (Accessibility of Websites and Mobile Applications of Public Sector Bodies) Regulations 2020 (</w:t>
      </w:r>
      <w:r w:rsidRPr="00A618F8">
        <w:t xml:space="preserve">EU Web Accessibility Directive [WAD]) in December 2021. For more information on web accessibility issues public bodies are encouraged to read the </w:t>
      </w:r>
      <w:hyperlink r:id="rId22" w:history="1">
        <w:r w:rsidRPr="00A618F8">
          <w:rPr>
            <w:rStyle w:val="Hyperlink"/>
          </w:rPr>
          <w:t>NDA’s EU WAD monitoring report</w:t>
        </w:r>
      </w:hyperlink>
      <w:r w:rsidR="00FE50D9">
        <w:rPr>
          <w:rStyle w:val="Hyperlink"/>
        </w:rPr>
        <w:t>.</w:t>
      </w:r>
    </w:p>
    <w:p w14:paraId="2851E98E" w14:textId="6CC9121A" w:rsidR="00F91100" w:rsidRPr="00D633FE" w:rsidRDefault="00F91100" w:rsidP="00F91100">
      <w:pPr>
        <w:pStyle w:val="ListBullet"/>
        <w:numPr>
          <w:ilvl w:val="0"/>
          <w:numId w:val="0"/>
        </w:numPr>
        <w:rPr>
          <w:szCs w:val="26"/>
        </w:rPr>
      </w:pPr>
      <w:r w:rsidRPr="00A618F8">
        <w:t xml:space="preserve">The NDA’s monitoring of the Code of Practice has highlighted areas for improvement with regards to promotion of information for the consideration and action of each public body. It is important that findings are reflected upon, the recommendations are implemented </w:t>
      </w:r>
      <w:r w:rsidR="0045303C" w:rsidRPr="00A618F8">
        <w:t>consistently,</w:t>
      </w:r>
      <w:r w:rsidRPr="00A618F8">
        <w:t xml:space="preserve"> and performance is continuously improved so that public bodies meet their statutory obligation to provide an accessible and integrated </w:t>
      </w:r>
      <w:r w:rsidR="009767C1">
        <w:t xml:space="preserve">public </w:t>
      </w:r>
      <w:r w:rsidRPr="00A618F8">
        <w:t>service for persons with disabilities.</w:t>
      </w:r>
    </w:p>
    <w:p w14:paraId="713403B0" w14:textId="03953C0B" w:rsidR="00F91100" w:rsidRPr="00D633FE" w:rsidRDefault="00F91100" w:rsidP="005A38C5">
      <w:pPr>
        <w:sectPr w:rsidR="00F91100" w:rsidRPr="00D633FE">
          <w:pgSz w:w="12240" w:h="15840"/>
          <w:pgMar w:top="1440" w:right="1800" w:bottom="1440" w:left="1800" w:header="708" w:footer="708" w:gutter="0"/>
          <w:cols w:space="708"/>
          <w:docGrid w:linePitch="360"/>
        </w:sectPr>
      </w:pPr>
    </w:p>
    <w:p w14:paraId="6E0C2167" w14:textId="77777777" w:rsidR="00C67D40" w:rsidRPr="00D633FE" w:rsidRDefault="00442303" w:rsidP="008078B6">
      <w:pPr>
        <w:pStyle w:val="Heading1"/>
        <w:rPr>
          <w:rFonts w:eastAsia="SimSun"/>
          <w:lang w:eastAsia="en-IE"/>
        </w:rPr>
      </w:pPr>
      <w:bookmarkStart w:id="25" w:name="_Toc142561656"/>
      <w:r w:rsidRPr="00D633FE">
        <w:rPr>
          <w:rFonts w:eastAsia="SimSun"/>
          <w:lang w:eastAsia="en-IE"/>
        </w:rPr>
        <w:lastRenderedPageBreak/>
        <w:t xml:space="preserve">Conclusion </w:t>
      </w:r>
      <w:r w:rsidR="00935FE3" w:rsidRPr="00D633FE">
        <w:rPr>
          <w:rFonts w:eastAsia="SimSun"/>
          <w:lang w:eastAsia="en-IE"/>
        </w:rPr>
        <w:t>and Recommendations</w:t>
      </w:r>
      <w:bookmarkEnd w:id="25"/>
    </w:p>
    <w:p w14:paraId="626A5EC2" w14:textId="77777777" w:rsidR="00935FE3" w:rsidRPr="00D633FE" w:rsidRDefault="00935FE3" w:rsidP="00412B25">
      <w:pPr>
        <w:pStyle w:val="Heading2"/>
      </w:pPr>
      <w:bookmarkStart w:id="26" w:name="_Toc142561657"/>
      <w:r w:rsidRPr="00D633FE">
        <w:t>Conclusion</w:t>
      </w:r>
      <w:bookmarkEnd w:id="26"/>
    </w:p>
    <w:p w14:paraId="25C21983" w14:textId="1CF1508B" w:rsidR="00CB42C7" w:rsidRPr="00D633FE" w:rsidRDefault="00734B6A" w:rsidP="00CB42C7">
      <w:pPr>
        <w:pStyle w:val="ListBullet"/>
        <w:numPr>
          <w:ilvl w:val="0"/>
          <w:numId w:val="0"/>
        </w:numPr>
      </w:pPr>
      <w:r>
        <w:t>While this monitoring exercise has resulted in a marked improvement in the advertisement of Access Officers on public body websites monitored, there are still 11</w:t>
      </w:r>
      <w:r w:rsidR="008441AB">
        <w:t>6</w:t>
      </w:r>
      <w:r>
        <w:t xml:space="preserve"> public bodies (</w:t>
      </w:r>
      <w:r w:rsidR="00CC4C19">
        <w:t>41.</w:t>
      </w:r>
      <w:r w:rsidR="00864E3B">
        <w:t>3</w:t>
      </w:r>
      <w:r w:rsidR="00CC4C19">
        <w:t>%) which did not meet the requirements under the Access Officer indicator. I</w:t>
      </w:r>
      <w:r w:rsidR="00F845AE" w:rsidRPr="00D633FE">
        <w:t xml:space="preserve">t is </w:t>
      </w:r>
      <w:r w:rsidR="00CC4C19">
        <w:t xml:space="preserve">therefore </w:t>
      </w:r>
      <w:r w:rsidR="00F845AE" w:rsidRPr="00D633FE">
        <w:t xml:space="preserve">clear </w:t>
      </w:r>
      <w:r w:rsidR="005B47E9" w:rsidRPr="00D633FE">
        <w:t xml:space="preserve">that public bodies </w:t>
      </w:r>
      <w:r w:rsidR="00CC4C19">
        <w:t xml:space="preserve">still </w:t>
      </w:r>
      <w:r w:rsidR="005B47E9" w:rsidRPr="00D633FE">
        <w:t xml:space="preserve">need to improve </w:t>
      </w:r>
      <w:r w:rsidR="006F4896" w:rsidRPr="00D633FE">
        <w:t xml:space="preserve">awareness of their responsibilities under the Section 26(2) of the Disability Act and to take action to ensure they make </w:t>
      </w:r>
      <w:r w:rsidR="005B47E9" w:rsidRPr="00D633FE">
        <w:t xml:space="preserve">the </w:t>
      </w:r>
      <w:r w:rsidR="006F4896" w:rsidRPr="00D633FE">
        <w:t xml:space="preserve">relevant </w:t>
      </w:r>
      <w:r w:rsidR="005B47E9" w:rsidRPr="00D633FE">
        <w:t>information available to the public</w:t>
      </w:r>
      <w:r w:rsidR="006F4896" w:rsidRPr="00D633FE">
        <w:t xml:space="preserve">. </w:t>
      </w:r>
    </w:p>
    <w:p w14:paraId="7C9DDF85" w14:textId="77777777" w:rsidR="00CC4C19" w:rsidRDefault="00D17B07" w:rsidP="005B47E9">
      <w:r w:rsidRPr="00270DBE">
        <w:t>T</w:t>
      </w:r>
      <w:r w:rsidR="00CB42C7" w:rsidRPr="00867EB6">
        <w:t xml:space="preserve">he NDA </w:t>
      </w:r>
      <w:r w:rsidRPr="00867EB6">
        <w:t>advise</w:t>
      </w:r>
      <w:r w:rsidR="00CB42C7" w:rsidRPr="00A9228A">
        <w:t>s</w:t>
      </w:r>
      <w:r w:rsidRPr="00460B5C">
        <w:t xml:space="preserve"> public bodies </w:t>
      </w:r>
      <w:r w:rsidR="00B505AA" w:rsidRPr="00460B5C">
        <w:t>to update their internal procedures if the appropriate processes/appointments are not in place</w:t>
      </w:r>
      <w:r w:rsidR="004F6DDE" w:rsidRPr="00677C76">
        <w:t xml:space="preserve">. </w:t>
      </w:r>
      <w:r w:rsidR="00CC4C19">
        <w:t xml:space="preserve">In addition to this, public bodies with an Access Officer in place must ensure that the Access Officer has appropriate training, resources, and information to support them to carry out their duties as specified by the Disability Act 2005. </w:t>
      </w:r>
      <w:r w:rsidR="004F6DDE" w:rsidRPr="00677C76">
        <w:t>Guidance from the NDA is available in the</w:t>
      </w:r>
      <w:r w:rsidR="004F6DDE" w:rsidRPr="001E2754">
        <w:t xml:space="preserve"> </w:t>
      </w:r>
      <w:hyperlink r:id="rId23" w:history="1">
        <w:r w:rsidR="004F6DDE" w:rsidRPr="00D633FE">
          <w:rPr>
            <w:rStyle w:val="Hyperlink"/>
          </w:rPr>
          <w:t>Access Officer Guidance for Public Bodies</w:t>
        </w:r>
      </w:hyperlink>
      <w:r w:rsidR="004F6DDE" w:rsidRPr="00D633FE">
        <w:t xml:space="preserve"> document regarding appointment, training, duties and processes surrounding Access Officers. </w:t>
      </w:r>
    </w:p>
    <w:p w14:paraId="5C9170F9" w14:textId="7A6E82D3" w:rsidR="00CB42C7" w:rsidRPr="00C27D9B" w:rsidRDefault="004F6DDE" w:rsidP="005B47E9">
      <w:r w:rsidRPr="00D633FE">
        <w:t xml:space="preserve">The NDA would also advise public bodies to </w:t>
      </w:r>
      <w:r w:rsidR="00B505AA" w:rsidRPr="00D633FE">
        <w:t>ensure t</w:t>
      </w:r>
      <w:r w:rsidR="00B505AA" w:rsidRPr="00C27D9B">
        <w:t>heir websites are updated accordingly</w:t>
      </w:r>
      <w:r w:rsidR="00CB42C7" w:rsidRPr="00C27D9B">
        <w:t xml:space="preserve"> </w:t>
      </w:r>
      <w:r w:rsidRPr="004A1D17">
        <w:t>in line with</w:t>
      </w:r>
      <w:r w:rsidR="00CB42C7" w:rsidRPr="00A872A4">
        <w:t xml:space="preserve"> the legal obligations</w:t>
      </w:r>
      <w:r w:rsidR="00BF4ED7" w:rsidRPr="00191726">
        <w:t xml:space="preserve"> of</w:t>
      </w:r>
      <w:r w:rsidRPr="00270DBE">
        <w:t xml:space="preserve"> the Disability Act, the WAD</w:t>
      </w:r>
      <w:r w:rsidR="000F6A4C" w:rsidRPr="00D633FE">
        <w:rPr>
          <w:rStyle w:val="FootnoteReference"/>
        </w:rPr>
        <w:footnoteReference w:id="6"/>
      </w:r>
      <w:r w:rsidRPr="00D633FE">
        <w:t xml:space="preserve">, </w:t>
      </w:r>
      <w:r w:rsidR="00CB42C7" w:rsidRPr="00D633FE">
        <w:t>and the statutory requirements outlined within the Code of Practice</w:t>
      </w:r>
      <w:r w:rsidR="00B505AA" w:rsidRPr="00C27D9B">
        <w:t xml:space="preserve">. </w:t>
      </w:r>
      <w:r w:rsidR="00CB42C7" w:rsidRPr="00C27D9B">
        <w:t xml:space="preserve"> </w:t>
      </w:r>
    </w:p>
    <w:p w14:paraId="09D8F95D" w14:textId="70666A02" w:rsidR="00E9772E" w:rsidRPr="00D633FE" w:rsidRDefault="00CC4C19" w:rsidP="00E9772E">
      <w:r>
        <w:t>In order to assist public bodies in meeting the requirements under the Disability Act and improving services and information provided to the public, including those with disabilities,</w:t>
      </w:r>
      <w:r w:rsidR="00E9772E" w:rsidRPr="00D633FE">
        <w:t xml:space="preserve"> </w:t>
      </w:r>
      <w:r>
        <w:t>t</w:t>
      </w:r>
      <w:r w:rsidR="00E9772E" w:rsidRPr="00D633FE">
        <w:t xml:space="preserve">he NDA will carry out this type of targeted monitoring exercise </w:t>
      </w:r>
      <w:r w:rsidR="00EE648B">
        <w:t>at regular intervals,</w:t>
      </w:r>
      <w:r>
        <w:t xml:space="preserve"> examining and re-examining several elements of the Code of Practice</w:t>
      </w:r>
      <w:r w:rsidR="00EE648B">
        <w:t>,</w:t>
      </w:r>
      <w:r w:rsidR="00E9772E" w:rsidRPr="00C27D9B">
        <w:t xml:space="preserve"> and </w:t>
      </w:r>
      <w:r w:rsidR="00EE648B">
        <w:t xml:space="preserve">will </w:t>
      </w:r>
      <w:r w:rsidR="00E9772E" w:rsidRPr="00C27D9B">
        <w:t>report on same</w:t>
      </w:r>
      <w:r w:rsidR="00F91100">
        <w:t>.</w:t>
      </w:r>
      <w:r>
        <w:t xml:space="preserve"> The NDA will, for example, conduct an updated monitoring exercise next year </w:t>
      </w:r>
      <w:r w:rsidR="00072DDD">
        <w:t xml:space="preserve">that will include updating the data on the </w:t>
      </w:r>
      <w:r>
        <w:t xml:space="preserve">Access Officer </w:t>
      </w:r>
      <w:r w:rsidR="00EE648B">
        <w:t xml:space="preserve">requirement </w:t>
      </w:r>
      <w:r w:rsidR="00072DDD">
        <w:t xml:space="preserve">as well as </w:t>
      </w:r>
      <w:r>
        <w:t>report</w:t>
      </w:r>
      <w:r w:rsidR="00072DDD">
        <w:t>ing</w:t>
      </w:r>
      <w:r>
        <w:t xml:space="preserve"> on further improvements made in t</w:t>
      </w:r>
      <w:r w:rsidR="00072DDD">
        <w:t>h</w:t>
      </w:r>
      <w:r>
        <w:t xml:space="preserve">is area. </w:t>
      </w:r>
    </w:p>
    <w:p w14:paraId="50BB62F0" w14:textId="72DC9C04" w:rsidR="00D256ED" w:rsidRDefault="00473E07" w:rsidP="005B47E9">
      <w:r w:rsidRPr="00A872A4">
        <w:t>While th</w:t>
      </w:r>
      <w:r w:rsidRPr="00191726">
        <w:t xml:space="preserve">e monitoring shows that there </w:t>
      </w:r>
      <w:r w:rsidR="00EE648B">
        <w:t>is further focus required to meet</w:t>
      </w:r>
      <w:r w:rsidRPr="00867EB6">
        <w:t xml:space="preserve"> the requirements of the Code of Practice,</w:t>
      </w:r>
      <w:r w:rsidR="00F91100">
        <w:t xml:space="preserve"> </w:t>
      </w:r>
      <w:r w:rsidR="00D256ED">
        <w:t xml:space="preserve">over the period of this monitoring exercise improvements were made. The NDA is confident </w:t>
      </w:r>
      <w:r w:rsidR="00EE648B">
        <w:t xml:space="preserve">of </w:t>
      </w:r>
      <w:r w:rsidR="00D256ED">
        <w:t xml:space="preserve">further improvements as monitoring continues and will continue to provide information and advice to public </w:t>
      </w:r>
      <w:r w:rsidR="00D256ED">
        <w:lastRenderedPageBreak/>
        <w:t xml:space="preserve">bodies </w:t>
      </w:r>
      <w:r w:rsidR="00EE648B">
        <w:t>on</w:t>
      </w:r>
      <w:r w:rsidR="00D256ED">
        <w:t xml:space="preserve"> their </w:t>
      </w:r>
      <w:r w:rsidR="00EE648B">
        <w:t>statutory obligations in relation to</w:t>
      </w:r>
      <w:r w:rsidR="00D256ED">
        <w:t xml:space="preserve"> accessibility of information and services.</w:t>
      </w:r>
      <w:r w:rsidR="00EE648B">
        <w:t xml:space="preserve"> </w:t>
      </w:r>
      <w:r w:rsidR="00D256ED">
        <w:t>This</w:t>
      </w:r>
      <w:r w:rsidR="00BD6CCA">
        <w:t xml:space="preserve"> monitoring process</w:t>
      </w:r>
      <w:r w:rsidRPr="00460B5C">
        <w:t xml:space="preserve"> </w:t>
      </w:r>
      <w:r w:rsidR="00D256ED">
        <w:t xml:space="preserve">has been and </w:t>
      </w:r>
      <w:r w:rsidRPr="00460B5C">
        <w:t xml:space="preserve">will </w:t>
      </w:r>
      <w:r w:rsidR="00D256ED">
        <w:t xml:space="preserve">continue to </w:t>
      </w:r>
      <w:r w:rsidRPr="00460B5C">
        <w:t xml:space="preserve">be of benefit in increasing awareness of the Code of Practice, and therefore compliance with the Disability Act, and we look forward to seeing improved performance in the next report. </w:t>
      </w:r>
    </w:p>
    <w:p w14:paraId="52A7F2A6" w14:textId="1101DAA4" w:rsidR="0075560B" w:rsidRPr="00D633FE" w:rsidRDefault="00CB42C7" w:rsidP="005B47E9">
      <w:r w:rsidRPr="00460B5C">
        <w:t xml:space="preserve">The NDA </w:t>
      </w:r>
      <w:r w:rsidR="00D256ED">
        <w:t xml:space="preserve">wishes to provide the below recommendations to public bodies, regardless of their performance in this monitoring exercise. The recommendations detailed below are </w:t>
      </w:r>
      <w:r w:rsidR="00FF01FC">
        <w:t>linked</w:t>
      </w:r>
      <w:r w:rsidR="00FF01FC" w:rsidRPr="00176789">
        <w:t xml:space="preserve"> </w:t>
      </w:r>
      <w:r w:rsidR="00F85F37" w:rsidRPr="00176789">
        <w:t>to</w:t>
      </w:r>
      <w:r w:rsidR="00B505AA" w:rsidRPr="00176789">
        <w:t xml:space="preserve"> </w:t>
      </w:r>
      <w:r w:rsidRPr="00D633FE">
        <w:t xml:space="preserve">requirements under Section 26(2) Access Officer and the Code of </w:t>
      </w:r>
      <w:r w:rsidR="00F85F37" w:rsidRPr="00D633FE">
        <w:t>Practice</w:t>
      </w:r>
      <w:r w:rsidRPr="00D633FE">
        <w:t xml:space="preserve">. </w:t>
      </w:r>
      <w:r w:rsidR="00CA455D" w:rsidRPr="00D633FE">
        <w:t>R</w:t>
      </w:r>
      <w:r w:rsidR="00F85F37" w:rsidRPr="00D633FE">
        <w:t xml:space="preserve">ecommendations are based </w:t>
      </w:r>
      <w:r w:rsidR="00BF4ED7" w:rsidRPr="00D633FE">
        <w:t xml:space="preserve">on </w:t>
      </w:r>
      <w:r w:rsidR="00F85F37" w:rsidRPr="00D633FE">
        <w:t>observations from this monitoring activity and our findings.</w:t>
      </w:r>
      <w:r w:rsidR="00D256ED">
        <w:t xml:space="preserve"> Further information and recommendations can be found in the </w:t>
      </w:r>
      <w:hyperlink r:id="rId24" w:history="1">
        <w:r w:rsidR="00D256ED" w:rsidRPr="00D256ED">
          <w:rPr>
            <w:rStyle w:val="Hyperlink"/>
          </w:rPr>
          <w:t>Access Officer Guidance for Public Bodies</w:t>
        </w:r>
      </w:hyperlink>
      <w:r w:rsidR="00D256ED">
        <w:t xml:space="preserve"> document available on the NDA website</w:t>
      </w:r>
      <w:r w:rsidR="00FF01FC">
        <w:t xml:space="preserve"> and the NDA strongly recommends all public bodies consult this document regardless of the findings of this monitoring exercise. </w:t>
      </w:r>
    </w:p>
    <w:p w14:paraId="10149D41" w14:textId="77777777" w:rsidR="00EE0093" w:rsidRPr="00D633FE" w:rsidRDefault="00EE0093" w:rsidP="00412B25">
      <w:pPr>
        <w:pStyle w:val="Heading2"/>
      </w:pPr>
      <w:bookmarkStart w:id="27" w:name="_Toc142561658"/>
      <w:r w:rsidRPr="00D633FE">
        <w:t>Recommendations</w:t>
      </w:r>
      <w:bookmarkEnd w:id="27"/>
    </w:p>
    <w:p w14:paraId="01E17D04" w14:textId="62A3F35D" w:rsidR="00E60E2A" w:rsidRPr="00D633FE" w:rsidRDefault="00E60E2A" w:rsidP="005B47E9">
      <w:r w:rsidRPr="00D633FE">
        <w:t xml:space="preserve">The NDA advises that all public bodies consider the following recommendations to ensure they meet </w:t>
      </w:r>
      <w:r w:rsidR="00CA455D" w:rsidRPr="00D633FE">
        <w:t xml:space="preserve">their statutory obligation </w:t>
      </w:r>
      <w:r w:rsidR="00BF4ED7" w:rsidRPr="00D633FE">
        <w:t xml:space="preserve">under the Disability Act and </w:t>
      </w:r>
      <w:r w:rsidRPr="00D633FE">
        <w:t>the requireme</w:t>
      </w:r>
      <w:r w:rsidR="00CA455D" w:rsidRPr="00D633FE">
        <w:t xml:space="preserve">nts of the Code of Practice. </w:t>
      </w:r>
      <w:r w:rsidRPr="00D633FE">
        <w:t>The recommendations</w:t>
      </w:r>
      <w:r w:rsidR="00C45A70" w:rsidRPr="00D633FE">
        <w:t xml:space="preserve"> are presented under</w:t>
      </w:r>
      <w:r w:rsidRPr="00D633FE">
        <w:t xml:space="preserve"> </w:t>
      </w:r>
      <w:r w:rsidR="00FC3ECA">
        <w:t>three</w:t>
      </w:r>
      <w:r w:rsidR="00FC3ECA" w:rsidRPr="00D633FE">
        <w:t xml:space="preserve"> </w:t>
      </w:r>
      <w:r w:rsidRPr="00D633FE">
        <w:t xml:space="preserve">themes: </w:t>
      </w:r>
    </w:p>
    <w:p w14:paraId="4285B0FC" w14:textId="77777777" w:rsidR="00E60E2A" w:rsidRPr="00D633FE" w:rsidRDefault="00E60E2A" w:rsidP="00136BE4">
      <w:pPr>
        <w:pStyle w:val="ListParagraph"/>
        <w:numPr>
          <w:ilvl w:val="0"/>
          <w:numId w:val="13"/>
        </w:numPr>
      </w:pPr>
      <w:r w:rsidRPr="00D633FE">
        <w:rPr>
          <w:b/>
        </w:rPr>
        <w:t>Access Officer</w:t>
      </w:r>
      <w:r w:rsidR="00C45A70" w:rsidRPr="00D633FE">
        <w:rPr>
          <w:b/>
        </w:rPr>
        <w:t>:</w:t>
      </w:r>
      <w:r w:rsidR="00C45A70" w:rsidRPr="00D633FE">
        <w:t xml:space="preserve"> Recommendations</w:t>
      </w:r>
      <w:r w:rsidRPr="00D633FE">
        <w:t xml:space="preserve"> specific</w:t>
      </w:r>
      <w:r w:rsidR="00C45A70" w:rsidRPr="00D633FE">
        <w:t xml:space="preserve"> to Section 26 Access Officer</w:t>
      </w:r>
    </w:p>
    <w:p w14:paraId="3C8BE4F6" w14:textId="5555CE9F" w:rsidR="00C45A70" w:rsidRPr="00D633FE" w:rsidRDefault="00C45A70" w:rsidP="00136BE4">
      <w:pPr>
        <w:pStyle w:val="ListParagraph"/>
        <w:numPr>
          <w:ilvl w:val="0"/>
          <w:numId w:val="13"/>
        </w:numPr>
      </w:pPr>
      <w:r w:rsidRPr="00D633FE">
        <w:rPr>
          <w:b/>
        </w:rPr>
        <w:t>Universally designed websites</w:t>
      </w:r>
      <w:r w:rsidRPr="00D633FE">
        <w:t>: Recommendations that apply to</w:t>
      </w:r>
      <w:r w:rsidR="00BD1EE0" w:rsidRPr="00D633FE">
        <w:t xml:space="preserve"> Section 26 Access Officer</w:t>
      </w:r>
    </w:p>
    <w:p w14:paraId="5DDB8429" w14:textId="57E48F5D" w:rsidR="00C45A70" w:rsidRPr="00D633FE" w:rsidRDefault="00C45A70" w:rsidP="00136BE4">
      <w:pPr>
        <w:pStyle w:val="ListParagraph"/>
        <w:numPr>
          <w:ilvl w:val="0"/>
          <w:numId w:val="13"/>
        </w:numPr>
      </w:pPr>
      <w:r w:rsidRPr="00D633FE">
        <w:rPr>
          <w:b/>
        </w:rPr>
        <w:t>Contact information</w:t>
      </w:r>
      <w:r w:rsidRPr="00D633FE">
        <w:t>: Recommendation</w:t>
      </w:r>
      <w:r w:rsidR="009A38B7" w:rsidRPr="00D633FE">
        <w:t>s</w:t>
      </w:r>
      <w:r w:rsidRPr="00D633FE">
        <w:t xml:space="preserve"> that apply to </w:t>
      </w:r>
      <w:r w:rsidR="000841CA" w:rsidRPr="00D633FE">
        <w:t>Section 26 Access Officer</w:t>
      </w:r>
    </w:p>
    <w:p w14:paraId="496A0E15" w14:textId="26D904A1" w:rsidR="00C45A70" w:rsidRPr="00D633FE" w:rsidRDefault="00C45A70" w:rsidP="00935FE3">
      <w:r w:rsidRPr="00D633FE">
        <w:t>The recommendation</w:t>
      </w:r>
      <w:r w:rsidR="009A38B7" w:rsidRPr="00D633FE">
        <w:t>s</w:t>
      </w:r>
      <w:r w:rsidRPr="00D633FE">
        <w:t xml:space="preserve"> are as follows:</w:t>
      </w:r>
    </w:p>
    <w:p w14:paraId="04AB18C5" w14:textId="77777777" w:rsidR="00EE0093" w:rsidRPr="00D633FE" w:rsidRDefault="00E60E2A" w:rsidP="005B47E9">
      <w:pPr>
        <w:rPr>
          <w:b/>
        </w:rPr>
      </w:pPr>
      <w:r w:rsidRPr="00D633FE">
        <w:rPr>
          <w:b/>
        </w:rPr>
        <w:t xml:space="preserve">1. </w:t>
      </w:r>
      <w:r w:rsidR="00EE0093" w:rsidRPr="00D633FE">
        <w:rPr>
          <w:b/>
        </w:rPr>
        <w:t>Access Officer</w:t>
      </w:r>
    </w:p>
    <w:p w14:paraId="32E1E894" w14:textId="1D61BD1C" w:rsidR="00A771DC" w:rsidRPr="00D633FE" w:rsidRDefault="00A771DC" w:rsidP="008E3D78">
      <w:pPr>
        <w:pStyle w:val="ListParagraph"/>
        <w:numPr>
          <w:ilvl w:val="0"/>
          <w:numId w:val="52"/>
        </w:numPr>
      </w:pPr>
      <w:r w:rsidRPr="00D633FE">
        <w:t>Public bodies should be aware</w:t>
      </w:r>
      <w:r w:rsidR="009A38B7" w:rsidRPr="00D633FE">
        <w:t xml:space="preserve"> of</w:t>
      </w:r>
      <w:r w:rsidRPr="00D633FE">
        <w:t xml:space="preserve"> and understand their obligations with regards to the Access </w:t>
      </w:r>
      <w:r w:rsidR="00C970A9" w:rsidRPr="00D633FE">
        <w:t xml:space="preserve">Officer </w:t>
      </w:r>
      <w:r w:rsidRPr="00D633FE">
        <w:t>as outlined within</w:t>
      </w:r>
      <w:r w:rsidR="00886196" w:rsidRPr="00D633FE">
        <w:t xml:space="preserve"> Section 26(2) of</w:t>
      </w:r>
      <w:r w:rsidRPr="00D633FE">
        <w:t xml:space="preserve"> the Code of Practice.</w:t>
      </w:r>
      <w:r w:rsidR="00971118">
        <w:t xml:space="preserve"> This obligation exists regardless of whether or not an office is open regularly to members of the public.</w:t>
      </w:r>
      <w:r w:rsidR="00971118">
        <w:rPr>
          <w:rStyle w:val="FootnoteReference"/>
        </w:rPr>
        <w:footnoteReference w:id="7"/>
      </w:r>
    </w:p>
    <w:p w14:paraId="1FA43349" w14:textId="00EAF96B" w:rsidR="00EE0093" w:rsidRPr="00D633FE" w:rsidRDefault="00EE0093" w:rsidP="008E3D78">
      <w:pPr>
        <w:pStyle w:val="ListParagraph"/>
        <w:numPr>
          <w:ilvl w:val="0"/>
          <w:numId w:val="52"/>
        </w:numPr>
      </w:pPr>
      <w:r w:rsidRPr="00D633FE">
        <w:t xml:space="preserve">All public bodies should appoint at least one Access Officer in accordance </w:t>
      </w:r>
      <w:r w:rsidR="00EE648B">
        <w:t>with</w:t>
      </w:r>
      <w:r w:rsidR="00EE648B" w:rsidRPr="00D633FE">
        <w:t xml:space="preserve"> </w:t>
      </w:r>
      <w:r w:rsidRPr="00D633FE">
        <w:t>Section 26(2) of the Code of Practice</w:t>
      </w:r>
      <w:r w:rsidR="009605A3" w:rsidRPr="00D633FE">
        <w:t>.</w:t>
      </w:r>
      <w:r w:rsidR="004C6AA0" w:rsidRPr="00D633FE">
        <w:t xml:space="preserve"> The decision on how many Access Officers </w:t>
      </w:r>
      <w:r w:rsidR="00EE648B">
        <w:t xml:space="preserve">to appoint </w:t>
      </w:r>
      <w:r w:rsidR="004C6AA0" w:rsidRPr="00D633FE">
        <w:t xml:space="preserve">is the responsibility of the public body and depends </w:t>
      </w:r>
      <w:r w:rsidR="00072DDD" w:rsidRPr="00D633FE">
        <w:t>on</w:t>
      </w:r>
      <w:r w:rsidR="004C6AA0" w:rsidRPr="00D633FE">
        <w:t xml:space="preserve"> </w:t>
      </w:r>
      <w:r w:rsidR="00FF563C" w:rsidRPr="00D633FE">
        <w:t xml:space="preserve">the </w:t>
      </w:r>
      <w:r w:rsidR="00F24CDD" w:rsidRPr="00D633FE">
        <w:t>size of the body; having more than one site;</w:t>
      </w:r>
      <w:r w:rsidR="004C6AA0" w:rsidRPr="00D633FE">
        <w:t xml:space="preserve"> demand on service</w:t>
      </w:r>
      <w:r w:rsidR="00F24CDD" w:rsidRPr="00D633FE">
        <w:t>;</w:t>
      </w:r>
      <w:r w:rsidR="004C6AA0" w:rsidRPr="00D633FE">
        <w:t xml:space="preserve"> etc. </w:t>
      </w:r>
      <w:r w:rsidR="009605A3" w:rsidRPr="00D633FE">
        <w:t xml:space="preserve"> That officer </w:t>
      </w:r>
      <w:r w:rsidR="009605A3" w:rsidRPr="00D633FE">
        <w:lastRenderedPageBreak/>
        <w:t xml:space="preserve">is responsible for providing or arranging for and co-ordinating assistance and guidance to persons with disabilities accessing the services provided by that body. </w:t>
      </w:r>
    </w:p>
    <w:p w14:paraId="5AFA68F9" w14:textId="77777777" w:rsidR="003D10E6" w:rsidRPr="00D633FE" w:rsidRDefault="009605A3" w:rsidP="003D10E6">
      <w:pPr>
        <w:pStyle w:val="ListParagraph"/>
        <w:numPr>
          <w:ilvl w:val="0"/>
          <w:numId w:val="52"/>
        </w:numPr>
      </w:pPr>
      <w:r w:rsidRPr="00D633FE">
        <w:t>All public bodies should promote the appointment and availability of Access Officer(s) and how they may be contacted on their website, so that the general public is made aware of them and knows how to avail of their assistance.</w:t>
      </w:r>
    </w:p>
    <w:p w14:paraId="20809BDC" w14:textId="1ADF1617" w:rsidR="00BB5645" w:rsidRDefault="00D76D63" w:rsidP="00BD6CCA">
      <w:pPr>
        <w:pStyle w:val="ListParagraph"/>
        <w:numPr>
          <w:ilvl w:val="0"/>
          <w:numId w:val="52"/>
        </w:numPr>
      </w:pPr>
      <w:r w:rsidRPr="00D633FE">
        <w:t xml:space="preserve">Access Officers are to be available to persons with disabilities wishing to access services provided by the public body and to staff requiring advice and support. </w:t>
      </w:r>
    </w:p>
    <w:p w14:paraId="76D2F6B2" w14:textId="7F4EFABB" w:rsidR="00BD6CCA" w:rsidRPr="00D633FE" w:rsidRDefault="00BD6CCA" w:rsidP="003D10E6">
      <w:pPr>
        <w:pStyle w:val="ListParagraph"/>
        <w:numPr>
          <w:ilvl w:val="0"/>
          <w:numId w:val="52"/>
        </w:numPr>
      </w:pPr>
      <w:r>
        <w:t xml:space="preserve">Consider the establishment of an Access Officer Network as is being established by the Department of Justice. These Networks can provide Access Officers with the opportunity </w:t>
      </w:r>
      <w:r>
        <w:rPr>
          <w:szCs w:val="26"/>
        </w:rPr>
        <w:t>to discuss best practice, advice, exchange information, listen to and learn from the lived experience of disabled people, and to keep apprised of new developments.</w:t>
      </w:r>
    </w:p>
    <w:p w14:paraId="75DCFFB3" w14:textId="77777777" w:rsidR="00BB5645" w:rsidRPr="00D633FE" w:rsidRDefault="00BB5645" w:rsidP="000024C4">
      <w:pPr>
        <w:pStyle w:val="ListParagraph"/>
        <w:ind w:left="0"/>
      </w:pPr>
    </w:p>
    <w:p w14:paraId="78F70C8E" w14:textId="38999ED9" w:rsidR="00956C93" w:rsidRPr="00D633FE" w:rsidRDefault="000841CA" w:rsidP="000024C4">
      <w:pPr>
        <w:pStyle w:val="ListParagraph"/>
        <w:ind w:left="0"/>
        <w:rPr>
          <w:b/>
        </w:rPr>
      </w:pPr>
      <w:r w:rsidRPr="00D633FE">
        <w:rPr>
          <w:b/>
        </w:rPr>
        <w:t>2</w:t>
      </w:r>
      <w:r w:rsidR="00886196" w:rsidRPr="00D633FE">
        <w:rPr>
          <w:b/>
        </w:rPr>
        <w:t xml:space="preserve">. </w:t>
      </w:r>
      <w:r w:rsidR="00956C93" w:rsidRPr="00D633FE">
        <w:rPr>
          <w:b/>
        </w:rPr>
        <w:t>Universally designed websites</w:t>
      </w:r>
    </w:p>
    <w:p w14:paraId="35C969F8" w14:textId="3970112D" w:rsidR="00D76D63" w:rsidRPr="00D633FE" w:rsidRDefault="00D76D63" w:rsidP="00956C93">
      <w:r w:rsidRPr="00D633FE">
        <w:t>Public bodies can eliminate barriers to accessing services and information provided by them by enhancing their understanding and awareness of Universal Design. Application of a Universal Design approach would mean that information and services can be accessed, understood and used to the greatest extent possible by all people, regardless of their age, size, ability or disability</w:t>
      </w:r>
      <w:r w:rsidR="00BF102E" w:rsidRPr="00D633FE">
        <w:t>.</w:t>
      </w:r>
    </w:p>
    <w:p w14:paraId="38A9903C" w14:textId="77BE782E" w:rsidR="00956C93" w:rsidRPr="00D633FE" w:rsidRDefault="001146C5" w:rsidP="00956C93">
      <w:r w:rsidRPr="00D633FE">
        <w:t xml:space="preserve">The NDA found </w:t>
      </w:r>
      <w:r w:rsidR="00A771DC" w:rsidRPr="00D633FE">
        <w:t xml:space="preserve">that </w:t>
      </w:r>
      <w:r w:rsidR="00C236E5" w:rsidRPr="00D633FE">
        <w:t xml:space="preserve">many </w:t>
      </w:r>
      <w:r w:rsidR="00A771DC" w:rsidRPr="00D633FE">
        <w:t xml:space="preserve">public body websites presented information in a complex and inconsistent way where it was often challenging </w:t>
      </w:r>
      <w:r w:rsidR="00F24CDD" w:rsidRPr="00D633FE">
        <w:t xml:space="preserve">to </w:t>
      </w:r>
      <w:r w:rsidR="00A771DC" w:rsidRPr="00D633FE">
        <w:t>navigat</w:t>
      </w:r>
      <w:r w:rsidR="00F24CDD" w:rsidRPr="00D633FE">
        <w:t>e</w:t>
      </w:r>
      <w:r w:rsidR="00A771DC" w:rsidRPr="00D633FE">
        <w:t xml:space="preserve"> the site and </w:t>
      </w:r>
      <w:r w:rsidR="00F24CDD" w:rsidRPr="00D633FE">
        <w:t xml:space="preserve">to </w:t>
      </w:r>
      <w:r w:rsidR="00A771DC" w:rsidRPr="00D633FE">
        <w:t>find information regarding the Access Officer. As such</w:t>
      </w:r>
      <w:r w:rsidR="00500F14" w:rsidRPr="00D633FE">
        <w:t>,</w:t>
      </w:r>
      <w:r w:rsidR="00956C93" w:rsidRPr="00D633FE">
        <w:t xml:space="preserve"> the NDA felt it prudent to employ three members of the team to evaluate each website at separate times for assurance and accuracy</w:t>
      </w:r>
      <w:r w:rsidR="001559CC">
        <w:t>; where a staff member found no details of an Access Officer available on a public body website, this was checked and validated by two additional staff members to ensure that information was not missed</w:t>
      </w:r>
      <w:r w:rsidR="00084941">
        <w:t xml:space="preserve">. </w:t>
      </w:r>
      <w:r w:rsidR="00956C93" w:rsidRPr="00D633FE">
        <w:t>Therefore</w:t>
      </w:r>
      <w:r w:rsidR="00500F14" w:rsidRPr="00D633FE">
        <w:t>,</w:t>
      </w:r>
      <w:r w:rsidR="00956C93" w:rsidRPr="00D633FE">
        <w:t xml:space="preserve"> if three members of NDA staff did not find </w:t>
      </w:r>
      <w:r w:rsidR="00084941">
        <w:t>clear and adequate</w:t>
      </w:r>
      <w:r w:rsidR="00084941" w:rsidRPr="00D633FE">
        <w:t xml:space="preserve"> </w:t>
      </w:r>
      <w:r w:rsidR="00956C93" w:rsidRPr="00D633FE">
        <w:t xml:space="preserve">information on Access Officers on public bodies’ websites it would stand to reason people with disabilities would also struggle </w:t>
      </w:r>
      <w:r w:rsidR="00084941">
        <w:t>to find this information.</w:t>
      </w:r>
    </w:p>
    <w:p w14:paraId="5C0F0FF5" w14:textId="6D5EEF5F" w:rsidR="00956C93" w:rsidRPr="00D633FE" w:rsidRDefault="00956C93" w:rsidP="00956C93">
      <w:r w:rsidRPr="00D633FE">
        <w:t>We recommend that websites should be designed to be easy to navigate, easy to understand and usable for pe</w:t>
      </w:r>
      <w:r w:rsidR="00F24CDD" w:rsidRPr="00D633FE">
        <w:t>rsons</w:t>
      </w:r>
      <w:r w:rsidRPr="00D633FE">
        <w:t xml:space="preserve"> with disabilities</w:t>
      </w:r>
      <w:r w:rsidR="00F24CDD" w:rsidRPr="00D633FE">
        <w:t>:</w:t>
      </w:r>
    </w:p>
    <w:p w14:paraId="48E412C1" w14:textId="64B0ACE5" w:rsidR="00956C93" w:rsidRPr="00D633FE" w:rsidRDefault="00956C93" w:rsidP="008E3D78">
      <w:pPr>
        <w:pStyle w:val="ListBullet"/>
        <w:numPr>
          <w:ilvl w:val="0"/>
          <w:numId w:val="54"/>
        </w:numPr>
      </w:pPr>
      <w:r w:rsidRPr="00D633FE">
        <w:t xml:space="preserve">The webpages which contain the information regarding the Access Officer should be promoted on the homepage of the public body website. The number of clicks to access this information should ideally </w:t>
      </w:r>
      <w:r w:rsidR="003E18ED" w:rsidRPr="00D633FE">
        <w:t xml:space="preserve">take </w:t>
      </w:r>
      <w:r w:rsidRPr="00D633FE">
        <w:t xml:space="preserve">one click but no more than two. </w:t>
      </w:r>
    </w:p>
    <w:p w14:paraId="70B04D67" w14:textId="77777777" w:rsidR="00956C93" w:rsidRPr="00D633FE" w:rsidRDefault="00956C93" w:rsidP="008E3D78">
      <w:pPr>
        <w:pStyle w:val="ListBullet"/>
        <w:numPr>
          <w:ilvl w:val="0"/>
          <w:numId w:val="54"/>
        </w:numPr>
      </w:pPr>
      <w:r w:rsidRPr="00D633FE">
        <w:t xml:space="preserve">The user should be able to easily and intuitively identify the correct button to access this information on the homepage, whether it be embedded within the page itself, within the contents section or in the primary navigation bar. </w:t>
      </w:r>
    </w:p>
    <w:p w14:paraId="369659B6" w14:textId="6D9ED71F" w:rsidR="00956C93" w:rsidRPr="00D633FE" w:rsidRDefault="00956C93" w:rsidP="008E3D78">
      <w:pPr>
        <w:pStyle w:val="ListBullet"/>
        <w:numPr>
          <w:ilvl w:val="0"/>
          <w:numId w:val="54"/>
        </w:numPr>
      </w:pPr>
      <w:r w:rsidRPr="00D633FE">
        <w:lastRenderedPageBreak/>
        <w:t xml:space="preserve">The search box function should locate information for </w:t>
      </w:r>
      <w:r w:rsidR="00304E3A" w:rsidRPr="00D633FE">
        <w:t xml:space="preserve">the </w:t>
      </w:r>
      <w:r w:rsidRPr="00D633FE">
        <w:t>Access Officer and list the webpage</w:t>
      </w:r>
      <w:r w:rsidR="00304E3A" w:rsidRPr="00D633FE">
        <w:t>s</w:t>
      </w:r>
      <w:r w:rsidRPr="00D633FE">
        <w:t xml:space="preserve"> that contain this information at the top of the search list</w:t>
      </w:r>
      <w:r w:rsidR="00304E3A" w:rsidRPr="00D633FE">
        <w:t>,</w:t>
      </w:r>
      <w:r w:rsidR="0047189E" w:rsidRPr="00D633FE">
        <w:t xml:space="preserve"> but </w:t>
      </w:r>
      <w:r w:rsidR="00304E3A" w:rsidRPr="00D633FE">
        <w:t xml:space="preserve">as detailed in point b, the search box function </w:t>
      </w:r>
      <w:r w:rsidR="0047189E" w:rsidRPr="00D633FE">
        <w:t xml:space="preserve">should not </w:t>
      </w:r>
      <w:r w:rsidR="00304E3A" w:rsidRPr="00D633FE">
        <w:t xml:space="preserve">have to </w:t>
      </w:r>
      <w:r w:rsidR="0047189E" w:rsidRPr="00D633FE">
        <w:t>be relied upon</w:t>
      </w:r>
      <w:r w:rsidRPr="00D633FE">
        <w:t>.</w:t>
      </w:r>
    </w:p>
    <w:p w14:paraId="40FC672B" w14:textId="73C3E424" w:rsidR="00956C93" w:rsidRPr="00D633FE" w:rsidRDefault="00956C93" w:rsidP="009B5D5F">
      <w:pPr>
        <w:pStyle w:val="ListBullet"/>
        <w:numPr>
          <w:ilvl w:val="0"/>
          <w:numId w:val="54"/>
        </w:numPr>
      </w:pPr>
      <w:r w:rsidRPr="00D633FE">
        <w:t>The NDA found that sometimes information about the Access Officer w</w:t>
      </w:r>
      <w:r w:rsidR="00D76D63" w:rsidRPr="00D633FE">
        <w:t>as</w:t>
      </w:r>
      <w:r w:rsidRPr="00D633FE">
        <w:t xml:space="preserve"> found within a customer charter, organisation strategy or other document regarding the business of the public body. In this case the information was very difficult to fin</w:t>
      </w:r>
      <w:r w:rsidR="0047189E" w:rsidRPr="00D633FE">
        <w:t>d. These documents</w:t>
      </w:r>
      <w:r w:rsidRPr="00D633FE">
        <w:t xml:space="preserve"> should not be the only source of the information. </w:t>
      </w:r>
      <w:r w:rsidR="0047189E" w:rsidRPr="00D633FE">
        <w:t>I</w:t>
      </w:r>
      <w:r w:rsidRPr="00D633FE">
        <w:t>nformation</w:t>
      </w:r>
      <w:r w:rsidR="0047189E" w:rsidRPr="00D633FE">
        <w:t xml:space="preserve"> regarding the Access Officer </w:t>
      </w:r>
      <w:r w:rsidRPr="00D633FE">
        <w:t>should be</w:t>
      </w:r>
      <w:r w:rsidR="0047189E" w:rsidRPr="00D633FE">
        <w:t xml:space="preserve"> located on a webpage. Any </w:t>
      </w:r>
      <w:r w:rsidR="00B7625F" w:rsidRPr="00D633FE">
        <w:t xml:space="preserve">Office file formats, </w:t>
      </w:r>
      <w:r w:rsidR="0047189E" w:rsidRPr="00D633FE">
        <w:t>documents</w:t>
      </w:r>
      <w:r w:rsidR="00B7625F" w:rsidRPr="00D633FE">
        <w:t xml:space="preserve"> such as Word or PDFs found on the website</w:t>
      </w:r>
      <w:r w:rsidR="0047189E" w:rsidRPr="00D633FE">
        <w:t xml:space="preserve"> that replicate this information</w:t>
      </w:r>
      <w:r w:rsidR="003E18ED" w:rsidRPr="00D633FE">
        <w:t>,</w:t>
      </w:r>
      <w:r w:rsidR="0047189E" w:rsidRPr="00D633FE">
        <w:t xml:space="preserve"> should be fully accessible</w:t>
      </w:r>
      <w:r w:rsidR="004D44D6" w:rsidRPr="00D633FE">
        <w:t>.</w:t>
      </w:r>
    </w:p>
    <w:p w14:paraId="2E0EC479" w14:textId="2AD3BBF9" w:rsidR="00956C93" w:rsidRPr="00D633FE" w:rsidRDefault="005A7853" w:rsidP="008E3D78">
      <w:pPr>
        <w:pStyle w:val="ListBullet"/>
        <w:numPr>
          <w:ilvl w:val="0"/>
          <w:numId w:val="54"/>
        </w:numPr>
      </w:pPr>
      <w:r>
        <w:t>As indicated above Access Officer information was sometimes published, but not easy to find or access. The NDA therefore recommends that i</w:t>
      </w:r>
      <w:r w:rsidR="00956C93" w:rsidRPr="00D633FE">
        <w:t xml:space="preserve">nformation about the Access Officer should be prominent on its own webpage or </w:t>
      </w:r>
      <w:r>
        <w:t xml:space="preserve">on a </w:t>
      </w:r>
      <w:r w:rsidR="00956C93" w:rsidRPr="00D633FE">
        <w:t>relevant webpage</w:t>
      </w:r>
      <w:r>
        <w:t xml:space="preserve"> such as a ‘contact us’ or ‘accessibility’ webpage</w:t>
      </w:r>
      <w:r w:rsidR="00956C93" w:rsidRPr="00D633FE">
        <w:t xml:space="preserve">. Regardless of where the information is situated, its location should be </w:t>
      </w:r>
      <w:r>
        <w:t xml:space="preserve">easily </w:t>
      </w:r>
      <w:r w:rsidR="00956C93" w:rsidRPr="00D633FE">
        <w:t>identifiable and navigable from the homepage of the website.</w:t>
      </w:r>
      <w:r w:rsidR="00BF19C7">
        <w:rPr>
          <w:rStyle w:val="FootnoteReference"/>
        </w:rPr>
        <w:footnoteReference w:id="8"/>
      </w:r>
      <w:r>
        <w:t xml:space="preserve"> </w:t>
      </w:r>
    </w:p>
    <w:p w14:paraId="0794265C" w14:textId="7D81AE47" w:rsidR="00034800" w:rsidRPr="00D633FE" w:rsidRDefault="00034800" w:rsidP="008E3D78">
      <w:pPr>
        <w:pStyle w:val="ListBullet"/>
        <w:numPr>
          <w:ilvl w:val="0"/>
          <w:numId w:val="54"/>
        </w:numPr>
      </w:pPr>
      <w:r w:rsidRPr="00D633FE">
        <w:t>Although not the subject of this monitoring exercise, the websites and mobile phone applications of all public bodies are legally required to be compliant with the EU Web Accessibility Directive</w:t>
      </w:r>
      <w:r w:rsidR="00B7625F" w:rsidRPr="00D633FE">
        <w:t xml:space="preserve"> (WAD)</w:t>
      </w:r>
      <w:r w:rsidRPr="00D633FE">
        <w:t xml:space="preserve"> and meet Level AA Success Criteria from the international guidelines WCAG 2.1. </w:t>
      </w:r>
      <w:r w:rsidR="00663055">
        <w:t xml:space="preserve">As mentioned previously the NDA is the national monitoring body for the purpose of this Directive. If websites are deemed to be WAD </w:t>
      </w:r>
      <w:r w:rsidR="00FE1B5B">
        <w:t>compliant,</w:t>
      </w:r>
      <w:r w:rsidR="00663055">
        <w:t xml:space="preserve"> they are more likely to be easily accessible and understood and therefore more likely to meet the Access Officer criteria. </w:t>
      </w:r>
    </w:p>
    <w:p w14:paraId="59904713" w14:textId="4B7B17A8" w:rsidR="00956C93" w:rsidRPr="00D633FE" w:rsidRDefault="000841CA" w:rsidP="00956C93">
      <w:pPr>
        <w:pStyle w:val="ListBullet"/>
        <w:numPr>
          <w:ilvl w:val="0"/>
          <w:numId w:val="0"/>
        </w:numPr>
        <w:rPr>
          <w:b/>
        </w:rPr>
      </w:pPr>
      <w:r w:rsidRPr="00D633FE">
        <w:rPr>
          <w:b/>
        </w:rPr>
        <w:t>3</w:t>
      </w:r>
      <w:r w:rsidR="00956C93" w:rsidRPr="00D633FE">
        <w:rPr>
          <w:b/>
        </w:rPr>
        <w:t>. Contact Information</w:t>
      </w:r>
    </w:p>
    <w:p w14:paraId="0F0391D3" w14:textId="625A2736" w:rsidR="00956C93" w:rsidRPr="00D633FE" w:rsidRDefault="00956C93" w:rsidP="008E3D78">
      <w:pPr>
        <w:pStyle w:val="ListBullet"/>
        <w:numPr>
          <w:ilvl w:val="0"/>
          <w:numId w:val="55"/>
        </w:numPr>
      </w:pPr>
      <w:r w:rsidRPr="00D633FE">
        <w:t xml:space="preserve">Information of how to contact the Access Officer should be provided. There were incidences where </w:t>
      </w:r>
      <w:r w:rsidR="00D76D63" w:rsidRPr="00D633FE">
        <w:t>information that an</w:t>
      </w:r>
      <w:r w:rsidRPr="00D633FE">
        <w:t xml:space="preserve"> Access Officer</w:t>
      </w:r>
      <w:r w:rsidR="00D76D63" w:rsidRPr="00D633FE">
        <w:t xml:space="preserve"> had been appointed</w:t>
      </w:r>
      <w:r w:rsidRPr="00D633FE">
        <w:t xml:space="preserve"> was provided but information about how to contact them was omitted. </w:t>
      </w:r>
    </w:p>
    <w:p w14:paraId="16FE110A" w14:textId="5819A3EB" w:rsidR="006A6E47" w:rsidRPr="00D633FE" w:rsidRDefault="006A6E47" w:rsidP="008E3D78">
      <w:pPr>
        <w:pStyle w:val="ListBullet"/>
        <w:numPr>
          <w:ilvl w:val="0"/>
          <w:numId w:val="55"/>
        </w:numPr>
      </w:pPr>
      <w:r w:rsidRPr="00D633FE">
        <w:t xml:space="preserve">When information regarding the services of public bodies is hosted as a subdomain on their </w:t>
      </w:r>
      <w:r w:rsidR="00814219" w:rsidRPr="00D633FE">
        <w:t>parent department’s</w:t>
      </w:r>
      <w:r w:rsidRPr="00D633FE">
        <w:t xml:space="preserve"> website, the subdomain should include a link to the public </w:t>
      </w:r>
      <w:r w:rsidR="00C970A9" w:rsidRPr="00D633FE">
        <w:t xml:space="preserve">body’s Access Officer </w:t>
      </w:r>
      <w:r w:rsidR="00814219" w:rsidRPr="00D633FE">
        <w:t xml:space="preserve">details. When the information about the </w:t>
      </w:r>
      <w:r w:rsidR="00C12BBD" w:rsidRPr="00D633FE">
        <w:t>A</w:t>
      </w:r>
      <w:r w:rsidR="00814219" w:rsidRPr="00D633FE">
        <w:t xml:space="preserve">ccess </w:t>
      </w:r>
      <w:r w:rsidR="00C12BBD" w:rsidRPr="00D633FE">
        <w:t>O</w:t>
      </w:r>
      <w:r w:rsidR="00814219" w:rsidRPr="00D633FE">
        <w:t xml:space="preserve">fficer </w:t>
      </w:r>
      <w:r w:rsidRPr="00D633FE">
        <w:t xml:space="preserve">is </w:t>
      </w:r>
      <w:r w:rsidR="00814219" w:rsidRPr="00D633FE">
        <w:t>that of the parent</w:t>
      </w:r>
      <w:r w:rsidRPr="00D633FE">
        <w:t xml:space="preserve"> department, a link should still exist on the </w:t>
      </w:r>
      <w:r w:rsidR="00814219" w:rsidRPr="00D633FE">
        <w:lastRenderedPageBreak/>
        <w:t xml:space="preserve">public body’s </w:t>
      </w:r>
      <w:r w:rsidRPr="00D633FE">
        <w:t>subdomain so that users are informed of this</w:t>
      </w:r>
      <w:r w:rsidR="00814219" w:rsidRPr="00D633FE">
        <w:t xml:space="preserve"> and understand how to make contact.</w:t>
      </w:r>
    </w:p>
    <w:p w14:paraId="2BE067C1" w14:textId="0B5A4906" w:rsidR="00AE3838" w:rsidRPr="00D633FE" w:rsidRDefault="00D76D63" w:rsidP="008E3D78">
      <w:pPr>
        <w:pStyle w:val="ListBullet"/>
        <w:numPr>
          <w:ilvl w:val="0"/>
          <w:numId w:val="55"/>
        </w:numPr>
      </w:pPr>
      <w:r w:rsidRPr="00D633FE">
        <w:t xml:space="preserve">There should be more than one form of communication channel by which a member of the public can contact </w:t>
      </w:r>
      <w:r w:rsidR="00990438" w:rsidRPr="00D633FE">
        <w:t>the Access Officers</w:t>
      </w:r>
      <w:r w:rsidR="00C01FFD" w:rsidRPr="00D633FE">
        <w:t>.</w:t>
      </w:r>
      <w:r w:rsidR="005F5BA8" w:rsidRPr="00D633FE">
        <w:t xml:space="preserve"> </w:t>
      </w:r>
      <w:r w:rsidR="008A25BB" w:rsidRPr="00D633FE">
        <w:t>A</w:t>
      </w:r>
      <w:r w:rsidR="00603075" w:rsidRPr="00D633FE">
        <w:t xml:space="preserve">t least one written form of communication and one spoken </w:t>
      </w:r>
      <w:r w:rsidR="004D44D6" w:rsidRPr="00D633FE">
        <w:t xml:space="preserve">should </w:t>
      </w:r>
      <w:r w:rsidR="00603075" w:rsidRPr="00D633FE">
        <w:t xml:space="preserve">be </w:t>
      </w:r>
      <w:r w:rsidRPr="00D633FE">
        <w:t xml:space="preserve">promoted </w:t>
      </w:r>
      <w:r w:rsidR="008A25BB" w:rsidRPr="00D633FE">
        <w:t>to the public</w:t>
      </w:r>
      <w:r w:rsidR="004D44D6" w:rsidRPr="00D633FE">
        <w:rPr>
          <w:rFonts w:cstheme="minorHAnsi"/>
          <w:szCs w:val="26"/>
        </w:rPr>
        <w:t>.</w:t>
      </w:r>
      <w:r w:rsidR="004D44D6" w:rsidRPr="00D633FE">
        <w:t xml:space="preserve"> </w:t>
      </w:r>
      <w:r w:rsidR="004D44D6" w:rsidRPr="00D633FE">
        <w:rPr>
          <w:rFonts w:cstheme="minorHAnsi"/>
          <w:szCs w:val="26"/>
        </w:rPr>
        <w:t>The provision of multiple communication</w:t>
      </w:r>
      <w:r w:rsidRPr="00D633FE">
        <w:rPr>
          <w:rFonts w:cstheme="minorHAnsi"/>
          <w:szCs w:val="26"/>
        </w:rPr>
        <w:t xml:space="preserve"> channels</w:t>
      </w:r>
      <w:r w:rsidR="004D44D6" w:rsidRPr="00D633FE">
        <w:rPr>
          <w:rFonts w:cstheme="minorHAnsi"/>
          <w:szCs w:val="26"/>
        </w:rPr>
        <w:t xml:space="preserve"> is essential so that people with disabilities can </w:t>
      </w:r>
      <w:r w:rsidRPr="00D633FE">
        <w:rPr>
          <w:rFonts w:cstheme="minorHAnsi"/>
          <w:szCs w:val="26"/>
        </w:rPr>
        <w:t>make contact with the Access Officer</w:t>
      </w:r>
      <w:r w:rsidR="004D44D6" w:rsidRPr="00D633FE">
        <w:rPr>
          <w:rFonts w:cstheme="minorHAnsi"/>
          <w:szCs w:val="26"/>
        </w:rPr>
        <w:t xml:space="preserve"> through a channel that is accessible to them. </w:t>
      </w:r>
      <w:r w:rsidR="00603075" w:rsidRPr="00D633FE">
        <w:t xml:space="preserve">This requirement is </w:t>
      </w:r>
      <w:r w:rsidR="004D44D6" w:rsidRPr="00D633FE">
        <w:t>outlined</w:t>
      </w:r>
      <w:r w:rsidR="00603075" w:rsidRPr="00D633FE">
        <w:t xml:space="preserve"> under Section 28 of the </w:t>
      </w:r>
      <w:r w:rsidR="004D44D6" w:rsidRPr="00D633FE">
        <w:t>Code of Practice:</w:t>
      </w:r>
    </w:p>
    <w:p w14:paraId="5AF916A7" w14:textId="6AE76595" w:rsidR="00AE3838" w:rsidRPr="00D633FE" w:rsidRDefault="00AE3838" w:rsidP="00412B25">
      <w:pPr>
        <w:pStyle w:val="BlockQuote"/>
        <w:ind w:left="1440"/>
      </w:pPr>
      <w:r w:rsidRPr="00D633FE">
        <w:t>Establishing procedures for processing requests for accessible formats that may be provided as far as practicable including providing for a dialogue with the customer.</w:t>
      </w:r>
    </w:p>
    <w:p w14:paraId="671FBE97" w14:textId="7634F8FD" w:rsidR="009E555C" w:rsidRPr="00D633FE" w:rsidRDefault="005B11EA" w:rsidP="009C7249">
      <w:r w:rsidRPr="00D633FE">
        <w:t>The public body should also have due regard to the Irish Sign Language</w:t>
      </w:r>
      <w:r w:rsidR="00F37B37" w:rsidRPr="00D633FE">
        <w:t xml:space="preserve"> (ISL)</w:t>
      </w:r>
      <w:r w:rsidRPr="00D633FE">
        <w:t xml:space="preserve"> Act 2017 and ensure they do all that is reasonable to ensure</w:t>
      </w:r>
      <w:r w:rsidR="003170FE">
        <w:t xml:space="preserve"> ISL</w:t>
      </w:r>
      <w:r w:rsidRPr="00D633FE">
        <w:t xml:space="preserve"> interpretation is provided when a person is seeking to avail of their services, this includes interaction with the Access Officer. </w:t>
      </w:r>
      <w:r w:rsidR="001C7238">
        <w:t xml:space="preserve">Public bodies may consider, when producing any ISL content for websites, inclusion of Access Officer contact details as part of this content to ensure those who communicate and receive information through ISL are aware of how the Access Officer may be contacted.  </w:t>
      </w:r>
    </w:p>
    <w:sectPr w:rsidR="009E555C" w:rsidRPr="00D633FE" w:rsidSect="00FE7D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60B9F" w14:textId="77777777" w:rsidR="005B3D5C" w:rsidRDefault="005B3D5C">
      <w:r>
        <w:separator/>
      </w:r>
    </w:p>
  </w:endnote>
  <w:endnote w:type="continuationSeparator" w:id="0">
    <w:p w14:paraId="5C1FF9DF" w14:textId="77777777" w:rsidR="005B3D5C" w:rsidRDefault="005B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4D63" w14:textId="25B188ED" w:rsidR="005B3D5C" w:rsidRDefault="005B3D5C">
    <w:pPr>
      <w:pStyle w:val="Footer"/>
    </w:pPr>
    <w:r>
      <w:tab/>
    </w:r>
    <w:r>
      <w:tab/>
    </w:r>
    <w:r>
      <w:fldChar w:fldCharType="begin"/>
    </w:r>
    <w:r>
      <w:instrText xml:space="preserve"> PAGE  \* Arabic  \* MERGEFORMAT </w:instrText>
    </w:r>
    <w:r>
      <w:fldChar w:fldCharType="separate"/>
    </w:r>
    <w:r w:rsidR="00EA6A50">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3687" w14:textId="77777777" w:rsidR="005B3D5C" w:rsidRDefault="005B3D5C">
      <w:r>
        <w:separator/>
      </w:r>
    </w:p>
  </w:footnote>
  <w:footnote w:type="continuationSeparator" w:id="0">
    <w:p w14:paraId="05C042F6" w14:textId="77777777" w:rsidR="005B3D5C" w:rsidRDefault="005B3D5C">
      <w:r>
        <w:continuationSeparator/>
      </w:r>
    </w:p>
  </w:footnote>
  <w:footnote w:id="1">
    <w:p w14:paraId="3C16D6D5" w14:textId="7AD4A36A" w:rsidR="005B3D5C" w:rsidRDefault="005B3D5C">
      <w:pPr>
        <w:pStyle w:val="FootnoteText"/>
      </w:pPr>
      <w:r>
        <w:rPr>
          <w:rStyle w:val="FootnoteReference"/>
        </w:rPr>
        <w:footnoteRef/>
      </w:r>
      <w:r>
        <w:t xml:space="preserve"> </w:t>
      </w:r>
      <w:hyperlink r:id="rId1" w:anchor=":~:text=In%202022%2C%2094%25%20of%20households,(90%25%20of%20households)" w:history="1">
        <w:r w:rsidRPr="003C3D35">
          <w:rPr>
            <w:rStyle w:val="Hyperlink"/>
          </w:rPr>
          <w:t>https://www.cso.ie/en/releasesandpublications/ep/p-isshict/internetcoverageandusageinireland2022/householdinternetconnectivity/#:~:text=In%202022%2C%2094%25%20of%20households,(90%25%20of%20households)</w:t>
        </w:r>
      </w:hyperlink>
      <w:r w:rsidRPr="004226C6">
        <w:t>.</w:t>
      </w:r>
      <w:r>
        <w:t xml:space="preserve"> </w:t>
      </w:r>
    </w:p>
  </w:footnote>
  <w:footnote w:id="2">
    <w:p w14:paraId="2AFEF2B3" w14:textId="77777777" w:rsidR="005B3D5C" w:rsidRDefault="005B3D5C" w:rsidP="00424436">
      <w:pPr>
        <w:pStyle w:val="FootnoteText"/>
      </w:pPr>
      <w:r>
        <w:rPr>
          <w:rStyle w:val="FootnoteReference"/>
        </w:rPr>
        <w:footnoteRef/>
      </w:r>
      <w:r>
        <w:t xml:space="preserve"> </w:t>
      </w:r>
      <w:hyperlink r:id="rId2" w:history="1">
        <w:r w:rsidRPr="00155889">
          <w:rPr>
            <w:rStyle w:val="Hyperlink"/>
          </w:rPr>
          <w:t>https://www.cso.ie/en/releasesandpublications/ep/p-syi/statisticalyearbookofireland2021part1/soc/internetusagebyhouseholds/</w:t>
        </w:r>
      </w:hyperlink>
      <w:r>
        <w:t xml:space="preserve"> </w:t>
      </w:r>
    </w:p>
  </w:footnote>
  <w:footnote w:id="3">
    <w:p w14:paraId="11B17D52" w14:textId="3E876F5D" w:rsidR="005B3D5C" w:rsidRDefault="005B3D5C" w:rsidP="00424436">
      <w:pPr>
        <w:pStyle w:val="FootnoteText"/>
      </w:pPr>
      <w:r>
        <w:rPr>
          <w:rStyle w:val="FootnoteReference"/>
        </w:rPr>
        <w:footnoteRef/>
      </w:r>
      <w:r>
        <w:t xml:space="preserve"> </w:t>
      </w:r>
      <w:hyperlink r:id="rId3" w:history="1">
        <w:r w:rsidRPr="0081522A">
          <w:rPr>
            <w:rStyle w:val="Hyperlink"/>
          </w:rPr>
          <w:t>The Customer Communications Toolkit for the Public Service - A Universal Design Approach</w:t>
        </w:r>
      </w:hyperlink>
      <w:r>
        <w:t xml:space="preserve"> is an excellent resource available for Departments and public bodies to ensure that communications with the public in all forms are not only accessible, but are universally designed. </w:t>
      </w:r>
    </w:p>
  </w:footnote>
  <w:footnote w:id="4">
    <w:p w14:paraId="28EBB31E" w14:textId="7068769C" w:rsidR="005B3D5C" w:rsidRDefault="005B3D5C">
      <w:pPr>
        <w:pStyle w:val="FootnoteText"/>
      </w:pPr>
      <w:r>
        <w:rPr>
          <w:rStyle w:val="FootnoteReference"/>
        </w:rPr>
        <w:footnoteRef/>
      </w:r>
      <w:r>
        <w:t xml:space="preserve"> The NDA has produced </w:t>
      </w:r>
      <w:hyperlink r:id="rId4" w:history="1">
        <w:r w:rsidRPr="00107937">
          <w:rPr>
            <w:rStyle w:val="Hyperlink"/>
          </w:rPr>
          <w:t>Access Officer Guidance for Public Bodies</w:t>
        </w:r>
      </w:hyperlink>
      <w:r>
        <w:t xml:space="preserve"> to assist public bodies and Departments in understanding the role of access officer and providing information on how best to support and make use of the Access Officer role </w:t>
      </w:r>
    </w:p>
  </w:footnote>
  <w:footnote w:id="5">
    <w:p w14:paraId="2F19D66A" w14:textId="0DEAFA1E" w:rsidR="000C22F0" w:rsidRDefault="000C22F0">
      <w:pPr>
        <w:pStyle w:val="FootnoteText"/>
      </w:pPr>
      <w:r>
        <w:rPr>
          <w:rStyle w:val="FootnoteReference"/>
        </w:rPr>
        <w:footnoteRef/>
      </w:r>
      <w:r>
        <w:t xml:space="preserve"> This is detailed in the </w:t>
      </w:r>
      <w:hyperlink r:id="rId5" w:history="1">
        <w:r w:rsidRPr="000C22F0">
          <w:rPr>
            <w:rStyle w:val="Hyperlink"/>
          </w:rPr>
          <w:t>National Disability Authority’s strategic plan 2022-2024</w:t>
        </w:r>
      </w:hyperlink>
    </w:p>
  </w:footnote>
  <w:footnote w:id="6">
    <w:p w14:paraId="008064BC" w14:textId="5F3B5C1D" w:rsidR="005B3D5C" w:rsidRDefault="005B3D5C">
      <w:pPr>
        <w:pStyle w:val="FootnoteText"/>
      </w:pPr>
      <w:r>
        <w:rPr>
          <w:rStyle w:val="FootnoteReference"/>
        </w:rPr>
        <w:footnoteRef/>
      </w:r>
      <w:r>
        <w:t xml:space="preserve"> </w:t>
      </w:r>
      <w:r w:rsidRPr="000F6A4C">
        <w:t xml:space="preserve">Public sector bodies must prepare and regularly update a detailed, comprehensive and clear Accessibility Statement on the compliance of their websites and mobile applications with the </w:t>
      </w:r>
      <w:r>
        <w:t>EU</w:t>
      </w:r>
      <w:r w:rsidRPr="000F6A4C">
        <w:t xml:space="preserve"> (Accessibility of Websites and Mobile Applications of Public S</w:t>
      </w:r>
      <w:r>
        <w:t xml:space="preserve">ector Bodies) Regulations 2020. These regulations include the provision of a mechanism for reporting inaccessible content and requesting accessible documentation which can be fulfilled by an Access Officer. CUED has produced </w:t>
      </w:r>
      <w:hyperlink r:id="rId6" w:anchor="writingaccessibilitystatement" w:history="1">
        <w:r>
          <w:rPr>
            <w:rStyle w:val="Hyperlink"/>
          </w:rPr>
          <w:t xml:space="preserve">Guidance on writing Accessibility Statements </w:t>
        </w:r>
      </w:hyperlink>
      <w:r>
        <w:t xml:space="preserve">for public bodies to help with requirements in terms of Accessibility Statements. </w:t>
      </w:r>
    </w:p>
  </w:footnote>
  <w:footnote w:id="7">
    <w:p w14:paraId="49A09910" w14:textId="5AAEBAE9" w:rsidR="005B3D5C" w:rsidRDefault="005B3D5C">
      <w:pPr>
        <w:pStyle w:val="FootnoteText"/>
      </w:pPr>
      <w:r>
        <w:rPr>
          <w:rStyle w:val="FootnoteReference"/>
        </w:rPr>
        <w:footnoteRef/>
      </w:r>
      <w:r>
        <w:t xml:space="preserve"> It is also important to note that Access Officers can be useful in the context of not just members of the general public but job applicants, contractors, external stakeholders attending on site meetings and employees of the public body itself</w:t>
      </w:r>
    </w:p>
  </w:footnote>
  <w:footnote w:id="8">
    <w:p w14:paraId="1FFD1DBA" w14:textId="77777777" w:rsidR="00BF19C7" w:rsidRPr="00DB0AA6" w:rsidRDefault="00BF19C7" w:rsidP="00DB0AA6">
      <w:pPr>
        <w:pStyle w:val="ListBullet"/>
        <w:numPr>
          <w:ilvl w:val="0"/>
          <w:numId w:val="0"/>
        </w:numPr>
        <w:rPr>
          <w:sz w:val="22"/>
          <w:szCs w:val="22"/>
        </w:rPr>
      </w:pPr>
      <w:r>
        <w:rPr>
          <w:rStyle w:val="FootnoteReference"/>
        </w:rPr>
        <w:footnoteRef/>
      </w:r>
      <w:r>
        <w:t xml:space="preserve"> </w:t>
      </w:r>
      <w:r w:rsidRPr="00DB0AA6">
        <w:rPr>
          <w:sz w:val="22"/>
          <w:szCs w:val="22"/>
        </w:rPr>
        <w:t xml:space="preserve">Public bodies should note that in the NDA’s </w:t>
      </w:r>
      <w:hyperlink r:id="rId7" w:history="1">
        <w:r w:rsidRPr="00DB0AA6">
          <w:rPr>
            <w:rStyle w:val="Hyperlink"/>
            <w:sz w:val="22"/>
            <w:szCs w:val="22"/>
          </w:rPr>
          <w:t>guidance on writing</w:t>
        </w:r>
      </w:hyperlink>
      <w:r w:rsidRPr="00DB0AA6">
        <w:rPr>
          <w:sz w:val="22"/>
          <w:szCs w:val="22"/>
        </w:rPr>
        <w:t xml:space="preserve"> an accessibility statement which will be compliant with the requirements under the WAD a feedback mechanism must be included. This mechanism can be the Access Officer, however, in addition to details being provided as part of the accessibility statement, details for the Access Officer should be made clear on another section of the website (as detailed above). This is because it needs to be clear that accessibility of digital information is only one aspect of this role. </w:t>
      </w:r>
    </w:p>
    <w:p w14:paraId="0D877A41" w14:textId="4C6A251D" w:rsidR="00BF19C7" w:rsidRDefault="00BF19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3FB6" w14:textId="77777777" w:rsidR="005B3D5C" w:rsidRDefault="005B3D5C" w:rsidP="00A618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70E46C9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09321B2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B39456E"/>
    <w:multiLevelType w:val="hybridMultilevel"/>
    <w:tmpl w:val="A9106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F6556FA"/>
    <w:multiLevelType w:val="hybridMultilevel"/>
    <w:tmpl w:val="DA16149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6FB18C4"/>
    <w:multiLevelType w:val="hybridMultilevel"/>
    <w:tmpl w:val="B4AA5238"/>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1A639B"/>
    <w:multiLevelType w:val="hybridMultilevel"/>
    <w:tmpl w:val="5F20ADC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86B69EE"/>
    <w:multiLevelType w:val="hybridMultilevel"/>
    <w:tmpl w:val="5F20ADC6"/>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48872A25"/>
    <w:multiLevelType w:val="hybridMultilevel"/>
    <w:tmpl w:val="239C8D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9562293"/>
    <w:multiLevelType w:val="hybridMultilevel"/>
    <w:tmpl w:val="3C9CA1A0"/>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1A1270B"/>
    <w:multiLevelType w:val="hybridMultilevel"/>
    <w:tmpl w:val="DA16149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F2649C9"/>
    <w:multiLevelType w:val="hybridMultilevel"/>
    <w:tmpl w:val="E024872A"/>
    <w:lvl w:ilvl="0" w:tplc="18090001">
      <w:start w:val="1"/>
      <w:numFmt w:val="bullet"/>
      <w:lvlText w:val=""/>
      <w:lvlJc w:val="left"/>
      <w:pPr>
        <w:ind w:left="790" w:hanging="360"/>
      </w:pPr>
      <w:rPr>
        <w:rFonts w:ascii="Symbol" w:hAnsi="Symbol" w:hint="default"/>
      </w:rPr>
    </w:lvl>
    <w:lvl w:ilvl="1" w:tplc="18090003" w:tentative="1">
      <w:start w:val="1"/>
      <w:numFmt w:val="bullet"/>
      <w:lvlText w:val="o"/>
      <w:lvlJc w:val="left"/>
      <w:pPr>
        <w:ind w:left="1510" w:hanging="360"/>
      </w:pPr>
      <w:rPr>
        <w:rFonts w:ascii="Courier New" w:hAnsi="Courier New" w:cs="Courier New" w:hint="default"/>
      </w:rPr>
    </w:lvl>
    <w:lvl w:ilvl="2" w:tplc="18090005" w:tentative="1">
      <w:start w:val="1"/>
      <w:numFmt w:val="bullet"/>
      <w:lvlText w:val=""/>
      <w:lvlJc w:val="left"/>
      <w:pPr>
        <w:ind w:left="2230" w:hanging="360"/>
      </w:pPr>
      <w:rPr>
        <w:rFonts w:ascii="Wingdings" w:hAnsi="Wingdings" w:hint="default"/>
      </w:rPr>
    </w:lvl>
    <w:lvl w:ilvl="3" w:tplc="18090001" w:tentative="1">
      <w:start w:val="1"/>
      <w:numFmt w:val="bullet"/>
      <w:lvlText w:val=""/>
      <w:lvlJc w:val="left"/>
      <w:pPr>
        <w:ind w:left="2950" w:hanging="360"/>
      </w:pPr>
      <w:rPr>
        <w:rFonts w:ascii="Symbol" w:hAnsi="Symbol" w:hint="default"/>
      </w:rPr>
    </w:lvl>
    <w:lvl w:ilvl="4" w:tplc="18090003" w:tentative="1">
      <w:start w:val="1"/>
      <w:numFmt w:val="bullet"/>
      <w:lvlText w:val="o"/>
      <w:lvlJc w:val="left"/>
      <w:pPr>
        <w:ind w:left="3670" w:hanging="360"/>
      </w:pPr>
      <w:rPr>
        <w:rFonts w:ascii="Courier New" w:hAnsi="Courier New" w:cs="Courier New" w:hint="default"/>
      </w:rPr>
    </w:lvl>
    <w:lvl w:ilvl="5" w:tplc="18090005" w:tentative="1">
      <w:start w:val="1"/>
      <w:numFmt w:val="bullet"/>
      <w:lvlText w:val=""/>
      <w:lvlJc w:val="left"/>
      <w:pPr>
        <w:ind w:left="4390" w:hanging="360"/>
      </w:pPr>
      <w:rPr>
        <w:rFonts w:ascii="Wingdings" w:hAnsi="Wingdings" w:hint="default"/>
      </w:rPr>
    </w:lvl>
    <w:lvl w:ilvl="6" w:tplc="18090001" w:tentative="1">
      <w:start w:val="1"/>
      <w:numFmt w:val="bullet"/>
      <w:lvlText w:val=""/>
      <w:lvlJc w:val="left"/>
      <w:pPr>
        <w:ind w:left="5110" w:hanging="360"/>
      </w:pPr>
      <w:rPr>
        <w:rFonts w:ascii="Symbol" w:hAnsi="Symbol" w:hint="default"/>
      </w:rPr>
    </w:lvl>
    <w:lvl w:ilvl="7" w:tplc="18090003" w:tentative="1">
      <w:start w:val="1"/>
      <w:numFmt w:val="bullet"/>
      <w:lvlText w:val="o"/>
      <w:lvlJc w:val="left"/>
      <w:pPr>
        <w:ind w:left="5830" w:hanging="360"/>
      </w:pPr>
      <w:rPr>
        <w:rFonts w:ascii="Courier New" w:hAnsi="Courier New" w:cs="Courier New" w:hint="default"/>
      </w:rPr>
    </w:lvl>
    <w:lvl w:ilvl="8" w:tplc="18090005" w:tentative="1">
      <w:start w:val="1"/>
      <w:numFmt w:val="bullet"/>
      <w:lvlText w:val=""/>
      <w:lvlJc w:val="left"/>
      <w:pPr>
        <w:ind w:left="6550" w:hanging="360"/>
      </w:pPr>
      <w:rPr>
        <w:rFonts w:ascii="Wingdings" w:hAnsi="Wingdings" w:hint="default"/>
      </w:rPr>
    </w:lvl>
  </w:abstractNum>
  <w:abstractNum w:abstractNumId="15" w15:restartNumberingAfterBreak="0">
    <w:nsid w:val="717977F6"/>
    <w:multiLevelType w:val="hybridMultilevel"/>
    <w:tmpl w:val="F11206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2A87622"/>
    <w:multiLevelType w:val="hybridMultilevel"/>
    <w:tmpl w:val="B4AA5238"/>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45C354A"/>
    <w:multiLevelType w:val="hybridMultilevel"/>
    <w:tmpl w:val="3C9CA1A0"/>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A3D4659"/>
    <w:multiLevelType w:val="hybridMultilevel"/>
    <w:tmpl w:val="194A8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6A4EAF"/>
    <w:multiLevelType w:val="hybridMultilevel"/>
    <w:tmpl w:val="88F0D7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CA87B08"/>
    <w:multiLevelType w:val="hybridMultilevel"/>
    <w:tmpl w:val="49549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D794F81"/>
    <w:multiLevelType w:val="hybridMultilevel"/>
    <w:tmpl w:val="806AE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EF37B3D"/>
    <w:multiLevelType w:val="hybridMultilevel"/>
    <w:tmpl w:val="5B2061B4"/>
    <w:lvl w:ilvl="0" w:tplc="18090001">
      <w:start w:val="1"/>
      <w:numFmt w:val="bullet"/>
      <w:lvlText w:val=""/>
      <w:lvlJc w:val="left"/>
      <w:pPr>
        <w:ind w:left="790" w:hanging="360"/>
      </w:pPr>
      <w:rPr>
        <w:rFonts w:ascii="Symbol" w:hAnsi="Symbol" w:hint="default"/>
      </w:rPr>
    </w:lvl>
    <w:lvl w:ilvl="1" w:tplc="18090003" w:tentative="1">
      <w:start w:val="1"/>
      <w:numFmt w:val="bullet"/>
      <w:lvlText w:val="o"/>
      <w:lvlJc w:val="left"/>
      <w:pPr>
        <w:ind w:left="1510" w:hanging="360"/>
      </w:pPr>
      <w:rPr>
        <w:rFonts w:ascii="Courier New" w:hAnsi="Courier New" w:cs="Courier New" w:hint="default"/>
      </w:rPr>
    </w:lvl>
    <w:lvl w:ilvl="2" w:tplc="18090005" w:tentative="1">
      <w:start w:val="1"/>
      <w:numFmt w:val="bullet"/>
      <w:lvlText w:val=""/>
      <w:lvlJc w:val="left"/>
      <w:pPr>
        <w:ind w:left="2230" w:hanging="360"/>
      </w:pPr>
      <w:rPr>
        <w:rFonts w:ascii="Wingdings" w:hAnsi="Wingdings" w:hint="default"/>
      </w:rPr>
    </w:lvl>
    <w:lvl w:ilvl="3" w:tplc="18090001" w:tentative="1">
      <w:start w:val="1"/>
      <w:numFmt w:val="bullet"/>
      <w:lvlText w:val=""/>
      <w:lvlJc w:val="left"/>
      <w:pPr>
        <w:ind w:left="2950" w:hanging="360"/>
      </w:pPr>
      <w:rPr>
        <w:rFonts w:ascii="Symbol" w:hAnsi="Symbol" w:hint="default"/>
      </w:rPr>
    </w:lvl>
    <w:lvl w:ilvl="4" w:tplc="18090003" w:tentative="1">
      <w:start w:val="1"/>
      <w:numFmt w:val="bullet"/>
      <w:lvlText w:val="o"/>
      <w:lvlJc w:val="left"/>
      <w:pPr>
        <w:ind w:left="3670" w:hanging="360"/>
      </w:pPr>
      <w:rPr>
        <w:rFonts w:ascii="Courier New" w:hAnsi="Courier New" w:cs="Courier New" w:hint="default"/>
      </w:rPr>
    </w:lvl>
    <w:lvl w:ilvl="5" w:tplc="18090005" w:tentative="1">
      <w:start w:val="1"/>
      <w:numFmt w:val="bullet"/>
      <w:lvlText w:val=""/>
      <w:lvlJc w:val="left"/>
      <w:pPr>
        <w:ind w:left="4390" w:hanging="360"/>
      </w:pPr>
      <w:rPr>
        <w:rFonts w:ascii="Wingdings" w:hAnsi="Wingdings" w:hint="default"/>
      </w:rPr>
    </w:lvl>
    <w:lvl w:ilvl="6" w:tplc="18090001" w:tentative="1">
      <w:start w:val="1"/>
      <w:numFmt w:val="bullet"/>
      <w:lvlText w:val=""/>
      <w:lvlJc w:val="left"/>
      <w:pPr>
        <w:ind w:left="5110" w:hanging="360"/>
      </w:pPr>
      <w:rPr>
        <w:rFonts w:ascii="Symbol" w:hAnsi="Symbol" w:hint="default"/>
      </w:rPr>
    </w:lvl>
    <w:lvl w:ilvl="7" w:tplc="18090003" w:tentative="1">
      <w:start w:val="1"/>
      <w:numFmt w:val="bullet"/>
      <w:lvlText w:val="o"/>
      <w:lvlJc w:val="left"/>
      <w:pPr>
        <w:ind w:left="5830" w:hanging="360"/>
      </w:pPr>
      <w:rPr>
        <w:rFonts w:ascii="Courier New" w:hAnsi="Courier New" w:cs="Courier New" w:hint="default"/>
      </w:rPr>
    </w:lvl>
    <w:lvl w:ilvl="8" w:tplc="18090005" w:tentative="1">
      <w:start w:val="1"/>
      <w:numFmt w:val="bullet"/>
      <w:lvlText w:val=""/>
      <w:lvlJc w:val="left"/>
      <w:pPr>
        <w:ind w:left="6550" w:hanging="360"/>
      </w:pPr>
      <w:rPr>
        <w:rFonts w:ascii="Wingdings" w:hAnsi="Wingdings" w:hint="default"/>
      </w:rPr>
    </w:lvl>
  </w:abstractNum>
  <w:abstractNum w:abstractNumId="23" w15:restartNumberingAfterBreak="0">
    <w:nsid w:val="7F4E2852"/>
    <w:multiLevelType w:val="hybridMultilevel"/>
    <w:tmpl w:val="13E21D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75816929">
    <w:abstractNumId w:val="5"/>
  </w:num>
  <w:num w:numId="2" w16cid:durableId="71509110">
    <w:abstractNumId w:val="3"/>
  </w:num>
  <w:num w:numId="3" w16cid:durableId="1662151686">
    <w:abstractNumId w:val="2"/>
  </w:num>
  <w:num w:numId="4" w16cid:durableId="1990205172">
    <w:abstractNumId w:val="4"/>
  </w:num>
  <w:num w:numId="5" w16cid:durableId="139463681">
    <w:abstractNumId w:val="4"/>
  </w:num>
  <w:num w:numId="6" w16cid:durableId="1660111242">
    <w:abstractNumId w:val="1"/>
  </w:num>
  <w:num w:numId="7" w16cid:durableId="1144354287">
    <w:abstractNumId w:val="0"/>
  </w:num>
  <w:num w:numId="8" w16cid:durableId="1461067463">
    <w:abstractNumId w:val="21"/>
  </w:num>
  <w:num w:numId="9" w16cid:durableId="128323975">
    <w:abstractNumId w:val="8"/>
  </w:num>
  <w:num w:numId="10" w16cid:durableId="1961180923">
    <w:abstractNumId w:val="12"/>
  </w:num>
  <w:num w:numId="11" w16cid:durableId="470951192">
    <w:abstractNumId w:val="10"/>
  </w:num>
  <w:num w:numId="12" w16cid:durableId="289633714">
    <w:abstractNumId w:val="7"/>
  </w:num>
  <w:num w:numId="13" w16cid:durableId="1930387179">
    <w:abstractNumId w:val="15"/>
  </w:num>
  <w:num w:numId="14" w16cid:durableId="290289937">
    <w:abstractNumId w:val="4"/>
    <w:lvlOverride w:ilvl="0">
      <w:startOverride w:val="1"/>
    </w:lvlOverride>
  </w:num>
  <w:num w:numId="15" w16cid:durableId="24215120">
    <w:abstractNumId w:val="18"/>
  </w:num>
  <w:num w:numId="16" w16cid:durableId="1033925952">
    <w:abstractNumId w:val="4"/>
    <w:lvlOverride w:ilvl="0">
      <w:startOverride w:val="1"/>
    </w:lvlOverride>
  </w:num>
  <w:num w:numId="17" w16cid:durableId="649943993">
    <w:abstractNumId w:val="4"/>
    <w:lvlOverride w:ilvl="0">
      <w:startOverride w:val="1"/>
    </w:lvlOverride>
  </w:num>
  <w:num w:numId="18" w16cid:durableId="105083763">
    <w:abstractNumId w:val="4"/>
    <w:lvlOverride w:ilvl="0">
      <w:startOverride w:val="1"/>
    </w:lvlOverride>
  </w:num>
  <w:num w:numId="19" w16cid:durableId="1601718086">
    <w:abstractNumId w:val="4"/>
    <w:lvlOverride w:ilvl="0">
      <w:startOverride w:val="1"/>
    </w:lvlOverride>
  </w:num>
  <w:num w:numId="20" w16cid:durableId="1369909510">
    <w:abstractNumId w:val="4"/>
    <w:lvlOverride w:ilvl="0">
      <w:startOverride w:val="1"/>
    </w:lvlOverride>
  </w:num>
  <w:num w:numId="21" w16cid:durableId="1347057538">
    <w:abstractNumId w:val="4"/>
    <w:lvlOverride w:ilvl="0">
      <w:startOverride w:val="1"/>
    </w:lvlOverride>
  </w:num>
  <w:num w:numId="22" w16cid:durableId="1922447034">
    <w:abstractNumId w:val="4"/>
    <w:lvlOverride w:ilvl="0">
      <w:startOverride w:val="1"/>
    </w:lvlOverride>
  </w:num>
  <w:num w:numId="23" w16cid:durableId="1041780879">
    <w:abstractNumId w:val="4"/>
    <w:lvlOverride w:ilvl="0">
      <w:startOverride w:val="1"/>
    </w:lvlOverride>
  </w:num>
  <w:num w:numId="24" w16cid:durableId="659578472">
    <w:abstractNumId w:val="4"/>
    <w:lvlOverride w:ilvl="0">
      <w:startOverride w:val="1"/>
    </w:lvlOverride>
  </w:num>
  <w:num w:numId="25" w16cid:durableId="1115297532">
    <w:abstractNumId w:val="4"/>
    <w:lvlOverride w:ilvl="0">
      <w:startOverride w:val="1"/>
    </w:lvlOverride>
  </w:num>
  <w:num w:numId="26" w16cid:durableId="631785001">
    <w:abstractNumId w:val="4"/>
    <w:lvlOverride w:ilvl="0">
      <w:startOverride w:val="1"/>
    </w:lvlOverride>
  </w:num>
  <w:num w:numId="27" w16cid:durableId="391857218">
    <w:abstractNumId w:val="4"/>
    <w:lvlOverride w:ilvl="0">
      <w:startOverride w:val="1"/>
    </w:lvlOverride>
  </w:num>
  <w:num w:numId="28" w16cid:durableId="1788620778">
    <w:abstractNumId w:val="4"/>
    <w:lvlOverride w:ilvl="0">
      <w:startOverride w:val="1"/>
    </w:lvlOverride>
  </w:num>
  <w:num w:numId="29" w16cid:durableId="1020086415">
    <w:abstractNumId w:val="4"/>
    <w:lvlOverride w:ilvl="0">
      <w:startOverride w:val="1"/>
    </w:lvlOverride>
  </w:num>
  <w:num w:numId="30" w16cid:durableId="2074965055">
    <w:abstractNumId w:val="4"/>
    <w:lvlOverride w:ilvl="0">
      <w:startOverride w:val="1"/>
    </w:lvlOverride>
  </w:num>
  <w:num w:numId="31" w16cid:durableId="2030254179">
    <w:abstractNumId w:val="4"/>
    <w:lvlOverride w:ilvl="0">
      <w:startOverride w:val="1"/>
    </w:lvlOverride>
  </w:num>
  <w:num w:numId="32" w16cid:durableId="1631746819">
    <w:abstractNumId w:val="4"/>
    <w:lvlOverride w:ilvl="0">
      <w:startOverride w:val="1"/>
    </w:lvlOverride>
  </w:num>
  <w:num w:numId="33" w16cid:durableId="1158611215">
    <w:abstractNumId w:val="4"/>
    <w:lvlOverride w:ilvl="0">
      <w:startOverride w:val="1"/>
    </w:lvlOverride>
  </w:num>
  <w:num w:numId="34" w16cid:durableId="1045717238">
    <w:abstractNumId w:val="4"/>
    <w:lvlOverride w:ilvl="0">
      <w:startOverride w:val="1"/>
    </w:lvlOverride>
  </w:num>
  <w:num w:numId="35" w16cid:durableId="723529655">
    <w:abstractNumId w:val="4"/>
    <w:lvlOverride w:ilvl="0">
      <w:startOverride w:val="1"/>
    </w:lvlOverride>
  </w:num>
  <w:num w:numId="36" w16cid:durableId="1479885818">
    <w:abstractNumId w:val="4"/>
    <w:lvlOverride w:ilvl="0">
      <w:startOverride w:val="1"/>
    </w:lvlOverride>
  </w:num>
  <w:num w:numId="37" w16cid:durableId="1881938673">
    <w:abstractNumId w:val="4"/>
    <w:lvlOverride w:ilvl="0">
      <w:startOverride w:val="1"/>
    </w:lvlOverride>
  </w:num>
  <w:num w:numId="38" w16cid:durableId="744375370">
    <w:abstractNumId w:val="4"/>
    <w:lvlOverride w:ilvl="0">
      <w:startOverride w:val="1"/>
    </w:lvlOverride>
  </w:num>
  <w:num w:numId="39" w16cid:durableId="1017658135">
    <w:abstractNumId w:val="4"/>
    <w:lvlOverride w:ilvl="0">
      <w:startOverride w:val="1"/>
    </w:lvlOverride>
  </w:num>
  <w:num w:numId="40" w16cid:durableId="2049573400">
    <w:abstractNumId w:val="4"/>
    <w:lvlOverride w:ilvl="0">
      <w:startOverride w:val="1"/>
    </w:lvlOverride>
  </w:num>
  <w:num w:numId="41" w16cid:durableId="1715612652">
    <w:abstractNumId w:val="4"/>
    <w:lvlOverride w:ilvl="0">
      <w:startOverride w:val="1"/>
    </w:lvlOverride>
  </w:num>
  <w:num w:numId="42" w16cid:durableId="1407192855">
    <w:abstractNumId w:val="4"/>
    <w:lvlOverride w:ilvl="0">
      <w:startOverride w:val="1"/>
    </w:lvlOverride>
  </w:num>
  <w:num w:numId="43" w16cid:durableId="329218479">
    <w:abstractNumId w:val="4"/>
    <w:lvlOverride w:ilvl="0">
      <w:startOverride w:val="1"/>
    </w:lvlOverride>
  </w:num>
  <w:num w:numId="44" w16cid:durableId="1206525969">
    <w:abstractNumId w:val="4"/>
    <w:lvlOverride w:ilvl="0">
      <w:startOverride w:val="1"/>
    </w:lvlOverride>
  </w:num>
  <w:num w:numId="45" w16cid:durableId="1775130088">
    <w:abstractNumId w:val="4"/>
    <w:lvlOverride w:ilvl="0">
      <w:startOverride w:val="1"/>
    </w:lvlOverride>
  </w:num>
  <w:num w:numId="46" w16cid:durableId="662317991">
    <w:abstractNumId w:val="4"/>
    <w:lvlOverride w:ilvl="0">
      <w:startOverride w:val="1"/>
    </w:lvlOverride>
  </w:num>
  <w:num w:numId="47" w16cid:durableId="348065440">
    <w:abstractNumId w:val="4"/>
    <w:lvlOverride w:ilvl="0">
      <w:startOverride w:val="1"/>
    </w:lvlOverride>
  </w:num>
  <w:num w:numId="48" w16cid:durableId="960961394">
    <w:abstractNumId w:val="4"/>
    <w:lvlOverride w:ilvl="0">
      <w:startOverride w:val="1"/>
    </w:lvlOverride>
  </w:num>
  <w:num w:numId="49" w16cid:durableId="1028408869">
    <w:abstractNumId w:val="4"/>
    <w:lvlOverride w:ilvl="0">
      <w:startOverride w:val="1"/>
    </w:lvlOverride>
  </w:num>
  <w:num w:numId="50" w16cid:durableId="1203904483">
    <w:abstractNumId w:val="4"/>
    <w:lvlOverride w:ilvl="0">
      <w:startOverride w:val="1"/>
    </w:lvlOverride>
  </w:num>
  <w:num w:numId="51" w16cid:durableId="464352188">
    <w:abstractNumId w:val="4"/>
    <w:lvlOverride w:ilvl="0">
      <w:startOverride w:val="1"/>
    </w:lvlOverride>
  </w:num>
  <w:num w:numId="52" w16cid:durableId="1677725274">
    <w:abstractNumId w:val="16"/>
  </w:num>
  <w:num w:numId="53" w16cid:durableId="730688867">
    <w:abstractNumId w:val="17"/>
  </w:num>
  <w:num w:numId="54" w16cid:durableId="1198393658">
    <w:abstractNumId w:val="9"/>
  </w:num>
  <w:num w:numId="55" w16cid:durableId="2139100461">
    <w:abstractNumId w:val="13"/>
  </w:num>
  <w:num w:numId="56" w16cid:durableId="337655780">
    <w:abstractNumId w:val="4"/>
    <w:lvlOverride w:ilvl="0">
      <w:startOverride w:val="1"/>
    </w:lvlOverride>
  </w:num>
  <w:num w:numId="57" w16cid:durableId="935595851">
    <w:abstractNumId w:val="4"/>
    <w:lvlOverride w:ilvl="0">
      <w:startOverride w:val="1"/>
    </w:lvlOverride>
  </w:num>
  <w:num w:numId="58" w16cid:durableId="621764774">
    <w:abstractNumId w:val="4"/>
    <w:lvlOverride w:ilvl="0">
      <w:startOverride w:val="1"/>
    </w:lvlOverride>
  </w:num>
  <w:num w:numId="59" w16cid:durableId="1556118737">
    <w:abstractNumId w:val="4"/>
    <w:lvlOverride w:ilvl="0">
      <w:startOverride w:val="1"/>
    </w:lvlOverride>
  </w:num>
  <w:num w:numId="60" w16cid:durableId="983317391">
    <w:abstractNumId w:val="4"/>
    <w:lvlOverride w:ilvl="0">
      <w:startOverride w:val="1"/>
    </w:lvlOverride>
  </w:num>
  <w:num w:numId="61" w16cid:durableId="1495343636">
    <w:abstractNumId w:val="4"/>
    <w:lvlOverride w:ilvl="0">
      <w:startOverride w:val="1"/>
    </w:lvlOverride>
  </w:num>
  <w:num w:numId="62" w16cid:durableId="549268583">
    <w:abstractNumId w:val="4"/>
    <w:lvlOverride w:ilvl="0">
      <w:startOverride w:val="1"/>
    </w:lvlOverride>
  </w:num>
  <w:num w:numId="63" w16cid:durableId="648441689">
    <w:abstractNumId w:val="4"/>
    <w:lvlOverride w:ilvl="0">
      <w:startOverride w:val="1"/>
    </w:lvlOverride>
  </w:num>
  <w:num w:numId="64" w16cid:durableId="515190390">
    <w:abstractNumId w:val="4"/>
    <w:lvlOverride w:ilvl="0">
      <w:startOverride w:val="1"/>
    </w:lvlOverride>
  </w:num>
  <w:num w:numId="65" w16cid:durableId="2117165843">
    <w:abstractNumId w:val="4"/>
    <w:lvlOverride w:ilvl="0">
      <w:startOverride w:val="1"/>
    </w:lvlOverride>
  </w:num>
  <w:num w:numId="66" w16cid:durableId="90055811">
    <w:abstractNumId w:val="4"/>
    <w:lvlOverride w:ilvl="0">
      <w:startOverride w:val="1"/>
    </w:lvlOverride>
  </w:num>
  <w:num w:numId="67" w16cid:durableId="380904940">
    <w:abstractNumId w:val="4"/>
    <w:lvlOverride w:ilvl="0">
      <w:startOverride w:val="1"/>
    </w:lvlOverride>
  </w:num>
  <w:num w:numId="68" w16cid:durableId="104276286">
    <w:abstractNumId w:val="4"/>
    <w:lvlOverride w:ilvl="0">
      <w:startOverride w:val="1"/>
    </w:lvlOverride>
  </w:num>
  <w:num w:numId="69" w16cid:durableId="313068319">
    <w:abstractNumId w:val="4"/>
    <w:lvlOverride w:ilvl="0">
      <w:startOverride w:val="1"/>
    </w:lvlOverride>
  </w:num>
  <w:num w:numId="70" w16cid:durableId="1896771670">
    <w:abstractNumId w:val="4"/>
    <w:lvlOverride w:ilvl="0">
      <w:startOverride w:val="1"/>
    </w:lvlOverride>
  </w:num>
  <w:num w:numId="71" w16cid:durableId="296228897">
    <w:abstractNumId w:val="4"/>
    <w:lvlOverride w:ilvl="0">
      <w:startOverride w:val="1"/>
    </w:lvlOverride>
  </w:num>
  <w:num w:numId="72" w16cid:durableId="498690742">
    <w:abstractNumId w:val="4"/>
    <w:lvlOverride w:ilvl="0">
      <w:startOverride w:val="1"/>
    </w:lvlOverride>
  </w:num>
  <w:num w:numId="73" w16cid:durableId="689069405">
    <w:abstractNumId w:val="4"/>
    <w:lvlOverride w:ilvl="0">
      <w:startOverride w:val="1"/>
    </w:lvlOverride>
  </w:num>
  <w:num w:numId="74" w16cid:durableId="295717704">
    <w:abstractNumId w:val="20"/>
  </w:num>
  <w:num w:numId="75" w16cid:durableId="510724584">
    <w:abstractNumId w:val="6"/>
  </w:num>
  <w:num w:numId="76" w16cid:durableId="762797626">
    <w:abstractNumId w:val="23"/>
  </w:num>
  <w:num w:numId="77" w16cid:durableId="1648514292">
    <w:abstractNumId w:val="19"/>
  </w:num>
  <w:num w:numId="78" w16cid:durableId="244992926">
    <w:abstractNumId w:val="14"/>
  </w:num>
  <w:num w:numId="79" w16cid:durableId="668287371">
    <w:abstractNumId w:val="22"/>
  </w:num>
  <w:num w:numId="80" w16cid:durableId="2107186365">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58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B7"/>
    <w:rsid w:val="000024C4"/>
    <w:rsid w:val="00002F38"/>
    <w:rsid w:val="000053E0"/>
    <w:rsid w:val="000067EB"/>
    <w:rsid w:val="00007DAE"/>
    <w:rsid w:val="00020C6D"/>
    <w:rsid w:val="00021A24"/>
    <w:rsid w:val="000233EE"/>
    <w:rsid w:val="00030458"/>
    <w:rsid w:val="0003096D"/>
    <w:rsid w:val="00030E8F"/>
    <w:rsid w:val="00034800"/>
    <w:rsid w:val="00035246"/>
    <w:rsid w:val="00042313"/>
    <w:rsid w:val="00044CF1"/>
    <w:rsid w:val="00050A93"/>
    <w:rsid w:val="000563C8"/>
    <w:rsid w:val="00056A6A"/>
    <w:rsid w:val="00060C3D"/>
    <w:rsid w:val="000627AB"/>
    <w:rsid w:val="00062D2D"/>
    <w:rsid w:val="00063EE9"/>
    <w:rsid w:val="00065CD9"/>
    <w:rsid w:val="00072AF2"/>
    <w:rsid w:val="00072DDD"/>
    <w:rsid w:val="000773D1"/>
    <w:rsid w:val="000832AE"/>
    <w:rsid w:val="000841CA"/>
    <w:rsid w:val="00084941"/>
    <w:rsid w:val="000946DD"/>
    <w:rsid w:val="00096A0F"/>
    <w:rsid w:val="00096D75"/>
    <w:rsid w:val="00097307"/>
    <w:rsid w:val="000A0053"/>
    <w:rsid w:val="000A5519"/>
    <w:rsid w:val="000A7D6E"/>
    <w:rsid w:val="000B1DF3"/>
    <w:rsid w:val="000B749B"/>
    <w:rsid w:val="000C03FA"/>
    <w:rsid w:val="000C150E"/>
    <w:rsid w:val="000C22F0"/>
    <w:rsid w:val="000C5CCA"/>
    <w:rsid w:val="000D09E0"/>
    <w:rsid w:val="000D1ECB"/>
    <w:rsid w:val="000D42F8"/>
    <w:rsid w:val="000D6FD2"/>
    <w:rsid w:val="000D731A"/>
    <w:rsid w:val="000E089B"/>
    <w:rsid w:val="000E21E4"/>
    <w:rsid w:val="000E2F76"/>
    <w:rsid w:val="000E4153"/>
    <w:rsid w:val="000E7BF0"/>
    <w:rsid w:val="000F0585"/>
    <w:rsid w:val="000F2D76"/>
    <w:rsid w:val="000F3B61"/>
    <w:rsid w:val="000F5746"/>
    <w:rsid w:val="000F575E"/>
    <w:rsid w:val="000F6A4C"/>
    <w:rsid w:val="001023C5"/>
    <w:rsid w:val="00103127"/>
    <w:rsid w:val="00106E5F"/>
    <w:rsid w:val="00107937"/>
    <w:rsid w:val="0011062A"/>
    <w:rsid w:val="0011115E"/>
    <w:rsid w:val="001146C5"/>
    <w:rsid w:val="00115220"/>
    <w:rsid w:val="00115CF4"/>
    <w:rsid w:val="0012370C"/>
    <w:rsid w:val="00124891"/>
    <w:rsid w:val="00125C17"/>
    <w:rsid w:val="0012646D"/>
    <w:rsid w:val="001301DD"/>
    <w:rsid w:val="0013091D"/>
    <w:rsid w:val="00135D7B"/>
    <w:rsid w:val="00136BE4"/>
    <w:rsid w:val="00137BB4"/>
    <w:rsid w:val="00141322"/>
    <w:rsid w:val="0014439C"/>
    <w:rsid w:val="00144F2E"/>
    <w:rsid w:val="00150AB4"/>
    <w:rsid w:val="0015417D"/>
    <w:rsid w:val="001559CC"/>
    <w:rsid w:val="00156826"/>
    <w:rsid w:val="001763F2"/>
    <w:rsid w:val="00176789"/>
    <w:rsid w:val="00181FE6"/>
    <w:rsid w:val="00182635"/>
    <w:rsid w:val="001847CE"/>
    <w:rsid w:val="00186471"/>
    <w:rsid w:val="00191726"/>
    <w:rsid w:val="001944FD"/>
    <w:rsid w:val="00195397"/>
    <w:rsid w:val="00195D0D"/>
    <w:rsid w:val="001A1132"/>
    <w:rsid w:val="001A3C55"/>
    <w:rsid w:val="001B2F93"/>
    <w:rsid w:val="001B2FF6"/>
    <w:rsid w:val="001B38C5"/>
    <w:rsid w:val="001C22A2"/>
    <w:rsid w:val="001C2DA6"/>
    <w:rsid w:val="001C7238"/>
    <w:rsid w:val="001D2D00"/>
    <w:rsid w:val="001D4E67"/>
    <w:rsid w:val="001D52FE"/>
    <w:rsid w:val="001E2754"/>
    <w:rsid w:val="001E34F5"/>
    <w:rsid w:val="001E359D"/>
    <w:rsid w:val="001E7890"/>
    <w:rsid w:val="001F10ED"/>
    <w:rsid w:val="001F1758"/>
    <w:rsid w:val="001F1B44"/>
    <w:rsid w:val="001F29C0"/>
    <w:rsid w:val="001F424D"/>
    <w:rsid w:val="001F4CC8"/>
    <w:rsid w:val="001F7F12"/>
    <w:rsid w:val="0020262A"/>
    <w:rsid w:val="002031DE"/>
    <w:rsid w:val="00203F16"/>
    <w:rsid w:val="002041EB"/>
    <w:rsid w:val="00206498"/>
    <w:rsid w:val="00207884"/>
    <w:rsid w:val="0021002C"/>
    <w:rsid w:val="002107A2"/>
    <w:rsid w:val="00211DBA"/>
    <w:rsid w:val="002156C7"/>
    <w:rsid w:val="00216526"/>
    <w:rsid w:val="00216EF3"/>
    <w:rsid w:val="00217455"/>
    <w:rsid w:val="002264E6"/>
    <w:rsid w:val="00227DDB"/>
    <w:rsid w:val="00230890"/>
    <w:rsid w:val="00231CBB"/>
    <w:rsid w:val="00231E61"/>
    <w:rsid w:val="00232EF7"/>
    <w:rsid w:val="00236CEC"/>
    <w:rsid w:val="00243285"/>
    <w:rsid w:val="00243E7C"/>
    <w:rsid w:val="00246B22"/>
    <w:rsid w:val="0025351F"/>
    <w:rsid w:val="00255BF2"/>
    <w:rsid w:val="00256118"/>
    <w:rsid w:val="00261CF6"/>
    <w:rsid w:val="00262090"/>
    <w:rsid w:val="00262EEE"/>
    <w:rsid w:val="00263B43"/>
    <w:rsid w:val="0026553E"/>
    <w:rsid w:val="00267039"/>
    <w:rsid w:val="00267289"/>
    <w:rsid w:val="00270DBE"/>
    <w:rsid w:val="00272C19"/>
    <w:rsid w:val="002766C6"/>
    <w:rsid w:val="0027748A"/>
    <w:rsid w:val="00277A9F"/>
    <w:rsid w:val="00282B43"/>
    <w:rsid w:val="002846BD"/>
    <w:rsid w:val="00287B8E"/>
    <w:rsid w:val="00292C4A"/>
    <w:rsid w:val="00293524"/>
    <w:rsid w:val="00293A19"/>
    <w:rsid w:val="0029498F"/>
    <w:rsid w:val="00294FFF"/>
    <w:rsid w:val="00296A60"/>
    <w:rsid w:val="002A303D"/>
    <w:rsid w:val="002A5652"/>
    <w:rsid w:val="002B2B07"/>
    <w:rsid w:val="002B5FBC"/>
    <w:rsid w:val="002B7FB9"/>
    <w:rsid w:val="002C2E5D"/>
    <w:rsid w:val="002D1DD7"/>
    <w:rsid w:val="002D433A"/>
    <w:rsid w:val="002D5D28"/>
    <w:rsid w:val="002D6597"/>
    <w:rsid w:val="002D6943"/>
    <w:rsid w:val="002E30D4"/>
    <w:rsid w:val="002E4937"/>
    <w:rsid w:val="002E4A41"/>
    <w:rsid w:val="002E4F72"/>
    <w:rsid w:val="002E662B"/>
    <w:rsid w:val="002F12F2"/>
    <w:rsid w:val="002F17C5"/>
    <w:rsid w:val="002F1CE3"/>
    <w:rsid w:val="002F2010"/>
    <w:rsid w:val="002F20B7"/>
    <w:rsid w:val="002F5897"/>
    <w:rsid w:val="002F644B"/>
    <w:rsid w:val="002F78A1"/>
    <w:rsid w:val="00300258"/>
    <w:rsid w:val="00301C77"/>
    <w:rsid w:val="00304E3A"/>
    <w:rsid w:val="003071BE"/>
    <w:rsid w:val="003074E0"/>
    <w:rsid w:val="00313442"/>
    <w:rsid w:val="00313F34"/>
    <w:rsid w:val="003142B7"/>
    <w:rsid w:val="003170FE"/>
    <w:rsid w:val="0032052D"/>
    <w:rsid w:val="00321F78"/>
    <w:rsid w:val="00327A90"/>
    <w:rsid w:val="003334E6"/>
    <w:rsid w:val="00333966"/>
    <w:rsid w:val="00334D37"/>
    <w:rsid w:val="00340211"/>
    <w:rsid w:val="003405DD"/>
    <w:rsid w:val="00341EAD"/>
    <w:rsid w:val="00344F18"/>
    <w:rsid w:val="00345805"/>
    <w:rsid w:val="00345EDE"/>
    <w:rsid w:val="00351252"/>
    <w:rsid w:val="00352596"/>
    <w:rsid w:val="003527E4"/>
    <w:rsid w:val="00354C40"/>
    <w:rsid w:val="0035715F"/>
    <w:rsid w:val="00360118"/>
    <w:rsid w:val="003647BD"/>
    <w:rsid w:val="00364D4A"/>
    <w:rsid w:val="003716E2"/>
    <w:rsid w:val="00371F43"/>
    <w:rsid w:val="00372EDF"/>
    <w:rsid w:val="00373ABB"/>
    <w:rsid w:val="003756E3"/>
    <w:rsid w:val="0037613B"/>
    <w:rsid w:val="0037628B"/>
    <w:rsid w:val="00377E52"/>
    <w:rsid w:val="003803B8"/>
    <w:rsid w:val="00381261"/>
    <w:rsid w:val="00383B6A"/>
    <w:rsid w:val="00384A6D"/>
    <w:rsid w:val="0039242F"/>
    <w:rsid w:val="003A44C8"/>
    <w:rsid w:val="003A5125"/>
    <w:rsid w:val="003B10EC"/>
    <w:rsid w:val="003B4675"/>
    <w:rsid w:val="003B5F19"/>
    <w:rsid w:val="003C27FD"/>
    <w:rsid w:val="003C2F4E"/>
    <w:rsid w:val="003C32A9"/>
    <w:rsid w:val="003C4E4B"/>
    <w:rsid w:val="003C62A3"/>
    <w:rsid w:val="003C6C27"/>
    <w:rsid w:val="003D10E6"/>
    <w:rsid w:val="003D4602"/>
    <w:rsid w:val="003D5F1E"/>
    <w:rsid w:val="003D62DF"/>
    <w:rsid w:val="003D7C7D"/>
    <w:rsid w:val="003E1755"/>
    <w:rsid w:val="003E18ED"/>
    <w:rsid w:val="003E1EEA"/>
    <w:rsid w:val="003F22BB"/>
    <w:rsid w:val="003F5E0E"/>
    <w:rsid w:val="0040229A"/>
    <w:rsid w:val="00402A55"/>
    <w:rsid w:val="00403A33"/>
    <w:rsid w:val="00403B57"/>
    <w:rsid w:val="00406A79"/>
    <w:rsid w:val="0040760F"/>
    <w:rsid w:val="00407621"/>
    <w:rsid w:val="00411232"/>
    <w:rsid w:val="004112D8"/>
    <w:rsid w:val="0041188E"/>
    <w:rsid w:val="00412B25"/>
    <w:rsid w:val="00412BB2"/>
    <w:rsid w:val="00413AC4"/>
    <w:rsid w:val="004170AD"/>
    <w:rsid w:val="00417F07"/>
    <w:rsid w:val="004202F7"/>
    <w:rsid w:val="00420CE4"/>
    <w:rsid w:val="004226C6"/>
    <w:rsid w:val="00423E48"/>
    <w:rsid w:val="00424436"/>
    <w:rsid w:val="00426CCD"/>
    <w:rsid w:val="00427426"/>
    <w:rsid w:val="0043267E"/>
    <w:rsid w:val="004336BB"/>
    <w:rsid w:val="00442303"/>
    <w:rsid w:val="0044271A"/>
    <w:rsid w:val="004444DC"/>
    <w:rsid w:val="00450103"/>
    <w:rsid w:val="0045303C"/>
    <w:rsid w:val="00453680"/>
    <w:rsid w:val="0045450D"/>
    <w:rsid w:val="00460B5C"/>
    <w:rsid w:val="00461897"/>
    <w:rsid w:val="00466627"/>
    <w:rsid w:val="0047189E"/>
    <w:rsid w:val="00473E07"/>
    <w:rsid w:val="00475937"/>
    <w:rsid w:val="00477DF7"/>
    <w:rsid w:val="00485279"/>
    <w:rsid w:val="00485310"/>
    <w:rsid w:val="00485881"/>
    <w:rsid w:val="00492E43"/>
    <w:rsid w:val="0049317C"/>
    <w:rsid w:val="004934C9"/>
    <w:rsid w:val="00494AF5"/>
    <w:rsid w:val="004973E1"/>
    <w:rsid w:val="004A050F"/>
    <w:rsid w:val="004A1D17"/>
    <w:rsid w:val="004A328E"/>
    <w:rsid w:val="004A474B"/>
    <w:rsid w:val="004B0D63"/>
    <w:rsid w:val="004B11ED"/>
    <w:rsid w:val="004B1977"/>
    <w:rsid w:val="004B61FB"/>
    <w:rsid w:val="004C1929"/>
    <w:rsid w:val="004C2FEA"/>
    <w:rsid w:val="004C52AE"/>
    <w:rsid w:val="004C5836"/>
    <w:rsid w:val="004C5E1E"/>
    <w:rsid w:val="004C6AA0"/>
    <w:rsid w:val="004D35E5"/>
    <w:rsid w:val="004D44D6"/>
    <w:rsid w:val="004D5312"/>
    <w:rsid w:val="004D6FBF"/>
    <w:rsid w:val="004E09D6"/>
    <w:rsid w:val="004E0DCA"/>
    <w:rsid w:val="004E14FC"/>
    <w:rsid w:val="004E1D42"/>
    <w:rsid w:val="004E2337"/>
    <w:rsid w:val="004E40F1"/>
    <w:rsid w:val="004E55AC"/>
    <w:rsid w:val="004F16E3"/>
    <w:rsid w:val="004F47FB"/>
    <w:rsid w:val="004F6DDE"/>
    <w:rsid w:val="004F755C"/>
    <w:rsid w:val="004F7721"/>
    <w:rsid w:val="005009F6"/>
    <w:rsid w:val="00500F14"/>
    <w:rsid w:val="00502575"/>
    <w:rsid w:val="0050358D"/>
    <w:rsid w:val="00503D70"/>
    <w:rsid w:val="00506CF8"/>
    <w:rsid w:val="00506E9C"/>
    <w:rsid w:val="00515805"/>
    <w:rsid w:val="00515BEB"/>
    <w:rsid w:val="005229DB"/>
    <w:rsid w:val="00522ED3"/>
    <w:rsid w:val="00523F8B"/>
    <w:rsid w:val="00531D02"/>
    <w:rsid w:val="00533A98"/>
    <w:rsid w:val="00535424"/>
    <w:rsid w:val="00535DFB"/>
    <w:rsid w:val="005363E9"/>
    <w:rsid w:val="00540E96"/>
    <w:rsid w:val="00541288"/>
    <w:rsid w:val="005417C3"/>
    <w:rsid w:val="0054313E"/>
    <w:rsid w:val="00553172"/>
    <w:rsid w:val="00554707"/>
    <w:rsid w:val="00554E5F"/>
    <w:rsid w:val="00556F04"/>
    <w:rsid w:val="00557DEA"/>
    <w:rsid w:val="005617CD"/>
    <w:rsid w:val="005627A9"/>
    <w:rsid w:val="00565E6C"/>
    <w:rsid w:val="005708DC"/>
    <w:rsid w:val="00571525"/>
    <w:rsid w:val="00575E0F"/>
    <w:rsid w:val="005777D0"/>
    <w:rsid w:val="00583AEA"/>
    <w:rsid w:val="0058503F"/>
    <w:rsid w:val="0058570F"/>
    <w:rsid w:val="00585A44"/>
    <w:rsid w:val="0059117F"/>
    <w:rsid w:val="00592749"/>
    <w:rsid w:val="00592EC9"/>
    <w:rsid w:val="005952D8"/>
    <w:rsid w:val="00595A56"/>
    <w:rsid w:val="00597C37"/>
    <w:rsid w:val="005A10DF"/>
    <w:rsid w:val="005A12E0"/>
    <w:rsid w:val="005A38C5"/>
    <w:rsid w:val="005A7853"/>
    <w:rsid w:val="005B1010"/>
    <w:rsid w:val="005B11EA"/>
    <w:rsid w:val="005B3D5C"/>
    <w:rsid w:val="005B47E9"/>
    <w:rsid w:val="005C08B3"/>
    <w:rsid w:val="005C2F9C"/>
    <w:rsid w:val="005D183C"/>
    <w:rsid w:val="005E041B"/>
    <w:rsid w:val="005E5784"/>
    <w:rsid w:val="005F4AF6"/>
    <w:rsid w:val="005F5BA8"/>
    <w:rsid w:val="005F6598"/>
    <w:rsid w:val="005F7CA9"/>
    <w:rsid w:val="006006B3"/>
    <w:rsid w:val="00601653"/>
    <w:rsid w:val="0060262F"/>
    <w:rsid w:val="00603075"/>
    <w:rsid w:val="0060408B"/>
    <w:rsid w:val="006077F8"/>
    <w:rsid w:val="00607DDD"/>
    <w:rsid w:val="00612137"/>
    <w:rsid w:val="0061688D"/>
    <w:rsid w:val="00616C76"/>
    <w:rsid w:val="00617449"/>
    <w:rsid w:val="00623DE6"/>
    <w:rsid w:val="00626706"/>
    <w:rsid w:val="00626805"/>
    <w:rsid w:val="00626B07"/>
    <w:rsid w:val="006312F8"/>
    <w:rsid w:val="006349ED"/>
    <w:rsid w:val="00641F35"/>
    <w:rsid w:val="00643E2C"/>
    <w:rsid w:val="006453B0"/>
    <w:rsid w:val="006470F4"/>
    <w:rsid w:val="00647EFF"/>
    <w:rsid w:val="0065123C"/>
    <w:rsid w:val="006513F7"/>
    <w:rsid w:val="00654AC9"/>
    <w:rsid w:val="00655323"/>
    <w:rsid w:val="00660843"/>
    <w:rsid w:val="0066141A"/>
    <w:rsid w:val="00663055"/>
    <w:rsid w:val="00663BAC"/>
    <w:rsid w:val="00675DDE"/>
    <w:rsid w:val="00677391"/>
    <w:rsid w:val="00677C76"/>
    <w:rsid w:val="00680702"/>
    <w:rsid w:val="006818C0"/>
    <w:rsid w:val="006836E5"/>
    <w:rsid w:val="00683986"/>
    <w:rsid w:val="0068590E"/>
    <w:rsid w:val="00686242"/>
    <w:rsid w:val="006940F8"/>
    <w:rsid w:val="006962E0"/>
    <w:rsid w:val="006A242D"/>
    <w:rsid w:val="006A34EB"/>
    <w:rsid w:val="006A5A9E"/>
    <w:rsid w:val="006A6E47"/>
    <w:rsid w:val="006B62F7"/>
    <w:rsid w:val="006C04E5"/>
    <w:rsid w:val="006C0AF0"/>
    <w:rsid w:val="006C1829"/>
    <w:rsid w:val="006C2BA3"/>
    <w:rsid w:val="006C65BD"/>
    <w:rsid w:val="006C7860"/>
    <w:rsid w:val="006D7E05"/>
    <w:rsid w:val="006E43F4"/>
    <w:rsid w:val="006E43F6"/>
    <w:rsid w:val="006E668D"/>
    <w:rsid w:val="006E66A0"/>
    <w:rsid w:val="006F147E"/>
    <w:rsid w:val="006F22DB"/>
    <w:rsid w:val="006F4707"/>
    <w:rsid w:val="006F4896"/>
    <w:rsid w:val="006F679B"/>
    <w:rsid w:val="006F6D77"/>
    <w:rsid w:val="00700330"/>
    <w:rsid w:val="00702B28"/>
    <w:rsid w:val="0070636C"/>
    <w:rsid w:val="00707C0C"/>
    <w:rsid w:val="00713343"/>
    <w:rsid w:val="00714DA4"/>
    <w:rsid w:val="00717572"/>
    <w:rsid w:val="00717CF4"/>
    <w:rsid w:val="00721DDA"/>
    <w:rsid w:val="00726090"/>
    <w:rsid w:val="0073209A"/>
    <w:rsid w:val="00732C2F"/>
    <w:rsid w:val="00733574"/>
    <w:rsid w:val="00734B6A"/>
    <w:rsid w:val="00740852"/>
    <w:rsid w:val="0075432E"/>
    <w:rsid w:val="0075560B"/>
    <w:rsid w:val="00761D5A"/>
    <w:rsid w:val="00765FAE"/>
    <w:rsid w:val="0077248B"/>
    <w:rsid w:val="007748FC"/>
    <w:rsid w:val="0077543A"/>
    <w:rsid w:val="00776EAE"/>
    <w:rsid w:val="00777243"/>
    <w:rsid w:val="007861CD"/>
    <w:rsid w:val="00787C6C"/>
    <w:rsid w:val="0079270C"/>
    <w:rsid w:val="00795643"/>
    <w:rsid w:val="00796310"/>
    <w:rsid w:val="007A05CC"/>
    <w:rsid w:val="007A0E19"/>
    <w:rsid w:val="007B09C3"/>
    <w:rsid w:val="007B0E1B"/>
    <w:rsid w:val="007B18ED"/>
    <w:rsid w:val="007B2F49"/>
    <w:rsid w:val="007C1D90"/>
    <w:rsid w:val="007D23F0"/>
    <w:rsid w:val="007D360B"/>
    <w:rsid w:val="007E1347"/>
    <w:rsid w:val="007E15AF"/>
    <w:rsid w:val="007E57D9"/>
    <w:rsid w:val="007E7315"/>
    <w:rsid w:val="007F0592"/>
    <w:rsid w:val="007F11C4"/>
    <w:rsid w:val="007F1AB7"/>
    <w:rsid w:val="007F2078"/>
    <w:rsid w:val="007F35AD"/>
    <w:rsid w:val="007F464B"/>
    <w:rsid w:val="007F55AB"/>
    <w:rsid w:val="007F7106"/>
    <w:rsid w:val="007F7432"/>
    <w:rsid w:val="0080263E"/>
    <w:rsid w:val="00805279"/>
    <w:rsid w:val="00805C53"/>
    <w:rsid w:val="008061D7"/>
    <w:rsid w:val="008078B6"/>
    <w:rsid w:val="00812500"/>
    <w:rsid w:val="0081254D"/>
    <w:rsid w:val="00813C2B"/>
    <w:rsid w:val="00814219"/>
    <w:rsid w:val="00820DA9"/>
    <w:rsid w:val="00822170"/>
    <w:rsid w:val="00823BFA"/>
    <w:rsid w:val="00830565"/>
    <w:rsid w:val="00831FA1"/>
    <w:rsid w:val="0083269B"/>
    <w:rsid w:val="0083667F"/>
    <w:rsid w:val="0083753F"/>
    <w:rsid w:val="00841C6D"/>
    <w:rsid w:val="00843616"/>
    <w:rsid w:val="008441AB"/>
    <w:rsid w:val="008462B0"/>
    <w:rsid w:val="00846F23"/>
    <w:rsid w:val="008500B6"/>
    <w:rsid w:val="008541D6"/>
    <w:rsid w:val="00855147"/>
    <w:rsid w:val="00856473"/>
    <w:rsid w:val="00861AC7"/>
    <w:rsid w:val="0086209E"/>
    <w:rsid w:val="0086340D"/>
    <w:rsid w:val="00864C77"/>
    <w:rsid w:val="00864E3B"/>
    <w:rsid w:val="00865948"/>
    <w:rsid w:val="00867EB6"/>
    <w:rsid w:val="00871B68"/>
    <w:rsid w:val="00871BA1"/>
    <w:rsid w:val="00871BBB"/>
    <w:rsid w:val="00871DC5"/>
    <w:rsid w:val="00880558"/>
    <w:rsid w:val="008828B3"/>
    <w:rsid w:val="00882DC8"/>
    <w:rsid w:val="00886196"/>
    <w:rsid w:val="00893030"/>
    <w:rsid w:val="008931D2"/>
    <w:rsid w:val="00895905"/>
    <w:rsid w:val="00895EB6"/>
    <w:rsid w:val="008A25BB"/>
    <w:rsid w:val="008A5505"/>
    <w:rsid w:val="008A5992"/>
    <w:rsid w:val="008A5C64"/>
    <w:rsid w:val="008B1B6B"/>
    <w:rsid w:val="008B473B"/>
    <w:rsid w:val="008C2332"/>
    <w:rsid w:val="008C4113"/>
    <w:rsid w:val="008C73A9"/>
    <w:rsid w:val="008D1476"/>
    <w:rsid w:val="008D264F"/>
    <w:rsid w:val="008D6BC5"/>
    <w:rsid w:val="008D7D3B"/>
    <w:rsid w:val="008E12CE"/>
    <w:rsid w:val="008E3D78"/>
    <w:rsid w:val="008E43D0"/>
    <w:rsid w:val="008E4C4B"/>
    <w:rsid w:val="008E69CE"/>
    <w:rsid w:val="008E7FA9"/>
    <w:rsid w:val="008F29EC"/>
    <w:rsid w:val="008F4917"/>
    <w:rsid w:val="008F6046"/>
    <w:rsid w:val="008F60BB"/>
    <w:rsid w:val="00901646"/>
    <w:rsid w:val="0090337E"/>
    <w:rsid w:val="00907B27"/>
    <w:rsid w:val="00910705"/>
    <w:rsid w:val="00913D5A"/>
    <w:rsid w:val="009149F1"/>
    <w:rsid w:val="00915C99"/>
    <w:rsid w:val="00915D3A"/>
    <w:rsid w:val="009174E8"/>
    <w:rsid w:val="00921052"/>
    <w:rsid w:val="00921146"/>
    <w:rsid w:val="00930317"/>
    <w:rsid w:val="0093095F"/>
    <w:rsid w:val="00932036"/>
    <w:rsid w:val="00933A79"/>
    <w:rsid w:val="00935FE3"/>
    <w:rsid w:val="00943563"/>
    <w:rsid w:val="00950E79"/>
    <w:rsid w:val="00952720"/>
    <w:rsid w:val="00954489"/>
    <w:rsid w:val="0095465A"/>
    <w:rsid w:val="0095659F"/>
    <w:rsid w:val="00956643"/>
    <w:rsid w:val="00956C93"/>
    <w:rsid w:val="009605A3"/>
    <w:rsid w:val="00961B05"/>
    <w:rsid w:val="0096337F"/>
    <w:rsid w:val="00963F49"/>
    <w:rsid w:val="00964FE1"/>
    <w:rsid w:val="00966177"/>
    <w:rsid w:val="0097053E"/>
    <w:rsid w:val="00971118"/>
    <w:rsid w:val="00972915"/>
    <w:rsid w:val="00974A3D"/>
    <w:rsid w:val="00975289"/>
    <w:rsid w:val="009767C1"/>
    <w:rsid w:val="00977A3F"/>
    <w:rsid w:val="00977BA8"/>
    <w:rsid w:val="00985FF0"/>
    <w:rsid w:val="00986173"/>
    <w:rsid w:val="00986288"/>
    <w:rsid w:val="00986EF5"/>
    <w:rsid w:val="00990197"/>
    <w:rsid w:val="00990438"/>
    <w:rsid w:val="00992F91"/>
    <w:rsid w:val="009938B1"/>
    <w:rsid w:val="00994E8F"/>
    <w:rsid w:val="00994F6B"/>
    <w:rsid w:val="009977F4"/>
    <w:rsid w:val="009A117A"/>
    <w:rsid w:val="009A2E80"/>
    <w:rsid w:val="009A38B7"/>
    <w:rsid w:val="009A3F00"/>
    <w:rsid w:val="009A4DB9"/>
    <w:rsid w:val="009A68A5"/>
    <w:rsid w:val="009B0278"/>
    <w:rsid w:val="009B333B"/>
    <w:rsid w:val="009B5D5F"/>
    <w:rsid w:val="009C1D97"/>
    <w:rsid w:val="009C3BD7"/>
    <w:rsid w:val="009C4575"/>
    <w:rsid w:val="009C4D62"/>
    <w:rsid w:val="009C556E"/>
    <w:rsid w:val="009C7249"/>
    <w:rsid w:val="009C729E"/>
    <w:rsid w:val="009C73AF"/>
    <w:rsid w:val="009D428E"/>
    <w:rsid w:val="009D5C9E"/>
    <w:rsid w:val="009D6B08"/>
    <w:rsid w:val="009E21F6"/>
    <w:rsid w:val="009E2815"/>
    <w:rsid w:val="009E2E1D"/>
    <w:rsid w:val="009E3BB8"/>
    <w:rsid w:val="009E4FCA"/>
    <w:rsid w:val="009E555C"/>
    <w:rsid w:val="009F12DE"/>
    <w:rsid w:val="009F3FB8"/>
    <w:rsid w:val="009F6A13"/>
    <w:rsid w:val="00A01E16"/>
    <w:rsid w:val="00A03208"/>
    <w:rsid w:val="00A0404F"/>
    <w:rsid w:val="00A05270"/>
    <w:rsid w:val="00A06583"/>
    <w:rsid w:val="00A133D3"/>
    <w:rsid w:val="00A138A3"/>
    <w:rsid w:val="00A13B2F"/>
    <w:rsid w:val="00A13BC1"/>
    <w:rsid w:val="00A15E64"/>
    <w:rsid w:val="00A25461"/>
    <w:rsid w:val="00A268FD"/>
    <w:rsid w:val="00A30A7B"/>
    <w:rsid w:val="00A332E9"/>
    <w:rsid w:val="00A452A7"/>
    <w:rsid w:val="00A47332"/>
    <w:rsid w:val="00A50843"/>
    <w:rsid w:val="00A51545"/>
    <w:rsid w:val="00A54CC6"/>
    <w:rsid w:val="00A618F8"/>
    <w:rsid w:val="00A64B84"/>
    <w:rsid w:val="00A70182"/>
    <w:rsid w:val="00A72C69"/>
    <w:rsid w:val="00A760FE"/>
    <w:rsid w:val="00A771DC"/>
    <w:rsid w:val="00A77A2E"/>
    <w:rsid w:val="00A838FA"/>
    <w:rsid w:val="00A84790"/>
    <w:rsid w:val="00A85CF8"/>
    <w:rsid w:val="00A872A4"/>
    <w:rsid w:val="00A90270"/>
    <w:rsid w:val="00A90DA2"/>
    <w:rsid w:val="00A91510"/>
    <w:rsid w:val="00A9228A"/>
    <w:rsid w:val="00A92AF6"/>
    <w:rsid w:val="00A94FE1"/>
    <w:rsid w:val="00AA4913"/>
    <w:rsid w:val="00AA556E"/>
    <w:rsid w:val="00AA5A09"/>
    <w:rsid w:val="00AB020C"/>
    <w:rsid w:val="00AB030B"/>
    <w:rsid w:val="00AB2B94"/>
    <w:rsid w:val="00AB3E43"/>
    <w:rsid w:val="00AB5E9B"/>
    <w:rsid w:val="00AB778B"/>
    <w:rsid w:val="00AB7873"/>
    <w:rsid w:val="00AC3A28"/>
    <w:rsid w:val="00AC43E7"/>
    <w:rsid w:val="00AC591D"/>
    <w:rsid w:val="00AC74D4"/>
    <w:rsid w:val="00AC7B9D"/>
    <w:rsid w:val="00AD00DA"/>
    <w:rsid w:val="00AD33BD"/>
    <w:rsid w:val="00AD78C5"/>
    <w:rsid w:val="00AE0E62"/>
    <w:rsid w:val="00AE2B2D"/>
    <w:rsid w:val="00AE3838"/>
    <w:rsid w:val="00AE5436"/>
    <w:rsid w:val="00AE657D"/>
    <w:rsid w:val="00AE7E30"/>
    <w:rsid w:val="00AF1435"/>
    <w:rsid w:val="00AF1672"/>
    <w:rsid w:val="00AF18A6"/>
    <w:rsid w:val="00AF4CC1"/>
    <w:rsid w:val="00AF6720"/>
    <w:rsid w:val="00AF725C"/>
    <w:rsid w:val="00AF7857"/>
    <w:rsid w:val="00AF7A8A"/>
    <w:rsid w:val="00B02160"/>
    <w:rsid w:val="00B1011F"/>
    <w:rsid w:val="00B14548"/>
    <w:rsid w:val="00B14618"/>
    <w:rsid w:val="00B1532B"/>
    <w:rsid w:val="00B1698A"/>
    <w:rsid w:val="00B20AFF"/>
    <w:rsid w:val="00B225A4"/>
    <w:rsid w:val="00B33C41"/>
    <w:rsid w:val="00B3456C"/>
    <w:rsid w:val="00B36284"/>
    <w:rsid w:val="00B41EB7"/>
    <w:rsid w:val="00B505AA"/>
    <w:rsid w:val="00B51510"/>
    <w:rsid w:val="00B51F46"/>
    <w:rsid w:val="00B527E8"/>
    <w:rsid w:val="00B535AF"/>
    <w:rsid w:val="00B57FCB"/>
    <w:rsid w:val="00B617F3"/>
    <w:rsid w:val="00B647E5"/>
    <w:rsid w:val="00B65701"/>
    <w:rsid w:val="00B67FC1"/>
    <w:rsid w:val="00B7196D"/>
    <w:rsid w:val="00B72BB6"/>
    <w:rsid w:val="00B7410B"/>
    <w:rsid w:val="00B7625F"/>
    <w:rsid w:val="00B76547"/>
    <w:rsid w:val="00B77AF7"/>
    <w:rsid w:val="00B80534"/>
    <w:rsid w:val="00B86C05"/>
    <w:rsid w:val="00B91CA2"/>
    <w:rsid w:val="00B91E92"/>
    <w:rsid w:val="00B92118"/>
    <w:rsid w:val="00B92BD5"/>
    <w:rsid w:val="00B93476"/>
    <w:rsid w:val="00B940E3"/>
    <w:rsid w:val="00B96526"/>
    <w:rsid w:val="00BA05B5"/>
    <w:rsid w:val="00BA2579"/>
    <w:rsid w:val="00BB0B50"/>
    <w:rsid w:val="00BB0FCD"/>
    <w:rsid w:val="00BB248F"/>
    <w:rsid w:val="00BB3F79"/>
    <w:rsid w:val="00BB5645"/>
    <w:rsid w:val="00BC24BB"/>
    <w:rsid w:val="00BC74C2"/>
    <w:rsid w:val="00BD0D73"/>
    <w:rsid w:val="00BD1EE0"/>
    <w:rsid w:val="00BD3365"/>
    <w:rsid w:val="00BD5197"/>
    <w:rsid w:val="00BD6A52"/>
    <w:rsid w:val="00BD6CCA"/>
    <w:rsid w:val="00BE0DF1"/>
    <w:rsid w:val="00BE3C9E"/>
    <w:rsid w:val="00BE3DCC"/>
    <w:rsid w:val="00BE43EA"/>
    <w:rsid w:val="00BE5973"/>
    <w:rsid w:val="00BE70BA"/>
    <w:rsid w:val="00BE7B35"/>
    <w:rsid w:val="00BF08BC"/>
    <w:rsid w:val="00BF102E"/>
    <w:rsid w:val="00BF11FB"/>
    <w:rsid w:val="00BF19C7"/>
    <w:rsid w:val="00BF2E53"/>
    <w:rsid w:val="00BF3A28"/>
    <w:rsid w:val="00BF4ED7"/>
    <w:rsid w:val="00BF541A"/>
    <w:rsid w:val="00BF7A8B"/>
    <w:rsid w:val="00C01FFD"/>
    <w:rsid w:val="00C02AB4"/>
    <w:rsid w:val="00C06B7B"/>
    <w:rsid w:val="00C073B3"/>
    <w:rsid w:val="00C10E18"/>
    <w:rsid w:val="00C12BBD"/>
    <w:rsid w:val="00C154AE"/>
    <w:rsid w:val="00C161A6"/>
    <w:rsid w:val="00C211E0"/>
    <w:rsid w:val="00C236E5"/>
    <w:rsid w:val="00C26B35"/>
    <w:rsid w:val="00C27D9B"/>
    <w:rsid w:val="00C30E40"/>
    <w:rsid w:val="00C3242C"/>
    <w:rsid w:val="00C36813"/>
    <w:rsid w:val="00C45A70"/>
    <w:rsid w:val="00C46FC5"/>
    <w:rsid w:val="00C47D89"/>
    <w:rsid w:val="00C52F3C"/>
    <w:rsid w:val="00C53419"/>
    <w:rsid w:val="00C544C6"/>
    <w:rsid w:val="00C54600"/>
    <w:rsid w:val="00C54C26"/>
    <w:rsid w:val="00C6353E"/>
    <w:rsid w:val="00C65664"/>
    <w:rsid w:val="00C67D40"/>
    <w:rsid w:val="00C73D9B"/>
    <w:rsid w:val="00C761D2"/>
    <w:rsid w:val="00C76419"/>
    <w:rsid w:val="00C76C68"/>
    <w:rsid w:val="00C813A0"/>
    <w:rsid w:val="00C85C1E"/>
    <w:rsid w:val="00C867C9"/>
    <w:rsid w:val="00C91669"/>
    <w:rsid w:val="00C970A9"/>
    <w:rsid w:val="00CA0602"/>
    <w:rsid w:val="00CA3C92"/>
    <w:rsid w:val="00CA3E7C"/>
    <w:rsid w:val="00CA4050"/>
    <w:rsid w:val="00CA455D"/>
    <w:rsid w:val="00CB3658"/>
    <w:rsid w:val="00CB42C7"/>
    <w:rsid w:val="00CC0EA1"/>
    <w:rsid w:val="00CC19E3"/>
    <w:rsid w:val="00CC414A"/>
    <w:rsid w:val="00CC4C19"/>
    <w:rsid w:val="00CD1907"/>
    <w:rsid w:val="00CD4883"/>
    <w:rsid w:val="00CD78B4"/>
    <w:rsid w:val="00CE4602"/>
    <w:rsid w:val="00CE63A4"/>
    <w:rsid w:val="00CE6AC8"/>
    <w:rsid w:val="00CF3CC0"/>
    <w:rsid w:val="00CF524B"/>
    <w:rsid w:val="00CF7FD1"/>
    <w:rsid w:val="00D05F1C"/>
    <w:rsid w:val="00D06597"/>
    <w:rsid w:val="00D10A72"/>
    <w:rsid w:val="00D10C90"/>
    <w:rsid w:val="00D13899"/>
    <w:rsid w:val="00D17B07"/>
    <w:rsid w:val="00D2305D"/>
    <w:rsid w:val="00D256ED"/>
    <w:rsid w:val="00D25D15"/>
    <w:rsid w:val="00D32121"/>
    <w:rsid w:val="00D332B6"/>
    <w:rsid w:val="00D3383B"/>
    <w:rsid w:val="00D424F3"/>
    <w:rsid w:val="00D4405F"/>
    <w:rsid w:val="00D50843"/>
    <w:rsid w:val="00D52D59"/>
    <w:rsid w:val="00D532AF"/>
    <w:rsid w:val="00D53737"/>
    <w:rsid w:val="00D5634C"/>
    <w:rsid w:val="00D563FE"/>
    <w:rsid w:val="00D56907"/>
    <w:rsid w:val="00D630ED"/>
    <w:rsid w:val="00D633FE"/>
    <w:rsid w:val="00D6350C"/>
    <w:rsid w:val="00D70522"/>
    <w:rsid w:val="00D7578E"/>
    <w:rsid w:val="00D759DD"/>
    <w:rsid w:val="00D76D63"/>
    <w:rsid w:val="00D80ED2"/>
    <w:rsid w:val="00D84E3F"/>
    <w:rsid w:val="00D8765D"/>
    <w:rsid w:val="00D87881"/>
    <w:rsid w:val="00D916E9"/>
    <w:rsid w:val="00D91AE6"/>
    <w:rsid w:val="00D94D5F"/>
    <w:rsid w:val="00D9574B"/>
    <w:rsid w:val="00DA582C"/>
    <w:rsid w:val="00DA7BC1"/>
    <w:rsid w:val="00DB0AA6"/>
    <w:rsid w:val="00DB29CA"/>
    <w:rsid w:val="00DB2A93"/>
    <w:rsid w:val="00DB6280"/>
    <w:rsid w:val="00DB7104"/>
    <w:rsid w:val="00DC1D2D"/>
    <w:rsid w:val="00DC5804"/>
    <w:rsid w:val="00DD3FC4"/>
    <w:rsid w:val="00DD7C2E"/>
    <w:rsid w:val="00DE2313"/>
    <w:rsid w:val="00DE3EE9"/>
    <w:rsid w:val="00DE59D3"/>
    <w:rsid w:val="00DE5DBB"/>
    <w:rsid w:val="00DF00F3"/>
    <w:rsid w:val="00DF5D9E"/>
    <w:rsid w:val="00E022C4"/>
    <w:rsid w:val="00E052B7"/>
    <w:rsid w:val="00E0583D"/>
    <w:rsid w:val="00E06188"/>
    <w:rsid w:val="00E0742A"/>
    <w:rsid w:val="00E10450"/>
    <w:rsid w:val="00E1247A"/>
    <w:rsid w:val="00E126F8"/>
    <w:rsid w:val="00E129AA"/>
    <w:rsid w:val="00E257F1"/>
    <w:rsid w:val="00E3614C"/>
    <w:rsid w:val="00E36F7C"/>
    <w:rsid w:val="00E379D4"/>
    <w:rsid w:val="00E40371"/>
    <w:rsid w:val="00E41CA1"/>
    <w:rsid w:val="00E47298"/>
    <w:rsid w:val="00E507E4"/>
    <w:rsid w:val="00E51319"/>
    <w:rsid w:val="00E51433"/>
    <w:rsid w:val="00E520AD"/>
    <w:rsid w:val="00E54CD3"/>
    <w:rsid w:val="00E57145"/>
    <w:rsid w:val="00E60E2A"/>
    <w:rsid w:val="00E630FB"/>
    <w:rsid w:val="00E65AE4"/>
    <w:rsid w:val="00E703DB"/>
    <w:rsid w:val="00E73AF7"/>
    <w:rsid w:val="00E7432E"/>
    <w:rsid w:val="00E7520D"/>
    <w:rsid w:val="00E76327"/>
    <w:rsid w:val="00E7780D"/>
    <w:rsid w:val="00E808FA"/>
    <w:rsid w:val="00E82287"/>
    <w:rsid w:val="00E8521F"/>
    <w:rsid w:val="00E909EE"/>
    <w:rsid w:val="00E93072"/>
    <w:rsid w:val="00E9682B"/>
    <w:rsid w:val="00E9772E"/>
    <w:rsid w:val="00EA1676"/>
    <w:rsid w:val="00EA25AF"/>
    <w:rsid w:val="00EA2FF7"/>
    <w:rsid w:val="00EA3D8C"/>
    <w:rsid w:val="00EA4ED2"/>
    <w:rsid w:val="00EA6100"/>
    <w:rsid w:val="00EA6A50"/>
    <w:rsid w:val="00EA7F01"/>
    <w:rsid w:val="00EB2A66"/>
    <w:rsid w:val="00EB52BA"/>
    <w:rsid w:val="00EB5D6E"/>
    <w:rsid w:val="00EB63D3"/>
    <w:rsid w:val="00EC451E"/>
    <w:rsid w:val="00EC5095"/>
    <w:rsid w:val="00ED029F"/>
    <w:rsid w:val="00ED0F7A"/>
    <w:rsid w:val="00ED1C6E"/>
    <w:rsid w:val="00ED442E"/>
    <w:rsid w:val="00EE0093"/>
    <w:rsid w:val="00EE2B4E"/>
    <w:rsid w:val="00EE3FD0"/>
    <w:rsid w:val="00EE40C5"/>
    <w:rsid w:val="00EE609F"/>
    <w:rsid w:val="00EE648B"/>
    <w:rsid w:val="00F02B10"/>
    <w:rsid w:val="00F07578"/>
    <w:rsid w:val="00F177DB"/>
    <w:rsid w:val="00F245DC"/>
    <w:rsid w:val="00F24CDD"/>
    <w:rsid w:val="00F2613A"/>
    <w:rsid w:val="00F30519"/>
    <w:rsid w:val="00F327D4"/>
    <w:rsid w:val="00F351D6"/>
    <w:rsid w:val="00F37919"/>
    <w:rsid w:val="00F37B37"/>
    <w:rsid w:val="00F414A3"/>
    <w:rsid w:val="00F45A80"/>
    <w:rsid w:val="00F4682A"/>
    <w:rsid w:val="00F476BD"/>
    <w:rsid w:val="00F54221"/>
    <w:rsid w:val="00F561D5"/>
    <w:rsid w:val="00F601AF"/>
    <w:rsid w:val="00F6120E"/>
    <w:rsid w:val="00F671EF"/>
    <w:rsid w:val="00F67487"/>
    <w:rsid w:val="00F70507"/>
    <w:rsid w:val="00F73534"/>
    <w:rsid w:val="00F737D8"/>
    <w:rsid w:val="00F82596"/>
    <w:rsid w:val="00F83144"/>
    <w:rsid w:val="00F845AE"/>
    <w:rsid w:val="00F85F37"/>
    <w:rsid w:val="00F90CA7"/>
    <w:rsid w:val="00F91100"/>
    <w:rsid w:val="00F92ECE"/>
    <w:rsid w:val="00F94A13"/>
    <w:rsid w:val="00F96FBC"/>
    <w:rsid w:val="00FA0A7D"/>
    <w:rsid w:val="00FA48A2"/>
    <w:rsid w:val="00FA5A70"/>
    <w:rsid w:val="00FB3880"/>
    <w:rsid w:val="00FB3C48"/>
    <w:rsid w:val="00FB48A8"/>
    <w:rsid w:val="00FB49A7"/>
    <w:rsid w:val="00FB7316"/>
    <w:rsid w:val="00FC3ECA"/>
    <w:rsid w:val="00FC46DB"/>
    <w:rsid w:val="00FD08F1"/>
    <w:rsid w:val="00FD313B"/>
    <w:rsid w:val="00FD40DF"/>
    <w:rsid w:val="00FE1B5B"/>
    <w:rsid w:val="00FE50D9"/>
    <w:rsid w:val="00FE7D56"/>
    <w:rsid w:val="00FF01FC"/>
    <w:rsid w:val="00FF2C1B"/>
    <w:rsid w:val="00FF2F28"/>
    <w:rsid w:val="00FF4E63"/>
    <w:rsid w:val="00FF563C"/>
    <w:rsid w:val="00FF56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03008FC2"/>
  <w15:chartTrackingRefBased/>
  <w15:docId w15:val="{621B2A23-7D14-4948-9D73-C145B5D0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96337F"/>
    <w:pPr>
      <w:keepNext/>
      <w:keepLines/>
      <w:tabs>
        <w:tab w:val="right" w:leader="dot" w:pos="8630"/>
      </w:tab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link w:val="HeaderChar"/>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2"/>
      </w:numPr>
      <w:spacing w:before="60" w:after="60"/>
    </w:pPr>
  </w:style>
  <w:style w:type="paragraph" w:styleId="ListBullet3">
    <w:name w:val="List Bullet 3"/>
    <w:basedOn w:val="Normal"/>
    <w:pPr>
      <w:numPr>
        <w:numId w:val="3"/>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5"/>
      </w:numPr>
      <w:tabs>
        <w:tab w:val="clear" w:pos="360"/>
      </w:tabs>
      <w:spacing w:after="120"/>
    </w:pPr>
  </w:style>
  <w:style w:type="paragraph" w:styleId="ListNumber2">
    <w:name w:val="List Number 2"/>
    <w:basedOn w:val="Normal"/>
    <w:pPr>
      <w:numPr>
        <w:numId w:val="6"/>
      </w:numPr>
      <w:tabs>
        <w:tab w:val="clear" w:pos="641"/>
        <w:tab w:val="num" w:pos="643"/>
      </w:tabs>
      <w:spacing w:before="60" w:after="60"/>
    </w:pPr>
  </w:style>
  <w:style w:type="paragraph" w:styleId="ListNumber3">
    <w:name w:val="List Number 3"/>
    <w:basedOn w:val="Normal"/>
    <w:pPr>
      <w:numPr>
        <w:numId w:val="7"/>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612137"/>
    <w:pPr>
      <w:ind w:left="720"/>
      <w:contextualSpacing/>
    </w:pPr>
    <w:rPr>
      <w:rFonts w:ascii="Gill Sans" w:hAnsi="Gill Sans"/>
    </w:rPr>
  </w:style>
  <w:style w:type="character" w:styleId="CommentReference">
    <w:name w:val="annotation reference"/>
    <w:basedOn w:val="DefaultParagraphFont"/>
    <w:rsid w:val="00CF524B"/>
    <w:rPr>
      <w:sz w:val="16"/>
      <w:szCs w:val="16"/>
    </w:rPr>
  </w:style>
  <w:style w:type="paragraph" w:styleId="CommentSubject">
    <w:name w:val="annotation subject"/>
    <w:basedOn w:val="CommentText"/>
    <w:next w:val="CommentText"/>
    <w:link w:val="CommentSubjectChar"/>
    <w:rsid w:val="00CF524B"/>
    <w:rPr>
      <w:rFonts w:ascii="Gill Sans MT" w:hAnsi="Gill Sans MT"/>
      <w:b/>
      <w:bCs/>
      <w:szCs w:val="20"/>
      <w:lang w:val="en-IE"/>
    </w:rPr>
  </w:style>
  <w:style w:type="character" w:customStyle="1" w:styleId="CommentSubjectChar">
    <w:name w:val="Comment Subject Char"/>
    <w:basedOn w:val="CommentTextChar"/>
    <w:link w:val="CommentSubject"/>
    <w:rsid w:val="00CF524B"/>
    <w:rPr>
      <w:rFonts w:ascii="Gill Sans MT" w:eastAsia="Times New Roman" w:hAnsi="Gill Sans MT"/>
      <w:b/>
      <w:bCs/>
      <w:szCs w:val="24"/>
      <w:lang w:eastAsia="en-US"/>
    </w:rPr>
  </w:style>
  <w:style w:type="paragraph" w:styleId="BalloonText">
    <w:name w:val="Balloon Text"/>
    <w:basedOn w:val="Normal"/>
    <w:link w:val="BalloonTextChar"/>
    <w:rsid w:val="00CF524B"/>
    <w:pPr>
      <w:spacing w:after="0"/>
    </w:pPr>
    <w:rPr>
      <w:rFonts w:ascii="Segoe UI" w:hAnsi="Segoe UI" w:cs="Segoe UI"/>
      <w:sz w:val="18"/>
      <w:szCs w:val="18"/>
    </w:rPr>
  </w:style>
  <w:style w:type="character" w:customStyle="1" w:styleId="BalloonTextChar">
    <w:name w:val="Balloon Text Char"/>
    <w:basedOn w:val="DefaultParagraphFont"/>
    <w:link w:val="BalloonText"/>
    <w:rsid w:val="00CF524B"/>
    <w:rPr>
      <w:rFonts w:ascii="Segoe UI" w:eastAsia="Times New Roman" w:hAnsi="Segoe UI" w:cs="Segoe UI"/>
      <w:sz w:val="18"/>
      <w:szCs w:val="18"/>
      <w:lang w:eastAsia="en-US"/>
    </w:rPr>
  </w:style>
  <w:style w:type="paragraph" w:styleId="EndnoteText">
    <w:name w:val="endnote text"/>
    <w:basedOn w:val="Normal"/>
    <w:link w:val="EndnoteTextChar"/>
    <w:rsid w:val="00BB3F79"/>
    <w:pPr>
      <w:spacing w:after="0"/>
    </w:pPr>
    <w:rPr>
      <w:sz w:val="20"/>
      <w:szCs w:val="20"/>
    </w:rPr>
  </w:style>
  <w:style w:type="character" w:customStyle="1" w:styleId="EndnoteTextChar">
    <w:name w:val="Endnote Text Char"/>
    <w:basedOn w:val="DefaultParagraphFont"/>
    <w:link w:val="EndnoteText"/>
    <w:rsid w:val="00BB3F79"/>
    <w:rPr>
      <w:rFonts w:ascii="Gill Sans MT" w:eastAsia="Times New Roman" w:hAnsi="Gill Sans MT"/>
      <w:lang w:eastAsia="en-US"/>
    </w:rPr>
  </w:style>
  <w:style w:type="character" w:styleId="EndnoteReference">
    <w:name w:val="endnote reference"/>
    <w:basedOn w:val="DefaultParagraphFont"/>
    <w:rsid w:val="00BB3F79"/>
    <w:rPr>
      <w:vertAlign w:val="superscript"/>
    </w:rPr>
  </w:style>
  <w:style w:type="paragraph" w:styleId="TOCHeading">
    <w:name w:val="TOC Heading"/>
    <w:basedOn w:val="Heading1"/>
    <w:next w:val="Normal"/>
    <w:uiPriority w:val="39"/>
    <w:unhideWhenUsed/>
    <w:qFormat/>
    <w:rsid w:val="000C03FA"/>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BC1862" w:themeColor="accent1" w:themeShade="BF"/>
      <w:kern w:val="0"/>
      <w:lang w:val="en-US"/>
    </w:rPr>
  </w:style>
  <w:style w:type="paragraph" w:styleId="NormalWeb">
    <w:name w:val="Normal (Web)"/>
    <w:basedOn w:val="Normal"/>
    <w:uiPriority w:val="99"/>
    <w:unhideWhenUsed/>
    <w:rsid w:val="006312F8"/>
    <w:pPr>
      <w:spacing w:before="100" w:beforeAutospacing="1" w:after="100" w:afterAutospacing="1"/>
    </w:pPr>
    <w:rPr>
      <w:rFonts w:ascii="Times New Roman" w:hAnsi="Times New Roman"/>
      <w:sz w:val="24"/>
      <w:lang w:eastAsia="en-IE"/>
    </w:rPr>
  </w:style>
  <w:style w:type="character" w:customStyle="1" w:styleId="Heading1Char">
    <w:name w:val="Heading 1 Char"/>
    <w:basedOn w:val="DefaultParagraphFont"/>
    <w:link w:val="Heading1"/>
    <w:rsid w:val="00475937"/>
    <w:rPr>
      <w:rFonts w:ascii="Gill Sans MT" w:eastAsia="Times New Roman" w:hAnsi="Gill Sans MT" w:cs="Arial"/>
      <w:b/>
      <w:bCs/>
      <w:kern w:val="32"/>
      <w:sz w:val="32"/>
      <w:szCs w:val="32"/>
      <w:lang w:eastAsia="en-US"/>
    </w:rPr>
  </w:style>
  <w:style w:type="character" w:customStyle="1" w:styleId="Heading2Char">
    <w:name w:val="Heading 2 Char"/>
    <w:basedOn w:val="DefaultParagraphFont"/>
    <w:link w:val="Heading2"/>
    <w:rsid w:val="00475937"/>
    <w:rPr>
      <w:rFonts w:ascii="Gill Sans MT" w:eastAsia="Times New Roman" w:hAnsi="Gill Sans MT" w:cs="Arial Bold"/>
      <w:b/>
      <w:bCs/>
      <w:iCs/>
      <w:sz w:val="28"/>
      <w:szCs w:val="28"/>
      <w:lang w:eastAsia="en-US"/>
    </w:rPr>
  </w:style>
  <w:style w:type="paragraph" w:styleId="TOC3">
    <w:name w:val="toc 3"/>
    <w:basedOn w:val="Normal"/>
    <w:next w:val="Normal"/>
    <w:autoRedefine/>
    <w:uiPriority w:val="39"/>
    <w:rsid w:val="00AD00DA"/>
    <w:pPr>
      <w:tabs>
        <w:tab w:val="right" w:leader="dot" w:pos="8630"/>
      </w:tabs>
      <w:spacing w:after="100"/>
      <w:ind w:left="520"/>
    </w:pPr>
  </w:style>
  <w:style w:type="paragraph" w:styleId="TOC4">
    <w:name w:val="toc 4"/>
    <w:basedOn w:val="Normal"/>
    <w:next w:val="Normal"/>
    <w:autoRedefine/>
    <w:uiPriority w:val="39"/>
    <w:unhideWhenUsed/>
    <w:rsid w:val="00A90270"/>
    <w:pPr>
      <w:spacing w:after="100" w:line="259" w:lineRule="auto"/>
      <w:ind w:left="660"/>
    </w:pPr>
    <w:rPr>
      <w:rFonts w:asciiTheme="minorHAnsi" w:eastAsiaTheme="minorEastAsia" w:hAnsiTheme="minorHAnsi" w:cstheme="minorBidi"/>
      <w:sz w:val="22"/>
      <w:szCs w:val="22"/>
      <w:lang w:eastAsia="en-IE"/>
    </w:rPr>
  </w:style>
  <w:style w:type="paragraph" w:styleId="TOC5">
    <w:name w:val="toc 5"/>
    <w:basedOn w:val="Normal"/>
    <w:next w:val="Normal"/>
    <w:autoRedefine/>
    <w:uiPriority w:val="39"/>
    <w:unhideWhenUsed/>
    <w:rsid w:val="00A90270"/>
    <w:pPr>
      <w:spacing w:after="100" w:line="259" w:lineRule="auto"/>
      <w:ind w:left="880"/>
    </w:pPr>
    <w:rPr>
      <w:rFonts w:asciiTheme="minorHAnsi" w:eastAsiaTheme="minorEastAsia" w:hAnsiTheme="minorHAnsi" w:cstheme="minorBidi"/>
      <w:sz w:val="22"/>
      <w:szCs w:val="22"/>
      <w:lang w:eastAsia="en-IE"/>
    </w:rPr>
  </w:style>
  <w:style w:type="paragraph" w:styleId="TOC6">
    <w:name w:val="toc 6"/>
    <w:basedOn w:val="Normal"/>
    <w:next w:val="Normal"/>
    <w:autoRedefine/>
    <w:uiPriority w:val="39"/>
    <w:unhideWhenUsed/>
    <w:rsid w:val="00A90270"/>
    <w:pPr>
      <w:spacing w:after="100" w:line="259" w:lineRule="auto"/>
      <w:ind w:left="1100"/>
    </w:pPr>
    <w:rPr>
      <w:rFonts w:asciiTheme="minorHAnsi" w:eastAsiaTheme="minorEastAsia" w:hAnsiTheme="minorHAnsi" w:cstheme="minorBidi"/>
      <w:sz w:val="22"/>
      <w:szCs w:val="22"/>
      <w:lang w:eastAsia="en-IE"/>
    </w:rPr>
  </w:style>
  <w:style w:type="paragraph" w:styleId="TOC7">
    <w:name w:val="toc 7"/>
    <w:basedOn w:val="Normal"/>
    <w:next w:val="Normal"/>
    <w:autoRedefine/>
    <w:uiPriority w:val="39"/>
    <w:unhideWhenUsed/>
    <w:rsid w:val="00A90270"/>
    <w:pPr>
      <w:spacing w:after="100" w:line="259" w:lineRule="auto"/>
      <w:ind w:left="1320"/>
    </w:pPr>
    <w:rPr>
      <w:rFonts w:asciiTheme="minorHAnsi" w:eastAsiaTheme="minorEastAsia" w:hAnsiTheme="minorHAnsi" w:cstheme="minorBidi"/>
      <w:sz w:val="22"/>
      <w:szCs w:val="22"/>
      <w:lang w:eastAsia="en-IE"/>
    </w:rPr>
  </w:style>
  <w:style w:type="paragraph" w:styleId="TOC8">
    <w:name w:val="toc 8"/>
    <w:basedOn w:val="Normal"/>
    <w:next w:val="Normal"/>
    <w:autoRedefine/>
    <w:uiPriority w:val="39"/>
    <w:unhideWhenUsed/>
    <w:rsid w:val="00A90270"/>
    <w:pPr>
      <w:spacing w:after="100" w:line="259" w:lineRule="auto"/>
      <w:ind w:left="1540"/>
    </w:pPr>
    <w:rPr>
      <w:rFonts w:asciiTheme="minorHAnsi" w:eastAsiaTheme="minorEastAsia" w:hAnsiTheme="minorHAnsi" w:cstheme="minorBidi"/>
      <w:sz w:val="22"/>
      <w:szCs w:val="22"/>
      <w:lang w:eastAsia="en-IE"/>
    </w:rPr>
  </w:style>
  <w:style w:type="paragraph" w:styleId="TOC9">
    <w:name w:val="toc 9"/>
    <w:basedOn w:val="Normal"/>
    <w:next w:val="Normal"/>
    <w:autoRedefine/>
    <w:uiPriority w:val="39"/>
    <w:unhideWhenUsed/>
    <w:rsid w:val="00A90270"/>
    <w:pPr>
      <w:spacing w:after="100" w:line="259" w:lineRule="auto"/>
      <w:ind w:left="1760"/>
    </w:pPr>
    <w:rPr>
      <w:rFonts w:asciiTheme="minorHAnsi" w:eastAsiaTheme="minorEastAsia" w:hAnsiTheme="minorHAnsi" w:cstheme="minorBidi"/>
      <w:sz w:val="22"/>
      <w:szCs w:val="22"/>
      <w:lang w:eastAsia="en-IE"/>
    </w:rPr>
  </w:style>
  <w:style w:type="character" w:customStyle="1" w:styleId="TitleChar">
    <w:name w:val="Title Char"/>
    <w:basedOn w:val="DefaultParagraphFont"/>
    <w:link w:val="Title"/>
    <w:rsid w:val="0037628B"/>
    <w:rPr>
      <w:rFonts w:ascii="Gill Sans MT" w:eastAsia="Times New Roman" w:hAnsi="Gill Sans MT" w:cs="Arial"/>
      <w:b/>
      <w:bCs/>
      <w:kern w:val="28"/>
      <w:sz w:val="36"/>
      <w:szCs w:val="32"/>
      <w:lang w:eastAsia="en-US"/>
    </w:rPr>
  </w:style>
  <w:style w:type="character" w:customStyle="1" w:styleId="HeaderChar">
    <w:name w:val="Header Char"/>
    <w:basedOn w:val="DefaultParagraphFont"/>
    <w:link w:val="Header"/>
    <w:rsid w:val="0037628B"/>
    <w:rPr>
      <w:rFonts w:ascii="Gill Sans MT" w:eastAsia="Times New Roman" w:hAnsi="Gill Sans MT"/>
      <w:color w:val="333333"/>
      <w:sz w:val="22"/>
      <w:lang w:eastAsia="en-US"/>
    </w:rPr>
  </w:style>
  <w:style w:type="paragraph" w:styleId="Revision">
    <w:name w:val="Revision"/>
    <w:hidden/>
    <w:uiPriority w:val="99"/>
    <w:semiHidden/>
    <w:rsid w:val="0037628B"/>
    <w:rPr>
      <w:rFonts w:ascii="Gill Sans MT" w:eastAsia="Times New Roman" w:hAnsi="Gill Sans MT"/>
      <w:sz w:val="26"/>
      <w:szCs w:val="24"/>
      <w:lang w:eastAsia="en-US"/>
    </w:rPr>
  </w:style>
  <w:style w:type="table" w:styleId="TableGrid">
    <w:name w:val="Table Grid"/>
    <w:basedOn w:val="TableNormal"/>
    <w:rsid w:val="004E1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9242F"/>
    <w:rPr>
      <w:rFonts w:ascii="Gill Sans MT" w:eastAsia="Times New Roman" w:hAnsi="Gill Sans MT"/>
      <w:sz w:val="22"/>
      <w:lang w:eastAsia="en-US"/>
    </w:rPr>
  </w:style>
  <w:style w:type="character" w:customStyle="1" w:styleId="Heading3Char">
    <w:name w:val="Heading 3 Char"/>
    <w:basedOn w:val="DefaultParagraphFont"/>
    <w:link w:val="Heading3"/>
    <w:rsid w:val="00864C77"/>
    <w:rPr>
      <w:rFonts w:ascii="Gill Sans MT" w:eastAsia="Times New Roman" w:hAnsi="Gill Sans MT" w:cs="Arial Bold"/>
      <w:b/>
      <w:bCs/>
      <w:sz w:val="26"/>
      <w:szCs w:val="24"/>
      <w:lang w:eastAsia="en-US"/>
    </w:rPr>
  </w:style>
  <w:style w:type="paragraph" w:customStyle="1" w:styleId="CM61">
    <w:name w:val="CM61"/>
    <w:basedOn w:val="Normal"/>
    <w:next w:val="Normal"/>
    <w:uiPriority w:val="99"/>
    <w:rsid w:val="00864C77"/>
    <w:pPr>
      <w:autoSpaceDE w:val="0"/>
      <w:autoSpaceDN w:val="0"/>
      <w:adjustRightInd w:val="0"/>
      <w:spacing w:after="0"/>
    </w:pPr>
    <w:rPr>
      <w:rFonts w:eastAsia="SimSun"/>
      <w:sz w:val="24"/>
      <w:lang w:eastAsia="en-IE"/>
    </w:rPr>
  </w:style>
  <w:style w:type="character" w:styleId="UnresolvedMention">
    <w:name w:val="Unresolved Mention"/>
    <w:basedOn w:val="DefaultParagraphFont"/>
    <w:uiPriority w:val="99"/>
    <w:semiHidden/>
    <w:unhideWhenUsed/>
    <w:rsid w:val="00D25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197">
      <w:bodyDiv w:val="1"/>
      <w:marLeft w:val="0"/>
      <w:marRight w:val="0"/>
      <w:marTop w:val="0"/>
      <w:marBottom w:val="0"/>
      <w:divBdr>
        <w:top w:val="none" w:sz="0" w:space="0" w:color="auto"/>
        <w:left w:val="none" w:sz="0" w:space="0" w:color="auto"/>
        <w:bottom w:val="none" w:sz="0" w:space="0" w:color="auto"/>
        <w:right w:val="none" w:sz="0" w:space="0" w:color="auto"/>
      </w:divBdr>
    </w:div>
    <w:div w:id="123819283">
      <w:bodyDiv w:val="1"/>
      <w:marLeft w:val="0"/>
      <w:marRight w:val="0"/>
      <w:marTop w:val="0"/>
      <w:marBottom w:val="0"/>
      <w:divBdr>
        <w:top w:val="none" w:sz="0" w:space="0" w:color="auto"/>
        <w:left w:val="none" w:sz="0" w:space="0" w:color="auto"/>
        <w:bottom w:val="none" w:sz="0" w:space="0" w:color="auto"/>
        <w:right w:val="none" w:sz="0" w:space="0" w:color="auto"/>
      </w:divBdr>
    </w:div>
    <w:div w:id="163010031">
      <w:bodyDiv w:val="1"/>
      <w:marLeft w:val="0"/>
      <w:marRight w:val="0"/>
      <w:marTop w:val="0"/>
      <w:marBottom w:val="0"/>
      <w:divBdr>
        <w:top w:val="none" w:sz="0" w:space="0" w:color="auto"/>
        <w:left w:val="none" w:sz="0" w:space="0" w:color="auto"/>
        <w:bottom w:val="none" w:sz="0" w:space="0" w:color="auto"/>
        <w:right w:val="none" w:sz="0" w:space="0" w:color="auto"/>
      </w:divBdr>
    </w:div>
    <w:div w:id="197358670">
      <w:bodyDiv w:val="1"/>
      <w:marLeft w:val="0"/>
      <w:marRight w:val="0"/>
      <w:marTop w:val="0"/>
      <w:marBottom w:val="0"/>
      <w:divBdr>
        <w:top w:val="none" w:sz="0" w:space="0" w:color="auto"/>
        <w:left w:val="none" w:sz="0" w:space="0" w:color="auto"/>
        <w:bottom w:val="none" w:sz="0" w:space="0" w:color="auto"/>
        <w:right w:val="none" w:sz="0" w:space="0" w:color="auto"/>
      </w:divBdr>
    </w:div>
    <w:div w:id="236014078">
      <w:bodyDiv w:val="1"/>
      <w:marLeft w:val="0"/>
      <w:marRight w:val="0"/>
      <w:marTop w:val="0"/>
      <w:marBottom w:val="0"/>
      <w:divBdr>
        <w:top w:val="none" w:sz="0" w:space="0" w:color="auto"/>
        <w:left w:val="none" w:sz="0" w:space="0" w:color="auto"/>
        <w:bottom w:val="none" w:sz="0" w:space="0" w:color="auto"/>
        <w:right w:val="none" w:sz="0" w:space="0" w:color="auto"/>
      </w:divBdr>
    </w:div>
    <w:div w:id="254823068">
      <w:bodyDiv w:val="1"/>
      <w:marLeft w:val="0"/>
      <w:marRight w:val="0"/>
      <w:marTop w:val="0"/>
      <w:marBottom w:val="0"/>
      <w:divBdr>
        <w:top w:val="none" w:sz="0" w:space="0" w:color="auto"/>
        <w:left w:val="none" w:sz="0" w:space="0" w:color="auto"/>
        <w:bottom w:val="none" w:sz="0" w:space="0" w:color="auto"/>
        <w:right w:val="none" w:sz="0" w:space="0" w:color="auto"/>
      </w:divBdr>
    </w:div>
    <w:div w:id="387729474">
      <w:bodyDiv w:val="1"/>
      <w:marLeft w:val="0"/>
      <w:marRight w:val="0"/>
      <w:marTop w:val="0"/>
      <w:marBottom w:val="0"/>
      <w:divBdr>
        <w:top w:val="none" w:sz="0" w:space="0" w:color="auto"/>
        <w:left w:val="none" w:sz="0" w:space="0" w:color="auto"/>
        <w:bottom w:val="none" w:sz="0" w:space="0" w:color="auto"/>
        <w:right w:val="none" w:sz="0" w:space="0" w:color="auto"/>
      </w:divBdr>
    </w:div>
    <w:div w:id="432752800">
      <w:bodyDiv w:val="1"/>
      <w:marLeft w:val="0"/>
      <w:marRight w:val="0"/>
      <w:marTop w:val="0"/>
      <w:marBottom w:val="0"/>
      <w:divBdr>
        <w:top w:val="none" w:sz="0" w:space="0" w:color="auto"/>
        <w:left w:val="none" w:sz="0" w:space="0" w:color="auto"/>
        <w:bottom w:val="none" w:sz="0" w:space="0" w:color="auto"/>
        <w:right w:val="none" w:sz="0" w:space="0" w:color="auto"/>
      </w:divBdr>
    </w:div>
    <w:div w:id="635839468">
      <w:bodyDiv w:val="1"/>
      <w:marLeft w:val="0"/>
      <w:marRight w:val="0"/>
      <w:marTop w:val="0"/>
      <w:marBottom w:val="0"/>
      <w:divBdr>
        <w:top w:val="none" w:sz="0" w:space="0" w:color="auto"/>
        <w:left w:val="none" w:sz="0" w:space="0" w:color="auto"/>
        <w:bottom w:val="none" w:sz="0" w:space="0" w:color="auto"/>
        <w:right w:val="none" w:sz="0" w:space="0" w:color="auto"/>
      </w:divBdr>
    </w:div>
    <w:div w:id="713234164">
      <w:bodyDiv w:val="1"/>
      <w:marLeft w:val="0"/>
      <w:marRight w:val="0"/>
      <w:marTop w:val="0"/>
      <w:marBottom w:val="0"/>
      <w:divBdr>
        <w:top w:val="none" w:sz="0" w:space="0" w:color="auto"/>
        <w:left w:val="none" w:sz="0" w:space="0" w:color="auto"/>
        <w:bottom w:val="none" w:sz="0" w:space="0" w:color="auto"/>
        <w:right w:val="none" w:sz="0" w:space="0" w:color="auto"/>
      </w:divBdr>
    </w:div>
    <w:div w:id="780106144">
      <w:bodyDiv w:val="1"/>
      <w:marLeft w:val="0"/>
      <w:marRight w:val="0"/>
      <w:marTop w:val="0"/>
      <w:marBottom w:val="0"/>
      <w:divBdr>
        <w:top w:val="none" w:sz="0" w:space="0" w:color="auto"/>
        <w:left w:val="none" w:sz="0" w:space="0" w:color="auto"/>
        <w:bottom w:val="none" w:sz="0" w:space="0" w:color="auto"/>
        <w:right w:val="none" w:sz="0" w:space="0" w:color="auto"/>
      </w:divBdr>
    </w:div>
    <w:div w:id="781609185">
      <w:bodyDiv w:val="1"/>
      <w:marLeft w:val="0"/>
      <w:marRight w:val="0"/>
      <w:marTop w:val="0"/>
      <w:marBottom w:val="0"/>
      <w:divBdr>
        <w:top w:val="none" w:sz="0" w:space="0" w:color="auto"/>
        <w:left w:val="none" w:sz="0" w:space="0" w:color="auto"/>
        <w:bottom w:val="none" w:sz="0" w:space="0" w:color="auto"/>
        <w:right w:val="none" w:sz="0" w:space="0" w:color="auto"/>
      </w:divBdr>
    </w:div>
    <w:div w:id="879443432">
      <w:bodyDiv w:val="1"/>
      <w:marLeft w:val="0"/>
      <w:marRight w:val="0"/>
      <w:marTop w:val="0"/>
      <w:marBottom w:val="0"/>
      <w:divBdr>
        <w:top w:val="none" w:sz="0" w:space="0" w:color="auto"/>
        <w:left w:val="none" w:sz="0" w:space="0" w:color="auto"/>
        <w:bottom w:val="none" w:sz="0" w:space="0" w:color="auto"/>
        <w:right w:val="none" w:sz="0" w:space="0" w:color="auto"/>
      </w:divBdr>
    </w:div>
    <w:div w:id="943414589">
      <w:bodyDiv w:val="1"/>
      <w:marLeft w:val="0"/>
      <w:marRight w:val="0"/>
      <w:marTop w:val="0"/>
      <w:marBottom w:val="0"/>
      <w:divBdr>
        <w:top w:val="none" w:sz="0" w:space="0" w:color="auto"/>
        <w:left w:val="none" w:sz="0" w:space="0" w:color="auto"/>
        <w:bottom w:val="none" w:sz="0" w:space="0" w:color="auto"/>
        <w:right w:val="none" w:sz="0" w:space="0" w:color="auto"/>
      </w:divBdr>
    </w:div>
    <w:div w:id="1024598523">
      <w:bodyDiv w:val="1"/>
      <w:marLeft w:val="0"/>
      <w:marRight w:val="0"/>
      <w:marTop w:val="0"/>
      <w:marBottom w:val="0"/>
      <w:divBdr>
        <w:top w:val="none" w:sz="0" w:space="0" w:color="auto"/>
        <w:left w:val="none" w:sz="0" w:space="0" w:color="auto"/>
        <w:bottom w:val="none" w:sz="0" w:space="0" w:color="auto"/>
        <w:right w:val="none" w:sz="0" w:space="0" w:color="auto"/>
      </w:divBdr>
    </w:div>
    <w:div w:id="1143237674">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8322300">
      <w:bodyDiv w:val="1"/>
      <w:marLeft w:val="0"/>
      <w:marRight w:val="0"/>
      <w:marTop w:val="0"/>
      <w:marBottom w:val="0"/>
      <w:divBdr>
        <w:top w:val="none" w:sz="0" w:space="0" w:color="auto"/>
        <w:left w:val="none" w:sz="0" w:space="0" w:color="auto"/>
        <w:bottom w:val="none" w:sz="0" w:space="0" w:color="auto"/>
        <w:right w:val="none" w:sz="0" w:space="0" w:color="auto"/>
      </w:divBdr>
    </w:div>
    <w:div w:id="1174105049">
      <w:bodyDiv w:val="1"/>
      <w:marLeft w:val="0"/>
      <w:marRight w:val="0"/>
      <w:marTop w:val="0"/>
      <w:marBottom w:val="0"/>
      <w:divBdr>
        <w:top w:val="none" w:sz="0" w:space="0" w:color="auto"/>
        <w:left w:val="none" w:sz="0" w:space="0" w:color="auto"/>
        <w:bottom w:val="none" w:sz="0" w:space="0" w:color="auto"/>
        <w:right w:val="none" w:sz="0" w:space="0" w:color="auto"/>
      </w:divBdr>
    </w:div>
    <w:div w:id="1270699565">
      <w:bodyDiv w:val="1"/>
      <w:marLeft w:val="0"/>
      <w:marRight w:val="0"/>
      <w:marTop w:val="0"/>
      <w:marBottom w:val="0"/>
      <w:divBdr>
        <w:top w:val="none" w:sz="0" w:space="0" w:color="auto"/>
        <w:left w:val="none" w:sz="0" w:space="0" w:color="auto"/>
        <w:bottom w:val="none" w:sz="0" w:space="0" w:color="auto"/>
        <w:right w:val="none" w:sz="0" w:space="0" w:color="auto"/>
      </w:divBdr>
    </w:div>
    <w:div w:id="1319577518">
      <w:bodyDiv w:val="1"/>
      <w:marLeft w:val="0"/>
      <w:marRight w:val="0"/>
      <w:marTop w:val="0"/>
      <w:marBottom w:val="0"/>
      <w:divBdr>
        <w:top w:val="none" w:sz="0" w:space="0" w:color="auto"/>
        <w:left w:val="none" w:sz="0" w:space="0" w:color="auto"/>
        <w:bottom w:val="none" w:sz="0" w:space="0" w:color="auto"/>
        <w:right w:val="none" w:sz="0" w:space="0" w:color="auto"/>
      </w:divBdr>
    </w:div>
    <w:div w:id="1386293263">
      <w:bodyDiv w:val="1"/>
      <w:marLeft w:val="0"/>
      <w:marRight w:val="0"/>
      <w:marTop w:val="0"/>
      <w:marBottom w:val="0"/>
      <w:divBdr>
        <w:top w:val="none" w:sz="0" w:space="0" w:color="auto"/>
        <w:left w:val="none" w:sz="0" w:space="0" w:color="auto"/>
        <w:bottom w:val="none" w:sz="0" w:space="0" w:color="auto"/>
        <w:right w:val="none" w:sz="0" w:space="0" w:color="auto"/>
      </w:divBdr>
    </w:div>
    <w:div w:id="1509710160">
      <w:bodyDiv w:val="1"/>
      <w:marLeft w:val="0"/>
      <w:marRight w:val="0"/>
      <w:marTop w:val="0"/>
      <w:marBottom w:val="0"/>
      <w:divBdr>
        <w:top w:val="none" w:sz="0" w:space="0" w:color="auto"/>
        <w:left w:val="none" w:sz="0" w:space="0" w:color="auto"/>
        <w:bottom w:val="none" w:sz="0" w:space="0" w:color="auto"/>
        <w:right w:val="none" w:sz="0" w:space="0" w:color="auto"/>
      </w:divBdr>
    </w:div>
    <w:div w:id="1554582474">
      <w:bodyDiv w:val="1"/>
      <w:marLeft w:val="0"/>
      <w:marRight w:val="0"/>
      <w:marTop w:val="0"/>
      <w:marBottom w:val="0"/>
      <w:divBdr>
        <w:top w:val="none" w:sz="0" w:space="0" w:color="auto"/>
        <w:left w:val="none" w:sz="0" w:space="0" w:color="auto"/>
        <w:bottom w:val="none" w:sz="0" w:space="0" w:color="auto"/>
        <w:right w:val="none" w:sz="0" w:space="0" w:color="auto"/>
      </w:divBdr>
    </w:div>
    <w:div w:id="1674918629">
      <w:bodyDiv w:val="1"/>
      <w:marLeft w:val="0"/>
      <w:marRight w:val="0"/>
      <w:marTop w:val="0"/>
      <w:marBottom w:val="0"/>
      <w:divBdr>
        <w:top w:val="none" w:sz="0" w:space="0" w:color="auto"/>
        <w:left w:val="none" w:sz="0" w:space="0" w:color="auto"/>
        <w:bottom w:val="none" w:sz="0" w:space="0" w:color="auto"/>
        <w:right w:val="none" w:sz="0" w:space="0" w:color="auto"/>
      </w:divBdr>
    </w:div>
    <w:div w:id="1726179159">
      <w:bodyDiv w:val="1"/>
      <w:marLeft w:val="0"/>
      <w:marRight w:val="0"/>
      <w:marTop w:val="0"/>
      <w:marBottom w:val="0"/>
      <w:divBdr>
        <w:top w:val="none" w:sz="0" w:space="0" w:color="auto"/>
        <w:left w:val="none" w:sz="0" w:space="0" w:color="auto"/>
        <w:bottom w:val="none" w:sz="0" w:space="0" w:color="auto"/>
        <w:right w:val="none" w:sz="0" w:space="0" w:color="auto"/>
      </w:divBdr>
    </w:div>
    <w:div w:id="1728068206">
      <w:bodyDiv w:val="1"/>
      <w:marLeft w:val="0"/>
      <w:marRight w:val="0"/>
      <w:marTop w:val="0"/>
      <w:marBottom w:val="0"/>
      <w:divBdr>
        <w:top w:val="none" w:sz="0" w:space="0" w:color="auto"/>
        <w:left w:val="none" w:sz="0" w:space="0" w:color="auto"/>
        <w:bottom w:val="none" w:sz="0" w:space="0" w:color="auto"/>
        <w:right w:val="none" w:sz="0" w:space="0" w:color="auto"/>
      </w:divBdr>
    </w:div>
    <w:div w:id="1730880197">
      <w:bodyDiv w:val="1"/>
      <w:marLeft w:val="0"/>
      <w:marRight w:val="0"/>
      <w:marTop w:val="0"/>
      <w:marBottom w:val="0"/>
      <w:divBdr>
        <w:top w:val="none" w:sz="0" w:space="0" w:color="auto"/>
        <w:left w:val="none" w:sz="0" w:space="0" w:color="auto"/>
        <w:bottom w:val="none" w:sz="0" w:space="0" w:color="auto"/>
        <w:right w:val="none" w:sz="0" w:space="0" w:color="auto"/>
      </w:divBdr>
    </w:div>
    <w:div w:id="1775663943">
      <w:bodyDiv w:val="1"/>
      <w:marLeft w:val="0"/>
      <w:marRight w:val="0"/>
      <w:marTop w:val="0"/>
      <w:marBottom w:val="0"/>
      <w:divBdr>
        <w:top w:val="none" w:sz="0" w:space="0" w:color="auto"/>
        <w:left w:val="none" w:sz="0" w:space="0" w:color="auto"/>
        <w:bottom w:val="none" w:sz="0" w:space="0" w:color="auto"/>
        <w:right w:val="none" w:sz="0" w:space="0" w:color="auto"/>
      </w:divBdr>
    </w:div>
    <w:div w:id="1790317793">
      <w:bodyDiv w:val="1"/>
      <w:marLeft w:val="0"/>
      <w:marRight w:val="0"/>
      <w:marTop w:val="0"/>
      <w:marBottom w:val="0"/>
      <w:divBdr>
        <w:top w:val="none" w:sz="0" w:space="0" w:color="auto"/>
        <w:left w:val="none" w:sz="0" w:space="0" w:color="auto"/>
        <w:bottom w:val="none" w:sz="0" w:space="0" w:color="auto"/>
        <w:right w:val="none" w:sz="0" w:space="0" w:color="auto"/>
      </w:divBdr>
    </w:div>
    <w:div w:id="1825120090">
      <w:bodyDiv w:val="1"/>
      <w:marLeft w:val="0"/>
      <w:marRight w:val="0"/>
      <w:marTop w:val="0"/>
      <w:marBottom w:val="0"/>
      <w:divBdr>
        <w:top w:val="none" w:sz="0" w:space="0" w:color="auto"/>
        <w:left w:val="none" w:sz="0" w:space="0" w:color="auto"/>
        <w:bottom w:val="none" w:sz="0" w:space="0" w:color="auto"/>
        <w:right w:val="none" w:sz="0" w:space="0" w:color="auto"/>
      </w:divBdr>
    </w:div>
    <w:div w:id="1883783497">
      <w:bodyDiv w:val="1"/>
      <w:marLeft w:val="0"/>
      <w:marRight w:val="0"/>
      <w:marTop w:val="0"/>
      <w:marBottom w:val="0"/>
      <w:divBdr>
        <w:top w:val="none" w:sz="0" w:space="0" w:color="auto"/>
        <w:left w:val="none" w:sz="0" w:space="0" w:color="auto"/>
        <w:bottom w:val="none" w:sz="0" w:space="0" w:color="auto"/>
        <w:right w:val="none" w:sz="0" w:space="0" w:color="auto"/>
      </w:divBdr>
    </w:div>
    <w:div w:id="2033189965">
      <w:bodyDiv w:val="1"/>
      <w:marLeft w:val="0"/>
      <w:marRight w:val="0"/>
      <w:marTop w:val="0"/>
      <w:marBottom w:val="0"/>
      <w:divBdr>
        <w:top w:val="none" w:sz="0" w:space="0" w:color="auto"/>
        <w:left w:val="none" w:sz="0" w:space="0" w:color="auto"/>
        <w:bottom w:val="none" w:sz="0" w:space="0" w:color="auto"/>
        <w:right w:val="none" w:sz="0" w:space="0" w:color="auto"/>
      </w:divBdr>
    </w:div>
    <w:div w:id="2131700372">
      <w:bodyDiv w:val="1"/>
      <w:marLeft w:val="0"/>
      <w:marRight w:val="0"/>
      <w:marTop w:val="0"/>
      <w:marBottom w:val="0"/>
      <w:divBdr>
        <w:top w:val="none" w:sz="0" w:space="0" w:color="auto"/>
        <w:left w:val="none" w:sz="0" w:space="0" w:color="auto"/>
        <w:bottom w:val="none" w:sz="0" w:space="0" w:color="auto"/>
        <w:right w:val="none" w:sz="0" w:space="0" w:color="auto"/>
      </w:divBdr>
    </w:div>
    <w:div w:id="21442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iversaldesign.ie/products-services/customer-communications-toolkit-for-services-to-the-public-a-universal-design-approach/"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nda.ie/publications/access-officer-guidance-for-public-bodies"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nda.ie/publications/access-officer-guidance-for-public-bodies" TargetMode="External"/><Relationship Id="rId10" Type="http://schemas.openxmlformats.org/officeDocument/2006/relationships/hyperlink" Target="https://nda.ie/publications/monitoring-report-eu-wad-ireland-2021-nda-report"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nda.ie/publications/nda-annual-reports-on-compliance-with-part-5-of-the-disability-act" TargetMode="External"/><Relationship Id="rId14" Type="http://schemas.openxmlformats.org/officeDocument/2006/relationships/chart" Target="charts/chart4.xml"/><Relationship Id="rId22" Type="http://schemas.openxmlformats.org/officeDocument/2006/relationships/hyperlink" Target="https://nda.ie/publications/monitoring-report-eu-wad-ireland-2021-nda-repo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iversaldesign.ie/products-services/customer-communications-toolkit-for-services-to-the-public-a-universal-design-approach/" TargetMode="External"/><Relationship Id="rId7" Type="http://schemas.openxmlformats.org/officeDocument/2006/relationships/hyperlink" Target="https://universaldesign.ie/technology-ict/web-and-mobile-app-accessibility/accessibility-statement1/" TargetMode="External"/><Relationship Id="rId2" Type="http://schemas.openxmlformats.org/officeDocument/2006/relationships/hyperlink" Target="https://www.cso.ie/en/releasesandpublications/ep/p-syi/statisticalyearbookofireland2021part1/soc/internetusagebyhouseholds/" TargetMode="External"/><Relationship Id="rId1" Type="http://schemas.openxmlformats.org/officeDocument/2006/relationships/hyperlink" Target="https://www.cso.ie/en/releasesandpublications/ep/p-isshict/internetcoverageandusageinireland2022/householdinternetconnectivity/" TargetMode="External"/><Relationship Id="rId6" Type="http://schemas.openxmlformats.org/officeDocument/2006/relationships/hyperlink" Target="https://universaldesign.ie/technology-ict/web-and-mobile-app-accessibility/accessibility-statement1/" TargetMode="External"/><Relationship Id="rId5" Type="http://schemas.openxmlformats.org/officeDocument/2006/relationships/hyperlink" Target="https://nda.ie/uploads/publications/nda-strategic-plan-2022-2024.pdf" TargetMode="External"/><Relationship Id="rId4" Type="http://schemas.openxmlformats.org/officeDocument/2006/relationships/hyperlink" Target="https://nda.ie/publications/access-officer-guidance-for-public-bod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Gill Sans MT" panose="020B0502020104020203" pitchFamily="34" charset="0"/>
                <a:ea typeface="+mn-ea"/>
                <a:cs typeface="+mn-cs"/>
              </a:defRPr>
            </a:pPr>
            <a:r>
              <a:rPr lang="en-IE">
                <a:latin typeface="Gill Sans MT" panose="020B0502020104020203" pitchFamily="34" charset="0"/>
              </a:rPr>
              <a:t>Access Officer promoted on website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Gill Sans MT" panose="020B0502020104020203" pitchFamily="34" charset="0"/>
              <a:ea typeface="+mn-ea"/>
              <a:cs typeface="+mn-cs"/>
            </a:defRPr>
          </a:pPr>
          <a:endParaRPr lang="en-US"/>
        </a:p>
      </c:txPr>
    </c:title>
    <c:autoTitleDeleted val="0"/>
    <c:plotArea>
      <c:layout/>
      <c:pieChart>
        <c:varyColors val="1"/>
        <c:ser>
          <c:idx val="0"/>
          <c:order val="0"/>
          <c:dPt>
            <c:idx val="0"/>
            <c:bubble3D val="0"/>
            <c:spPr>
              <a:solidFill>
                <a:srgbClr val="CC0099"/>
              </a:solidFill>
              <a:ln w="19050">
                <a:solidFill>
                  <a:schemeClr val="lt1"/>
                </a:solidFill>
              </a:ln>
              <a:effectLst/>
            </c:spPr>
            <c:extLst>
              <c:ext xmlns:c16="http://schemas.microsoft.com/office/drawing/2014/chart" uri="{C3380CC4-5D6E-409C-BE32-E72D297353CC}">
                <c16:uniqueId val="{00000001-3374-4146-809E-4AAD0C8A798E}"/>
              </c:ext>
            </c:extLst>
          </c:dPt>
          <c:dPt>
            <c:idx val="1"/>
            <c:bubble3D val="0"/>
            <c:spPr>
              <a:solidFill>
                <a:schemeClr val="tx1"/>
              </a:solidFill>
              <a:ln w="19050">
                <a:solidFill>
                  <a:schemeClr val="lt1"/>
                </a:solidFill>
              </a:ln>
              <a:effectLst/>
            </c:spPr>
            <c:extLst>
              <c:ext xmlns:c16="http://schemas.microsoft.com/office/drawing/2014/chart" uri="{C3380CC4-5D6E-409C-BE32-E72D297353CC}">
                <c16:uniqueId val="{00000003-3374-4146-809E-4AAD0C8A798E}"/>
              </c:ext>
            </c:extLst>
          </c:dPt>
          <c:dLbls>
            <c:dLbl>
              <c:idx val="0"/>
              <c:layout>
                <c:manualLayout>
                  <c:x val="-1.3191383996249747E-2"/>
                  <c:y val="-0.11157608381084679"/>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fld id="{981F0ADC-D2C7-4ABA-ACA2-B31A1207BE46}" type="CATEGORYNAME">
                      <a:rPr lang="en-US" sz="1100">
                        <a:latin typeface="Gill Sans MT" panose="020B0502020104020203" pitchFamily="34" charset="0"/>
                      </a:rPr>
                      <a:pPr>
                        <a:defRPr/>
                      </a:pPr>
                      <a:t>[CATEGORY NAME]</a:t>
                    </a:fld>
                    <a:r>
                      <a:rPr lang="en-US" sz="1100">
                        <a:latin typeface="Gill Sans MT" panose="020B0502020104020203" pitchFamily="34" charset="0"/>
                      </a:rPr>
                      <a:t>  </a:t>
                    </a:r>
                  </a:p>
                  <a:p>
                    <a:pPr>
                      <a:defRPr/>
                    </a:pPr>
                    <a:r>
                      <a:rPr lang="en-US" sz="1100">
                        <a:latin typeface="Gill Sans MT" panose="020B0502020104020203" pitchFamily="34" charset="0"/>
                      </a:rPr>
                      <a:t>47.7%</a:t>
                    </a:r>
                  </a:p>
                </c:rich>
              </c:tx>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1-3374-4146-809E-4AAD0C8A798E}"/>
                </c:ext>
              </c:extLst>
            </c:dLbl>
            <c:dLbl>
              <c:idx val="1"/>
              <c:layout>
                <c:manualLayout>
                  <c:x val="7.0387453964823891E-4"/>
                  <c:y val="0.13016727441106674"/>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fld id="{0EA44FA5-FAFD-4174-8AC0-403FD26A9AB0}" type="CATEGORYNAME">
                      <a:rPr lang="en-US" sz="1100">
                        <a:latin typeface="Gill Sans MT" panose="020B0502020104020203" pitchFamily="34" charset="0"/>
                      </a:rPr>
                      <a:pPr>
                        <a:defRPr/>
                      </a:pPr>
                      <a:t>[CATEGORY NAME]</a:t>
                    </a:fld>
                    <a:r>
                      <a:rPr lang="en-US" sz="1100">
                        <a:latin typeface="Gill Sans MT" panose="020B0502020104020203" pitchFamily="34" charset="0"/>
                      </a:rPr>
                      <a:t>   </a:t>
                    </a:r>
                  </a:p>
                  <a:p>
                    <a:pPr>
                      <a:defRPr/>
                    </a:pPr>
                    <a:r>
                      <a:rPr lang="en-US" sz="1100">
                        <a:latin typeface="Gill Sans MT" panose="020B0502020104020203" pitchFamily="34" charset="0"/>
                      </a:rPr>
                      <a:t>52.3%</a:t>
                    </a:r>
                  </a:p>
                </c:rich>
              </c:tx>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3-3374-4146-809E-4AAD0C8A798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'initial findings- adjusted'!$A$290:$A$291</c:f>
              <c:strCache>
                <c:ptCount val="2"/>
                <c:pt idx="0">
                  <c:v>Access Officer promoted </c:v>
                </c:pt>
                <c:pt idx="1">
                  <c:v>Access Officer not promoted</c:v>
                </c:pt>
              </c:strCache>
            </c:strRef>
          </c:cat>
          <c:val>
            <c:numRef>
              <c:f>'initial findings- adjusted'!$B$290:$B$291</c:f>
              <c:numCache>
                <c:formatCode>General</c:formatCode>
                <c:ptCount val="2"/>
                <c:pt idx="0">
                  <c:v>134</c:v>
                </c:pt>
                <c:pt idx="1">
                  <c:v>148</c:v>
                </c:pt>
              </c:numCache>
            </c:numRef>
          </c:val>
          <c:extLst>
            <c:ext xmlns:c16="http://schemas.microsoft.com/office/drawing/2014/chart" uri="{C3380CC4-5D6E-409C-BE32-E72D297353CC}">
              <c16:uniqueId val="{00000004-3374-4146-809E-4AAD0C8A798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Gill Sans MT" panose="020B0502020104020203" pitchFamily="34" charset="0"/>
                <a:ea typeface="+mn-ea"/>
                <a:cs typeface="+mn-cs"/>
              </a:defRPr>
            </a:pPr>
            <a:r>
              <a:rPr lang="en-IE">
                <a:solidFill>
                  <a:schemeClr val="tx1"/>
                </a:solidFill>
                <a:latin typeface="Gill Sans MT" panose="020B0502020104020203" pitchFamily="34" charset="0"/>
              </a:rPr>
              <a:t>Public bodies who met all the criteria of the indicator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Gill Sans MT" panose="020B0502020104020203" pitchFamily="34" charset="0"/>
              <a:ea typeface="+mn-ea"/>
              <a:cs typeface="+mn-cs"/>
            </a:defRPr>
          </a:pPr>
          <a:endParaRPr lang="en-US"/>
        </a:p>
      </c:txPr>
    </c:title>
    <c:autoTitleDeleted val="0"/>
    <c:plotArea>
      <c:layout/>
      <c:pieChart>
        <c:varyColors val="1"/>
        <c:ser>
          <c:idx val="0"/>
          <c:order val="0"/>
          <c:spPr>
            <a:solidFill>
              <a:schemeClr val="accent4"/>
            </a:solidFill>
          </c:spPr>
          <c:dPt>
            <c:idx val="0"/>
            <c:bubble3D val="0"/>
            <c:spPr>
              <a:solidFill>
                <a:schemeClr val="accent2"/>
              </a:solidFill>
              <a:ln w="19050">
                <a:solidFill>
                  <a:schemeClr val="lt1"/>
                </a:solidFill>
              </a:ln>
              <a:effectLst/>
            </c:spPr>
            <c:extLst>
              <c:ext xmlns:c16="http://schemas.microsoft.com/office/drawing/2014/chart" uri="{C3380CC4-5D6E-409C-BE32-E72D297353CC}">
                <c16:uniqueId val="{00000001-2A44-449D-AE4D-A7162B8CF75B}"/>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2A44-449D-AE4D-A7162B8CF75B}"/>
              </c:ext>
            </c:extLst>
          </c:dPt>
          <c:dLbls>
            <c:dLbl>
              <c:idx val="0"/>
              <c:tx>
                <c:rich>
                  <a:bodyPr/>
                  <a:lstStyle/>
                  <a:p>
                    <a:fld id="{948D9AF6-7B3D-46FA-89E9-91B8FEFFAD93}" type="CATEGORYNAME">
                      <a:rPr lang="en-US"/>
                      <a:pPr/>
                      <a:t>[CATEGORY NAME]</a:t>
                    </a:fld>
                    <a:r>
                      <a:rPr lang="en-US" baseline="0"/>
                      <a:t>
65.1%</a:t>
                    </a:r>
                  </a:p>
                </c:rich>
              </c:tx>
              <c:dLblPos val="outEnd"/>
              <c:showLegendKey val="0"/>
              <c:showVal val="0"/>
              <c:showCatName val="1"/>
              <c:showSerName val="0"/>
              <c:showPercent val="1"/>
              <c:showBubbleSize val="0"/>
              <c:extLst>
                <c:ext xmlns:c15="http://schemas.microsoft.com/office/drawing/2012/chart" uri="{CE6537A1-D6FC-4f65-9D91-7224C49458BB}">
                  <c15:layout>
                    <c:manualLayout>
                      <c:w val="0.22002823598485063"/>
                      <c:h val="0.23121615558186884"/>
                    </c:manualLayout>
                  </c15:layout>
                  <c15:dlblFieldTable/>
                  <c15:showDataLabelsRange val="0"/>
                </c:ext>
                <c:ext xmlns:c16="http://schemas.microsoft.com/office/drawing/2014/chart" uri="{C3380CC4-5D6E-409C-BE32-E72D297353CC}">
                  <c16:uniqueId val="{00000001-2A44-449D-AE4D-A7162B8CF75B}"/>
                </c:ext>
              </c:extLst>
            </c:dLbl>
            <c:dLbl>
              <c:idx val="1"/>
              <c:tx>
                <c:rich>
                  <a:bodyPr/>
                  <a:lstStyle/>
                  <a:p>
                    <a:fld id="{A8591AEE-0DE6-4194-8400-16589D53F5DF}" type="CATEGORYNAME">
                      <a:rPr lang="en-US"/>
                      <a:pPr/>
                      <a:t>[CATEGORY NAME]</a:t>
                    </a:fld>
                    <a:r>
                      <a:rPr lang="en-US" baseline="0"/>
                      <a:t>
34.9%</a:t>
                    </a:r>
                  </a:p>
                </c:rich>
              </c:tx>
              <c:dLblPos val="outEnd"/>
              <c:showLegendKey val="0"/>
              <c:showVal val="0"/>
              <c:showCatName val="1"/>
              <c:showSerName val="0"/>
              <c:showPercent val="1"/>
              <c:showBubbleSize val="0"/>
              <c:extLst>
                <c:ext xmlns:c15="http://schemas.microsoft.com/office/drawing/2012/chart" uri="{CE6537A1-D6FC-4f65-9D91-7224C49458BB}">
                  <c15:layout>
                    <c:manualLayout>
                      <c:w val="0.18785389133201613"/>
                      <c:h val="0.17961373425318333"/>
                    </c:manualLayout>
                  </c15:layout>
                  <c15:dlblFieldTable/>
                  <c15:showDataLabelsRange val="0"/>
                </c:ext>
                <c:ext xmlns:c16="http://schemas.microsoft.com/office/drawing/2014/chart" uri="{C3380CC4-5D6E-409C-BE32-E72D297353CC}">
                  <c16:uniqueId val="{00000003-2A44-449D-AE4D-A7162B8CF75B}"/>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'initial findings- adjusted'!$J$308:$J$309</c:f>
              <c:strCache>
                <c:ptCount val="2"/>
                <c:pt idx="0">
                  <c:v>Did not meet all the criteria of the indicator</c:v>
                </c:pt>
                <c:pt idx="1">
                  <c:v>met all criteria of the indicator</c:v>
                </c:pt>
              </c:strCache>
            </c:strRef>
          </c:cat>
          <c:val>
            <c:numRef>
              <c:f>'initial findings- adjusted'!$K$308:$K$309</c:f>
              <c:numCache>
                <c:formatCode>General</c:formatCode>
                <c:ptCount val="2"/>
                <c:pt idx="0">
                  <c:v>184</c:v>
                </c:pt>
                <c:pt idx="1">
                  <c:v>98</c:v>
                </c:pt>
              </c:numCache>
            </c:numRef>
          </c:val>
          <c:extLst>
            <c:ext xmlns:c16="http://schemas.microsoft.com/office/drawing/2014/chart" uri="{C3380CC4-5D6E-409C-BE32-E72D297353CC}">
              <c16:uniqueId val="{00000004-2A44-449D-AE4D-A7162B8CF75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IE" sz="1600" b="0">
                <a:solidFill>
                  <a:sysClr val="windowText" lastClr="000000"/>
                </a:solidFill>
                <a:latin typeface="Gill Sans MT" panose="020B0502020104020203" pitchFamily="34" charset="0"/>
              </a:rPr>
              <a:t>Access Officer Promoted on Website </a:t>
            </a:r>
          </a:p>
        </c:rich>
      </c:tx>
      <c:layout>
        <c:manualLayout>
          <c:xMode val="edge"/>
          <c:yMode val="edge"/>
          <c:x val="0.20617036506800285"/>
          <c:y val="2.9728911004768467E-2"/>
        </c:manualLayout>
      </c:layout>
      <c:overlay val="0"/>
      <c:spPr>
        <a:solidFill>
          <a:sysClr val="window" lastClr="FFFFFF"/>
        </a:solid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28913116629652064"/>
          <c:y val="0.15313070322168279"/>
          <c:w val="0.46511407227942658"/>
          <c:h val="0.7518942515605238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6C0-4EF7-9E2A-AED7FF108EA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6C0-4EF7-9E2A-AED7FF108EA4}"/>
              </c:ext>
            </c:extLst>
          </c:dPt>
          <c:dLbls>
            <c:dLbl>
              <c:idx val="0"/>
              <c:layout>
                <c:manualLayout>
                  <c:x val="8.9743757991789491E-2"/>
                  <c:y val="-0.17098459195191273"/>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Gill Sans MT" panose="020B0502020104020203" pitchFamily="34" charset="0"/>
                        <a:ea typeface="+mn-ea"/>
                        <a:cs typeface="+mn-cs"/>
                      </a:defRPr>
                    </a:pPr>
                    <a:fld id="{C96A9059-CD57-4F79-BFE1-97FAD2C5D680}" type="CATEGORYNAME">
                      <a:rPr lang="en-US" sz="900" b="0">
                        <a:solidFill>
                          <a:sysClr val="windowText" lastClr="000000"/>
                        </a:solidFill>
                        <a:latin typeface="Gill Sans MT" panose="020B0502020104020203" pitchFamily="34" charset="0"/>
                      </a:rPr>
                      <a:pPr>
                        <a:defRPr>
                          <a:solidFill>
                            <a:schemeClr val="dk1"/>
                          </a:solidFill>
                          <a:latin typeface="Gill Sans MT" panose="020B0502020104020203" pitchFamily="34" charset="0"/>
                        </a:defRPr>
                      </a:pPr>
                      <a:t>[CATEGORY NAME]</a:t>
                    </a:fld>
                    <a:r>
                      <a:rPr lang="en-US" sz="900" b="0">
                        <a:solidFill>
                          <a:sysClr val="windowText" lastClr="000000"/>
                        </a:solidFill>
                        <a:latin typeface="Gill Sans MT" panose="020B0502020104020203" pitchFamily="34" charset="0"/>
                      </a:rPr>
                      <a:t>
68.3%</a:t>
                    </a:r>
                  </a:p>
                </c:rich>
              </c:tx>
              <c:spPr>
                <a:solidFill>
                  <a:sysClr val="window" lastClr="FFFFFF"/>
                </a:solidFill>
                <a:ln w="12700" cap="flat" cmpd="sng" algn="ctr">
                  <a:solidFill>
                    <a:srgbClr val="000000"/>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Gill Sans MT" panose="020B0502020104020203"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4662830607712499"/>
                      <c:h val="0.2488180816776141"/>
                    </c:manualLayout>
                  </c15:layout>
                  <c15:dlblFieldTable/>
                  <c15:showDataLabelsRange val="0"/>
                </c:ext>
                <c:ext xmlns:c16="http://schemas.microsoft.com/office/drawing/2014/chart" uri="{C3380CC4-5D6E-409C-BE32-E72D297353CC}">
                  <c16:uniqueId val="{00000001-86C0-4EF7-9E2A-AED7FF108EA4}"/>
                </c:ext>
              </c:extLst>
            </c:dLbl>
            <c:dLbl>
              <c:idx val="1"/>
              <c:layout>
                <c:manualLayout>
                  <c:x val="-7.4786324786324798E-2"/>
                  <c:y val="6.5630261243251331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Gill Sans MT" panose="020B0502020104020203" pitchFamily="34" charset="0"/>
                        <a:ea typeface="+mn-ea"/>
                        <a:cs typeface="+mn-cs"/>
                      </a:defRPr>
                    </a:pPr>
                    <a:fld id="{F2AFAB33-BA7D-4008-9A89-0A94DED1B278}" type="CATEGORYNAME">
                      <a:rPr lang="en-US" sz="900" b="0">
                        <a:solidFill>
                          <a:schemeClr val="dk1"/>
                        </a:solidFill>
                        <a:latin typeface="Gill Sans MT" panose="020B0502020104020203" pitchFamily="34" charset="0"/>
                        <a:ea typeface="+mn-ea"/>
                        <a:cs typeface="+mn-cs"/>
                      </a:rPr>
                      <a:pPr>
                        <a:defRPr>
                          <a:solidFill>
                            <a:schemeClr val="dk1"/>
                          </a:solidFill>
                          <a:latin typeface="Gill Sans MT" panose="020B0502020104020203" pitchFamily="34" charset="0"/>
                        </a:defRPr>
                      </a:pPr>
                      <a:t>[CATEGORY NAME]</a:t>
                    </a:fld>
                    <a:r>
                      <a:rPr lang="en-US" sz="900" b="0" baseline="0">
                        <a:solidFill>
                          <a:schemeClr val="dk1"/>
                        </a:solidFill>
                        <a:latin typeface="Gill Sans MT" panose="020B0502020104020203" pitchFamily="34" charset="0"/>
                        <a:ea typeface="+mn-ea"/>
                        <a:cs typeface="+mn-cs"/>
                      </a:rPr>
                      <a:t>
31.7%</a:t>
                    </a:r>
                  </a:p>
                </c:rich>
              </c:tx>
              <c:spPr>
                <a:solidFill>
                  <a:sysClr val="window" lastClr="FFFFFF"/>
                </a:solidFill>
                <a:ln w="12700" cap="flat" cmpd="sng" algn="ctr">
                  <a:solidFill>
                    <a:srgbClr val="000000"/>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Gill Sans MT" panose="020B0502020104020203"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7823457164008344"/>
                      <c:h val="0.2799061645791685"/>
                    </c:manualLayout>
                  </c15:layout>
                  <c15:dlblFieldTable/>
                  <c15:showDataLabelsRange val="0"/>
                </c:ext>
                <c:ext xmlns:c16="http://schemas.microsoft.com/office/drawing/2014/chart" uri="{C3380CC4-5D6E-409C-BE32-E72D297353CC}">
                  <c16:uniqueId val="{00000003-86C0-4EF7-9E2A-AED7FF108EA4}"/>
                </c:ext>
              </c:extLst>
            </c:dLbl>
            <c:spPr>
              <a:solidFill>
                <a:sysClr val="window" lastClr="FFFFFF"/>
              </a:solidFill>
              <a:ln w="12700" cap="flat" cmpd="sng" algn="ctr">
                <a:solidFill>
                  <a:srgbClr val="000000"/>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'Final Monitoring Findings '!$A$290:$A$291</c:f>
              <c:strCache>
                <c:ptCount val="2"/>
                <c:pt idx="0">
                  <c:v>Access Officer promoted </c:v>
                </c:pt>
                <c:pt idx="1">
                  <c:v>Access Officer not promoted</c:v>
                </c:pt>
              </c:strCache>
            </c:strRef>
          </c:cat>
          <c:val>
            <c:numRef>
              <c:f>'Final Monitoring Findings '!$B$290:$B$291</c:f>
              <c:numCache>
                <c:formatCode>General</c:formatCode>
                <c:ptCount val="2"/>
                <c:pt idx="0">
                  <c:v>192</c:v>
                </c:pt>
                <c:pt idx="1">
                  <c:v>90</c:v>
                </c:pt>
              </c:numCache>
            </c:numRef>
          </c:val>
          <c:extLst>
            <c:ext xmlns:c16="http://schemas.microsoft.com/office/drawing/2014/chart" uri="{C3380CC4-5D6E-409C-BE32-E72D297353CC}">
              <c16:uniqueId val="{00000004-86C0-4EF7-9E2A-AED7FF108EA4}"/>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effectLst/>
                <a:latin typeface="+mn-lt"/>
                <a:ea typeface="+mn-ea"/>
                <a:cs typeface="+mn-cs"/>
              </a:defRPr>
            </a:pPr>
            <a:r>
              <a:rPr lang="en-IE" sz="1600" b="0">
                <a:solidFill>
                  <a:sysClr val="windowText" lastClr="000000"/>
                </a:solidFill>
                <a:latin typeface="Gill Sans MT" panose="020B0502020104020203" pitchFamily="34" charset="0"/>
              </a:rPr>
              <a:t>Access Officer Promoted with Contact Information </a:t>
            </a:r>
          </a:p>
        </c:rich>
      </c:tx>
      <c:layout>
        <c:manualLayout>
          <c:xMode val="edge"/>
          <c:yMode val="edge"/>
          <c:x val="0.15632415782737905"/>
          <c:y val="3.942101681734227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E943-473F-BE00-21D87D8A3194}"/>
              </c:ext>
            </c:extLst>
          </c:dPt>
          <c:dPt>
            <c:idx val="1"/>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E943-473F-BE00-21D87D8A3194}"/>
              </c:ext>
            </c:extLst>
          </c:dPt>
          <c:dLbls>
            <c:dLbl>
              <c:idx val="0"/>
              <c:layout>
                <c:manualLayout>
                  <c:x val="-0.36244877656421981"/>
                  <c:y val="0.16534444558066602"/>
                </c:manualLayout>
              </c:layout>
              <c:tx>
                <c:rich>
                  <a:bodyPr/>
                  <a:lstStyle/>
                  <a:p>
                    <a:fld id="{52853E9B-C7C3-4D37-AE65-9868F026D483}" type="CATEGORYNAME">
                      <a:rPr lang="en-US">
                        <a:solidFill>
                          <a:sysClr val="windowText" lastClr="000000"/>
                        </a:solidFill>
                        <a:latin typeface="Gill Sans MT" panose="020B0502020104020203" pitchFamily="34" charset="0"/>
                      </a:rPr>
                      <a:pPr/>
                      <a:t>[CATEGORY NAME]</a:t>
                    </a:fld>
                    <a:r>
                      <a:rPr lang="en-US" baseline="0">
                        <a:solidFill>
                          <a:sysClr val="windowText" lastClr="000000"/>
                        </a:solidFill>
                        <a:latin typeface="Gill Sans MT" panose="020B0502020104020203" pitchFamily="34" charset="0"/>
                      </a:rPr>
                      <a:t>
0.5%</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943-473F-BE00-21D87D8A3194}"/>
                </c:ext>
              </c:extLst>
            </c:dLbl>
            <c:dLbl>
              <c:idx val="1"/>
              <c:layout>
                <c:manualLayout>
                  <c:x val="0.3601193802387605"/>
                  <c:y val="-0.38654983174125168"/>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effectLst/>
                        <a:latin typeface="Gill Sans MT" panose="020B0502020104020203" pitchFamily="34" charset="0"/>
                        <a:ea typeface="+mn-ea"/>
                        <a:cs typeface="+mn-cs"/>
                      </a:defRPr>
                    </a:pPr>
                    <a:fld id="{C47E4FF2-B11F-41CB-89CF-EE8C39D5EDFB}" type="CATEGORYNAME">
                      <a:rPr lang="en-US">
                        <a:latin typeface="Gill Sans MT" panose="020B0502020104020203" pitchFamily="34" charset="0"/>
                      </a:rPr>
                      <a:pPr>
                        <a:defRPr>
                          <a:latin typeface="Gill Sans MT" panose="020B0502020104020203" pitchFamily="34" charset="0"/>
                        </a:defRPr>
                      </a:pPr>
                      <a:t>[CATEGORY NAME]</a:t>
                    </a:fld>
                    <a:r>
                      <a:rPr lang="en-US">
                        <a:latin typeface="Gill Sans MT" panose="020B0502020104020203" pitchFamily="34" charset="0"/>
                      </a:rPr>
                      <a:t>
99.5%</a:t>
                    </a:r>
                  </a:p>
                </c:rich>
              </c:tx>
              <c:spPr>
                <a:solidFill>
                  <a:schemeClr val="lt1"/>
                </a:solidFill>
                <a:ln w="12700" cap="flat" cmpd="sng" algn="ctr">
                  <a:solidFill>
                    <a:schemeClr val="dk1"/>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effectLst/>
                      <a:latin typeface="Gill Sans MT" panose="020B0502020104020203"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41020"/>
                        <a:gd name="adj2" fmla="val 72609"/>
                      </a:avLst>
                    </a:prstGeom>
                    <a:noFill/>
                    <a:ln>
                      <a:noFill/>
                    </a:ln>
                  </c15:spPr>
                  <c15:dlblFieldTable/>
                  <c15:showDataLabelsRange val="0"/>
                </c:ext>
                <c:ext xmlns:c16="http://schemas.microsoft.com/office/drawing/2014/chart" uri="{C3380CC4-5D6E-409C-BE32-E72D297353CC}">
                  <c16:uniqueId val="{00000003-E943-473F-BE00-21D87D8A3194}"/>
                </c:ext>
              </c:extLst>
            </c:dLbl>
            <c:spPr>
              <a:solidFill>
                <a:sysClr val="window" lastClr="FFFFFF"/>
              </a:solidFill>
              <a:ln w="12700" cap="flat" cmpd="sng" algn="ctr">
                <a:solidFill>
                  <a:sysClr val="windowText" lastClr="000000"/>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effectLst/>
                    <a:latin typeface="Gill Sans MT" panose="020B0502020104020203" pitchFamily="34" charset="0"/>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'Final Monitoring Findings '!$A$293:$A$294</c:f>
              <c:strCache>
                <c:ptCount val="2"/>
                <c:pt idx="0">
                  <c:v>Access Officer without contact information</c:v>
                </c:pt>
                <c:pt idx="1">
                  <c:v>Access Officer with contact information</c:v>
                </c:pt>
              </c:strCache>
            </c:strRef>
          </c:cat>
          <c:val>
            <c:numRef>
              <c:f>'Final Monitoring Findings '!$B$293:$B$294</c:f>
              <c:numCache>
                <c:formatCode>General</c:formatCode>
                <c:ptCount val="2"/>
                <c:pt idx="0">
                  <c:v>1</c:v>
                </c:pt>
                <c:pt idx="1">
                  <c:v>191</c:v>
                </c:pt>
              </c:numCache>
            </c:numRef>
          </c:val>
          <c:extLst>
            <c:ext xmlns:c16="http://schemas.microsoft.com/office/drawing/2014/chart" uri="{C3380CC4-5D6E-409C-BE32-E72D297353CC}">
              <c16:uniqueId val="{00000004-E943-473F-BE00-21D87D8A3194}"/>
            </c:ext>
          </c:extLst>
        </c:ser>
        <c:dLbls>
          <c:dLblPos val="in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ysClr val="window" lastClr="FFFFFF"/>
    </a:solidFill>
    <a:ln w="9525" cap="flat" cmpd="sng" algn="ctr">
      <a:solidFill>
        <a:schemeClr val="dk1">
          <a:lumMod val="15000"/>
          <a:lumOff val="85000"/>
        </a:schemeClr>
      </a:solidFill>
      <a:round/>
    </a:ln>
    <a:effectLst/>
  </c:spPr>
  <c:txPr>
    <a:bodyPr/>
    <a:lstStyle/>
    <a:p>
      <a:pPr>
        <a:defRPr>
          <a:effectLst/>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0" baseline="0">
                <a:ln w="0"/>
                <a:solidFill>
                  <a:schemeClr val="tx1"/>
                </a:solidFill>
                <a:effectLst/>
                <a:latin typeface="+mn-lt"/>
                <a:ea typeface="+mn-ea"/>
                <a:cs typeface="+mn-cs"/>
              </a:defRPr>
            </a:pPr>
            <a:r>
              <a:rPr lang="en-IE" b="0" cap="none" spc="0">
                <a:ln w="0"/>
                <a:solidFill>
                  <a:schemeClr val="tx1"/>
                </a:solidFill>
                <a:effectLst/>
                <a:latin typeface="Gill Sans MT" panose="020B0502020104020203" pitchFamily="34" charset="0"/>
              </a:rPr>
              <a:t>Written and Spoken Communication Facilitated</a:t>
            </a:r>
          </a:p>
        </c:rich>
      </c:tx>
      <c:overlay val="0"/>
      <c:spPr>
        <a:noFill/>
        <a:ln>
          <a:noFill/>
        </a:ln>
        <a:effectLst/>
      </c:spPr>
      <c:txPr>
        <a:bodyPr rot="0" spcFirstLastPara="1" vertOverflow="ellipsis" vert="horz" wrap="square" anchor="ctr" anchorCtr="1"/>
        <a:lstStyle/>
        <a:p>
          <a:pPr>
            <a:defRPr sz="1600" b="0" i="0" u="none" strike="noStrike" kern="1200" cap="none" spc="0" baseline="0">
              <a:ln w="0"/>
              <a:solidFill>
                <a:schemeClr val="tx1"/>
              </a:solidFill>
              <a:effectLst/>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solidFill>
                  <a:sysClr val="window" lastClr="FFFFFF"/>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7E7-45C4-BA1D-C1D0C32450C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7E7-45C4-BA1D-C1D0C32450C6}"/>
              </c:ext>
            </c:extLst>
          </c:dPt>
          <c:dLbls>
            <c:dLbl>
              <c:idx val="0"/>
              <c:layout>
                <c:manualLayout>
                  <c:x val="0.13611111111111102"/>
                  <c:y val="-8.3333333333333412E-2"/>
                </c:manualLayout>
              </c:layout>
              <c:tx>
                <c:rich>
                  <a:bodyPr rot="0" spcFirstLastPara="1" vertOverflow="clip" horzOverflow="clip" vert="horz" wrap="square" lIns="36576" tIns="18288" rIns="36576" bIns="18288" anchor="ctr" anchorCtr="1">
                    <a:spAutoFit/>
                  </a:bodyPr>
                  <a:lstStyle/>
                  <a:p>
                    <a:pPr>
                      <a:defRPr sz="900" b="1" i="0" u="none" strike="noStrike" kern="1200" baseline="0">
                        <a:solidFill>
                          <a:schemeClr val="dk1"/>
                        </a:solidFill>
                        <a:latin typeface="Gill Sans MT" panose="020B0502020104020203" pitchFamily="34" charset="0"/>
                        <a:ea typeface="+mn-ea"/>
                        <a:cs typeface="+mn-cs"/>
                      </a:defRPr>
                    </a:pPr>
                    <a:r>
                      <a:rPr lang="en-US" sz="900" b="0">
                        <a:solidFill>
                          <a:sysClr val="windowText" lastClr="000000"/>
                        </a:solidFill>
                        <a:latin typeface="Gill Sans MT" panose="020B0502020104020203" pitchFamily="34" charset="0"/>
                        <a:ea typeface="+mn-ea"/>
                        <a:cs typeface="+mn-cs"/>
                      </a:rPr>
                      <a:t>Access</a:t>
                    </a:r>
                    <a:r>
                      <a:rPr lang="en-US" sz="900" b="0" baseline="0">
                        <a:solidFill>
                          <a:sysClr val="windowText" lastClr="000000"/>
                        </a:solidFill>
                        <a:latin typeface="Gill Sans MT" panose="020B0502020104020203" pitchFamily="34" charset="0"/>
                        <a:ea typeface="+mn-ea"/>
                        <a:cs typeface="+mn-cs"/>
                      </a:rPr>
                      <a:t> Officer with written and spoken communication channels</a:t>
                    </a:r>
                  </a:p>
                  <a:p>
                    <a:pPr>
                      <a:defRPr sz="900">
                        <a:solidFill>
                          <a:schemeClr val="dk1"/>
                        </a:solidFill>
                        <a:latin typeface="Gill Sans MT" panose="020B0502020104020203" pitchFamily="34" charset="0"/>
                      </a:defRPr>
                    </a:pPr>
                    <a:r>
                      <a:rPr lang="en-US" sz="900" b="0" baseline="0">
                        <a:solidFill>
                          <a:sysClr val="windowText" lastClr="000000"/>
                        </a:solidFill>
                        <a:latin typeface="Gill Sans MT" panose="020B0502020104020203" pitchFamily="34" charset="0"/>
                        <a:ea typeface="+mn-ea"/>
                        <a:cs typeface="+mn-cs"/>
                      </a:rPr>
                      <a:t>86.4%</a:t>
                    </a:r>
                    <a:endParaRPr lang="en-US" sz="900" b="0">
                      <a:solidFill>
                        <a:sysClr val="windowText" lastClr="000000"/>
                      </a:solidFill>
                      <a:latin typeface="Gill Sans MT" panose="020B0502020104020203" pitchFamily="34" charset="0"/>
                    </a:endParaRPr>
                  </a:p>
                </c:rich>
              </c:tx>
              <c:spPr>
                <a:solidFill>
                  <a:sysClr val="window" lastClr="FFFFFF"/>
                </a:solidFill>
                <a:ln w="12700" cap="flat" cmpd="sng" algn="ctr">
                  <a:solidFill>
                    <a:sysClr val="windowText" lastClr="000000"/>
                  </a:solidFill>
                  <a:prstDash val="solid"/>
                  <a:miter lim="800000"/>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solidFill>
                      <a:latin typeface="Gill Sans MT" panose="020B0502020104020203" pitchFamily="34" charset="0"/>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DataLabelsRange val="0"/>
                </c:ext>
                <c:ext xmlns:c16="http://schemas.microsoft.com/office/drawing/2014/chart" uri="{C3380CC4-5D6E-409C-BE32-E72D297353CC}">
                  <c16:uniqueId val="{00000001-A7E7-45C4-BA1D-C1D0C32450C6}"/>
                </c:ext>
              </c:extLst>
            </c:dLbl>
            <c:dLbl>
              <c:idx val="1"/>
              <c:layout>
                <c:manualLayout>
                  <c:x val="-0.18472222222222223"/>
                  <c:y val="0.1550925925925925"/>
                </c:manualLayout>
              </c:layout>
              <c:tx>
                <c:rich>
                  <a:bodyPr rot="0" spcFirstLastPara="1" vertOverflow="clip" horzOverflow="clip" vert="horz" wrap="square" lIns="36576" tIns="18288" rIns="36576" bIns="18288" anchor="ctr" anchorCtr="1">
                    <a:spAutoFit/>
                  </a:bodyPr>
                  <a:lstStyle/>
                  <a:p>
                    <a:pPr>
                      <a:defRPr sz="900" b="1" i="0" u="none" strike="noStrike" kern="1200" baseline="0">
                        <a:solidFill>
                          <a:schemeClr val="accent1"/>
                        </a:solidFill>
                        <a:latin typeface="Gill Sans MT" panose="020B0502020104020203" pitchFamily="34" charset="0"/>
                        <a:ea typeface="+mn-ea"/>
                        <a:cs typeface="+mn-cs"/>
                      </a:defRPr>
                    </a:pPr>
                    <a:fld id="{C0453CC1-07CE-4408-BAE0-E725BE3929BC}" type="CATEGORYNAME">
                      <a:rPr lang="en-US" sz="900" b="0">
                        <a:solidFill>
                          <a:sysClr val="windowText" lastClr="000000"/>
                        </a:solidFill>
                        <a:latin typeface="Gill Sans MT" panose="020B0502020104020203" pitchFamily="34" charset="0"/>
                      </a:rPr>
                      <a:pPr>
                        <a:defRPr sz="900">
                          <a:solidFill>
                            <a:schemeClr val="accent1"/>
                          </a:solidFill>
                          <a:latin typeface="Gill Sans MT" panose="020B0502020104020203" pitchFamily="34" charset="0"/>
                        </a:defRPr>
                      </a:pPr>
                      <a:t>[CATEGORY NAME]</a:t>
                    </a:fld>
                    <a:endParaRPr lang="en-US" sz="900" b="0">
                      <a:solidFill>
                        <a:sysClr val="windowText" lastClr="000000"/>
                      </a:solidFill>
                      <a:latin typeface="Gill Sans MT" panose="020B0502020104020203" pitchFamily="34" charset="0"/>
                    </a:endParaRPr>
                  </a:p>
                  <a:p>
                    <a:pPr>
                      <a:defRPr sz="900">
                        <a:solidFill>
                          <a:schemeClr val="accent1"/>
                        </a:solidFill>
                        <a:latin typeface="Gill Sans MT" panose="020B0502020104020203" pitchFamily="34" charset="0"/>
                      </a:defRPr>
                    </a:pPr>
                    <a:r>
                      <a:rPr lang="en-US" sz="900" b="0">
                        <a:solidFill>
                          <a:sysClr val="windowText" lastClr="000000"/>
                        </a:solidFill>
                        <a:latin typeface="Gill Sans MT" panose="020B0502020104020203" pitchFamily="34" charset="0"/>
                      </a:rPr>
                      <a:t>13.6%</a:t>
                    </a:r>
                  </a:p>
                </c:rich>
              </c:tx>
              <c:spPr>
                <a:solidFill>
                  <a:sysClr val="window" lastClr="FFFFFF"/>
                </a:solidFill>
                <a:ln>
                  <a:solidFill>
                    <a:srgbClr val="000000"/>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accent1"/>
                      </a:solidFill>
                      <a:latin typeface="Gill Sans MT" panose="020B0502020104020203" pitchFamily="34" charset="0"/>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6952777777777778"/>
                      <c:h val="0.35564814814814805"/>
                    </c:manualLayout>
                  </c15:layout>
                  <c15:dlblFieldTable/>
                  <c15:showDataLabelsRange val="0"/>
                </c:ext>
                <c:ext xmlns:c16="http://schemas.microsoft.com/office/drawing/2014/chart" uri="{C3380CC4-5D6E-409C-BE32-E72D297353CC}">
                  <c16:uniqueId val="{00000003-A7E7-45C4-BA1D-C1D0C32450C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Gill Sans MT" panose="020B0502020104020203" pitchFamily="34" charset="0"/>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'Final Monitoring Findings '!$A$295:$A$296</c:f>
              <c:strCache>
                <c:ptCount val="2"/>
                <c:pt idx="0">
                  <c:v>Access Officer WITH contact info WITH W&amp;S comms</c:v>
                </c:pt>
                <c:pt idx="1">
                  <c:v>Access Officer with only one mode of contact </c:v>
                </c:pt>
              </c:strCache>
            </c:strRef>
          </c:cat>
          <c:val>
            <c:numRef>
              <c:f>'Final Monitoring Findings '!$B$295:$B$296</c:f>
              <c:numCache>
                <c:formatCode>General</c:formatCode>
                <c:ptCount val="2"/>
                <c:pt idx="0">
                  <c:v>165</c:v>
                </c:pt>
                <c:pt idx="1">
                  <c:v>26</c:v>
                </c:pt>
              </c:numCache>
            </c:numRef>
          </c:val>
          <c:extLst>
            <c:ext xmlns:c16="http://schemas.microsoft.com/office/drawing/2014/chart" uri="{C3380CC4-5D6E-409C-BE32-E72D297353CC}">
              <c16:uniqueId val="{00000004-A7E7-45C4-BA1D-C1D0C32450C6}"/>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effectLst/>
                <a:latin typeface="+mn-lt"/>
                <a:ea typeface="+mn-ea"/>
                <a:cs typeface="+mn-cs"/>
              </a:defRPr>
            </a:pPr>
            <a:r>
              <a:rPr lang="en-IE" sz="1600" b="0" i="0" cap="none" spc="0" baseline="0">
                <a:ln w="0"/>
                <a:solidFill>
                  <a:schemeClr val="tx1"/>
                </a:solidFill>
                <a:effectLst/>
                <a:latin typeface="Gill Sans MT" panose="020B0502020104020203" pitchFamily="34" charset="0"/>
              </a:rPr>
              <a:t>Public bodies who met all the criteria of the indicator</a:t>
            </a:r>
            <a:endParaRPr lang="en-IE" sz="1400" b="0" cap="none" spc="0">
              <a:ln w="0"/>
              <a:solidFill>
                <a:schemeClr val="tx1"/>
              </a:solidFill>
              <a:effectLst/>
              <a:latin typeface="Gill Sans MT" panose="020B0502020104020203" pitchFamily="34" charset="0"/>
            </a:endParaRP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effectLst/>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solidFill>
                  <a:sysClr val="window" lastClr="FFFFFF"/>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05B-409E-9CE1-507C787587C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05B-409E-9CE1-507C787587CE}"/>
              </c:ext>
            </c:extLst>
          </c:dPt>
          <c:dLbls>
            <c:dLbl>
              <c:idx val="0"/>
              <c:layout>
                <c:manualLayout>
                  <c:x val="5.3647464201436214E-2"/>
                  <c:y val="-0.10939112487100101"/>
                </c:manualLayout>
              </c:layout>
              <c:tx>
                <c:rich>
                  <a:bodyPr rot="0" spcFirstLastPara="1" vertOverflow="clip" horzOverflow="clip" vert="horz" wrap="square" lIns="36576" tIns="18288" rIns="36576" bIns="18288" anchor="ctr" anchorCtr="1">
                    <a:spAutoFit/>
                  </a:bodyPr>
                  <a:lstStyle/>
                  <a:p>
                    <a:pPr>
                      <a:defRPr sz="900" b="1" i="0" u="none" strike="noStrike" kern="1200" baseline="0">
                        <a:solidFill>
                          <a:schemeClr val="dk1"/>
                        </a:solidFill>
                        <a:latin typeface="Gill Sans MT" panose="020B0502020104020203" pitchFamily="34" charset="0"/>
                        <a:ea typeface="+mn-ea"/>
                        <a:cs typeface="+mn-cs"/>
                      </a:defRPr>
                    </a:pPr>
                    <a:r>
                      <a:rPr lang="en-US" sz="900" b="0" baseline="0">
                        <a:solidFill>
                          <a:schemeClr val="dk1"/>
                        </a:solidFill>
                        <a:latin typeface="Gill Sans MT" panose="020B0502020104020203" pitchFamily="34" charset="0"/>
                        <a:ea typeface="+mn-ea"/>
                        <a:cs typeface="+mn-cs"/>
                      </a:rPr>
                      <a:t>Met all the criteria of the indicator
58.7%</a:t>
                    </a:r>
                  </a:p>
                </c:rich>
              </c:tx>
              <c:spPr>
                <a:solidFill>
                  <a:sysClr val="window" lastClr="FFFFFF"/>
                </a:solidFill>
                <a:ln w="12700" cap="flat" cmpd="sng" algn="ctr">
                  <a:solidFill>
                    <a:sysClr val="windowText" lastClr="000000"/>
                  </a:solidFill>
                  <a:prstDash val="solid"/>
                  <a:miter lim="800000"/>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solidFill>
                      <a:latin typeface="Gill Sans MT" panose="020B0502020104020203"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9611237447939289"/>
                      <c:h val="0.22598018900888164"/>
                    </c:manualLayout>
                  </c15:layout>
                  <c15:showDataLabelsRange val="0"/>
                </c:ext>
                <c:ext xmlns:c16="http://schemas.microsoft.com/office/drawing/2014/chart" uri="{C3380CC4-5D6E-409C-BE32-E72D297353CC}">
                  <c16:uniqueId val="{00000001-F05B-409E-9CE1-507C787587CE}"/>
                </c:ext>
              </c:extLst>
            </c:dLbl>
            <c:dLbl>
              <c:idx val="1"/>
              <c:layout>
                <c:manualLayout>
                  <c:x val="-7.0657500080362867E-2"/>
                  <c:y val="-0.11558307533539736"/>
                </c:manualLayout>
              </c:layout>
              <c:tx>
                <c:rich>
                  <a:bodyPr rot="0" spcFirstLastPara="1" vertOverflow="clip" horzOverflow="clip" vert="horz" wrap="square" lIns="36576" tIns="18288" rIns="36576" bIns="18288" anchor="ctr" anchorCtr="1">
                    <a:spAutoFit/>
                  </a:bodyPr>
                  <a:lstStyle/>
                  <a:p>
                    <a:pPr>
                      <a:defRPr sz="900" b="1" i="0" u="none" strike="noStrike" kern="1200" baseline="0">
                        <a:solidFill>
                          <a:schemeClr val="dk1"/>
                        </a:solidFill>
                        <a:latin typeface="Gill Sans MT" panose="020B0502020104020203" pitchFamily="34" charset="0"/>
                        <a:ea typeface="+mn-ea"/>
                        <a:cs typeface="+mn-cs"/>
                      </a:defRPr>
                    </a:pPr>
                    <a:fld id="{C6821093-F505-47E5-8EDE-0FB97F818C41}" type="CATEGORYNAME">
                      <a:rPr lang="en-US" sz="900" b="0">
                        <a:latin typeface="Gill Sans MT" panose="020B0502020104020203" pitchFamily="34" charset="0"/>
                      </a:rPr>
                      <a:pPr>
                        <a:defRPr sz="900">
                          <a:solidFill>
                            <a:schemeClr val="dk1"/>
                          </a:solidFill>
                          <a:latin typeface="Gill Sans MT" panose="020B0502020104020203" pitchFamily="34" charset="0"/>
                        </a:defRPr>
                      </a:pPr>
                      <a:t>[CATEGORY NAME]</a:t>
                    </a:fld>
                    <a:r>
                      <a:rPr lang="en-US" sz="900" b="0" baseline="0">
                        <a:latin typeface="Gill Sans MT" panose="020B0502020104020203" pitchFamily="34" charset="0"/>
                      </a:rPr>
                      <a:t>
41.3%</a:t>
                    </a:r>
                  </a:p>
                </c:rich>
              </c:tx>
              <c:spPr>
                <a:solidFill>
                  <a:sysClr val="window" lastClr="FFFFFF"/>
                </a:solidFill>
                <a:ln w="12700" cap="flat" cmpd="sng" algn="ctr">
                  <a:solidFill>
                    <a:srgbClr val="000000"/>
                  </a:solidFill>
                  <a:prstDash val="solid"/>
                  <a:miter lim="800000"/>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solidFill>
                      <a:latin typeface="Gill Sans MT" panose="020B0502020104020203"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3-F05B-409E-9CE1-507C787587CE}"/>
                </c:ext>
              </c:extLst>
            </c:dLbl>
            <c:spPr>
              <a:solidFill>
                <a:sysClr val="window" lastClr="FFFFFF"/>
              </a:solidFill>
              <a:ln w="12700" cap="flat" cmpd="sng" algn="ctr">
                <a:solidFill>
                  <a:srgbClr val="000000"/>
                </a:solidFill>
                <a:prstDash val="solid"/>
                <a:miter lim="800000"/>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'Final Monitoring Findings '!$J$308:$J$309</c:f>
              <c:strCache>
                <c:ptCount val="2"/>
                <c:pt idx="0">
                  <c:v> Met the criteria of the indicator</c:v>
                </c:pt>
                <c:pt idx="1">
                  <c:v>Did not meet the criteria of the indicator</c:v>
                </c:pt>
              </c:strCache>
            </c:strRef>
          </c:cat>
          <c:val>
            <c:numRef>
              <c:f>'Final Monitoring Findings '!$K$308:$K$309</c:f>
              <c:numCache>
                <c:formatCode>General</c:formatCode>
                <c:ptCount val="2"/>
                <c:pt idx="0">
                  <c:v>165</c:v>
                </c:pt>
                <c:pt idx="1">
                  <c:v>117</c:v>
                </c:pt>
              </c:numCache>
            </c:numRef>
          </c:val>
          <c:extLst>
            <c:ext xmlns:c16="http://schemas.microsoft.com/office/drawing/2014/chart" uri="{C3380CC4-5D6E-409C-BE32-E72D297353CC}">
              <c16:uniqueId val="{00000004-F05B-409E-9CE1-507C787587CE}"/>
            </c:ext>
          </c:extLst>
        </c:ser>
        <c:dLbls>
          <c:dLblPos val="outEnd"/>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Word]Sheet1'!$B$1</c:f>
              <c:strCache>
                <c:ptCount val="1"/>
                <c:pt idx="0">
                  <c:v>Initial Findings</c:v>
                </c:pt>
              </c:strCache>
            </c:strRef>
          </c:tx>
          <c:spPr>
            <a:solidFill>
              <a:schemeClr val="accent1"/>
            </a:solidFill>
            <a:ln>
              <a:noFill/>
            </a:ln>
            <a:effectLst/>
          </c:spPr>
          <c:invertIfNegative val="0"/>
          <c:dLbls>
            <c:dLbl>
              <c:idx val="0"/>
              <c:tx>
                <c:rich>
                  <a:bodyPr/>
                  <a:lstStyle/>
                  <a:p>
                    <a:r>
                      <a:rPr lang="en-US"/>
                      <a:t>47.7%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3CD-47AF-B65E-70362057A8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'[Chart in Microsoft Word]Sheet1'!$B$3</c:f>
              <c:numCache>
                <c:formatCode>0.0%</c:formatCode>
                <c:ptCount val="1"/>
                <c:pt idx="0">
                  <c:v>0.47517730496453903</c:v>
                </c:pt>
              </c:numCache>
            </c:numRef>
          </c:val>
          <c:extLst>
            <c:ext xmlns:c16="http://schemas.microsoft.com/office/drawing/2014/chart" uri="{C3380CC4-5D6E-409C-BE32-E72D297353CC}">
              <c16:uniqueId val="{00000000-9DAD-4A98-9237-F47F63203E81}"/>
            </c:ext>
          </c:extLst>
        </c:ser>
        <c:ser>
          <c:idx val="1"/>
          <c:order val="1"/>
          <c:tx>
            <c:strRef>
              <c:f>'[Chart in Microsoft Word]Sheet1'!$C$1</c:f>
              <c:strCache>
                <c:ptCount val="1"/>
                <c:pt idx="0">
                  <c:v>Final Findings</c:v>
                </c:pt>
              </c:strCache>
            </c:strRef>
          </c:tx>
          <c:spPr>
            <a:solidFill>
              <a:schemeClr val="accent2"/>
            </a:solidFill>
            <a:ln>
              <a:noFill/>
            </a:ln>
            <a:effectLst/>
          </c:spPr>
          <c:invertIfNegative val="0"/>
          <c:dLbls>
            <c:dLbl>
              <c:idx val="0"/>
              <c:tx>
                <c:rich>
                  <a:bodyPr/>
                  <a:lstStyle/>
                  <a:p>
                    <a:r>
                      <a:rPr lang="en-US"/>
                      <a:t>68.3%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080-481E-9C7C-1CF0938DD5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'[Chart in Microsoft Word]Sheet1'!$C$3</c:f>
              <c:numCache>
                <c:formatCode>0.0%</c:formatCode>
                <c:ptCount val="1"/>
                <c:pt idx="0">
                  <c:v>0.68085106382978722</c:v>
                </c:pt>
              </c:numCache>
            </c:numRef>
          </c:val>
          <c:extLst>
            <c:ext xmlns:c16="http://schemas.microsoft.com/office/drawing/2014/chart" uri="{C3380CC4-5D6E-409C-BE32-E72D297353CC}">
              <c16:uniqueId val="{00000001-9DAD-4A98-9237-F47F63203E81}"/>
            </c:ext>
          </c:extLst>
        </c:ser>
        <c:dLbls>
          <c:showLegendKey val="0"/>
          <c:showVal val="0"/>
          <c:showCatName val="0"/>
          <c:showSerName val="0"/>
          <c:showPercent val="0"/>
          <c:showBubbleSize val="0"/>
        </c:dLbls>
        <c:gapWidth val="219"/>
        <c:overlap val="-27"/>
        <c:axId val="475994312"/>
        <c:axId val="475992672"/>
      </c:barChart>
      <c:catAx>
        <c:axId val="475994312"/>
        <c:scaling>
          <c:orientation val="minMax"/>
        </c:scaling>
        <c:delete val="1"/>
        <c:axPos val="b"/>
        <c:majorTickMark val="none"/>
        <c:minorTickMark val="none"/>
        <c:tickLblPos val="nextTo"/>
        <c:crossAx val="475992672"/>
        <c:crosses val="autoZero"/>
        <c:auto val="1"/>
        <c:lblAlgn val="ctr"/>
        <c:lblOffset val="100"/>
        <c:noMultiLvlLbl val="0"/>
      </c:catAx>
      <c:valAx>
        <c:axId val="475992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475994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001698935929596E-2"/>
          <c:y val="4.9052396878483832E-2"/>
          <c:w val="0.87424613005538632"/>
          <c:h val="0.80229355945891379"/>
        </c:manualLayout>
      </c:layout>
      <c:barChart>
        <c:barDir val="col"/>
        <c:grouping val="clustered"/>
        <c:varyColors val="0"/>
        <c:ser>
          <c:idx val="3"/>
          <c:order val="3"/>
          <c:tx>
            <c:v>Initial Findings</c:v>
          </c:tx>
          <c:spPr>
            <a:solidFill>
              <a:schemeClr val="accent4"/>
            </a:solidFill>
            <a:ln>
              <a:noFill/>
            </a:ln>
            <a:effectLst/>
          </c:spPr>
          <c:invertIfNegative val="0"/>
          <c:dLbls>
            <c:dLbl>
              <c:idx val="0"/>
              <c:tx>
                <c:rich>
                  <a:bodyPr/>
                  <a:lstStyle/>
                  <a:p>
                    <a:r>
                      <a:rPr lang="en-US"/>
                      <a:t>34.9%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EDE-447E-B67B-8BD5CF1475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Met all Criteria</c:v>
              </c:pt>
            </c:strLit>
          </c:cat>
          <c:val>
            <c:numRef>
              <c:f>'[Chart in Microsoft Word]Sheet1'!$B$3</c:f>
              <c:numCache>
                <c:formatCode>0.0%</c:formatCode>
                <c:ptCount val="1"/>
                <c:pt idx="0">
                  <c:v>0.3475177304964539</c:v>
                </c:pt>
              </c:numCache>
            </c:numRef>
          </c:val>
          <c:extLst>
            <c:ext xmlns:c16="http://schemas.microsoft.com/office/drawing/2014/chart" uri="{C3380CC4-5D6E-409C-BE32-E72D297353CC}">
              <c16:uniqueId val="{00000000-BB07-48E3-8E90-7ED48649DFC8}"/>
            </c:ext>
          </c:extLst>
        </c:ser>
        <c:ser>
          <c:idx val="4"/>
          <c:order val="4"/>
          <c:tx>
            <c:v>Final Findings</c:v>
          </c:tx>
          <c:spPr>
            <a:solidFill>
              <a:schemeClr val="accent5"/>
            </a:solidFill>
            <a:ln>
              <a:noFill/>
            </a:ln>
            <a:effectLst/>
          </c:spPr>
          <c:invertIfNegative val="0"/>
          <c:dLbls>
            <c:dLbl>
              <c:idx val="0"/>
              <c:tx>
                <c:rich>
                  <a:bodyPr/>
                  <a:lstStyle/>
                  <a:p>
                    <a:r>
                      <a:rPr lang="en-US"/>
                      <a:t>58.7%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EDE-447E-B67B-8BD5CF1475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Met all Criteria</c:v>
              </c:pt>
            </c:strLit>
          </c:cat>
          <c:val>
            <c:numRef>
              <c:f>'[Chart in Microsoft Word]Sheet1'!$C$3</c:f>
              <c:numCache>
                <c:formatCode>0.0%</c:formatCode>
                <c:ptCount val="1"/>
                <c:pt idx="0">
                  <c:v>0.58510638297872342</c:v>
                </c:pt>
              </c:numCache>
            </c:numRef>
          </c:val>
          <c:extLst>
            <c:ext xmlns:c16="http://schemas.microsoft.com/office/drawing/2014/chart" uri="{C3380CC4-5D6E-409C-BE32-E72D297353CC}">
              <c16:uniqueId val="{00000001-BB07-48E3-8E90-7ED48649DFC8}"/>
            </c:ext>
          </c:extLst>
        </c:ser>
        <c:dLbls>
          <c:showLegendKey val="0"/>
          <c:showVal val="0"/>
          <c:showCatName val="0"/>
          <c:showSerName val="0"/>
          <c:showPercent val="0"/>
          <c:showBubbleSize val="0"/>
        </c:dLbls>
        <c:gapWidth val="219"/>
        <c:overlap val="-27"/>
        <c:axId val="471417024"/>
        <c:axId val="471418664"/>
        <c:extLst>
          <c:ext xmlns:c15="http://schemas.microsoft.com/office/drawing/2012/chart" uri="{02D57815-91ED-43cb-92C2-25804820EDAC}">
            <c15:filteredBarSeries>
              <c15:ser>
                <c:idx val="0"/>
                <c:order val="0"/>
                <c:spPr>
                  <a:solidFill>
                    <a:schemeClr val="accent1"/>
                  </a:solidFill>
                  <a:ln>
                    <a:noFill/>
                  </a:ln>
                  <a:effectLst/>
                </c:spPr>
                <c:invertIfNegative val="0"/>
                <c:cat>
                  <c:strLit>
                    <c:ptCount val="1"/>
                    <c:pt idx="0">
                      <c:v>Met all Criteria</c:v>
                    </c:pt>
                  </c:strLit>
                </c:cat>
                <c:val>
                  <c:numRef>
                    <c:extLst>
                      <c:ext uri="{02D57815-91ED-43cb-92C2-25804820EDAC}">
                        <c15:formulaRef>
                          <c15:sqref>'[Chart in Microsoft Word]Sheet1'!$B$1</c15:sqref>
                        </c15:formulaRef>
                      </c:ext>
                    </c:extLst>
                    <c:numCache>
                      <c:formatCode>General</c:formatCode>
                      <c:ptCount val="1"/>
                      <c:pt idx="0">
                        <c:v>0</c:v>
                      </c:pt>
                    </c:numCache>
                  </c:numRef>
                </c:val>
                <c:extLst>
                  <c:ext xmlns:c16="http://schemas.microsoft.com/office/drawing/2014/chart" uri="{C3380CC4-5D6E-409C-BE32-E72D297353CC}">
                    <c16:uniqueId val="{00000002-BB07-48E3-8E90-7ED48649DFC8}"/>
                  </c:ext>
                </c:extLst>
              </c15:ser>
            </c15:filteredBarSeries>
            <c15:filteredBarSeries>
              <c15:ser>
                <c:idx val="1"/>
                <c:order val="1"/>
                <c:spPr>
                  <a:solidFill>
                    <a:schemeClr val="accent2"/>
                  </a:solidFill>
                  <a:ln>
                    <a:noFill/>
                  </a:ln>
                  <a:effectLst/>
                </c:spPr>
                <c:invertIfNegative val="0"/>
                <c:cat>
                  <c:strLit>
                    <c:ptCount val="1"/>
                    <c:pt idx="0">
                      <c:v>Met all Criteria</c:v>
                    </c:pt>
                  </c:strLit>
                </c:cat>
                <c:val>
                  <c:numRef>
                    <c:extLst xmlns:c15="http://schemas.microsoft.com/office/drawing/2012/chart">
                      <c:ext xmlns:c15="http://schemas.microsoft.com/office/drawing/2012/chart" uri="{02D57815-91ED-43cb-92C2-25804820EDAC}">
                        <c15:formulaRef>
                          <c15:sqref>'[Chart in Microsoft Word]Sheet1'!$C$1</c15:sqref>
                        </c15:formulaRef>
                      </c:ext>
                    </c:extLst>
                    <c:numCache>
                      <c:formatCode>General</c:formatCode>
                      <c:ptCount val="1"/>
                      <c:pt idx="0">
                        <c:v>0</c:v>
                      </c:pt>
                    </c:numCache>
                  </c:numRef>
                </c:val>
                <c:extLst xmlns:c15="http://schemas.microsoft.com/office/drawing/2012/chart">
                  <c:ext xmlns:c16="http://schemas.microsoft.com/office/drawing/2014/chart" uri="{C3380CC4-5D6E-409C-BE32-E72D297353CC}">
                    <c16:uniqueId val="{00000003-BB07-48E3-8E90-7ED48649DFC8}"/>
                  </c:ext>
                </c:extLst>
              </c15:ser>
            </c15:filteredBarSeries>
            <c15:filteredBarSeries>
              <c15:ser>
                <c:idx val="2"/>
                <c:order val="2"/>
                <c:spPr>
                  <a:solidFill>
                    <a:schemeClr val="accent3"/>
                  </a:solidFill>
                  <a:ln>
                    <a:noFill/>
                  </a:ln>
                  <a:effectLst/>
                </c:spPr>
                <c:invertIfNegative val="0"/>
                <c:cat>
                  <c:strLit>
                    <c:ptCount val="1"/>
                    <c:pt idx="0">
                      <c:v>Met all Criteria</c:v>
                    </c:pt>
                  </c:strLit>
                </c:cat>
                <c:val>
                  <c:numRef>
                    <c:extLst xmlns:c15="http://schemas.microsoft.com/office/drawing/2012/chart">
                      <c:ext xmlns:c15="http://schemas.microsoft.com/office/drawing/2012/chart" uri="{02D57815-91ED-43cb-92C2-25804820EDAC}">
                        <c15:formulaRef>
                          <c15:sqref>'[Chart in Microsoft Word]Sheet1'!$A$2</c15:sqref>
                        </c15:formulaRef>
                      </c:ext>
                    </c:extLst>
                    <c:numCache>
                      <c:formatCode>General</c:formatCode>
                      <c:ptCount val="1"/>
                      <c:pt idx="0">
                        <c:v>0</c:v>
                      </c:pt>
                    </c:numCache>
                  </c:numRef>
                </c:val>
                <c:extLst xmlns:c15="http://schemas.microsoft.com/office/drawing/2012/chart">
                  <c:ext xmlns:c16="http://schemas.microsoft.com/office/drawing/2014/chart" uri="{C3380CC4-5D6E-409C-BE32-E72D297353CC}">
                    <c16:uniqueId val="{00000004-BB07-48E3-8E90-7ED48649DFC8}"/>
                  </c:ext>
                </c:extLst>
              </c15:ser>
            </c15:filteredBarSeries>
          </c:ext>
        </c:extLst>
      </c:barChart>
      <c:catAx>
        <c:axId val="471417024"/>
        <c:scaling>
          <c:orientation val="minMax"/>
        </c:scaling>
        <c:delete val="1"/>
        <c:axPos val="b"/>
        <c:numFmt formatCode="General" sourceLinked="1"/>
        <c:majorTickMark val="none"/>
        <c:minorTickMark val="none"/>
        <c:tickLblPos val="nextTo"/>
        <c:crossAx val="471418664"/>
        <c:crosses val="autoZero"/>
        <c:auto val="1"/>
        <c:lblAlgn val="ctr"/>
        <c:lblOffset val="100"/>
        <c:noMultiLvlLbl val="0"/>
      </c:catAx>
      <c:valAx>
        <c:axId val="4714186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41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E53786"/>
      </a:accent1>
      <a:accent2>
        <a:srgbClr val="000000"/>
      </a:accent2>
      <a:accent3>
        <a:srgbClr val="000000"/>
      </a:accent3>
      <a:accent4>
        <a:srgbClr val="E31DA1"/>
      </a:accent4>
      <a:accent5>
        <a:srgbClr val="000000"/>
      </a:accent5>
      <a:accent6>
        <a:srgbClr val="E31DA1"/>
      </a:accent6>
      <a:hlink>
        <a:srgbClr val="000000"/>
      </a:hlink>
      <a:folHlink>
        <a:srgbClr val="E31D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E31DA1"/>
    </a:accent1>
    <a:accent2>
      <a:srgbClr val="000000"/>
    </a:accent2>
    <a:accent3>
      <a:srgbClr val="000000"/>
    </a:accent3>
    <a:accent4>
      <a:srgbClr val="E31DA1"/>
    </a:accent4>
    <a:accent5>
      <a:srgbClr val="000000"/>
    </a:accent5>
    <a:accent6>
      <a:srgbClr val="E31DA1"/>
    </a:accent6>
    <a:hlink>
      <a:srgbClr val="000000"/>
    </a:hlink>
    <a:folHlink>
      <a:srgbClr val="E31D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E31DA1"/>
    </a:accent1>
    <a:accent2>
      <a:srgbClr val="000000"/>
    </a:accent2>
    <a:accent3>
      <a:srgbClr val="000000"/>
    </a:accent3>
    <a:accent4>
      <a:srgbClr val="E31DA1"/>
    </a:accent4>
    <a:accent5>
      <a:srgbClr val="000000"/>
    </a:accent5>
    <a:accent6>
      <a:srgbClr val="E31DA1"/>
    </a:accent6>
    <a:hlink>
      <a:srgbClr val="000000"/>
    </a:hlink>
    <a:folHlink>
      <a:srgbClr val="E31D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E31DA1"/>
    </a:accent1>
    <a:accent2>
      <a:srgbClr val="000000"/>
    </a:accent2>
    <a:accent3>
      <a:srgbClr val="000000"/>
    </a:accent3>
    <a:accent4>
      <a:srgbClr val="E31DA1"/>
    </a:accent4>
    <a:accent5>
      <a:srgbClr val="000000"/>
    </a:accent5>
    <a:accent6>
      <a:srgbClr val="E31DA1"/>
    </a:accent6>
    <a:hlink>
      <a:srgbClr val="000000"/>
    </a:hlink>
    <a:folHlink>
      <a:srgbClr val="E31D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E31DA1"/>
    </a:accent1>
    <a:accent2>
      <a:srgbClr val="000000"/>
    </a:accent2>
    <a:accent3>
      <a:srgbClr val="000000"/>
    </a:accent3>
    <a:accent4>
      <a:srgbClr val="E31DA1"/>
    </a:accent4>
    <a:accent5>
      <a:srgbClr val="000000"/>
    </a:accent5>
    <a:accent6>
      <a:srgbClr val="E31DA1"/>
    </a:accent6>
    <a:hlink>
      <a:srgbClr val="000000"/>
    </a:hlink>
    <a:folHlink>
      <a:srgbClr val="E31D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E9B2-D49E-4CA1-AA31-5FC29482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159</TotalTime>
  <Pages>25</Pages>
  <Words>5712</Words>
  <Characters>32653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38289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 Oldenburg</dc:creator>
  <cp:keywords/>
  <dc:description/>
  <cp:lastModifiedBy>Naomi Oldenburg (NDA)</cp:lastModifiedBy>
  <cp:revision>56</cp:revision>
  <dcterms:created xsi:type="dcterms:W3CDTF">2023-08-08T11:50:00Z</dcterms:created>
  <dcterms:modified xsi:type="dcterms:W3CDTF">2023-10-04T12:58:00Z</dcterms:modified>
</cp:coreProperties>
</file>