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A3F8" w14:textId="7FCEB0CF" w:rsidR="004B0D63" w:rsidRPr="00CE783D" w:rsidRDefault="00C53419" w:rsidP="009C3BD7">
      <w:pPr>
        <w:pStyle w:val="Title"/>
        <w:rPr>
          <w:rFonts w:ascii="Rockwell" w:hAnsi="Rockwell"/>
          <w:color w:val="CC3399"/>
          <w:sz w:val="64"/>
          <w:szCs w:val="64"/>
        </w:rPr>
      </w:pPr>
      <w:bookmarkStart w:id="0" w:name="_Toc145484449"/>
      <w:bookmarkStart w:id="1" w:name="_Toc80626260"/>
      <w:bookmarkStart w:id="2" w:name="_Toc78967395"/>
      <w:r w:rsidRPr="00CE783D">
        <w:rPr>
          <w:rFonts w:ascii="Rockwell" w:hAnsi="Rockwell"/>
          <w:color w:val="CC3399"/>
          <w:sz w:val="64"/>
          <w:szCs w:val="64"/>
          <w:lang w:val="ga"/>
        </w:rPr>
        <w:t>Acht ÚNM um Míchumas – Cód Cleachtais Chuid 3 maidir le hInrochtaineacht Seirbhísí Poiblí agus Faisnéise a chuireann Comhlachtaí Poiblí ar fáil</w:t>
      </w:r>
      <w:bookmarkEnd w:id="0"/>
    </w:p>
    <w:p w14:paraId="69D3089A" w14:textId="62602526" w:rsidR="0083753F" w:rsidRPr="00CE783D" w:rsidRDefault="00C53419" w:rsidP="009C3BD7">
      <w:pPr>
        <w:pStyle w:val="Title"/>
        <w:rPr>
          <w:rFonts w:ascii="Rockwell" w:hAnsi="Rockwell"/>
          <w:color w:val="CC3399"/>
          <w:sz w:val="64"/>
          <w:szCs w:val="64"/>
        </w:rPr>
      </w:pPr>
      <w:bookmarkStart w:id="3" w:name="_Toc145484450"/>
      <w:r w:rsidRPr="00CE783D">
        <w:rPr>
          <w:rFonts w:ascii="Rockwell" w:hAnsi="Rockwell"/>
          <w:color w:val="CC3399"/>
          <w:sz w:val="64"/>
          <w:szCs w:val="64"/>
          <w:lang w:val="ga"/>
        </w:rPr>
        <w:t>Tuarascáil Faireacháin 2022</w:t>
      </w:r>
      <w:bookmarkEnd w:id="1"/>
      <w:bookmarkEnd w:id="2"/>
      <w:bookmarkEnd w:id="3"/>
    </w:p>
    <w:p w14:paraId="5DC08FB7" w14:textId="1D7E19A5" w:rsidR="0083753F" w:rsidRPr="00CE783D" w:rsidRDefault="00A618F8" w:rsidP="0083753F">
      <w:pPr>
        <w:pStyle w:val="Title"/>
        <w:rPr>
          <w:rFonts w:ascii="Rockwell" w:hAnsi="Rockwell"/>
          <w:color w:val="CC3399"/>
          <w:sz w:val="64"/>
          <w:szCs w:val="64"/>
        </w:rPr>
      </w:pPr>
      <w:bookmarkStart w:id="4" w:name="_Toc139529264"/>
      <w:bookmarkStart w:id="5" w:name="_Toc138067157"/>
      <w:bookmarkStart w:id="6" w:name="_Toc145484451"/>
      <w:r w:rsidRPr="00CE783D">
        <w:rPr>
          <w:rFonts w:ascii="Rockwell" w:hAnsi="Rockwell"/>
          <w:color w:val="CC3399"/>
          <w:sz w:val="64"/>
          <w:szCs w:val="64"/>
          <w:lang w:val="ga"/>
        </w:rPr>
        <w:t>Meitheamh 2023</w:t>
      </w:r>
      <w:bookmarkEnd w:id="4"/>
      <w:bookmarkEnd w:id="5"/>
      <w:bookmarkEnd w:id="6"/>
    </w:p>
    <w:p w14:paraId="4B2CF74A" w14:textId="44991D33" w:rsidR="00453680" w:rsidRPr="00191726" w:rsidRDefault="0083753F">
      <w:pPr>
        <w:spacing w:after="0"/>
        <w:rPr>
          <w:rFonts w:ascii="Rockwell" w:hAnsi="Rockwell" w:cs="Arial"/>
          <w:b/>
          <w:bCs/>
          <w:color w:val="CC3399"/>
          <w:kern w:val="28"/>
          <w:sz w:val="120"/>
          <w:szCs w:val="120"/>
        </w:rPr>
      </w:pPr>
      <w:r>
        <w:rPr>
          <w:rFonts w:ascii="Rockwell" w:hAnsi="Rockwell"/>
          <w:noProof/>
          <w:color w:val="CC3399"/>
          <w:sz w:val="120"/>
          <w:szCs w:val="120"/>
          <w:lang w:val="ga"/>
        </w:rPr>
        <w:drawing>
          <wp:inline distT="0" distB="0" distL="0" distR="0" wp14:anchorId="4101F3F6" wp14:editId="6307FA06">
            <wp:extent cx="2650256" cy="1888176"/>
            <wp:effectExtent l="0" t="0" r="0" b="0"/>
            <wp:docPr id="1" name="Picture 1" descr="Lógó ÚNM" title="Ló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8066" cy="1943611"/>
                    </a:xfrm>
                    <a:prstGeom prst="rect">
                      <a:avLst/>
                    </a:prstGeom>
                    <a:noFill/>
                    <a:ln>
                      <a:noFill/>
                    </a:ln>
                  </pic:spPr>
                </pic:pic>
              </a:graphicData>
            </a:graphic>
          </wp:inline>
        </w:drawing>
      </w:r>
      <w:r>
        <w:rPr>
          <w:rFonts w:ascii="Rockwell" w:hAnsi="Rockwell"/>
          <w:color w:val="CC3399"/>
          <w:sz w:val="120"/>
          <w:szCs w:val="120"/>
          <w:lang w:val="ga"/>
        </w:rPr>
        <w:br w:type="page"/>
      </w:r>
    </w:p>
    <w:bookmarkStart w:id="7" w:name="_Toc145484452" w:displacedByCustomXml="next"/>
    <w:sdt>
      <w:sdtPr>
        <w:rPr>
          <w:rFonts w:cs="Times New Roman"/>
          <w:b w:val="0"/>
          <w:bCs w:val="0"/>
          <w:kern w:val="0"/>
          <w:sz w:val="26"/>
          <w:szCs w:val="24"/>
        </w:rPr>
        <w:id w:val="-225297309"/>
        <w:docPartObj>
          <w:docPartGallery w:val="Table of Contents"/>
          <w:docPartUnique/>
        </w:docPartObj>
      </w:sdtPr>
      <w:sdtEndPr>
        <w:rPr>
          <w:noProof/>
        </w:rPr>
      </w:sdtEndPr>
      <w:sdtContent>
        <w:p w14:paraId="1717ABF3" w14:textId="77777777" w:rsidR="000C03FA" w:rsidRPr="00C27D9B" w:rsidRDefault="000C03FA" w:rsidP="000C03FA">
          <w:pPr>
            <w:pStyle w:val="Heading1"/>
          </w:pPr>
          <w:r>
            <w:rPr>
              <w:lang w:val="ga"/>
            </w:rPr>
            <w:t>Clár Ábhar</w:t>
          </w:r>
          <w:bookmarkEnd w:id="7"/>
        </w:p>
        <w:p w14:paraId="3E975FBD" w14:textId="21CED7D6" w:rsidR="00CE783D" w:rsidRDefault="000C03FA">
          <w:pPr>
            <w:pStyle w:val="TOC1"/>
            <w:rPr>
              <w:rFonts w:asciiTheme="minorHAnsi" w:eastAsiaTheme="minorEastAsia" w:hAnsiTheme="minorHAnsi" w:cstheme="minorBidi"/>
              <w:b w:val="0"/>
              <w:noProof/>
              <w:kern w:val="2"/>
              <w:sz w:val="22"/>
              <w:szCs w:val="22"/>
              <w:lang w:val="en-GB" w:eastAsia="en-GB"/>
              <w14:ligatures w14:val="standardContextual"/>
            </w:rPr>
          </w:pPr>
          <w:r>
            <w:rPr>
              <w:bCs/>
              <w:sz w:val="24"/>
              <w:lang w:val="ga"/>
            </w:rPr>
            <w:fldChar w:fldCharType="begin"/>
          </w:r>
          <w:r>
            <w:rPr>
              <w:sz w:val="24"/>
            </w:rPr>
            <w:instrText xml:space="preserve"> TOC \o "1-3" \h \z \u </w:instrText>
          </w:r>
          <w:r>
            <w:rPr>
              <w:sz w:val="24"/>
            </w:rPr>
            <w:fldChar w:fldCharType="separate"/>
          </w:r>
          <w:hyperlink w:anchor="_Toc145484449" w:history="1">
            <w:r w:rsidR="00CE783D" w:rsidRPr="001212AC">
              <w:rPr>
                <w:rStyle w:val="Hyperlink"/>
                <w:rFonts w:ascii="Rockwell" w:hAnsi="Rockwell"/>
                <w:noProof/>
                <w:lang w:val="ga"/>
              </w:rPr>
              <w:t>Acht ÚNM um Míchumas – Cód Cleachtais Chuid 3 maidir le hInrochtaineacht Seirbhísí Poiblí agus Faisnéise a chuireann Comhlachtaí Poiblí ar fáil</w:t>
            </w:r>
            <w:r w:rsidR="00CE783D">
              <w:rPr>
                <w:noProof/>
                <w:webHidden/>
              </w:rPr>
              <w:tab/>
            </w:r>
            <w:r w:rsidR="00CE783D">
              <w:rPr>
                <w:noProof/>
                <w:webHidden/>
              </w:rPr>
              <w:fldChar w:fldCharType="begin"/>
            </w:r>
            <w:r w:rsidR="00CE783D">
              <w:rPr>
                <w:noProof/>
                <w:webHidden/>
              </w:rPr>
              <w:instrText xml:space="preserve"> PAGEREF _Toc145484449 \h </w:instrText>
            </w:r>
            <w:r w:rsidR="00CE783D">
              <w:rPr>
                <w:noProof/>
                <w:webHidden/>
              </w:rPr>
            </w:r>
            <w:r w:rsidR="00CE783D">
              <w:rPr>
                <w:noProof/>
                <w:webHidden/>
              </w:rPr>
              <w:fldChar w:fldCharType="separate"/>
            </w:r>
            <w:r w:rsidR="00CE783D">
              <w:rPr>
                <w:noProof/>
                <w:webHidden/>
              </w:rPr>
              <w:t>1</w:t>
            </w:r>
            <w:r w:rsidR="00CE783D">
              <w:rPr>
                <w:noProof/>
                <w:webHidden/>
              </w:rPr>
              <w:fldChar w:fldCharType="end"/>
            </w:r>
          </w:hyperlink>
        </w:p>
        <w:p w14:paraId="5040A156" w14:textId="4870B940" w:rsidR="00CE783D" w:rsidRDefault="003B3152">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45484450" w:history="1">
            <w:r w:rsidR="00CE783D" w:rsidRPr="001212AC">
              <w:rPr>
                <w:rStyle w:val="Hyperlink"/>
                <w:rFonts w:ascii="Rockwell" w:hAnsi="Rockwell"/>
                <w:noProof/>
                <w:lang w:val="ga"/>
              </w:rPr>
              <w:t>Tuarascáil Faireacháin 2022</w:t>
            </w:r>
            <w:r w:rsidR="00CE783D">
              <w:rPr>
                <w:noProof/>
                <w:webHidden/>
              </w:rPr>
              <w:tab/>
            </w:r>
            <w:r w:rsidR="00CE783D">
              <w:rPr>
                <w:noProof/>
                <w:webHidden/>
              </w:rPr>
              <w:fldChar w:fldCharType="begin"/>
            </w:r>
            <w:r w:rsidR="00CE783D">
              <w:rPr>
                <w:noProof/>
                <w:webHidden/>
              </w:rPr>
              <w:instrText xml:space="preserve"> PAGEREF _Toc145484450 \h </w:instrText>
            </w:r>
            <w:r w:rsidR="00CE783D">
              <w:rPr>
                <w:noProof/>
                <w:webHidden/>
              </w:rPr>
            </w:r>
            <w:r w:rsidR="00CE783D">
              <w:rPr>
                <w:noProof/>
                <w:webHidden/>
              </w:rPr>
              <w:fldChar w:fldCharType="separate"/>
            </w:r>
            <w:r w:rsidR="00CE783D">
              <w:rPr>
                <w:noProof/>
                <w:webHidden/>
              </w:rPr>
              <w:t>1</w:t>
            </w:r>
            <w:r w:rsidR="00CE783D">
              <w:rPr>
                <w:noProof/>
                <w:webHidden/>
              </w:rPr>
              <w:fldChar w:fldCharType="end"/>
            </w:r>
          </w:hyperlink>
        </w:p>
        <w:p w14:paraId="5A7A4B9D" w14:textId="6533879F" w:rsidR="00CE783D" w:rsidRDefault="003B3152">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45484451" w:history="1">
            <w:r w:rsidR="00CE783D" w:rsidRPr="001212AC">
              <w:rPr>
                <w:rStyle w:val="Hyperlink"/>
                <w:rFonts w:ascii="Rockwell" w:hAnsi="Rockwell"/>
                <w:noProof/>
                <w:lang w:val="ga"/>
              </w:rPr>
              <w:t>Meitheamh 2023</w:t>
            </w:r>
            <w:r w:rsidR="00CE783D">
              <w:rPr>
                <w:noProof/>
                <w:webHidden/>
              </w:rPr>
              <w:tab/>
            </w:r>
            <w:r w:rsidR="00CE783D">
              <w:rPr>
                <w:noProof/>
                <w:webHidden/>
              </w:rPr>
              <w:fldChar w:fldCharType="begin"/>
            </w:r>
            <w:r w:rsidR="00CE783D">
              <w:rPr>
                <w:noProof/>
                <w:webHidden/>
              </w:rPr>
              <w:instrText xml:space="preserve"> PAGEREF _Toc145484451 \h </w:instrText>
            </w:r>
            <w:r w:rsidR="00CE783D">
              <w:rPr>
                <w:noProof/>
                <w:webHidden/>
              </w:rPr>
            </w:r>
            <w:r w:rsidR="00CE783D">
              <w:rPr>
                <w:noProof/>
                <w:webHidden/>
              </w:rPr>
              <w:fldChar w:fldCharType="separate"/>
            </w:r>
            <w:r w:rsidR="00CE783D">
              <w:rPr>
                <w:noProof/>
                <w:webHidden/>
              </w:rPr>
              <w:t>1</w:t>
            </w:r>
            <w:r w:rsidR="00CE783D">
              <w:rPr>
                <w:noProof/>
                <w:webHidden/>
              </w:rPr>
              <w:fldChar w:fldCharType="end"/>
            </w:r>
          </w:hyperlink>
        </w:p>
        <w:p w14:paraId="20B3AB0A" w14:textId="279A2030" w:rsidR="00CE783D" w:rsidRDefault="003B3152">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45484452" w:history="1">
            <w:r w:rsidR="00CE783D" w:rsidRPr="001212AC">
              <w:rPr>
                <w:rStyle w:val="Hyperlink"/>
                <w:noProof/>
                <w:lang w:val="ga"/>
              </w:rPr>
              <w:t>Clár Ábhar</w:t>
            </w:r>
            <w:r w:rsidR="00CE783D">
              <w:rPr>
                <w:noProof/>
                <w:webHidden/>
              </w:rPr>
              <w:tab/>
            </w:r>
            <w:r w:rsidR="00CE783D">
              <w:rPr>
                <w:noProof/>
                <w:webHidden/>
              </w:rPr>
              <w:fldChar w:fldCharType="begin"/>
            </w:r>
            <w:r w:rsidR="00CE783D">
              <w:rPr>
                <w:noProof/>
                <w:webHidden/>
              </w:rPr>
              <w:instrText xml:space="preserve"> PAGEREF _Toc145484452 \h </w:instrText>
            </w:r>
            <w:r w:rsidR="00CE783D">
              <w:rPr>
                <w:noProof/>
                <w:webHidden/>
              </w:rPr>
            </w:r>
            <w:r w:rsidR="00CE783D">
              <w:rPr>
                <w:noProof/>
                <w:webHidden/>
              </w:rPr>
              <w:fldChar w:fldCharType="separate"/>
            </w:r>
            <w:r w:rsidR="00CE783D">
              <w:rPr>
                <w:noProof/>
                <w:webHidden/>
              </w:rPr>
              <w:t>2</w:t>
            </w:r>
            <w:r w:rsidR="00CE783D">
              <w:rPr>
                <w:noProof/>
                <w:webHidden/>
              </w:rPr>
              <w:fldChar w:fldCharType="end"/>
            </w:r>
          </w:hyperlink>
        </w:p>
        <w:p w14:paraId="27B572C7" w14:textId="2C6DF6EC" w:rsidR="00CE783D" w:rsidRDefault="003B3152">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45484453" w:history="1">
            <w:r w:rsidR="00CE783D" w:rsidRPr="001212AC">
              <w:rPr>
                <w:rStyle w:val="Hyperlink"/>
                <w:noProof/>
                <w:lang w:val="ga"/>
              </w:rPr>
              <w:t>Acht ÚNM um Míchumas – Tuarascáil Faireacháin Chuid 3, 2022</w:t>
            </w:r>
            <w:r w:rsidR="00CE783D">
              <w:rPr>
                <w:noProof/>
                <w:webHidden/>
              </w:rPr>
              <w:tab/>
            </w:r>
            <w:r w:rsidR="00CE783D">
              <w:rPr>
                <w:noProof/>
                <w:webHidden/>
              </w:rPr>
              <w:fldChar w:fldCharType="begin"/>
            </w:r>
            <w:r w:rsidR="00CE783D">
              <w:rPr>
                <w:noProof/>
                <w:webHidden/>
              </w:rPr>
              <w:instrText xml:space="preserve"> PAGEREF _Toc145484453 \h </w:instrText>
            </w:r>
            <w:r w:rsidR="00CE783D">
              <w:rPr>
                <w:noProof/>
                <w:webHidden/>
              </w:rPr>
            </w:r>
            <w:r w:rsidR="00CE783D">
              <w:rPr>
                <w:noProof/>
                <w:webHidden/>
              </w:rPr>
              <w:fldChar w:fldCharType="separate"/>
            </w:r>
            <w:r w:rsidR="00CE783D">
              <w:rPr>
                <w:noProof/>
                <w:webHidden/>
              </w:rPr>
              <w:t>3</w:t>
            </w:r>
            <w:r w:rsidR="00CE783D">
              <w:rPr>
                <w:noProof/>
                <w:webHidden/>
              </w:rPr>
              <w:fldChar w:fldCharType="end"/>
            </w:r>
          </w:hyperlink>
        </w:p>
        <w:p w14:paraId="77011574" w14:textId="3EF01822" w:rsidR="00CE783D" w:rsidRDefault="003B3152">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45484454" w:history="1">
            <w:r w:rsidR="00CE783D" w:rsidRPr="001212AC">
              <w:rPr>
                <w:rStyle w:val="Hyperlink"/>
                <w:noProof/>
                <w:lang w:val="ga"/>
              </w:rPr>
              <w:t>Réamhrá</w:t>
            </w:r>
            <w:r w:rsidR="00CE783D">
              <w:rPr>
                <w:noProof/>
                <w:webHidden/>
              </w:rPr>
              <w:tab/>
            </w:r>
            <w:r w:rsidR="00CE783D">
              <w:rPr>
                <w:noProof/>
                <w:webHidden/>
              </w:rPr>
              <w:fldChar w:fldCharType="begin"/>
            </w:r>
            <w:r w:rsidR="00CE783D">
              <w:rPr>
                <w:noProof/>
                <w:webHidden/>
              </w:rPr>
              <w:instrText xml:space="preserve"> PAGEREF _Toc145484454 \h </w:instrText>
            </w:r>
            <w:r w:rsidR="00CE783D">
              <w:rPr>
                <w:noProof/>
                <w:webHidden/>
              </w:rPr>
            </w:r>
            <w:r w:rsidR="00CE783D">
              <w:rPr>
                <w:noProof/>
                <w:webHidden/>
              </w:rPr>
              <w:fldChar w:fldCharType="separate"/>
            </w:r>
            <w:r w:rsidR="00CE783D">
              <w:rPr>
                <w:noProof/>
                <w:webHidden/>
              </w:rPr>
              <w:t>3</w:t>
            </w:r>
            <w:r w:rsidR="00CE783D">
              <w:rPr>
                <w:noProof/>
                <w:webHidden/>
              </w:rPr>
              <w:fldChar w:fldCharType="end"/>
            </w:r>
          </w:hyperlink>
        </w:p>
        <w:p w14:paraId="7FA1092F" w14:textId="30EAB284" w:rsidR="00CE783D" w:rsidRDefault="003B3152">
          <w:pPr>
            <w:pStyle w:val="TOC2"/>
            <w:tabs>
              <w:tab w:val="right" w:leader="dot" w:pos="8630"/>
            </w:tabs>
            <w:rPr>
              <w:rFonts w:asciiTheme="minorHAnsi" w:eastAsiaTheme="minorEastAsia" w:hAnsiTheme="minorHAnsi" w:cstheme="minorBidi"/>
              <w:noProof/>
              <w:kern w:val="2"/>
              <w:sz w:val="22"/>
              <w:szCs w:val="22"/>
              <w:lang w:val="en-GB" w:eastAsia="en-GB"/>
              <w14:ligatures w14:val="standardContextual"/>
            </w:rPr>
          </w:pPr>
          <w:hyperlink w:anchor="_Toc145484455" w:history="1">
            <w:r w:rsidR="00CE783D" w:rsidRPr="001212AC">
              <w:rPr>
                <w:rStyle w:val="Hyperlink"/>
                <w:noProof/>
                <w:lang w:val="ga"/>
              </w:rPr>
              <w:t>Cé sinne</w:t>
            </w:r>
            <w:r w:rsidR="00CE783D">
              <w:rPr>
                <w:noProof/>
                <w:webHidden/>
              </w:rPr>
              <w:tab/>
            </w:r>
            <w:r w:rsidR="00CE783D">
              <w:rPr>
                <w:noProof/>
                <w:webHidden/>
              </w:rPr>
              <w:fldChar w:fldCharType="begin"/>
            </w:r>
            <w:r w:rsidR="00CE783D">
              <w:rPr>
                <w:noProof/>
                <w:webHidden/>
              </w:rPr>
              <w:instrText xml:space="preserve"> PAGEREF _Toc145484455 \h </w:instrText>
            </w:r>
            <w:r w:rsidR="00CE783D">
              <w:rPr>
                <w:noProof/>
                <w:webHidden/>
              </w:rPr>
            </w:r>
            <w:r w:rsidR="00CE783D">
              <w:rPr>
                <w:noProof/>
                <w:webHidden/>
              </w:rPr>
              <w:fldChar w:fldCharType="separate"/>
            </w:r>
            <w:r w:rsidR="00CE783D">
              <w:rPr>
                <w:noProof/>
                <w:webHidden/>
              </w:rPr>
              <w:t>3</w:t>
            </w:r>
            <w:r w:rsidR="00CE783D">
              <w:rPr>
                <w:noProof/>
                <w:webHidden/>
              </w:rPr>
              <w:fldChar w:fldCharType="end"/>
            </w:r>
          </w:hyperlink>
        </w:p>
        <w:p w14:paraId="5FEA4EA0" w14:textId="45544DB1" w:rsidR="00CE783D" w:rsidRDefault="003B3152">
          <w:pPr>
            <w:pStyle w:val="TOC2"/>
            <w:tabs>
              <w:tab w:val="right" w:leader="dot" w:pos="8630"/>
            </w:tabs>
            <w:rPr>
              <w:rFonts w:asciiTheme="minorHAnsi" w:eastAsiaTheme="minorEastAsia" w:hAnsiTheme="minorHAnsi" w:cstheme="minorBidi"/>
              <w:noProof/>
              <w:kern w:val="2"/>
              <w:sz w:val="22"/>
              <w:szCs w:val="22"/>
              <w:lang w:val="en-GB" w:eastAsia="en-GB"/>
              <w14:ligatures w14:val="standardContextual"/>
            </w:rPr>
          </w:pPr>
          <w:hyperlink w:anchor="_Toc145484456" w:history="1">
            <w:r w:rsidR="00CE783D" w:rsidRPr="001212AC">
              <w:rPr>
                <w:rStyle w:val="Hyperlink"/>
                <w:noProof/>
                <w:lang w:val="ga"/>
              </w:rPr>
              <w:t>An tAcht um Míchumas 2005</w:t>
            </w:r>
            <w:r w:rsidR="00CE783D">
              <w:rPr>
                <w:noProof/>
                <w:webHidden/>
              </w:rPr>
              <w:tab/>
            </w:r>
            <w:r w:rsidR="00CE783D">
              <w:rPr>
                <w:noProof/>
                <w:webHidden/>
              </w:rPr>
              <w:fldChar w:fldCharType="begin"/>
            </w:r>
            <w:r w:rsidR="00CE783D">
              <w:rPr>
                <w:noProof/>
                <w:webHidden/>
              </w:rPr>
              <w:instrText xml:space="preserve"> PAGEREF _Toc145484456 \h </w:instrText>
            </w:r>
            <w:r w:rsidR="00CE783D">
              <w:rPr>
                <w:noProof/>
                <w:webHidden/>
              </w:rPr>
            </w:r>
            <w:r w:rsidR="00CE783D">
              <w:rPr>
                <w:noProof/>
                <w:webHidden/>
              </w:rPr>
              <w:fldChar w:fldCharType="separate"/>
            </w:r>
            <w:r w:rsidR="00CE783D">
              <w:rPr>
                <w:noProof/>
                <w:webHidden/>
              </w:rPr>
              <w:t>3</w:t>
            </w:r>
            <w:r w:rsidR="00CE783D">
              <w:rPr>
                <w:noProof/>
                <w:webHidden/>
              </w:rPr>
              <w:fldChar w:fldCharType="end"/>
            </w:r>
          </w:hyperlink>
        </w:p>
        <w:p w14:paraId="3AD74863" w14:textId="6F2DF14F" w:rsidR="00CE783D" w:rsidRDefault="003B3152">
          <w:pPr>
            <w:pStyle w:val="TOC2"/>
            <w:tabs>
              <w:tab w:val="right" w:leader="dot" w:pos="8630"/>
            </w:tabs>
            <w:rPr>
              <w:rFonts w:asciiTheme="minorHAnsi" w:eastAsiaTheme="minorEastAsia" w:hAnsiTheme="minorHAnsi" w:cstheme="minorBidi"/>
              <w:noProof/>
              <w:kern w:val="2"/>
              <w:sz w:val="22"/>
              <w:szCs w:val="22"/>
              <w:lang w:val="en-GB" w:eastAsia="en-GB"/>
              <w14:ligatures w14:val="standardContextual"/>
            </w:rPr>
          </w:pPr>
          <w:hyperlink w:anchor="_Toc145484457" w:history="1">
            <w:r w:rsidR="00CE783D" w:rsidRPr="001212AC">
              <w:rPr>
                <w:rStyle w:val="Hyperlink"/>
                <w:noProof/>
                <w:lang w:val="ga"/>
              </w:rPr>
              <w:t>An Cód Cleachtais maidir le hInrochtaineacht Seirbhísí Poiblí agus Faisnéise a Chuireann Comhlachtaí Poiblí ar Fáil</w:t>
            </w:r>
            <w:r w:rsidR="00CE783D">
              <w:rPr>
                <w:noProof/>
                <w:webHidden/>
              </w:rPr>
              <w:tab/>
            </w:r>
            <w:r w:rsidR="00CE783D">
              <w:rPr>
                <w:noProof/>
                <w:webHidden/>
              </w:rPr>
              <w:fldChar w:fldCharType="begin"/>
            </w:r>
            <w:r w:rsidR="00CE783D">
              <w:rPr>
                <w:noProof/>
                <w:webHidden/>
              </w:rPr>
              <w:instrText xml:space="preserve"> PAGEREF _Toc145484457 \h </w:instrText>
            </w:r>
            <w:r w:rsidR="00CE783D">
              <w:rPr>
                <w:noProof/>
                <w:webHidden/>
              </w:rPr>
            </w:r>
            <w:r w:rsidR="00CE783D">
              <w:rPr>
                <w:noProof/>
                <w:webHidden/>
              </w:rPr>
              <w:fldChar w:fldCharType="separate"/>
            </w:r>
            <w:r w:rsidR="00CE783D">
              <w:rPr>
                <w:noProof/>
                <w:webHidden/>
              </w:rPr>
              <w:t>4</w:t>
            </w:r>
            <w:r w:rsidR="00CE783D">
              <w:rPr>
                <w:noProof/>
                <w:webHidden/>
              </w:rPr>
              <w:fldChar w:fldCharType="end"/>
            </w:r>
          </w:hyperlink>
        </w:p>
        <w:p w14:paraId="7000C5E5" w14:textId="25B6A0BC" w:rsidR="00CE783D" w:rsidRDefault="003B3152">
          <w:pPr>
            <w:pStyle w:val="TOC2"/>
            <w:tabs>
              <w:tab w:val="right" w:leader="dot" w:pos="8630"/>
            </w:tabs>
            <w:rPr>
              <w:rFonts w:asciiTheme="minorHAnsi" w:eastAsiaTheme="minorEastAsia" w:hAnsiTheme="minorHAnsi" w:cstheme="minorBidi"/>
              <w:noProof/>
              <w:kern w:val="2"/>
              <w:sz w:val="22"/>
              <w:szCs w:val="22"/>
              <w:lang w:val="en-GB" w:eastAsia="en-GB"/>
              <w14:ligatures w14:val="standardContextual"/>
            </w:rPr>
          </w:pPr>
          <w:hyperlink w:anchor="_Toc145484458" w:history="1">
            <w:r w:rsidR="00CE783D" w:rsidRPr="001212AC">
              <w:rPr>
                <w:rStyle w:val="Hyperlink"/>
                <w:noProof/>
                <w:lang w:val="ga"/>
              </w:rPr>
              <w:t>Freagrachtaí faireacháin ÚNM</w:t>
            </w:r>
            <w:r w:rsidR="00CE783D">
              <w:rPr>
                <w:noProof/>
                <w:webHidden/>
              </w:rPr>
              <w:tab/>
            </w:r>
            <w:r w:rsidR="00CE783D">
              <w:rPr>
                <w:noProof/>
                <w:webHidden/>
              </w:rPr>
              <w:fldChar w:fldCharType="begin"/>
            </w:r>
            <w:r w:rsidR="00CE783D">
              <w:rPr>
                <w:noProof/>
                <w:webHidden/>
              </w:rPr>
              <w:instrText xml:space="preserve"> PAGEREF _Toc145484458 \h </w:instrText>
            </w:r>
            <w:r w:rsidR="00CE783D">
              <w:rPr>
                <w:noProof/>
                <w:webHidden/>
              </w:rPr>
            </w:r>
            <w:r w:rsidR="00CE783D">
              <w:rPr>
                <w:noProof/>
                <w:webHidden/>
              </w:rPr>
              <w:fldChar w:fldCharType="separate"/>
            </w:r>
            <w:r w:rsidR="00CE783D">
              <w:rPr>
                <w:noProof/>
                <w:webHidden/>
              </w:rPr>
              <w:t>4</w:t>
            </w:r>
            <w:r w:rsidR="00CE783D">
              <w:rPr>
                <w:noProof/>
                <w:webHidden/>
              </w:rPr>
              <w:fldChar w:fldCharType="end"/>
            </w:r>
          </w:hyperlink>
        </w:p>
        <w:p w14:paraId="68B4CA6A" w14:textId="600D8223" w:rsidR="00CE783D" w:rsidRDefault="003B3152">
          <w:pPr>
            <w:pStyle w:val="TOC3"/>
            <w:rPr>
              <w:rFonts w:asciiTheme="minorHAnsi" w:eastAsiaTheme="minorEastAsia" w:hAnsiTheme="minorHAnsi" w:cstheme="minorBidi"/>
              <w:noProof/>
              <w:kern w:val="2"/>
              <w:sz w:val="22"/>
              <w:szCs w:val="22"/>
              <w:lang w:val="en-GB" w:eastAsia="en-GB"/>
              <w14:ligatures w14:val="standardContextual"/>
            </w:rPr>
          </w:pPr>
          <w:hyperlink w:anchor="_Toc145484459" w:history="1">
            <w:r w:rsidR="00CE783D" w:rsidRPr="001212AC">
              <w:rPr>
                <w:rStyle w:val="Hyperlink"/>
                <w:noProof/>
                <w:lang w:val="ga"/>
              </w:rPr>
              <w:t>Creat le haghaidh faireacháin</w:t>
            </w:r>
            <w:r w:rsidR="00CE783D">
              <w:rPr>
                <w:noProof/>
                <w:webHidden/>
              </w:rPr>
              <w:tab/>
            </w:r>
            <w:r w:rsidR="00CE783D">
              <w:rPr>
                <w:noProof/>
                <w:webHidden/>
              </w:rPr>
              <w:fldChar w:fldCharType="begin"/>
            </w:r>
            <w:r w:rsidR="00CE783D">
              <w:rPr>
                <w:noProof/>
                <w:webHidden/>
              </w:rPr>
              <w:instrText xml:space="preserve"> PAGEREF _Toc145484459 \h </w:instrText>
            </w:r>
            <w:r w:rsidR="00CE783D">
              <w:rPr>
                <w:noProof/>
                <w:webHidden/>
              </w:rPr>
            </w:r>
            <w:r w:rsidR="00CE783D">
              <w:rPr>
                <w:noProof/>
                <w:webHidden/>
              </w:rPr>
              <w:fldChar w:fldCharType="separate"/>
            </w:r>
            <w:r w:rsidR="00CE783D">
              <w:rPr>
                <w:noProof/>
                <w:webHidden/>
              </w:rPr>
              <w:t>4</w:t>
            </w:r>
            <w:r w:rsidR="00CE783D">
              <w:rPr>
                <w:noProof/>
                <w:webHidden/>
              </w:rPr>
              <w:fldChar w:fldCharType="end"/>
            </w:r>
          </w:hyperlink>
        </w:p>
        <w:p w14:paraId="7AC637D2" w14:textId="02723C68" w:rsidR="00CE783D" w:rsidRDefault="003B3152">
          <w:pPr>
            <w:pStyle w:val="TOC2"/>
            <w:tabs>
              <w:tab w:val="right" w:leader="dot" w:pos="8630"/>
            </w:tabs>
            <w:rPr>
              <w:rFonts w:asciiTheme="minorHAnsi" w:eastAsiaTheme="minorEastAsia" w:hAnsiTheme="minorHAnsi" w:cstheme="minorBidi"/>
              <w:noProof/>
              <w:kern w:val="2"/>
              <w:sz w:val="22"/>
              <w:szCs w:val="22"/>
              <w:lang w:val="en-GB" w:eastAsia="en-GB"/>
              <w14:ligatures w14:val="standardContextual"/>
            </w:rPr>
          </w:pPr>
          <w:hyperlink w:anchor="_Toc145484460" w:history="1">
            <w:r w:rsidR="00CE783D" w:rsidRPr="001212AC">
              <w:rPr>
                <w:rStyle w:val="Hyperlink"/>
                <w:noProof/>
                <w:lang w:val="ga"/>
              </w:rPr>
              <w:t>Cuspóir na tuarascála faireacháin seo</w:t>
            </w:r>
            <w:r w:rsidR="00CE783D">
              <w:rPr>
                <w:noProof/>
                <w:webHidden/>
              </w:rPr>
              <w:tab/>
            </w:r>
            <w:r w:rsidR="00CE783D">
              <w:rPr>
                <w:noProof/>
                <w:webHidden/>
              </w:rPr>
              <w:fldChar w:fldCharType="begin"/>
            </w:r>
            <w:r w:rsidR="00CE783D">
              <w:rPr>
                <w:noProof/>
                <w:webHidden/>
              </w:rPr>
              <w:instrText xml:space="preserve"> PAGEREF _Toc145484460 \h </w:instrText>
            </w:r>
            <w:r w:rsidR="00CE783D">
              <w:rPr>
                <w:noProof/>
                <w:webHidden/>
              </w:rPr>
            </w:r>
            <w:r w:rsidR="00CE783D">
              <w:rPr>
                <w:noProof/>
                <w:webHidden/>
              </w:rPr>
              <w:fldChar w:fldCharType="separate"/>
            </w:r>
            <w:r w:rsidR="00CE783D">
              <w:rPr>
                <w:noProof/>
                <w:webHidden/>
              </w:rPr>
              <w:t>7</w:t>
            </w:r>
            <w:r w:rsidR="00CE783D">
              <w:rPr>
                <w:noProof/>
                <w:webHidden/>
              </w:rPr>
              <w:fldChar w:fldCharType="end"/>
            </w:r>
          </w:hyperlink>
        </w:p>
        <w:p w14:paraId="21586209" w14:textId="2EE26E9F" w:rsidR="00CE783D" w:rsidRDefault="003B3152">
          <w:pPr>
            <w:pStyle w:val="TOC3"/>
            <w:rPr>
              <w:rFonts w:asciiTheme="minorHAnsi" w:eastAsiaTheme="minorEastAsia" w:hAnsiTheme="minorHAnsi" w:cstheme="minorBidi"/>
              <w:noProof/>
              <w:kern w:val="2"/>
              <w:sz w:val="22"/>
              <w:szCs w:val="22"/>
              <w:lang w:val="en-GB" w:eastAsia="en-GB"/>
              <w14:ligatures w14:val="standardContextual"/>
            </w:rPr>
          </w:pPr>
          <w:hyperlink w:anchor="_Toc145484461" w:history="1">
            <w:r w:rsidR="00CE783D" w:rsidRPr="001212AC">
              <w:rPr>
                <w:rStyle w:val="Hyperlink"/>
                <w:noProof/>
                <w:lang w:val="ga"/>
              </w:rPr>
              <w:t>Alt 26(2) – Oifigeach Rochtana</w:t>
            </w:r>
            <w:r w:rsidR="00CE783D">
              <w:rPr>
                <w:noProof/>
                <w:webHidden/>
              </w:rPr>
              <w:tab/>
            </w:r>
            <w:r w:rsidR="00CE783D">
              <w:rPr>
                <w:noProof/>
                <w:webHidden/>
              </w:rPr>
              <w:fldChar w:fldCharType="begin"/>
            </w:r>
            <w:r w:rsidR="00CE783D">
              <w:rPr>
                <w:noProof/>
                <w:webHidden/>
              </w:rPr>
              <w:instrText xml:space="preserve"> PAGEREF _Toc145484461 \h </w:instrText>
            </w:r>
            <w:r w:rsidR="00CE783D">
              <w:rPr>
                <w:noProof/>
                <w:webHidden/>
              </w:rPr>
            </w:r>
            <w:r w:rsidR="00CE783D">
              <w:rPr>
                <w:noProof/>
                <w:webHidden/>
              </w:rPr>
              <w:fldChar w:fldCharType="separate"/>
            </w:r>
            <w:r w:rsidR="00CE783D">
              <w:rPr>
                <w:noProof/>
                <w:webHidden/>
              </w:rPr>
              <w:t>7</w:t>
            </w:r>
            <w:r w:rsidR="00CE783D">
              <w:rPr>
                <w:noProof/>
                <w:webHidden/>
              </w:rPr>
              <w:fldChar w:fldCharType="end"/>
            </w:r>
          </w:hyperlink>
        </w:p>
        <w:p w14:paraId="56B5B8BA" w14:textId="738DFA5C" w:rsidR="00CE783D" w:rsidRDefault="003B3152">
          <w:pPr>
            <w:pStyle w:val="TOC2"/>
            <w:tabs>
              <w:tab w:val="right" w:leader="dot" w:pos="8630"/>
            </w:tabs>
            <w:rPr>
              <w:rFonts w:asciiTheme="minorHAnsi" w:eastAsiaTheme="minorEastAsia" w:hAnsiTheme="minorHAnsi" w:cstheme="minorBidi"/>
              <w:noProof/>
              <w:kern w:val="2"/>
              <w:sz w:val="22"/>
              <w:szCs w:val="22"/>
              <w:lang w:val="en-GB" w:eastAsia="en-GB"/>
              <w14:ligatures w14:val="standardContextual"/>
            </w:rPr>
          </w:pPr>
          <w:hyperlink w:anchor="_Toc145484462" w:history="1">
            <w:r w:rsidR="00CE783D" w:rsidRPr="001212AC">
              <w:rPr>
                <w:rStyle w:val="Hyperlink"/>
                <w:noProof/>
                <w:lang w:val="ga"/>
              </w:rPr>
              <w:t>Modhanna</w:t>
            </w:r>
            <w:r w:rsidR="00CE783D">
              <w:rPr>
                <w:noProof/>
                <w:webHidden/>
              </w:rPr>
              <w:tab/>
            </w:r>
            <w:r w:rsidR="00CE783D">
              <w:rPr>
                <w:noProof/>
                <w:webHidden/>
              </w:rPr>
              <w:fldChar w:fldCharType="begin"/>
            </w:r>
            <w:r w:rsidR="00CE783D">
              <w:rPr>
                <w:noProof/>
                <w:webHidden/>
              </w:rPr>
              <w:instrText xml:space="preserve"> PAGEREF _Toc145484462 \h </w:instrText>
            </w:r>
            <w:r w:rsidR="00CE783D">
              <w:rPr>
                <w:noProof/>
                <w:webHidden/>
              </w:rPr>
            </w:r>
            <w:r w:rsidR="00CE783D">
              <w:rPr>
                <w:noProof/>
                <w:webHidden/>
              </w:rPr>
              <w:fldChar w:fldCharType="separate"/>
            </w:r>
            <w:r w:rsidR="00CE783D">
              <w:rPr>
                <w:noProof/>
                <w:webHidden/>
              </w:rPr>
              <w:t>8</w:t>
            </w:r>
            <w:r w:rsidR="00CE783D">
              <w:rPr>
                <w:noProof/>
                <w:webHidden/>
              </w:rPr>
              <w:fldChar w:fldCharType="end"/>
            </w:r>
          </w:hyperlink>
        </w:p>
        <w:p w14:paraId="147CA006" w14:textId="7E00AF0B" w:rsidR="00CE783D" w:rsidRDefault="003B3152">
          <w:pPr>
            <w:pStyle w:val="TOC3"/>
            <w:rPr>
              <w:rFonts w:asciiTheme="minorHAnsi" w:eastAsiaTheme="minorEastAsia" w:hAnsiTheme="minorHAnsi" w:cstheme="minorBidi"/>
              <w:noProof/>
              <w:kern w:val="2"/>
              <w:sz w:val="22"/>
              <w:szCs w:val="22"/>
              <w:lang w:val="en-GB" w:eastAsia="en-GB"/>
              <w14:ligatures w14:val="standardContextual"/>
            </w:rPr>
          </w:pPr>
          <w:hyperlink w:anchor="_Toc145484463" w:history="1">
            <w:r w:rsidR="00CE783D" w:rsidRPr="001212AC">
              <w:rPr>
                <w:rStyle w:val="Hyperlink"/>
                <w:noProof/>
                <w:lang w:val="ga"/>
              </w:rPr>
              <w:t>Alt 26(2) – Oifigeach Rochtana</w:t>
            </w:r>
            <w:r w:rsidR="00CE783D">
              <w:rPr>
                <w:noProof/>
                <w:webHidden/>
              </w:rPr>
              <w:tab/>
            </w:r>
            <w:r w:rsidR="00CE783D">
              <w:rPr>
                <w:noProof/>
                <w:webHidden/>
              </w:rPr>
              <w:fldChar w:fldCharType="begin"/>
            </w:r>
            <w:r w:rsidR="00CE783D">
              <w:rPr>
                <w:noProof/>
                <w:webHidden/>
              </w:rPr>
              <w:instrText xml:space="preserve"> PAGEREF _Toc145484463 \h </w:instrText>
            </w:r>
            <w:r w:rsidR="00CE783D">
              <w:rPr>
                <w:noProof/>
                <w:webHidden/>
              </w:rPr>
            </w:r>
            <w:r w:rsidR="00CE783D">
              <w:rPr>
                <w:noProof/>
                <w:webHidden/>
              </w:rPr>
              <w:fldChar w:fldCharType="separate"/>
            </w:r>
            <w:r w:rsidR="00CE783D">
              <w:rPr>
                <w:noProof/>
                <w:webHidden/>
              </w:rPr>
              <w:t>9</w:t>
            </w:r>
            <w:r w:rsidR="00CE783D">
              <w:rPr>
                <w:noProof/>
                <w:webHidden/>
              </w:rPr>
              <w:fldChar w:fldCharType="end"/>
            </w:r>
          </w:hyperlink>
        </w:p>
        <w:p w14:paraId="0C13C19A" w14:textId="1C5CD023" w:rsidR="00CE783D" w:rsidRDefault="003B3152">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45484464" w:history="1">
            <w:r w:rsidR="00CE783D" w:rsidRPr="001212AC">
              <w:rPr>
                <w:rStyle w:val="Hyperlink"/>
                <w:noProof/>
                <w:lang w:val="ga"/>
              </w:rPr>
              <w:t>Fionnachtana Tosaigh an Fhaireacháin</w:t>
            </w:r>
            <w:r w:rsidR="00CE783D">
              <w:rPr>
                <w:noProof/>
                <w:webHidden/>
              </w:rPr>
              <w:tab/>
            </w:r>
            <w:r w:rsidR="00CE783D">
              <w:rPr>
                <w:noProof/>
                <w:webHidden/>
              </w:rPr>
              <w:fldChar w:fldCharType="begin"/>
            </w:r>
            <w:r w:rsidR="00CE783D">
              <w:rPr>
                <w:noProof/>
                <w:webHidden/>
              </w:rPr>
              <w:instrText xml:space="preserve"> PAGEREF _Toc145484464 \h </w:instrText>
            </w:r>
            <w:r w:rsidR="00CE783D">
              <w:rPr>
                <w:noProof/>
                <w:webHidden/>
              </w:rPr>
            </w:r>
            <w:r w:rsidR="00CE783D">
              <w:rPr>
                <w:noProof/>
                <w:webHidden/>
              </w:rPr>
              <w:fldChar w:fldCharType="separate"/>
            </w:r>
            <w:r w:rsidR="00CE783D">
              <w:rPr>
                <w:noProof/>
                <w:webHidden/>
              </w:rPr>
              <w:t>11</w:t>
            </w:r>
            <w:r w:rsidR="00CE783D">
              <w:rPr>
                <w:noProof/>
                <w:webHidden/>
              </w:rPr>
              <w:fldChar w:fldCharType="end"/>
            </w:r>
          </w:hyperlink>
        </w:p>
        <w:p w14:paraId="6CF6E5FE" w14:textId="16D74DC0" w:rsidR="00CE783D" w:rsidRDefault="003B3152">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45484465" w:history="1">
            <w:r w:rsidR="00CE783D" w:rsidRPr="001212AC">
              <w:rPr>
                <w:rStyle w:val="Hyperlink"/>
                <w:noProof/>
                <w:lang w:val="ga"/>
              </w:rPr>
              <w:t>Fionnachtana Deiridh an Fhaireacháin</w:t>
            </w:r>
            <w:r w:rsidR="00CE783D">
              <w:rPr>
                <w:noProof/>
                <w:webHidden/>
              </w:rPr>
              <w:tab/>
            </w:r>
            <w:r w:rsidR="00CE783D">
              <w:rPr>
                <w:noProof/>
                <w:webHidden/>
              </w:rPr>
              <w:fldChar w:fldCharType="begin"/>
            </w:r>
            <w:r w:rsidR="00CE783D">
              <w:rPr>
                <w:noProof/>
                <w:webHidden/>
              </w:rPr>
              <w:instrText xml:space="preserve"> PAGEREF _Toc145484465 \h </w:instrText>
            </w:r>
            <w:r w:rsidR="00CE783D">
              <w:rPr>
                <w:noProof/>
                <w:webHidden/>
              </w:rPr>
            </w:r>
            <w:r w:rsidR="00CE783D">
              <w:rPr>
                <w:noProof/>
                <w:webHidden/>
              </w:rPr>
              <w:fldChar w:fldCharType="separate"/>
            </w:r>
            <w:r w:rsidR="00CE783D">
              <w:rPr>
                <w:noProof/>
                <w:webHidden/>
              </w:rPr>
              <w:t>12</w:t>
            </w:r>
            <w:r w:rsidR="00CE783D">
              <w:rPr>
                <w:noProof/>
                <w:webHidden/>
              </w:rPr>
              <w:fldChar w:fldCharType="end"/>
            </w:r>
          </w:hyperlink>
        </w:p>
        <w:p w14:paraId="56E23230" w14:textId="76AAB09E" w:rsidR="00CE783D" w:rsidRDefault="003B3152">
          <w:pPr>
            <w:pStyle w:val="TOC2"/>
            <w:tabs>
              <w:tab w:val="right" w:leader="dot" w:pos="8630"/>
            </w:tabs>
            <w:rPr>
              <w:rFonts w:asciiTheme="minorHAnsi" w:eastAsiaTheme="minorEastAsia" w:hAnsiTheme="minorHAnsi" w:cstheme="minorBidi"/>
              <w:noProof/>
              <w:kern w:val="2"/>
              <w:sz w:val="22"/>
              <w:szCs w:val="22"/>
              <w:lang w:val="en-GB" w:eastAsia="en-GB"/>
              <w14:ligatures w14:val="standardContextual"/>
            </w:rPr>
          </w:pPr>
          <w:hyperlink w:anchor="_Toc145484466" w:history="1">
            <w:r w:rsidR="00CE783D" w:rsidRPr="001212AC">
              <w:rPr>
                <w:rStyle w:val="Hyperlink"/>
                <w:noProof/>
                <w:lang w:val="ga"/>
              </w:rPr>
              <w:t>Tábla 1 – An dóigh ar chomhlíon Ranna agus na comhlachtaí atá faoina gcoimirce táscaire an Oifigigh Rochtana</w:t>
            </w:r>
            <w:r w:rsidR="00CE783D">
              <w:rPr>
                <w:noProof/>
                <w:webHidden/>
              </w:rPr>
              <w:tab/>
            </w:r>
            <w:r w:rsidR="00CE783D">
              <w:rPr>
                <w:noProof/>
                <w:webHidden/>
              </w:rPr>
              <w:fldChar w:fldCharType="begin"/>
            </w:r>
            <w:r w:rsidR="00CE783D">
              <w:rPr>
                <w:noProof/>
                <w:webHidden/>
              </w:rPr>
              <w:instrText xml:space="preserve"> PAGEREF _Toc145484466 \h </w:instrText>
            </w:r>
            <w:r w:rsidR="00CE783D">
              <w:rPr>
                <w:noProof/>
                <w:webHidden/>
              </w:rPr>
            </w:r>
            <w:r w:rsidR="00CE783D">
              <w:rPr>
                <w:noProof/>
                <w:webHidden/>
              </w:rPr>
              <w:fldChar w:fldCharType="separate"/>
            </w:r>
            <w:r w:rsidR="00CE783D">
              <w:rPr>
                <w:noProof/>
                <w:webHidden/>
              </w:rPr>
              <w:t>16</w:t>
            </w:r>
            <w:r w:rsidR="00CE783D">
              <w:rPr>
                <w:noProof/>
                <w:webHidden/>
              </w:rPr>
              <w:fldChar w:fldCharType="end"/>
            </w:r>
          </w:hyperlink>
        </w:p>
        <w:p w14:paraId="3EAC5173" w14:textId="6A4F60B9" w:rsidR="00CE783D" w:rsidRDefault="003B3152">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45484467" w:history="1">
            <w:r w:rsidR="00CE783D" w:rsidRPr="001212AC">
              <w:rPr>
                <w:rStyle w:val="Hyperlink"/>
                <w:noProof/>
                <w:lang w:val="ga"/>
              </w:rPr>
              <w:t>Tionchar an Fhaireacháin</w:t>
            </w:r>
            <w:r w:rsidR="00CE783D">
              <w:rPr>
                <w:noProof/>
                <w:webHidden/>
              </w:rPr>
              <w:tab/>
            </w:r>
            <w:r w:rsidR="00CE783D">
              <w:rPr>
                <w:noProof/>
                <w:webHidden/>
              </w:rPr>
              <w:fldChar w:fldCharType="begin"/>
            </w:r>
            <w:r w:rsidR="00CE783D">
              <w:rPr>
                <w:noProof/>
                <w:webHidden/>
              </w:rPr>
              <w:instrText xml:space="preserve"> PAGEREF _Toc145484467 \h </w:instrText>
            </w:r>
            <w:r w:rsidR="00CE783D">
              <w:rPr>
                <w:noProof/>
                <w:webHidden/>
              </w:rPr>
            </w:r>
            <w:r w:rsidR="00CE783D">
              <w:rPr>
                <w:noProof/>
                <w:webHidden/>
              </w:rPr>
              <w:fldChar w:fldCharType="separate"/>
            </w:r>
            <w:r w:rsidR="00CE783D">
              <w:rPr>
                <w:noProof/>
                <w:webHidden/>
              </w:rPr>
              <w:t>18</w:t>
            </w:r>
            <w:r w:rsidR="00CE783D">
              <w:rPr>
                <w:noProof/>
                <w:webHidden/>
              </w:rPr>
              <w:fldChar w:fldCharType="end"/>
            </w:r>
          </w:hyperlink>
        </w:p>
        <w:p w14:paraId="73BD85D6" w14:textId="3414DF66" w:rsidR="00CE783D" w:rsidRDefault="003B3152">
          <w:pPr>
            <w:pStyle w:val="TOC3"/>
            <w:rPr>
              <w:rFonts w:asciiTheme="minorHAnsi" w:eastAsiaTheme="minorEastAsia" w:hAnsiTheme="minorHAnsi" w:cstheme="minorBidi"/>
              <w:noProof/>
              <w:kern w:val="2"/>
              <w:sz w:val="22"/>
              <w:szCs w:val="22"/>
              <w:lang w:val="en-GB" w:eastAsia="en-GB"/>
              <w14:ligatures w14:val="standardContextual"/>
            </w:rPr>
          </w:pPr>
          <w:hyperlink w:anchor="_Toc145484468" w:history="1">
            <w:r w:rsidR="00CE783D" w:rsidRPr="001212AC">
              <w:rPr>
                <w:rStyle w:val="Hyperlink"/>
                <w:noProof/>
                <w:lang w:val="ga"/>
              </w:rPr>
              <w:t>Teorainneacha an phróisis faireacháin</w:t>
            </w:r>
            <w:r w:rsidR="00CE783D">
              <w:rPr>
                <w:noProof/>
                <w:webHidden/>
              </w:rPr>
              <w:tab/>
            </w:r>
            <w:r w:rsidR="00CE783D">
              <w:rPr>
                <w:noProof/>
                <w:webHidden/>
              </w:rPr>
              <w:fldChar w:fldCharType="begin"/>
            </w:r>
            <w:r w:rsidR="00CE783D">
              <w:rPr>
                <w:noProof/>
                <w:webHidden/>
              </w:rPr>
              <w:instrText xml:space="preserve"> PAGEREF _Toc145484468 \h </w:instrText>
            </w:r>
            <w:r w:rsidR="00CE783D">
              <w:rPr>
                <w:noProof/>
                <w:webHidden/>
              </w:rPr>
            </w:r>
            <w:r w:rsidR="00CE783D">
              <w:rPr>
                <w:noProof/>
                <w:webHidden/>
              </w:rPr>
              <w:fldChar w:fldCharType="separate"/>
            </w:r>
            <w:r w:rsidR="00CE783D">
              <w:rPr>
                <w:noProof/>
                <w:webHidden/>
              </w:rPr>
              <w:t>20</w:t>
            </w:r>
            <w:r w:rsidR="00CE783D">
              <w:rPr>
                <w:noProof/>
                <w:webHidden/>
              </w:rPr>
              <w:fldChar w:fldCharType="end"/>
            </w:r>
          </w:hyperlink>
        </w:p>
        <w:p w14:paraId="48C45382" w14:textId="4DEA1CD8" w:rsidR="00CE783D" w:rsidRDefault="003B3152">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45484469" w:history="1">
            <w:r w:rsidR="00CE783D" w:rsidRPr="001212AC">
              <w:rPr>
                <w:rStyle w:val="Hyperlink"/>
                <w:rFonts w:eastAsia="SimSun"/>
                <w:noProof/>
                <w:lang w:val="ga"/>
              </w:rPr>
              <w:t>Conclúid agus Moltaí</w:t>
            </w:r>
            <w:r w:rsidR="00CE783D">
              <w:rPr>
                <w:noProof/>
                <w:webHidden/>
              </w:rPr>
              <w:tab/>
            </w:r>
            <w:r w:rsidR="00CE783D">
              <w:rPr>
                <w:noProof/>
                <w:webHidden/>
              </w:rPr>
              <w:fldChar w:fldCharType="begin"/>
            </w:r>
            <w:r w:rsidR="00CE783D">
              <w:rPr>
                <w:noProof/>
                <w:webHidden/>
              </w:rPr>
              <w:instrText xml:space="preserve"> PAGEREF _Toc145484469 \h </w:instrText>
            </w:r>
            <w:r w:rsidR="00CE783D">
              <w:rPr>
                <w:noProof/>
                <w:webHidden/>
              </w:rPr>
            </w:r>
            <w:r w:rsidR="00CE783D">
              <w:rPr>
                <w:noProof/>
                <w:webHidden/>
              </w:rPr>
              <w:fldChar w:fldCharType="separate"/>
            </w:r>
            <w:r w:rsidR="00CE783D">
              <w:rPr>
                <w:noProof/>
                <w:webHidden/>
              </w:rPr>
              <w:t>22</w:t>
            </w:r>
            <w:r w:rsidR="00CE783D">
              <w:rPr>
                <w:noProof/>
                <w:webHidden/>
              </w:rPr>
              <w:fldChar w:fldCharType="end"/>
            </w:r>
          </w:hyperlink>
        </w:p>
        <w:p w14:paraId="2EC48A4E" w14:textId="16805153" w:rsidR="00CE783D" w:rsidRDefault="003B3152">
          <w:pPr>
            <w:pStyle w:val="TOC2"/>
            <w:tabs>
              <w:tab w:val="right" w:leader="dot" w:pos="8630"/>
            </w:tabs>
            <w:rPr>
              <w:rFonts w:asciiTheme="minorHAnsi" w:eastAsiaTheme="minorEastAsia" w:hAnsiTheme="minorHAnsi" w:cstheme="minorBidi"/>
              <w:noProof/>
              <w:kern w:val="2"/>
              <w:sz w:val="22"/>
              <w:szCs w:val="22"/>
              <w:lang w:val="en-GB" w:eastAsia="en-GB"/>
              <w14:ligatures w14:val="standardContextual"/>
            </w:rPr>
          </w:pPr>
          <w:hyperlink w:anchor="_Toc145484470" w:history="1">
            <w:r w:rsidR="00CE783D" w:rsidRPr="001212AC">
              <w:rPr>
                <w:rStyle w:val="Hyperlink"/>
                <w:noProof/>
                <w:lang w:val="ga"/>
              </w:rPr>
              <w:t>Conclúid</w:t>
            </w:r>
            <w:r w:rsidR="00CE783D">
              <w:rPr>
                <w:noProof/>
                <w:webHidden/>
              </w:rPr>
              <w:tab/>
            </w:r>
            <w:r w:rsidR="00CE783D">
              <w:rPr>
                <w:noProof/>
                <w:webHidden/>
              </w:rPr>
              <w:fldChar w:fldCharType="begin"/>
            </w:r>
            <w:r w:rsidR="00CE783D">
              <w:rPr>
                <w:noProof/>
                <w:webHidden/>
              </w:rPr>
              <w:instrText xml:space="preserve"> PAGEREF _Toc145484470 \h </w:instrText>
            </w:r>
            <w:r w:rsidR="00CE783D">
              <w:rPr>
                <w:noProof/>
                <w:webHidden/>
              </w:rPr>
            </w:r>
            <w:r w:rsidR="00CE783D">
              <w:rPr>
                <w:noProof/>
                <w:webHidden/>
              </w:rPr>
              <w:fldChar w:fldCharType="separate"/>
            </w:r>
            <w:r w:rsidR="00CE783D">
              <w:rPr>
                <w:noProof/>
                <w:webHidden/>
              </w:rPr>
              <w:t>22</w:t>
            </w:r>
            <w:r w:rsidR="00CE783D">
              <w:rPr>
                <w:noProof/>
                <w:webHidden/>
              </w:rPr>
              <w:fldChar w:fldCharType="end"/>
            </w:r>
          </w:hyperlink>
        </w:p>
        <w:p w14:paraId="44FA9147" w14:textId="0644284C" w:rsidR="00CE783D" w:rsidRDefault="003B3152">
          <w:pPr>
            <w:pStyle w:val="TOC2"/>
            <w:tabs>
              <w:tab w:val="right" w:leader="dot" w:pos="8630"/>
            </w:tabs>
            <w:rPr>
              <w:rFonts w:asciiTheme="minorHAnsi" w:eastAsiaTheme="minorEastAsia" w:hAnsiTheme="minorHAnsi" w:cstheme="minorBidi"/>
              <w:noProof/>
              <w:kern w:val="2"/>
              <w:sz w:val="22"/>
              <w:szCs w:val="22"/>
              <w:lang w:val="en-GB" w:eastAsia="en-GB"/>
              <w14:ligatures w14:val="standardContextual"/>
            </w:rPr>
          </w:pPr>
          <w:hyperlink w:anchor="_Toc145484471" w:history="1">
            <w:r w:rsidR="00CE783D" w:rsidRPr="001212AC">
              <w:rPr>
                <w:rStyle w:val="Hyperlink"/>
                <w:noProof/>
                <w:lang w:val="ga"/>
              </w:rPr>
              <w:t>Moltaí</w:t>
            </w:r>
            <w:r w:rsidR="00CE783D">
              <w:rPr>
                <w:noProof/>
                <w:webHidden/>
              </w:rPr>
              <w:tab/>
            </w:r>
            <w:r w:rsidR="00CE783D">
              <w:rPr>
                <w:noProof/>
                <w:webHidden/>
              </w:rPr>
              <w:fldChar w:fldCharType="begin"/>
            </w:r>
            <w:r w:rsidR="00CE783D">
              <w:rPr>
                <w:noProof/>
                <w:webHidden/>
              </w:rPr>
              <w:instrText xml:space="preserve"> PAGEREF _Toc145484471 \h </w:instrText>
            </w:r>
            <w:r w:rsidR="00CE783D">
              <w:rPr>
                <w:noProof/>
                <w:webHidden/>
              </w:rPr>
            </w:r>
            <w:r w:rsidR="00CE783D">
              <w:rPr>
                <w:noProof/>
                <w:webHidden/>
              </w:rPr>
              <w:fldChar w:fldCharType="separate"/>
            </w:r>
            <w:r w:rsidR="00CE783D">
              <w:rPr>
                <w:noProof/>
                <w:webHidden/>
              </w:rPr>
              <w:t>23</w:t>
            </w:r>
            <w:r w:rsidR="00CE783D">
              <w:rPr>
                <w:noProof/>
                <w:webHidden/>
              </w:rPr>
              <w:fldChar w:fldCharType="end"/>
            </w:r>
          </w:hyperlink>
        </w:p>
        <w:p w14:paraId="433CE8E4" w14:textId="18D71FD8" w:rsidR="006E43F4" w:rsidRPr="00CE783D" w:rsidRDefault="000C03FA" w:rsidP="00CE783D">
          <w:r>
            <w:rPr>
              <w:b/>
              <w:bCs/>
              <w:noProof/>
              <w:sz w:val="24"/>
            </w:rPr>
            <w:fldChar w:fldCharType="end"/>
          </w:r>
        </w:p>
      </w:sdtContent>
    </w:sdt>
    <w:bookmarkStart w:id="8" w:name="_Toc78967397" w:displacedByCustomXml="prev"/>
    <w:p w14:paraId="12BF439B" w14:textId="14254D1C" w:rsidR="00DB2A93" w:rsidRPr="00D633FE" w:rsidRDefault="00DB2A93" w:rsidP="00DB2A93">
      <w:pPr>
        <w:pStyle w:val="Title"/>
      </w:pPr>
      <w:bookmarkStart w:id="9" w:name="_Toc145484453"/>
      <w:r>
        <w:rPr>
          <w:lang w:val="ga"/>
        </w:rPr>
        <w:lastRenderedPageBreak/>
        <w:t>Acht ÚNM um Míchumas – Tuarascáil Faireacháin Chuid 3, 2022</w:t>
      </w:r>
      <w:bookmarkEnd w:id="9"/>
    </w:p>
    <w:p w14:paraId="4E913D71" w14:textId="77777777" w:rsidR="009C3BD7" w:rsidRPr="00D633FE" w:rsidRDefault="00453680" w:rsidP="009C3BD7">
      <w:pPr>
        <w:pStyle w:val="Heading1"/>
      </w:pPr>
      <w:bookmarkStart w:id="10" w:name="_Toc145484454"/>
      <w:bookmarkEnd w:id="8"/>
      <w:r>
        <w:rPr>
          <w:lang w:val="ga"/>
        </w:rPr>
        <w:t>Réamhrá</w:t>
      </w:r>
      <w:bookmarkEnd w:id="10"/>
      <w:r>
        <w:rPr>
          <w:lang w:val="ga"/>
        </w:rPr>
        <w:t xml:space="preserve"> </w:t>
      </w:r>
    </w:p>
    <w:p w14:paraId="34EEF15E" w14:textId="77777777" w:rsidR="00841C6D" w:rsidRPr="00A618F8" w:rsidRDefault="00841C6D" w:rsidP="00412B25">
      <w:pPr>
        <w:pStyle w:val="Heading2"/>
      </w:pPr>
      <w:bookmarkStart w:id="11" w:name="_Toc145484455"/>
      <w:r>
        <w:rPr>
          <w:iCs w:val="0"/>
          <w:lang w:val="ga"/>
        </w:rPr>
        <w:t>Cé sinne</w:t>
      </w:r>
      <w:bookmarkEnd w:id="11"/>
    </w:p>
    <w:p w14:paraId="2C7ECF41" w14:textId="77777777" w:rsidR="00AF7857" w:rsidRPr="00A618F8" w:rsidRDefault="00AF7857" w:rsidP="00AF7857">
      <w:pPr>
        <w:rPr>
          <w:szCs w:val="26"/>
        </w:rPr>
      </w:pPr>
      <w:r>
        <w:rPr>
          <w:szCs w:val="26"/>
          <w:lang w:val="ga"/>
        </w:rPr>
        <w:t>Is é an tÚdarás Náisiúnta Míchumais (ÚNM) an comhlacht reachtúil neamhspleách a sholáthraíonn faisnéis agus comhairle don Rialtas ar bheartas agus cleachtas a bhaineann le saol daoine faoi mhíchumas. Oibrímid trínár Lárionad Sármhaitheasa i nDearadh Uilíoch chun úsáid an deartha uilíoch sa timpeallacht thógtha, sa timpeallacht dhigiteach, i dtáirgí, i seirbhísí agus i gcórais a chur chun cinn ionas gur féidir le gach duine iad a rochtain agus a úsáid go réidh, lena n-áirítear daoine faoi mhíchumas.</w:t>
      </w:r>
    </w:p>
    <w:p w14:paraId="3734E7A8" w14:textId="77777777" w:rsidR="00841C6D" w:rsidRPr="00A618F8" w:rsidRDefault="00841C6D" w:rsidP="00412B25">
      <w:pPr>
        <w:pStyle w:val="Heading2"/>
      </w:pPr>
      <w:bookmarkStart w:id="12" w:name="_Toc145484456"/>
      <w:r>
        <w:rPr>
          <w:iCs w:val="0"/>
          <w:lang w:val="ga"/>
        </w:rPr>
        <w:t>An tAcht um Míchumas 2005</w:t>
      </w:r>
      <w:bookmarkEnd w:id="12"/>
    </w:p>
    <w:p w14:paraId="03A7E3A3" w14:textId="77777777" w:rsidR="005229DB" w:rsidRPr="00A618F8" w:rsidRDefault="005229DB" w:rsidP="005229DB">
      <w:pPr>
        <w:rPr>
          <w:szCs w:val="26"/>
        </w:rPr>
      </w:pPr>
      <w:r>
        <w:rPr>
          <w:szCs w:val="26"/>
          <w:lang w:val="ga"/>
        </w:rPr>
        <w:t xml:space="preserve">Leis an Acht um Míchumas 2005 (“an tAcht”), </w:t>
      </w:r>
      <w:r>
        <w:rPr>
          <w:color w:val="000000"/>
          <w:szCs w:val="26"/>
          <w:lang w:val="ga"/>
        </w:rPr>
        <w:t xml:space="preserve">leagtar oibleagáid reachtúil ar chomhlacht poiblí a sheirbhísí poiblí a dhéanamh inrochtana do dhaoine a bhfuil míchumas orthu. Tá dualgas dlíthiúil ar chomhlachtaí poiblí </w:t>
      </w:r>
      <w:r>
        <w:rPr>
          <w:szCs w:val="26"/>
          <w:lang w:val="ga"/>
        </w:rPr>
        <w:t xml:space="preserve">a chinntiú gurb inrochtana do dhaoine a bhfuil míchumas orthu, a mhéid is indéanta, atá a gcuid faisnéise, earraí agus seirbhísí. </w:t>
      </w:r>
    </w:p>
    <w:p w14:paraId="5AD4A241" w14:textId="77777777" w:rsidR="005229DB" w:rsidRPr="00A618F8" w:rsidRDefault="004E2337" w:rsidP="005229DB">
      <w:pPr>
        <w:rPr>
          <w:szCs w:val="26"/>
        </w:rPr>
      </w:pPr>
      <w:r>
        <w:rPr>
          <w:szCs w:val="26"/>
          <w:lang w:val="ga"/>
        </w:rPr>
        <w:t>Áirítear iad seo a leanas leis na freagrachtaí atá leagtha amach faoi Chuid 3 den Acht:</w:t>
      </w:r>
    </w:p>
    <w:p w14:paraId="2A6180BD" w14:textId="77777777" w:rsidR="005229DB" w:rsidRPr="00A618F8" w:rsidRDefault="005229DB" w:rsidP="00136BE4">
      <w:pPr>
        <w:pStyle w:val="ListParagraph"/>
        <w:numPr>
          <w:ilvl w:val="0"/>
          <w:numId w:val="8"/>
        </w:numPr>
        <w:spacing w:after="0"/>
        <w:ind w:left="714" w:hanging="357"/>
        <w:contextualSpacing w:val="0"/>
        <w:rPr>
          <w:rFonts w:ascii="Gill Sans MT" w:hAnsi="Gill Sans MT"/>
          <w:szCs w:val="26"/>
        </w:rPr>
      </w:pPr>
      <w:r>
        <w:rPr>
          <w:rFonts w:ascii="Gill Sans MT" w:hAnsi="Gill Sans MT"/>
          <w:szCs w:val="26"/>
          <w:lang w:val="ga"/>
        </w:rPr>
        <w:t>Alt 26 – ceanglaítear ar chomhlachtaí poiblí a chinntiú go bhfuil a seirbhísí inrochtana do dhaoine a bhfuil míchumas orthu trí rochtain chomhtháite ar sheirbhísí príomhshrutha a sholáthar i gcás gurb indéanta agus gur cuí;</w:t>
      </w:r>
    </w:p>
    <w:p w14:paraId="7994A66D" w14:textId="77777777" w:rsidR="005229DB" w:rsidRPr="00A618F8" w:rsidRDefault="005229DB" w:rsidP="00136BE4">
      <w:pPr>
        <w:pStyle w:val="ListParagraph"/>
        <w:numPr>
          <w:ilvl w:val="0"/>
          <w:numId w:val="8"/>
        </w:numPr>
        <w:spacing w:before="240" w:after="0"/>
        <w:ind w:left="714" w:hanging="357"/>
        <w:contextualSpacing w:val="0"/>
        <w:rPr>
          <w:rFonts w:ascii="Gill Sans MT" w:hAnsi="Gill Sans MT"/>
          <w:szCs w:val="26"/>
        </w:rPr>
      </w:pPr>
      <w:r>
        <w:rPr>
          <w:rFonts w:ascii="Gill Sans MT" w:hAnsi="Gill Sans MT"/>
          <w:szCs w:val="26"/>
          <w:lang w:val="ga"/>
        </w:rPr>
        <w:t>Alt 27 – ceanglaítear ar chomhlachtaí poiblí a chinntiú gurb inrochtana atá na hearraí nó na seirbhísí a cheannaíonn siad lena n-úsáid ag an bpobal nó ag an bhfoireann, seachas i gcás nach mbeadh sé sin indéanta nó nach mbeadh údar leis ar fhorais chostais nó i gcás go gcruthódh sé moill neamhréasúnach;</w:t>
      </w:r>
    </w:p>
    <w:p w14:paraId="56C1A6A5" w14:textId="77777777" w:rsidR="005229DB" w:rsidRPr="00A618F8" w:rsidRDefault="005229DB" w:rsidP="00136BE4">
      <w:pPr>
        <w:pStyle w:val="ListParagraph"/>
        <w:numPr>
          <w:ilvl w:val="0"/>
          <w:numId w:val="8"/>
        </w:numPr>
        <w:spacing w:before="240" w:after="0"/>
        <w:ind w:left="714" w:hanging="357"/>
        <w:contextualSpacing w:val="0"/>
        <w:rPr>
          <w:rFonts w:ascii="Gill Sans MT" w:hAnsi="Gill Sans MT"/>
          <w:szCs w:val="26"/>
        </w:rPr>
      </w:pPr>
      <w:r>
        <w:rPr>
          <w:rFonts w:ascii="Gill Sans MT" w:hAnsi="Gill Sans MT"/>
          <w:szCs w:val="26"/>
          <w:lang w:val="ga"/>
        </w:rPr>
        <w:t xml:space="preserve">Alt 28 – ní mór, a mhéid is indéanta, cumarsáidí ó chomhlacht poiblí le duine a bhfuil lagú éisteachta nó radhairc air/uirthi a sholáthar i bhformáid inrochtana i gcás go n-iarrtar amhlaidh. Ní mór, a mhéid is indéanta, faisnéis a sholáthraítear go leictreonach a dhéanamh inrochtana do dhuine a bhfuil lagú radhairc air/uirthi trí leas a bhaint as teicneolaíocht oiriúnaitheach. Ní mór, a mhéid is indéanta, faisnéis fhoilsithe atá ábhartha </w:t>
      </w:r>
      <w:r>
        <w:rPr>
          <w:rFonts w:ascii="Gill Sans MT" w:hAnsi="Gill Sans MT"/>
          <w:szCs w:val="26"/>
          <w:lang w:val="ga"/>
        </w:rPr>
        <w:lastRenderedPageBreak/>
        <w:t>do dhaoine a bhfuil míchumas intleachta orthu a chur ar fáil i bhformáidí soléite; agus</w:t>
      </w:r>
    </w:p>
    <w:p w14:paraId="5E22FC4E" w14:textId="77777777" w:rsidR="005229DB" w:rsidRPr="00A618F8" w:rsidRDefault="005229DB" w:rsidP="00136BE4">
      <w:pPr>
        <w:pStyle w:val="ListParagraph"/>
        <w:numPr>
          <w:ilvl w:val="0"/>
          <w:numId w:val="8"/>
        </w:numPr>
        <w:spacing w:before="240"/>
        <w:ind w:left="714" w:hanging="357"/>
        <w:contextualSpacing w:val="0"/>
        <w:rPr>
          <w:rFonts w:ascii="Gill Sans MT" w:hAnsi="Gill Sans MT"/>
          <w:szCs w:val="26"/>
        </w:rPr>
      </w:pPr>
      <w:r>
        <w:rPr>
          <w:rFonts w:ascii="Gill Sans MT" w:hAnsi="Gill Sans MT"/>
          <w:szCs w:val="26"/>
          <w:lang w:val="ga"/>
        </w:rPr>
        <w:t xml:space="preserve">Ailt 38 agus 39 – ní mór do chomhlachtaí poiblí nósanna imeachta soiléire a bheith acu le haghaidh gearáin ina líomhnaítear mainneachtain comhlíonta faoi ailt 25, 26, 27, 28 agus 29 den Acht um Míchumas 2005 a dhéanamh agus a imscrúdú. </w:t>
      </w:r>
    </w:p>
    <w:p w14:paraId="7F36198B" w14:textId="77777777" w:rsidR="00841C6D" w:rsidRPr="00A618F8" w:rsidRDefault="00841C6D" w:rsidP="00412B25">
      <w:pPr>
        <w:pStyle w:val="Heading2"/>
      </w:pPr>
      <w:bookmarkStart w:id="13" w:name="_Toc145484457"/>
      <w:r>
        <w:rPr>
          <w:iCs w:val="0"/>
          <w:lang w:val="ga"/>
        </w:rPr>
        <w:t>An Cód Cleachtais maidir le hInrochtaineacht Seirbhísí Poiblí agus Faisnéise a Chuireann Comhlachtaí Poiblí ar Fáil</w:t>
      </w:r>
      <w:bookmarkEnd w:id="13"/>
    </w:p>
    <w:p w14:paraId="597EE833" w14:textId="6C08C232" w:rsidR="005229DB" w:rsidRPr="00191726" w:rsidRDefault="005229DB" w:rsidP="005229DB">
      <w:pPr>
        <w:spacing w:after="120"/>
        <w:rPr>
          <w:szCs w:val="26"/>
        </w:rPr>
      </w:pPr>
      <w:r>
        <w:rPr>
          <w:szCs w:val="26"/>
          <w:lang w:val="ga"/>
        </w:rPr>
        <w:t xml:space="preserve">Leis an Acht um Míchumas, cuirtear freagracht reachtúil ar an Údarás Náisiúnta Míchumais (ÚNM) Cóid Chleachtais a ullmhú chun tacú le comhlachtaí poiblí na hoibleagáidí atá orthu faoi ailt áirithe den Acht a chomhlíonadh. Ullmhaíodh an Cód Cleachtais maidir le hInrochtaineacht Seirbhísí Poiblí agus Faisnéise (“an Cód”) arna iarraidh sin ag an Aire Dlí agus Cirt agus Comhionannais faoi alt 30 den Acht chun cabhrú le comhlachtaí poiblí na ceanglais faoi ailt 26, 27 agus 28 den Acht um Míchumas a chomhlíonadh. Má chomhlíonann siad an Cód Cleachtais, meastar go mbeidh comhlachtaí poiblí ag comhlíonadh na n-alt sin den Acht. </w:t>
      </w:r>
    </w:p>
    <w:p w14:paraId="749ECC5C" w14:textId="1532CE80" w:rsidR="005229DB" w:rsidRPr="00D633FE" w:rsidRDefault="005229DB" w:rsidP="005229DB">
      <w:pPr>
        <w:spacing w:after="120"/>
        <w:rPr>
          <w:szCs w:val="26"/>
        </w:rPr>
      </w:pPr>
      <w:r>
        <w:rPr>
          <w:szCs w:val="26"/>
          <w:lang w:val="ga"/>
        </w:rPr>
        <w:t xml:space="preserve">Maidir leis an gCód Cleachtais sin, a foilsíodh den chéad uair sa bhliain 2006, athbhreithníodh é le déanaí agus cuireadh faoi bhráid an Aire é lena cheadú. Sa Chód athbhreithnithe, tugtar treoir nuashonraithe bhreise faoin Acht um Míchumas. Foilseofar an Cód Athbhreithnithe sin ar ball. </w:t>
      </w:r>
    </w:p>
    <w:p w14:paraId="0B12CB7A" w14:textId="17099A79" w:rsidR="00150AB4" w:rsidRPr="00D633FE" w:rsidRDefault="00150AB4" w:rsidP="00412B25">
      <w:pPr>
        <w:pStyle w:val="Heading2"/>
      </w:pPr>
      <w:bookmarkStart w:id="14" w:name="_Toc145484458"/>
      <w:r>
        <w:rPr>
          <w:iCs w:val="0"/>
          <w:lang w:val="ga"/>
        </w:rPr>
        <w:t>Freagrachtaí faireacháin ÚNM</w:t>
      </w:r>
      <w:bookmarkEnd w:id="14"/>
    </w:p>
    <w:p w14:paraId="6B14CA14" w14:textId="18414CA9" w:rsidR="00841C6D" w:rsidRPr="00D633FE" w:rsidRDefault="005229DB" w:rsidP="00841C6D">
      <w:pPr>
        <w:spacing w:after="120"/>
      </w:pPr>
      <w:r>
        <w:rPr>
          <w:szCs w:val="26"/>
          <w:lang w:val="ga"/>
        </w:rPr>
        <w:t xml:space="preserve">Faoi Chuid II, alt 8(2)(d), den Acht um Údarás Náisiúnta Míchumais, 1999 (Acht ÚNM, 1999), tá ról ag ÚNM i bhfaireachán a dhéanamh ar fhorfheidhmiú Cód Cleachtais atá ceadaithe ag an Aire agus tuarascáil a thabhairt ar na fionnachtana. </w:t>
      </w:r>
      <w:r>
        <w:rPr>
          <w:lang w:val="ga"/>
        </w:rPr>
        <w:t>Tagann gníomhaíocht faireacháin ÚNM le creat an Chóid Cleachtais maidir le hInrochtaineacht Seirbhísí Poiblí agus Faisnéise a chuireann Comhlachtaí Poiblí ar fáil agus leis na ceanglais atá leagtha amach chuige sin. Féach Fíor 1:</w:t>
      </w:r>
    </w:p>
    <w:p w14:paraId="17995B67" w14:textId="585B6061" w:rsidR="004E2337" w:rsidRPr="00D633FE" w:rsidRDefault="004E2337" w:rsidP="00841C6D">
      <w:pPr>
        <w:spacing w:after="120"/>
      </w:pPr>
      <w:r>
        <w:rPr>
          <w:lang w:val="ga"/>
        </w:rPr>
        <w:t>Fíor 1 – Creat le haghaidh faireacháin</w:t>
      </w:r>
    </w:p>
    <w:p w14:paraId="448D4C98" w14:textId="087B1E02" w:rsidR="000F5746" w:rsidRPr="00D633FE" w:rsidRDefault="000F5746" w:rsidP="00841C6D">
      <w:pPr>
        <w:spacing w:after="120"/>
      </w:pPr>
    </w:p>
    <w:tbl>
      <w:tblPr>
        <w:tblStyle w:val="TableGrid"/>
        <w:tblW w:w="0" w:type="auto"/>
        <w:tblLook w:val="04A0" w:firstRow="1" w:lastRow="0" w:firstColumn="1" w:lastColumn="0" w:noHBand="0" w:noVBand="1"/>
        <w:tblCaption w:val="Framework for Monitoring "/>
        <w:tblDescription w:val="Detailing Sections 26, 27 and 28 Covered by the Code of Practice on Accessibility of Public Services and Information provided by public bodies"/>
      </w:tblPr>
      <w:tblGrid>
        <w:gridCol w:w="2876"/>
        <w:gridCol w:w="2877"/>
        <w:gridCol w:w="2877"/>
      </w:tblGrid>
      <w:tr w:rsidR="004E14FC" w:rsidRPr="00D633FE" w14:paraId="433EB70D" w14:textId="77777777" w:rsidTr="006F4707">
        <w:trPr>
          <w:tblHeader/>
        </w:trPr>
        <w:tc>
          <w:tcPr>
            <w:tcW w:w="8630" w:type="dxa"/>
            <w:gridSpan w:val="3"/>
          </w:tcPr>
          <w:p w14:paraId="0468CAF4" w14:textId="4CD89123" w:rsidR="004E14FC" w:rsidRPr="00D633FE" w:rsidRDefault="004E14FC" w:rsidP="00B940E3">
            <w:pPr>
              <w:pStyle w:val="Heading3"/>
              <w:jc w:val="center"/>
            </w:pPr>
            <w:bookmarkStart w:id="15" w:name="_Toc145484459"/>
            <w:r>
              <w:rPr>
                <w:lang w:val="ga"/>
              </w:rPr>
              <w:t>Creat le haghaidh faireacháin</w:t>
            </w:r>
            <w:bookmarkEnd w:id="15"/>
          </w:p>
        </w:tc>
      </w:tr>
      <w:tr w:rsidR="004E14FC" w:rsidRPr="00D633FE" w14:paraId="380E2095" w14:textId="77777777" w:rsidTr="00261CF6">
        <w:tc>
          <w:tcPr>
            <w:tcW w:w="8630" w:type="dxa"/>
            <w:gridSpan w:val="3"/>
            <w:tcBorders>
              <w:top w:val="nil"/>
              <w:left w:val="single" w:sz="4" w:space="0" w:color="auto"/>
              <w:bottom w:val="single" w:sz="4" w:space="0" w:color="auto"/>
              <w:right w:val="single" w:sz="4" w:space="0" w:color="auto"/>
            </w:tcBorders>
            <w:shd w:val="clear" w:color="000000" w:fill="D9D9D9"/>
            <w:vAlign w:val="center"/>
          </w:tcPr>
          <w:p w14:paraId="5446B803" w14:textId="007F1E89" w:rsidR="004E14FC" w:rsidRPr="00D633FE" w:rsidRDefault="004E14FC" w:rsidP="00261CF6">
            <w:pPr>
              <w:spacing w:after="120"/>
              <w:jc w:val="center"/>
              <w:rPr>
                <w:szCs w:val="26"/>
              </w:rPr>
            </w:pPr>
            <w:r>
              <w:rPr>
                <w:rFonts w:cs="Calibri"/>
                <w:b/>
                <w:bCs/>
                <w:color w:val="000000"/>
                <w:sz w:val="24"/>
                <w:szCs w:val="26"/>
                <w:lang w:val="ga"/>
              </w:rPr>
              <w:t>An Cód Cleachtais maidir le hInrochtaineacht Seirbhísí Poiblí agus Faisnéise a Chuireann Comhlachtaí Poiblí ar Fáil</w:t>
            </w:r>
          </w:p>
        </w:tc>
      </w:tr>
      <w:tr w:rsidR="004E14FC" w:rsidRPr="00D633FE" w14:paraId="790B6B9A" w14:textId="77777777" w:rsidTr="00261CF6">
        <w:tc>
          <w:tcPr>
            <w:tcW w:w="2876" w:type="dxa"/>
            <w:tcBorders>
              <w:top w:val="nil"/>
              <w:left w:val="single" w:sz="4" w:space="0" w:color="auto"/>
              <w:bottom w:val="single" w:sz="4" w:space="0" w:color="auto"/>
              <w:right w:val="single" w:sz="4" w:space="0" w:color="auto"/>
            </w:tcBorders>
            <w:shd w:val="clear" w:color="000000" w:fill="D9D9D9"/>
          </w:tcPr>
          <w:p w14:paraId="1EC506B3" w14:textId="77777777" w:rsidR="004E14FC" w:rsidRPr="00D633FE" w:rsidRDefault="004E14FC" w:rsidP="004E14FC">
            <w:pPr>
              <w:spacing w:after="0"/>
              <w:jc w:val="center"/>
              <w:rPr>
                <w:rFonts w:cs="Calibri"/>
                <w:b/>
                <w:bCs/>
                <w:color w:val="000000"/>
                <w:sz w:val="24"/>
                <w:szCs w:val="26"/>
              </w:rPr>
            </w:pPr>
            <w:r>
              <w:rPr>
                <w:rFonts w:cs="Calibri"/>
                <w:b/>
                <w:bCs/>
                <w:color w:val="000000"/>
                <w:sz w:val="24"/>
                <w:szCs w:val="26"/>
                <w:lang w:val="ga"/>
              </w:rPr>
              <w:t>Alt 26</w:t>
            </w:r>
          </w:p>
          <w:p w14:paraId="1104D7A3" w14:textId="079EC404" w:rsidR="004E14FC" w:rsidRPr="00D633FE" w:rsidRDefault="004E14FC" w:rsidP="004E14FC">
            <w:pPr>
              <w:spacing w:after="120"/>
              <w:rPr>
                <w:szCs w:val="26"/>
              </w:rPr>
            </w:pPr>
            <w:r>
              <w:rPr>
                <w:rFonts w:cs="Calibri"/>
                <w:color w:val="000000"/>
                <w:sz w:val="24"/>
                <w:szCs w:val="26"/>
                <w:lang w:val="ga"/>
              </w:rPr>
              <w:t>Rochtain ar sheirbhísí</w:t>
            </w:r>
          </w:p>
        </w:tc>
        <w:tc>
          <w:tcPr>
            <w:tcW w:w="2877" w:type="dxa"/>
            <w:tcBorders>
              <w:top w:val="nil"/>
              <w:left w:val="nil"/>
              <w:bottom w:val="single" w:sz="4" w:space="0" w:color="auto"/>
              <w:right w:val="single" w:sz="4" w:space="0" w:color="auto"/>
            </w:tcBorders>
            <w:shd w:val="clear" w:color="000000" w:fill="D9D9D9"/>
          </w:tcPr>
          <w:p w14:paraId="01D14416" w14:textId="1BD62885" w:rsidR="004E14FC" w:rsidRPr="00D633FE" w:rsidRDefault="004E14FC" w:rsidP="004E14FC">
            <w:pPr>
              <w:spacing w:after="120"/>
              <w:rPr>
                <w:szCs w:val="26"/>
              </w:rPr>
            </w:pPr>
            <w:r>
              <w:rPr>
                <w:rFonts w:cs="Calibri"/>
                <w:b/>
                <w:bCs/>
                <w:color w:val="000000"/>
                <w:sz w:val="24"/>
                <w:szCs w:val="26"/>
                <w:lang w:val="ga"/>
              </w:rPr>
              <w:t>Alt 27</w:t>
            </w:r>
            <w:r>
              <w:rPr>
                <w:rFonts w:cs="Calibri"/>
                <w:color w:val="000000"/>
                <w:sz w:val="24"/>
                <w:szCs w:val="26"/>
                <w:lang w:val="ga"/>
              </w:rPr>
              <w:t xml:space="preserve"> Inrochtaineacht seirbhísí a sholáthraítear do chomhlacht poiblí</w:t>
            </w:r>
          </w:p>
        </w:tc>
        <w:tc>
          <w:tcPr>
            <w:tcW w:w="2877" w:type="dxa"/>
            <w:tcBorders>
              <w:top w:val="nil"/>
              <w:left w:val="nil"/>
              <w:bottom w:val="single" w:sz="4" w:space="0" w:color="auto"/>
              <w:right w:val="single" w:sz="4" w:space="0" w:color="auto"/>
            </w:tcBorders>
            <w:shd w:val="clear" w:color="000000" w:fill="D9D9D9"/>
          </w:tcPr>
          <w:p w14:paraId="66EB3B34" w14:textId="77777777" w:rsidR="004E14FC" w:rsidRPr="00D633FE" w:rsidRDefault="004E14FC" w:rsidP="004E14FC">
            <w:pPr>
              <w:spacing w:after="0"/>
              <w:jc w:val="center"/>
              <w:rPr>
                <w:rFonts w:cs="Calibri"/>
                <w:b/>
                <w:bCs/>
                <w:color w:val="000000"/>
                <w:sz w:val="24"/>
                <w:szCs w:val="26"/>
              </w:rPr>
            </w:pPr>
            <w:r>
              <w:rPr>
                <w:rFonts w:cs="Calibri"/>
                <w:b/>
                <w:bCs/>
                <w:color w:val="000000"/>
                <w:sz w:val="24"/>
                <w:szCs w:val="26"/>
                <w:lang w:val="ga"/>
              </w:rPr>
              <w:t>Alt 28</w:t>
            </w:r>
          </w:p>
          <w:p w14:paraId="542DB87D" w14:textId="694B38BE" w:rsidR="004E14FC" w:rsidRPr="00D633FE" w:rsidRDefault="004E14FC" w:rsidP="004E14FC">
            <w:pPr>
              <w:spacing w:after="120"/>
              <w:rPr>
                <w:szCs w:val="26"/>
              </w:rPr>
            </w:pPr>
            <w:r>
              <w:rPr>
                <w:rFonts w:cs="Calibri"/>
                <w:color w:val="000000"/>
                <w:sz w:val="24"/>
                <w:szCs w:val="26"/>
                <w:lang w:val="ga"/>
              </w:rPr>
              <w:t>Rochtain ar fhaisnéis</w:t>
            </w:r>
          </w:p>
        </w:tc>
      </w:tr>
      <w:tr w:rsidR="004E14FC" w:rsidRPr="00D633FE" w14:paraId="249555F9" w14:textId="77777777" w:rsidTr="00261CF6">
        <w:tc>
          <w:tcPr>
            <w:tcW w:w="2876" w:type="dxa"/>
            <w:tcBorders>
              <w:top w:val="nil"/>
              <w:left w:val="single" w:sz="4" w:space="0" w:color="auto"/>
              <w:bottom w:val="single" w:sz="4" w:space="0" w:color="auto"/>
              <w:right w:val="single" w:sz="4" w:space="0" w:color="auto"/>
            </w:tcBorders>
            <w:shd w:val="clear" w:color="000000" w:fill="FFE5FF"/>
            <w:vAlign w:val="center"/>
          </w:tcPr>
          <w:p w14:paraId="462BDBC5" w14:textId="70D28FC3" w:rsidR="004E14FC" w:rsidRPr="00D633FE" w:rsidRDefault="004E14FC" w:rsidP="004E14FC">
            <w:pPr>
              <w:spacing w:after="120"/>
              <w:rPr>
                <w:szCs w:val="26"/>
              </w:rPr>
            </w:pPr>
            <w:r>
              <w:rPr>
                <w:rFonts w:cs="Calibri"/>
                <w:b/>
                <w:bCs/>
                <w:color w:val="000000"/>
                <w:sz w:val="22"/>
                <w:szCs w:val="26"/>
                <w:lang w:val="ga"/>
              </w:rPr>
              <w:lastRenderedPageBreak/>
              <w:t xml:space="preserve">Alt 26(1)(a) </w:t>
            </w:r>
            <w:r>
              <w:rPr>
                <w:rFonts w:cs="Calibri"/>
                <w:color w:val="000000"/>
                <w:sz w:val="22"/>
                <w:szCs w:val="26"/>
                <w:lang w:val="ga"/>
              </w:rPr>
              <w:t>Rochtain Chomhtháite ar Sheirbhís</w:t>
            </w:r>
          </w:p>
        </w:tc>
        <w:tc>
          <w:tcPr>
            <w:tcW w:w="2877" w:type="dxa"/>
            <w:tcBorders>
              <w:top w:val="nil"/>
              <w:left w:val="nil"/>
              <w:bottom w:val="single" w:sz="4" w:space="0" w:color="auto"/>
              <w:right w:val="single" w:sz="4" w:space="0" w:color="auto"/>
            </w:tcBorders>
            <w:shd w:val="clear" w:color="000000" w:fill="FCE4D6"/>
            <w:vAlign w:val="center"/>
          </w:tcPr>
          <w:p w14:paraId="1B9AF2E7" w14:textId="01DD26CD" w:rsidR="004E14FC" w:rsidRPr="00D633FE" w:rsidRDefault="004E14FC" w:rsidP="004E14FC">
            <w:pPr>
              <w:spacing w:after="120"/>
              <w:rPr>
                <w:szCs w:val="26"/>
              </w:rPr>
            </w:pPr>
            <w:r>
              <w:rPr>
                <w:rFonts w:cs="Calibri"/>
                <w:b/>
                <w:bCs/>
                <w:color w:val="000000"/>
                <w:sz w:val="22"/>
                <w:szCs w:val="26"/>
                <w:lang w:val="ga"/>
              </w:rPr>
              <w:t>Alt 27</w:t>
            </w:r>
            <w:r>
              <w:rPr>
                <w:rFonts w:cs="Calibri"/>
                <w:color w:val="000000"/>
                <w:sz w:val="22"/>
                <w:szCs w:val="26"/>
                <w:lang w:val="ga"/>
              </w:rPr>
              <w:t xml:space="preserve"> Inrochtaineacht seirbhísí a sholáthraítear do chomhlacht poiblí</w:t>
            </w:r>
          </w:p>
        </w:tc>
        <w:tc>
          <w:tcPr>
            <w:tcW w:w="2877" w:type="dxa"/>
            <w:tcBorders>
              <w:top w:val="nil"/>
              <w:left w:val="nil"/>
              <w:bottom w:val="single" w:sz="4" w:space="0" w:color="auto"/>
              <w:right w:val="single" w:sz="4" w:space="0" w:color="auto"/>
            </w:tcBorders>
            <w:shd w:val="clear" w:color="000000" w:fill="DDEBF7"/>
            <w:vAlign w:val="center"/>
          </w:tcPr>
          <w:p w14:paraId="226555B2" w14:textId="05CCBEB9" w:rsidR="004E14FC" w:rsidRPr="00D633FE" w:rsidRDefault="004E14FC" w:rsidP="004E14FC">
            <w:pPr>
              <w:spacing w:after="120"/>
              <w:rPr>
                <w:szCs w:val="26"/>
              </w:rPr>
            </w:pPr>
            <w:r>
              <w:rPr>
                <w:rFonts w:cs="Calibri"/>
                <w:b/>
                <w:bCs/>
                <w:color w:val="000000"/>
                <w:sz w:val="22"/>
                <w:szCs w:val="26"/>
                <w:lang w:val="ga"/>
              </w:rPr>
              <w:t>Alt 28(1)(a)</w:t>
            </w:r>
            <w:r>
              <w:rPr>
                <w:rFonts w:cs="Calibri"/>
                <w:color w:val="000000"/>
                <w:sz w:val="22"/>
                <w:szCs w:val="26"/>
                <w:lang w:val="ga"/>
              </w:rPr>
              <w:t xml:space="preserve"> Faisnéis ó bhéal</w:t>
            </w:r>
          </w:p>
        </w:tc>
      </w:tr>
      <w:tr w:rsidR="004E14FC" w:rsidRPr="00D633FE" w14:paraId="42DCC631" w14:textId="77777777" w:rsidTr="00261CF6">
        <w:tc>
          <w:tcPr>
            <w:tcW w:w="2876" w:type="dxa"/>
            <w:tcBorders>
              <w:top w:val="nil"/>
              <w:left w:val="single" w:sz="4" w:space="0" w:color="auto"/>
              <w:bottom w:val="single" w:sz="4" w:space="0" w:color="auto"/>
              <w:right w:val="single" w:sz="4" w:space="0" w:color="auto"/>
            </w:tcBorders>
            <w:shd w:val="clear" w:color="000000" w:fill="FFE5FF"/>
            <w:vAlign w:val="center"/>
          </w:tcPr>
          <w:p w14:paraId="00FA304B" w14:textId="58E22286" w:rsidR="004E14FC" w:rsidRPr="00D633FE" w:rsidRDefault="004E14FC" w:rsidP="004E14FC">
            <w:pPr>
              <w:spacing w:after="120"/>
              <w:rPr>
                <w:szCs w:val="26"/>
              </w:rPr>
            </w:pPr>
            <w:r>
              <w:rPr>
                <w:rFonts w:cs="Calibri"/>
                <w:b/>
                <w:bCs/>
                <w:color w:val="000000"/>
                <w:sz w:val="22"/>
                <w:szCs w:val="26"/>
                <w:lang w:val="ga"/>
              </w:rPr>
              <w:t>Alt 26(1)(b)</w:t>
            </w:r>
            <w:r>
              <w:rPr>
                <w:rFonts w:cs="Calibri"/>
                <w:color w:val="000000"/>
                <w:sz w:val="22"/>
                <w:szCs w:val="26"/>
                <w:lang w:val="ga"/>
              </w:rPr>
              <w:t xml:space="preserve"> Cabhair a Sholáthar</w:t>
            </w:r>
          </w:p>
        </w:tc>
        <w:tc>
          <w:tcPr>
            <w:tcW w:w="2877" w:type="dxa"/>
          </w:tcPr>
          <w:p w14:paraId="191B6106" w14:textId="77777777" w:rsidR="004E14FC" w:rsidRPr="00D633FE" w:rsidRDefault="004E14FC" w:rsidP="004E14FC">
            <w:pPr>
              <w:spacing w:after="120"/>
              <w:rPr>
                <w:szCs w:val="26"/>
              </w:rPr>
            </w:pPr>
          </w:p>
        </w:tc>
        <w:tc>
          <w:tcPr>
            <w:tcW w:w="2877" w:type="dxa"/>
            <w:tcBorders>
              <w:top w:val="nil"/>
              <w:left w:val="nil"/>
              <w:bottom w:val="single" w:sz="4" w:space="0" w:color="auto"/>
              <w:right w:val="single" w:sz="4" w:space="0" w:color="auto"/>
            </w:tcBorders>
            <w:shd w:val="clear" w:color="000000" w:fill="DDEBF7"/>
            <w:vAlign w:val="center"/>
          </w:tcPr>
          <w:p w14:paraId="4A65EA5D" w14:textId="1ABD6FB0" w:rsidR="004E14FC" w:rsidRPr="00D633FE" w:rsidRDefault="004E14FC" w:rsidP="004E14FC">
            <w:pPr>
              <w:spacing w:after="120"/>
              <w:rPr>
                <w:szCs w:val="26"/>
              </w:rPr>
            </w:pPr>
            <w:r>
              <w:rPr>
                <w:rFonts w:cs="Calibri"/>
                <w:b/>
                <w:bCs/>
                <w:color w:val="000000"/>
                <w:sz w:val="22"/>
                <w:szCs w:val="26"/>
                <w:lang w:val="ga"/>
              </w:rPr>
              <w:t>Alt 28(1)(b)</w:t>
            </w:r>
            <w:r>
              <w:rPr>
                <w:rFonts w:cs="Calibri"/>
                <w:color w:val="000000"/>
                <w:sz w:val="22"/>
                <w:szCs w:val="26"/>
                <w:lang w:val="ga"/>
              </w:rPr>
              <w:t xml:space="preserve"> Faisnéis i scríbhinn</w:t>
            </w:r>
          </w:p>
        </w:tc>
      </w:tr>
      <w:tr w:rsidR="004E14FC" w:rsidRPr="00D633FE" w14:paraId="054BDA4A" w14:textId="77777777" w:rsidTr="00261CF6">
        <w:tc>
          <w:tcPr>
            <w:tcW w:w="2876" w:type="dxa"/>
            <w:tcBorders>
              <w:top w:val="nil"/>
              <w:left w:val="single" w:sz="4" w:space="0" w:color="auto"/>
              <w:bottom w:val="single" w:sz="4" w:space="0" w:color="auto"/>
              <w:right w:val="single" w:sz="4" w:space="0" w:color="auto"/>
            </w:tcBorders>
            <w:shd w:val="clear" w:color="000000" w:fill="FFE5FF"/>
            <w:vAlign w:val="center"/>
          </w:tcPr>
          <w:p w14:paraId="0D469C42" w14:textId="77777777" w:rsidR="009938B1" w:rsidRPr="00D633FE" w:rsidRDefault="004E14FC" w:rsidP="004E14FC">
            <w:pPr>
              <w:spacing w:after="120"/>
              <w:rPr>
                <w:rFonts w:cs="Calibri"/>
                <w:color w:val="000000"/>
                <w:sz w:val="22"/>
                <w:szCs w:val="26"/>
              </w:rPr>
            </w:pPr>
            <w:r>
              <w:rPr>
                <w:rFonts w:cs="Calibri"/>
                <w:b/>
                <w:bCs/>
                <w:color w:val="000000"/>
                <w:sz w:val="22"/>
                <w:szCs w:val="26"/>
                <w:lang w:val="ga"/>
              </w:rPr>
              <w:t>Alt 26(1)(c)</w:t>
            </w:r>
            <w:r>
              <w:rPr>
                <w:rFonts w:cs="Calibri"/>
                <w:color w:val="000000"/>
                <w:sz w:val="22"/>
                <w:szCs w:val="26"/>
                <w:lang w:val="ga"/>
              </w:rPr>
              <w:t xml:space="preserve"> </w:t>
            </w:r>
          </w:p>
          <w:p w14:paraId="4F06D371" w14:textId="2E6FACD8" w:rsidR="004E14FC" w:rsidRPr="00D633FE" w:rsidRDefault="004E14FC" w:rsidP="004E14FC">
            <w:pPr>
              <w:spacing w:after="120"/>
              <w:rPr>
                <w:szCs w:val="26"/>
              </w:rPr>
            </w:pPr>
            <w:r>
              <w:rPr>
                <w:rFonts w:cs="Calibri"/>
                <w:color w:val="000000"/>
                <w:sz w:val="22"/>
                <w:szCs w:val="26"/>
                <w:lang w:val="ga"/>
              </w:rPr>
              <w:t>Comhairle Shaineolach</w:t>
            </w:r>
          </w:p>
        </w:tc>
        <w:tc>
          <w:tcPr>
            <w:tcW w:w="2877" w:type="dxa"/>
          </w:tcPr>
          <w:p w14:paraId="53EA7728" w14:textId="77777777" w:rsidR="004E14FC" w:rsidRPr="00D633FE" w:rsidRDefault="004E14FC" w:rsidP="004E14FC">
            <w:pPr>
              <w:spacing w:after="120"/>
              <w:rPr>
                <w:szCs w:val="26"/>
              </w:rPr>
            </w:pPr>
          </w:p>
        </w:tc>
        <w:tc>
          <w:tcPr>
            <w:tcW w:w="2877" w:type="dxa"/>
            <w:tcBorders>
              <w:top w:val="nil"/>
              <w:left w:val="nil"/>
              <w:bottom w:val="single" w:sz="4" w:space="0" w:color="auto"/>
              <w:right w:val="single" w:sz="4" w:space="0" w:color="auto"/>
            </w:tcBorders>
            <w:shd w:val="clear" w:color="000000" w:fill="DDEBF7"/>
            <w:vAlign w:val="center"/>
          </w:tcPr>
          <w:p w14:paraId="64EA22F4" w14:textId="70727A6B" w:rsidR="004E14FC" w:rsidRPr="00D633FE" w:rsidRDefault="004E14FC" w:rsidP="004E14FC">
            <w:pPr>
              <w:spacing w:after="120"/>
              <w:rPr>
                <w:szCs w:val="26"/>
              </w:rPr>
            </w:pPr>
            <w:r>
              <w:rPr>
                <w:rFonts w:cs="Calibri"/>
                <w:b/>
                <w:bCs/>
                <w:color w:val="000000"/>
                <w:sz w:val="22"/>
                <w:szCs w:val="26"/>
                <w:lang w:val="ga"/>
              </w:rPr>
              <w:t>Alt 28(1)(c)</w:t>
            </w:r>
            <w:r>
              <w:rPr>
                <w:rFonts w:cs="Calibri"/>
                <w:color w:val="000000"/>
                <w:sz w:val="22"/>
                <w:szCs w:val="26"/>
                <w:lang w:val="ga"/>
              </w:rPr>
              <w:t xml:space="preserve"> Faisnéis leictreonach (dhigiteach)</w:t>
            </w:r>
          </w:p>
        </w:tc>
      </w:tr>
      <w:tr w:rsidR="004E14FC" w:rsidRPr="00D633FE" w14:paraId="54DA7AF0" w14:textId="77777777" w:rsidTr="00261CF6">
        <w:tc>
          <w:tcPr>
            <w:tcW w:w="2876" w:type="dxa"/>
            <w:tcBorders>
              <w:top w:val="nil"/>
              <w:left w:val="single" w:sz="4" w:space="0" w:color="auto"/>
              <w:bottom w:val="single" w:sz="4" w:space="0" w:color="auto"/>
              <w:right w:val="single" w:sz="4" w:space="0" w:color="auto"/>
            </w:tcBorders>
            <w:shd w:val="clear" w:color="000000" w:fill="FFE5FF"/>
            <w:vAlign w:val="center"/>
          </w:tcPr>
          <w:p w14:paraId="7833B865" w14:textId="77777777" w:rsidR="004E14FC" w:rsidRPr="00D633FE" w:rsidRDefault="004E14FC" w:rsidP="009938B1">
            <w:pPr>
              <w:spacing w:after="0"/>
              <w:rPr>
                <w:rFonts w:cs="Calibri"/>
                <w:b/>
                <w:color w:val="000000"/>
                <w:sz w:val="22"/>
                <w:szCs w:val="26"/>
              </w:rPr>
            </w:pPr>
            <w:r>
              <w:rPr>
                <w:rFonts w:cs="Calibri"/>
                <w:b/>
                <w:bCs/>
                <w:color w:val="000000"/>
                <w:sz w:val="22"/>
                <w:szCs w:val="26"/>
                <w:lang w:val="ga"/>
              </w:rPr>
              <w:t>Alt 26(2)</w:t>
            </w:r>
          </w:p>
          <w:p w14:paraId="6CED67EB" w14:textId="7335E636" w:rsidR="004E14FC" w:rsidRPr="00D633FE" w:rsidRDefault="004E14FC" w:rsidP="004E14FC">
            <w:pPr>
              <w:spacing w:after="120"/>
              <w:rPr>
                <w:szCs w:val="26"/>
              </w:rPr>
            </w:pPr>
            <w:r>
              <w:rPr>
                <w:rFonts w:cs="Calibri"/>
                <w:color w:val="000000"/>
                <w:sz w:val="22"/>
                <w:szCs w:val="26"/>
                <w:lang w:val="ga"/>
              </w:rPr>
              <w:t>Oifigigh Rochtana</w:t>
            </w:r>
          </w:p>
        </w:tc>
        <w:tc>
          <w:tcPr>
            <w:tcW w:w="2877" w:type="dxa"/>
          </w:tcPr>
          <w:p w14:paraId="6AB89921" w14:textId="77777777" w:rsidR="004E14FC" w:rsidRPr="00D633FE" w:rsidRDefault="004E14FC" w:rsidP="004E14FC">
            <w:pPr>
              <w:spacing w:after="120"/>
              <w:rPr>
                <w:szCs w:val="26"/>
              </w:rPr>
            </w:pPr>
          </w:p>
        </w:tc>
        <w:tc>
          <w:tcPr>
            <w:tcW w:w="2877" w:type="dxa"/>
            <w:tcBorders>
              <w:top w:val="nil"/>
              <w:left w:val="nil"/>
              <w:bottom w:val="single" w:sz="4" w:space="0" w:color="auto"/>
              <w:right w:val="single" w:sz="4" w:space="0" w:color="auto"/>
            </w:tcBorders>
            <w:shd w:val="clear" w:color="000000" w:fill="DDEBF7"/>
            <w:vAlign w:val="center"/>
          </w:tcPr>
          <w:p w14:paraId="72CF3FA6" w14:textId="77777777" w:rsidR="004E14FC" w:rsidRPr="00D633FE" w:rsidRDefault="004E14FC" w:rsidP="009938B1">
            <w:pPr>
              <w:spacing w:after="0"/>
              <w:rPr>
                <w:rFonts w:cs="Calibri"/>
                <w:b/>
                <w:color w:val="000000"/>
                <w:sz w:val="22"/>
                <w:szCs w:val="26"/>
              </w:rPr>
            </w:pPr>
            <w:r>
              <w:rPr>
                <w:rFonts w:cs="Calibri"/>
                <w:b/>
                <w:bCs/>
                <w:color w:val="000000"/>
                <w:sz w:val="22"/>
                <w:szCs w:val="26"/>
                <w:lang w:val="ga"/>
              </w:rPr>
              <w:t>Alt 28(2)</w:t>
            </w:r>
          </w:p>
          <w:p w14:paraId="46D78372" w14:textId="13C9A8FC" w:rsidR="004E14FC" w:rsidRPr="00D633FE" w:rsidRDefault="004E14FC" w:rsidP="004E14FC">
            <w:pPr>
              <w:spacing w:after="120"/>
              <w:rPr>
                <w:szCs w:val="26"/>
              </w:rPr>
            </w:pPr>
            <w:r>
              <w:rPr>
                <w:rFonts w:cs="Calibri"/>
                <w:color w:val="000000"/>
                <w:sz w:val="22"/>
                <w:szCs w:val="26"/>
                <w:lang w:val="ga"/>
              </w:rPr>
              <w:t>Faisnéis sholéite</w:t>
            </w:r>
          </w:p>
        </w:tc>
      </w:tr>
    </w:tbl>
    <w:p w14:paraId="08C9C09E" w14:textId="77777777" w:rsidR="00680702" w:rsidRDefault="00680702" w:rsidP="00424436"/>
    <w:p w14:paraId="686B3B93" w14:textId="691945C1" w:rsidR="00424436" w:rsidRPr="00D633FE" w:rsidRDefault="00986173" w:rsidP="00424436">
      <w:r>
        <w:rPr>
          <w:lang w:val="ga"/>
        </w:rPr>
        <w:t>Comhlíonann ÚNM feidhmeanna eile faireacháin freisin.</w:t>
      </w:r>
      <w:r>
        <w:rPr>
          <w:szCs w:val="26"/>
          <w:lang w:val="ga"/>
        </w:rPr>
        <w:t xml:space="preserve"> Tá sé tábhachtach go leagfaí béim ar na feidhmeanna faireacháin sin ar an tuarascáil is déanaí lena ndéileáiltear leis an gCód seo a scaoileadh, toisc go bhfuil sé ríthábhachtach go dtuigfeadh Ranna agus comhlachtaí poiblí a thábhachtaí atá smaointeoireacht idirnasctha agus cineálacha idirnasctha cur chuige i leith inrochtaineachta ar fud a n-eagraíochtaí agus ar fud na mórearnála poiblí. </w:t>
      </w:r>
    </w:p>
    <w:p w14:paraId="51B9D73E" w14:textId="685D1D8D" w:rsidR="00424436" w:rsidRPr="00D633FE" w:rsidRDefault="00424436" w:rsidP="00424436">
      <w:r>
        <w:rPr>
          <w:lang w:val="ga"/>
        </w:rPr>
        <w:t xml:space="preserve">Ón mbliain 2007 i leith, tá ÚNM ag táirgeadh tuarascáil bhliantúil ina dtuairiscítear ar Chuid 5 den Acht um Míchumas 2005. Mionsonraítear i gCuid 5 na hoibleagáidí atá ar chomhlachtaí poiblí maidir le fostú daoine a bhfuil míchumas orthu a chur chun cinn agus tacú leis an bhfostú sin. Measúnaítear an oibleagáid sin trí úsáid a bhaint as sprioc arb é atá ann gur daoine a bhfuil míchumas orthu iad 3% ar a laghad de na fostaithe san earnáil phoiblí. Beidh an sprioc sin ag méadú ó 3% go 6%, agus beidh sé riachtanach comhlíonadh a bhaint amach faoin mbliain 2025. Tá sé faoi ÚNM faireachán a dhéanamh ar chomhlíonadh Chuid 5 san earnáil phríobháideach. Is féidir na tuarascálacha bliantúla ar chomhlíonadh Chuid 5 a rochtain </w:t>
      </w:r>
      <w:hyperlink r:id="rId9" w:history="1">
        <w:r>
          <w:rPr>
            <w:rStyle w:val="Hyperlink"/>
            <w:lang w:val="ga"/>
          </w:rPr>
          <w:t>anseo</w:t>
        </w:r>
      </w:hyperlink>
      <w:r>
        <w:rPr>
          <w:lang w:val="ga"/>
        </w:rPr>
        <w:t>.</w:t>
      </w:r>
    </w:p>
    <w:p w14:paraId="618355D7" w14:textId="6757D9D8" w:rsidR="00424436" w:rsidRPr="00583AEA" w:rsidRDefault="00424436" w:rsidP="00424436">
      <w:r>
        <w:rPr>
          <w:lang w:val="ga"/>
        </w:rPr>
        <w:t xml:space="preserve">Feidhm faireacháin eile de chuid ÚNM is ea faireachán a dhéanamh ar an dóigh a gcomhlíonann comhlachtaí poiblí I.R. Uimh. 358/2020 – Rialacháin an Aontais Eorpaigh (Inrochtaineacht Suíomhanna Gréasáin agus Feidhmchlár Móibíleach de chuid Comhlachtaí san Earnáil Phoiblí), 2020, rud dá ngairtear an Treoir ón Aontas Eorpach maidir le hInrochtaineacht Gréasáin i gcoitinne. Leis an Treoir maidir le hInrochtaineacht Gréasáin, ceanglaítear ar na Ballstáit a chinntiú gur lán-inrochtana do dhaoine a bhfuil míchumas orthu a bhíonn na suíomhanna Gréasáin agus na feidhmchláir mhóibíleacha (aipeanna) de chuid comhlachtaí earnála poiblí. Is é ÚNM an comhlacht faireacháin le haghaidh na Treorach maidir le hInrochtaineacht Gréasáin agus, i mí na Nollag 2021, d’fhoilsíomar an chéad tuarascáil faireacháin ar an Treoir. Cosúil le tuarascálacha Chuid 5, táirgfear na tuarascálacha ar an Treoir ar bhonn bliantúil. Is foilsithe anois atá an dara </w:t>
      </w:r>
      <w:r>
        <w:rPr>
          <w:lang w:val="ga"/>
        </w:rPr>
        <w:lastRenderedPageBreak/>
        <w:t xml:space="preserve">tuarascáil ar an Treoir. Táthar in ann an tuarascáil sin agus gach ceann de na tuarascálacha faireacháin roimhe ar an Treoir, agus beifear in ann gach ceann de na tuarascálacha faireacháin sa todhchaí ar an Treoir, a fháil </w:t>
      </w:r>
      <w:hyperlink r:id="rId10" w:history="1">
        <w:r>
          <w:rPr>
            <w:rStyle w:val="Hyperlink"/>
            <w:lang w:val="ga"/>
          </w:rPr>
          <w:t>ar shuíomh Gréasáin ÚNM</w:t>
        </w:r>
      </w:hyperlink>
      <w:r>
        <w:rPr>
          <w:lang w:val="ga"/>
        </w:rPr>
        <w:t xml:space="preserve">.  </w:t>
      </w:r>
    </w:p>
    <w:p w14:paraId="72871FCF" w14:textId="09CB2FE3" w:rsidR="004226C6" w:rsidRPr="00A618F8" w:rsidRDefault="000D6FD2" w:rsidP="00424436">
      <w:pPr>
        <w:rPr>
          <w:szCs w:val="26"/>
        </w:rPr>
      </w:pPr>
      <w:r>
        <w:rPr>
          <w:szCs w:val="26"/>
          <w:lang w:val="ga"/>
        </w:rPr>
        <w:t xml:space="preserve">Sa chéad ghníomhaíocht faireacháin faoin gCód seo, scrúdaíodh an dóigh a bhfuil Ranna agus comhlachtaí poiblí ag comhlíonadh alt 26(2) den Acht (a mhionsonraítear sa tuarascáil thíos), rud a bhaineann le hOifigeach Rochtana a cheapadh agus le mionsonraí an Oifigigh Rochtana a chur chun cinn. An dóigh ab fhusa a rabhthas in ann a mheasúnú an raibh nó nach raibh faisnéis ar fáil don phobal ná suíomhanna Gréasáin comhlachtaí poiblí a athbhreithniú le haghaidh faisnéis faoin Oifigeach Rochtana agus mionsonraí teagmhála. Is léiriú é sin ar a thábhachtaí a bhíonn cumarsáid dhigiteach agus faisnéis dhigiteach do Ranna agus do chomhlachtaí poiblí maidir le cumarsáid a dhéanamh leis an bpobal. </w:t>
      </w:r>
    </w:p>
    <w:p w14:paraId="410B18AC" w14:textId="64DB7C8E" w:rsidR="00D13899" w:rsidRDefault="004226C6" w:rsidP="00424436">
      <w:pPr>
        <w:rPr>
          <w:szCs w:val="26"/>
        </w:rPr>
      </w:pPr>
      <w:r>
        <w:rPr>
          <w:szCs w:val="26"/>
          <w:lang w:val="ga"/>
        </w:rPr>
        <w:t xml:space="preserve">Thug ÚNM faoin bhfaireachán sin ar shuíomhanna Gréasáin le haghaidh faisnéis faoi Oifigigh Rochtana, toisc gur dóigh go bhfuil sé sin ar cheann de na dóigheanna is coitianta agus is áisiúla a bhfaigheann daoine den phobal rochtain ar fhaisnéis faoi sheirbhísí a chuireann comhlachtaí poiblí ar fáil. Cé nach uileláithreach go hiomlán atá úsáid an Idirlín, léirítear i sonraí Dhaonáireamh 2022 </w:t>
      </w:r>
      <w:r>
        <w:rPr>
          <w:szCs w:val="26"/>
          <w:shd w:val="clear" w:color="auto" w:fill="FFFFFF"/>
          <w:lang w:val="ga"/>
        </w:rPr>
        <w:t>go raibh nasc Idirlín ag 94% de theaghlaigh in Éirinn</w:t>
      </w:r>
      <w:r>
        <w:rPr>
          <w:rStyle w:val="FootnoteReference"/>
          <w:rFonts w:ascii="Gill Sans MT" w:hAnsi="Gill Sans MT" w:cs="Arial"/>
          <w:sz w:val="26"/>
          <w:szCs w:val="26"/>
          <w:shd w:val="clear" w:color="auto" w:fill="FFFFFF"/>
          <w:lang w:val="ga"/>
        </w:rPr>
        <w:footnoteReference w:id="1"/>
      </w:r>
      <w:r>
        <w:rPr>
          <w:szCs w:val="26"/>
          <w:shd w:val="clear" w:color="auto" w:fill="FFFFFF"/>
          <w:lang w:val="ga"/>
        </w:rPr>
        <w:t>.</w:t>
      </w:r>
      <w:r>
        <w:rPr>
          <w:rFonts w:ascii="Arial" w:hAnsi="Arial"/>
          <w:sz w:val="23"/>
          <w:szCs w:val="23"/>
          <w:shd w:val="clear" w:color="auto" w:fill="FFFFFF"/>
          <w:lang w:val="ga"/>
        </w:rPr>
        <w:t> </w:t>
      </w:r>
      <w:r>
        <w:rPr>
          <w:szCs w:val="26"/>
          <w:lang w:val="ga"/>
        </w:rPr>
        <w:t>Ina theannta sin, luaigh 66% de na húsáideoirí Idirlín in Éirinn sa bhliain 2020 gur úsáid siad an tIdirlíon chun faisnéis a bhaineann leis an tsláinte agus rochtain ar sheirbhísí a chuardach</w:t>
      </w:r>
      <w:r>
        <w:rPr>
          <w:rStyle w:val="FootnoteReference"/>
          <w:szCs w:val="26"/>
          <w:lang w:val="ga"/>
        </w:rPr>
        <w:footnoteReference w:id="2"/>
      </w:r>
      <w:r>
        <w:rPr>
          <w:szCs w:val="26"/>
          <w:lang w:val="ga"/>
        </w:rPr>
        <w:t xml:space="preserve">. Is léiriú é sin ar a leithne a úsáidtear an tIdirlíon anois le haghaidh cumarsáide agus le haghaidh rochtain ar sheirbhísí. </w:t>
      </w:r>
    </w:p>
    <w:p w14:paraId="563E6143" w14:textId="6E3E58EE" w:rsidR="00424436" w:rsidRPr="00A618F8" w:rsidRDefault="00424436" w:rsidP="00424436">
      <w:pPr>
        <w:rPr>
          <w:szCs w:val="26"/>
        </w:rPr>
      </w:pPr>
      <w:r>
        <w:rPr>
          <w:szCs w:val="26"/>
          <w:lang w:val="ga"/>
        </w:rPr>
        <w:t xml:space="preserve">Dá bhrí sin, is féidir le comhlíonadh na gceanglas faoin Treoir maidir le hInrochtaineacht Gréasáin rannchuidiú freisin le roinnt ceanglas faoin gCód a chomhlíonadh. Is é an nasc is soiléire ná an nasc le hinrochtaineacht faisnéise digití. Mar sin féin, ní bhaineann na naisc le faisnéis agus le faisnéis amháin toisc go mbíonn ag méadú ar an líon seirbhísí poiblí a dteastaíonn leibhéal éigin idirghníomhaíochta ar líne uathu chun seirbhísí a rochtain. Ní mór a thabhairt faoi </w:t>
      </w:r>
      <w:r>
        <w:rPr>
          <w:szCs w:val="26"/>
          <w:lang w:val="ga"/>
        </w:rPr>
        <w:lastRenderedPageBreak/>
        <w:t>deara, áfach, gur ceanglas ar Ranna agus ar chomhlachtaí poiblí fós atá inrochtaineacht gach cineáil cumarsáide (agus ní cumarsáid dhigiteach amháin).</w:t>
      </w:r>
      <w:r>
        <w:rPr>
          <w:rStyle w:val="FootnoteReference"/>
          <w:szCs w:val="26"/>
          <w:lang w:val="ga"/>
        </w:rPr>
        <w:footnoteReference w:id="3"/>
      </w:r>
    </w:p>
    <w:p w14:paraId="39AD6511" w14:textId="36855890" w:rsidR="00A92AF6" w:rsidRDefault="00A92AF6" w:rsidP="00A92AF6">
      <w:pPr>
        <w:rPr>
          <w:szCs w:val="26"/>
        </w:rPr>
      </w:pPr>
      <w:r>
        <w:rPr>
          <w:szCs w:val="26"/>
          <w:lang w:val="ga"/>
        </w:rPr>
        <w:t>Is féidir sampla eile de chineál idirnasctha na gceanglas inrochtaineachta agus faireachán ÚNM a aimsiú trí fhéachaint ar an dóigh ar féidir soláthar agus cur chun cinn an Oifigigh Rochtana a nascadh freisin le Cuid 5 den Acht um Míchumas maidir le breithniú a dhéanamh ar na riachtanais atá ag iarratasóirí agus ag iarrthóirí agallaimh chun pointe teagmhála a bheith acu chun na nithe seo a leanas a chinntiú:</w:t>
      </w:r>
    </w:p>
    <w:p w14:paraId="4C0B02DC" w14:textId="77777777" w:rsidR="00A92AF6" w:rsidRDefault="00A92AF6" w:rsidP="00A92AF6">
      <w:pPr>
        <w:pStyle w:val="ListParagraph"/>
        <w:numPr>
          <w:ilvl w:val="0"/>
          <w:numId w:val="79"/>
        </w:numPr>
        <w:rPr>
          <w:szCs w:val="26"/>
        </w:rPr>
      </w:pPr>
      <w:r>
        <w:rPr>
          <w:szCs w:val="26"/>
          <w:lang w:val="ga"/>
        </w:rPr>
        <w:t xml:space="preserve">rochtain ar an bhfoirgneamh nó </w:t>
      </w:r>
    </w:p>
    <w:p w14:paraId="5D7988EA" w14:textId="77777777" w:rsidR="00A92AF6" w:rsidRDefault="00A92AF6" w:rsidP="00A92AF6">
      <w:pPr>
        <w:pStyle w:val="ListParagraph"/>
        <w:numPr>
          <w:ilvl w:val="0"/>
          <w:numId w:val="79"/>
        </w:numPr>
        <w:rPr>
          <w:szCs w:val="26"/>
        </w:rPr>
      </w:pPr>
      <w:r>
        <w:rPr>
          <w:szCs w:val="26"/>
          <w:lang w:val="ga"/>
        </w:rPr>
        <w:t xml:space="preserve">fiosrú a dhéanamh faoi fhreastal nó </w:t>
      </w:r>
    </w:p>
    <w:p w14:paraId="1A864E6E" w14:textId="77777777" w:rsidR="00A92AF6" w:rsidRDefault="00A92AF6" w:rsidP="00A92AF6">
      <w:pPr>
        <w:pStyle w:val="ListParagraph"/>
        <w:numPr>
          <w:ilvl w:val="0"/>
          <w:numId w:val="79"/>
        </w:numPr>
        <w:rPr>
          <w:szCs w:val="26"/>
        </w:rPr>
      </w:pPr>
      <w:r>
        <w:rPr>
          <w:szCs w:val="26"/>
          <w:lang w:val="ga"/>
        </w:rPr>
        <w:t xml:space="preserve">seirbhísí inrochtaineachta amhail ateangaireacht Theanga Chomharthaíochta na hÉireann a sholáthar. </w:t>
      </w:r>
    </w:p>
    <w:p w14:paraId="2D7B8823" w14:textId="4CA786B5" w:rsidR="00A92AF6" w:rsidRPr="00F70507" w:rsidRDefault="00A92AF6" w:rsidP="00A92AF6">
      <w:pPr>
        <w:rPr>
          <w:szCs w:val="26"/>
        </w:rPr>
      </w:pPr>
      <w:r>
        <w:rPr>
          <w:szCs w:val="26"/>
          <w:lang w:val="ga"/>
        </w:rPr>
        <w:t xml:space="preserve">Is féidir le hOifigigh Rochtana a bheith ina bpointe teagmhála freisin do dhaoine atá fostaithe cheana féin laistigh den eagraíocht. Ós rud é go n-oibríonn Oifigigh Rochtana mar phointe teagmhála ar féidir le baill foirne agus le hiarrthóirí fadhbanna a tharraingt anuas leo, is féidir le heagraíocht cultúr oibre níos cuimsithí a chothú trí Oifigeach Rochtana a bheith aici. </w:t>
      </w:r>
    </w:p>
    <w:p w14:paraId="471D8C4B" w14:textId="60A7535F" w:rsidR="00CF7FD1" w:rsidRDefault="00A92AF6" w:rsidP="00424436">
      <w:pPr>
        <w:rPr>
          <w:szCs w:val="26"/>
        </w:rPr>
      </w:pPr>
      <w:r>
        <w:rPr>
          <w:szCs w:val="26"/>
          <w:lang w:val="ga"/>
        </w:rPr>
        <w:t xml:space="preserve">Is léirithe iad sin ar an idirnascacht idir roinnt dár bhfeidhmeanna faireacháin. De réir mar a leanann ÚNM d’fhaireachán a dhéanamh ar an gCód seo agus d’fheidhmeanna eile faireacháin a chomhlíonadh, féachfaidh ÚNM leis na naisc sin a chomhordú de réir phróisis reachtúla faireacháin ÚNM agus, dá réir sin, ar fud na Ranna agus na gcomhlachtaí poiblí a bhfuil na hoibleagáidí reachtúla sin orthu. </w:t>
      </w:r>
    </w:p>
    <w:p w14:paraId="69F6D318" w14:textId="77777777" w:rsidR="00150AB4" w:rsidRPr="00D633FE" w:rsidRDefault="00150AB4" w:rsidP="00150AB4">
      <w:pPr>
        <w:pStyle w:val="Heading2"/>
      </w:pPr>
      <w:bookmarkStart w:id="16" w:name="_Toc145484460"/>
      <w:r>
        <w:rPr>
          <w:iCs w:val="0"/>
          <w:lang w:val="ga"/>
        </w:rPr>
        <w:t>Cuspóir na tuarascála faireacháin seo</w:t>
      </w:r>
      <w:bookmarkEnd w:id="16"/>
    </w:p>
    <w:p w14:paraId="3D0D408F" w14:textId="04AEA3A5" w:rsidR="00A51545" w:rsidRPr="00D633FE" w:rsidRDefault="008500B6" w:rsidP="009A2E80">
      <w:pPr>
        <w:spacing w:after="120"/>
      </w:pPr>
      <w:r>
        <w:rPr>
          <w:lang w:val="ga"/>
        </w:rPr>
        <w:t>Chun críocha na tuarascála seo, rinne ÚNM meastóireacht dheascbhunaithe ar chomhréireacht gach comhlachta phoiblí i gcomparáid le ceanglais reachtúla shonracha maidir leo seo:</w:t>
      </w:r>
    </w:p>
    <w:p w14:paraId="45C94FFD" w14:textId="77777777" w:rsidR="00952720" w:rsidRPr="00D633FE" w:rsidRDefault="00952720" w:rsidP="00412B25">
      <w:pPr>
        <w:pStyle w:val="Heading3"/>
      </w:pPr>
      <w:bookmarkStart w:id="17" w:name="_Toc145484461"/>
      <w:r>
        <w:rPr>
          <w:lang w:val="ga"/>
        </w:rPr>
        <w:t>Alt 26(2) – Oifigeach Rochtana</w:t>
      </w:r>
      <w:bookmarkEnd w:id="17"/>
    </w:p>
    <w:p w14:paraId="570E70E7" w14:textId="77777777" w:rsidR="008F4917" w:rsidRPr="00D633FE" w:rsidRDefault="00DB7104" w:rsidP="009A2E80">
      <w:pPr>
        <w:spacing w:after="120"/>
      </w:pPr>
      <w:r>
        <w:rPr>
          <w:lang w:val="ga"/>
        </w:rPr>
        <w:t xml:space="preserve">Faoi mar atá leagtha amach faoi alt 26 den Acht um Míchumas 2005, tá ceanglas reachtúil ar chomhlachtaí poiblí Oifigeach Rochtana a cheapadh san eagraíocht. </w:t>
      </w:r>
    </w:p>
    <w:p w14:paraId="600E3F82" w14:textId="7CBE3B09" w:rsidR="008F4917" w:rsidRPr="00D633FE" w:rsidRDefault="008F4917" w:rsidP="00412B25">
      <w:pPr>
        <w:pStyle w:val="BlockQuote"/>
      </w:pPr>
      <w:r>
        <w:rPr>
          <w:lang w:val="ga"/>
        </w:rPr>
        <w:t xml:space="preserve">Tabharfaidh gach ceann ar chomhlacht poiblí údarás do dhuine amháin ar a laghad dá c(h)uid oifigeach (dá ngairtear “oifigigh rochtana” san Acht seo) chun cur ar fáil, eagrú agus comhordú a </w:t>
      </w:r>
      <w:r>
        <w:rPr>
          <w:lang w:val="ga"/>
        </w:rPr>
        <w:lastRenderedPageBreak/>
        <w:t>dhéanamh ar an soláthar cúnaimh agus treorach do dhaoine a bhfuil míchumas orthu agus atá ag iarraidh a sheirbhísí a rochtain</w:t>
      </w:r>
      <w:r>
        <w:rPr>
          <w:rStyle w:val="FootnoteReference"/>
          <w:lang w:val="ga"/>
        </w:rPr>
        <w:footnoteReference w:id="4"/>
      </w:r>
    </w:p>
    <w:p w14:paraId="1E2614F3" w14:textId="156BBDE3" w:rsidR="006F679B" w:rsidRPr="00D633FE" w:rsidRDefault="0079270C" w:rsidP="00412B25">
      <w:r>
        <w:rPr>
          <w:szCs w:val="26"/>
          <w:lang w:val="ga"/>
        </w:rPr>
        <w:t xml:space="preserve">Cuirtear fionnachtana an chleachtaidh faireacháin sin ó ÚNM i láthair sa tuarascáil seo. Leanfaidh ÚNM d’fhaireachán spriocdhírithe a dhéanamh ar bhonn tráthrialta tar éis fhoilsiú na tuarascála faireacháin seo. </w:t>
      </w:r>
    </w:p>
    <w:p w14:paraId="35FE7B3B" w14:textId="77777777" w:rsidR="00377E52" w:rsidRPr="00D633FE" w:rsidRDefault="00B86C05" w:rsidP="009938B1">
      <w:pPr>
        <w:pStyle w:val="Heading2"/>
      </w:pPr>
      <w:bookmarkStart w:id="18" w:name="_Toc145484462"/>
      <w:r>
        <w:rPr>
          <w:iCs w:val="0"/>
          <w:lang w:val="ga"/>
        </w:rPr>
        <w:t>Modhanna</w:t>
      </w:r>
      <w:bookmarkEnd w:id="18"/>
    </w:p>
    <w:p w14:paraId="170D1924" w14:textId="32102A50" w:rsidR="00BD6A52" w:rsidRDefault="00D633FE" w:rsidP="00351252">
      <w:pPr>
        <w:rPr>
          <w:szCs w:val="26"/>
        </w:rPr>
      </w:pPr>
      <w:r>
        <w:rPr>
          <w:szCs w:val="26"/>
          <w:lang w:val="ga"/>
        </w:rPr>
        <w:t xml:space="preserve">Mar atá mionsonraithe thuas, ghabh ÚNM gníomhaíocht faireacháin dheascbhunaithe de láimh, rud a raibh sé i gceist leis faireachán a dhéanamh ar shuíomhanna Gréasáin na gcomhlachtaí poiblí a measadh a bheith ar áireamh sa sainmhíniú ar chomhlachtaí poiblí faoi Chuid 3 den Acht um Míchumas 2005. </w:t>
      </w:r>
    </w:p>
    <w:p w14:paraId="7ECA4ED0" w14:textId="7D42A4FA" w:rsidR="005F4AF6" w:rsidRPr="00A618F8" w:rsidRDefault="00D633FE" w:rsidP="00351252">
      <w:pPr>
        <w:rPr>
          <w:szCs w:val="26"/>
        </w:rPr>
      </w:pPr>
      <w:r>
        <w:rPr>
          <w:szCs w:val="26"/>
          <w:lang w:val="ga"/>
        </w:rPr>
        <w:t xml:space="preserve">Shainaithin ÚNM 292 chomhlacht phoiblí ar dtús a measadh a bheith curtha ar áireamh faoin sainmhíniú sin agus dheimhnigh Oifig Ard-Rúnaí gach Roinne an méid sin i mí an Mhárta 2021. Tar éis an chleachtaidh faireacháin sin agus tar éis cumarsáid le Ranna, áfach, tharla roinnt nuashonruithe agus athruithe ar chomhlachtaí poiblí. Don tuarascáil faireacháin deiridh, shainaithin ÚNM 281 chomhlacht phoiblí a measadh a bheith ar áireamh sa sainmhíniú ar chomhlachtaí poiblí faoi Chuid 3 den Acht um Míchumas 2005. </w:t>
      </w:r>
    </w:p>
    <w:p w14:paraId="323E6D3C" w14:textId="77777777" w:rsidR="00351252" w:rsidRPr="00D633FE" w:rsidRDefault="00351252" w:rsidP="00351252">
      <w:pPr>
        <w:rPr>
          <w:szCs w:val="26"/>
        </w:rPr>
      </w:pPr>
      <w:r>
        <w:rPr>
          <w:szCs w:val="26"/>
          <w:lang w:val="ga"/>
        </w:rPr>
        <w:t xml:space="preserve">Sainmhínítear comhlacht poiblí mar a leanas i gCuid 3 den Acht um Míchumas (alt 2(1)): </w:t>
      </w:r>
    </w:p>
    <w:p w14:paraId="1FF17163" w14:textId="77777777" w:rsidR="00351252" w:rsidRPr="00C27D9B" w:rsidRDefault="00351252" w:rsidP="00412B25">
      <w:pPr>
        <w:pStyle w:val="BlockQuote"/>
      </w:pPr>
      <w:r>
        <w:rPr>
          <w:lang w:val="ga"/>
        </w:rPr>
        <w:t>ciallaíonn “comhlacht poiblí”—</w:t>
      </w:r>
    </w:p>
    <w:p w14:paraId="0C97AD99" w14:textId="77777777" w:rsidR="00351252" w:rsidRPr="00F73534" w:rsidRDefault="00351252" w:rsidP="00412B25">
      <w:pPr>
        <w:pStyle w:val="BlockQuote"/>
      </w:pPr>
      <w:r>
        <w:rPr>
          <w:lang w:val="ga"/>
        </w:rPr>
        <w:t>(a) Roinn Stáit,</w:t>
      </w:r>
    </w:p>
    <w:p w14:paraId="31EB76C3" w14:textId="77777777" w:rsidR="00351252" w:rsidRPr="00D633FE" w:rsidRDefault="00351252" w:rsidP="00412B25">
      <w:pPr>
        <w:pStyle w:val="BlockQuote"/>
      </w:pPr>
      <w:r>
        <w:rPr>
          <w:lang w:val="ga"/>
        </w:rPr>
        <w:t>(b) Oifig an Uachtaráin,</w:t>
      </w:r>
    </w:p>
    <w:p w14:paraId="3137E8D0" w14:textId="77777777" w:rsidR="00351252" w:rsidRPr="00D633FE" w:rsidRDefault="00351252" w:rsidP="00412B25">
      <w:pPr>
        <w:pStyle w:val="BlockQuote"/>
      </w:pPr>
      <w:r>
        <w:rPr>
          <w:lang w:val="ga"/>
        </w:rPr>
        <w:t>(c) Oifig an Ard-Aighne,</w:t>
      </w:r>
    </w:p>
    <w:p w14:paraId="48EB4276" w14:textId="77777777" w:rsidR="00351252" w:rsidRPr="00D633FE" w:rsidRDefault="00351252" w:rsidP="00412B25">
      <w:pPr>
        <w:pStyle w:val="BlockQuote"/>
      </w:pPr>
      <w:r>
        <w:rPr>
          <w:lang w:val="ga"/>
        </w:rPr>
        <w:t>(d) Oifig an Ard-Reachtaire Cuntas agus Ciste,</w:t>
      </w:r>
    </w:p>
    <w:p w14:paraId="04618CFA" w14:textId="77777777" w:rsidR="00351252" w:rsidRPr="00D633FE" w:rsidRDefault="00351252" w:rsidP="00412B25">
      <w:pPr>
        <w:pStyle w:val="BlockQuote"/>
      </w:pPr>
      <w:r>
        <w:rPr>
          <w:lang w:val="ga"/>
        </w:rPr>
        <w:t>(e) Oifig Thithe an Oireachtais,</w:t>
      </w:r>
    </w:p>
    <w:p w14:paraId="2D69F9B6" w14:textId="77777777" w:rsidR="00351252" w:rsidRPr="00D633FE" w:rsidRDefault="00351252" w:rsidP="00412B25">
      <w:pPr>
        <w:pStyle w:val="BlockQuote"/>
      </w:pPr>
      <w:r>
        <w:rPr>
          <w:lang w:val="ga"/>
        </w:rPr>
        <w:t>(f) údarás áitiúil,</w:t>
      </w:r>
    </w:p>
    <w:p w14:paraId="559D7902" w14:textId="77777777" w:rsidR="00351252" w:rsidRPr="00D633FE" w:rsidRDefault="00351252" w:rsidP="00412B25">
      <w:pPr>
        <w:pStyle w:val="BlockQuote"/>
      </w:pPr>
      <w:r>
        <w:rPr>
          <w:lang w:val="ga"/>
        </w:rPr>
        <w:t>(g) an Fheidhmeannacht,</w:t>
      </w:r>
    </w:p>
    <w:p w14:paraId="15381CEB" w14:textId="77777777" w:rsidR="00351252" w:rsidRPr="00D633FE" w:rsidRDefault="00351252" w:rsidP="00412B25">
      <w:pPr>
        <w:pStyle w:val="BlockQuote"/>
      </w:pPr>
      <w:r>
        <w:rPr>
          <w:lang w:val="ga"/>
        </w:rPr>
        <w:lastRenderedPageBreak/>
        <w:t>(h) duine, comhlacht nó eagraíocht (seachas Óglaigh na hÉireann) a bunaíodh—</w:t>
      </w:r>
    </w:p>
    <w:p w14:paraId="24BA1906" w14:textId="77777777" w:rsidR="00351252" w:rsidRPr="00D633FE" w:rsidRDefault="00351252" w:rsidP="00412B25">
      <w:pPr>
        <w:pStyle w:val="BlockQuote"/>
      </w:pPr>
      <w:r>
        <w:rPr>
          <w:lang w:val="ga"/>
        </w:rPr>
        <w:t>(i) le hachtachán nó faoi achtachán (seachas Achtanna na gCuideachtaí, 1963 go 2003), nó</w:t>
      </w:r>
    </w:p>
    <w:p w14:paraId="125EB0C2" w14:textId="57C0A2F1" w:rsidR="00351252" w:rsidRPr="00D633FE" w:rsidRDefault="00351252" w:rsidP="00412B25">
      <w:pPr>
        <w:pStyle w:val="BlockQuote"/>
      </w:pPr>
      <w:r>
        <w:rPr>
          <w:lang w:val="ga"/>
        </w:rPr>
        <w:t>(ii) faoi Achtanna na gCuideachtaí, 1963 go 2003, de bhun cumhachtaí a thugtar le hachtachán eile nó faoi achtachán eile agus a mhaoinítear go hiomlán nó go páirteach, bíodh sé go díreach nó go hindíreach, le hairgead arna sholáthar, nó le hiasachtaí arna ndéanamh nó arna ráthú, ag Aire den Rialtas nó le scaireanna arna sealbhú ag Aire den Rialtas nó thar ceann Aire den Rialtas;</w:t>
      </w:r>
    </w:p>
    <w:p w14:paraId="55AFB115" w14:textId="3DFB3189" w:rsidR="008F60BB" w:rsidRPr="00A618F8" w:rsidRDefault="009F12DE" w:rsidP="008F60BB">
      <w:pPr>
        <w:rPr>
          <w:szCs w:val="26"/>
        </w:rPr>
      </w:pPr>
      <w:r>
        <w:rPr>
          <w:szCs w:val="26"/>
          <w:lang w:val="ga"/>
        </w:rPr>
        <w:t>Sa bhliain 2021, rinne ÚNM faireachán ar shuíomhanna Gréasáin na gcomhlachtaí poiblí uile a bhfuil freagrachtaí orthu faoin Acht um Míchumas maidir le faisnéis a sholáthar le haghaidh an cheanglais reachtúil atá leagtha amach in alt 26(2):</w:t>
      </w:r>
    </w:p>
    <w:p w14:paraId="5A7E0C2F" w14:textId="77777777" w:rsidR="008F60BB" w:rsidRPr="00A618F8" w:rsidRDefault="008F60BB" w:rsidP="008F60BB">
      <w:pPr>
        <w:pStyle w:val="Heading3"/>
      </w:pPr>
      <w:bookmarkStart w:id="19" w:name="_Toc145484463"/>
      <w:r>
        <w:rPr>
          <w:lang w:val="ga"/>
        </w:rPr>
        <w:t>Alt 26(2) – Oifigeach Rochtana</w:t>
      </w:r>
      <w:bookmarkEnd w:id="19"/>
    </w:p>
    <w:p w14:paraId="30A657EB" w14:textId="77777777" w:rsidR="008F60BB" w:rsidRPr="00D633FE" w:rsidRDefault="008F60BB" w:rsidP="008F60BB">
      <w:pPr>
        <w:pStyle w:val="NormalBeforeList"/>
      </w:pPr>
      <w:r>
        <w:rPr>
          <w:lang w:val="ga"/>
        </w:rPr>
        <w:t>Mínítear sa Chód Cleachtais cé na nithe is gá do chomhlacht poiblí a dhéanamh chun go measfar é a bheith comhlíontach faoi alt 26(2) den Acht um Míchumas 2005 agus sonraítear ann gur féidir le comhlacht poiblí an méid sin a bhaint amach trí na nithe seo a leanas a dhéanamh:</w:t>
      </w:r>
    </w:p>
    <w:p w14:paraId="78879AF9" w14:textId="77777777" w:rsidR="008F60BB" w:rsidRPr="00F2613A" w:rsidRDefault="008F60BB" w:rsidP="008F60BB">
      <w:pPr>
        <w:pStyle w:val="BlockQuote"/>
      </w:pPr>
      <w:r>
        <w:rPr>
          <w:lang w:val="ga"/>
        </w:rPr>
        <w:t>A chur chun cinn gur ceapadh Oifigeach/Oifigigh Rochtana agus go bhfuil siad ar fáil agus conas is féidir teagmháil a dhéanamh leo ionas go mbeidh an pobal i gcoitinne ar an eolas fúthu agus gurb eol dó conas is féidir leas a bhaint as a gcabhair.</w:t>
      </w:r>
    </w:p>
    <w:p w14:paraId="0551430A" w14:textId="4F0B909D" w:rsidR="008F60BB" w:rsidRPr="00D633FE" w:rsidRDefault="009938B1" w:rsidP="008F60BB">
      <w:pPr>
        <w:pStyle w:val="NormalBeforeList"/>
      </w:pPr>
      <w:r>
        <w:rPr>
          <w:lang w:val="ga"/>
        </w:rPr>
        <w:t>Déanfar faireachán ar shuíomhanna Gréasáin gach comhlachta phoiblí i gcomparáid le táscaire atá comhdhéanta de thrí chritéar chun a mheas ar cuireadh nó nár cuireadh an fhaisnéis riachtanach chun cinn i ndáil leis an Oifigeach Rochtana. Is mar a leanas atá na trí chritéar sin:</w:t>
      </w:r>
    </w:p>
    <w:p w14:paraId="19857E6C" w14:textId="77777777" w:rsidR="008F60BB" w:rsidRPr="00D633FE" w:rsidRDefault="008F60BB" w:rsidP="008F60BB">
      <w:pPr>
        <w:pStyle w:val="ListBullet"/>
      </w:pPr>
      <w:r>
        <w:rPr>
          <w:lang w:val="ga"/>
        </w:rPr>
        <w:t xml:space="preserve">Cur chun cinn cheapadh an Oifigigh Rochtana </w:t>
      </w:r>
    </w:p>
    <w:p w14:paraId="314FBA05" w14:textId="2C45066F" w:rsidR="008F60BB" w:rsidRPr="00D633FE" w:rsidRDefault="008F60BB" w:rsidP="008F60BB">
      <w:pPr>
        <w:pStyle w:val="ListBullet"/>
      </w:pPr>
      <w:r>
        <w:rPr>
          <w:lang w:val="ga"/>
        </w:rPr>
        <w:t>Faisnéis faoi conas teagmháil a dhéanamh leis an Oifigeach Rochtana</w:t>
      </w:r>
    </w:p>
    <w:p w14:paraId="5AA021EA" w14:textId="77777777" w:rsidR="008F60BB" w:rsidRPr="00D633FE" w:rsidRDefault="008F60BB" w:rsidP="00412B25">
      <w:pPr>
        <w:pStyle w:val="ListBullet"/>
      </w:pPr>
      <w:r>
        <w:rPr>
          <w:lang w:val="ga"/>
        </w:rPr>
        <w:t xml:space="preserve">Éagsúlacht cainéal cumarsáide le haghaidh teagmháil a dhéanamh leis/léi. </w:t>
      </w:r>
    </w:p>
    <w:p w14:paraId="7EB2BE72" w14:textId="61F53C9D" w:rsidR="00E7780D" w:rsidRDefault="008F60BB" w:rsidP="008F60BB">
      <w:pPr>
        <w:rPr>
          <w:szCs w:val="26"/>
        </w:rPr>
      </w:pPr>
      <w:r>
        <w:rPr>
          <w:szCs w:val="26"/>
          <w:lang w:val="ga"/>
        </w:rPr>
        <w:t xml:space="preserve">Rinne foireann faireacháin ÚNM meastóireacht ar an bhfaisnéis a tugadh ar shuíomhanna Gréasáin 292 chomhlacht phoiblí (a coigeartaíodh go 281 chomhlacht phoiblí ina dhiaidh sin) agus rinne sí measúnú ar chomhréireacht i gcomparáid leis an táscaire thuas a díorthaíodh ón gCód Cleachtais agus taifeadadh na fionnachtana isteach i mbunachar sonraí. Dhéanfadh ball foirne amháin scrúdú tosaigh ar shuíomhanna Gréasáin agus, i gcás nár aimsíodh aon mhionsonraí, rachadh beirt bhall foirne bhreise tríd chun é sin a sheiceáil agus </w:t>
      </w:r>
      <w:r>
        <w:rPr>
          <w:szCs w:val="26"/>
          <w:lang w:val="ga"/>
        </w:rPr>
        <w:lastRenderedPageBreak/>
        <w:t xml:space="preserve">chun a fhíorú sa deireadh nach raibh siad in ann mionsonraí an Oifigigh Rochtana a aimsiú. </w:t>
      </w:r>
    </w:p>
    <w:p w14:paraId="46AE2FE4" w14:textId="10B4AF38" w:rsidR="00A838FA" w:rsidRDefault="00BF7A8B" w:rsidP="008F60BB">
      <w:pPr>
        <w:rPr>
          <w:szCs w:val="26"/>
        </w:rPr>
      </w:pPr>
      <w:r>
        <w:rPr>
          <w:szCs w:val="26"/>
          <w:lang w:val="ga"/>
        </w:rPr>
        <w:t xml:space="preserve">Ina dhiaidh sin, rinneadh na fionnachtana sin a anailísiú agus a chur i láthair i ndréacht-tuarascálacha, a seoladh chuig Oifig Ard-Rúnaí gach Roinne. Iarradh ar na Ranna na dréacht-tuarascálacha a scaipeadh ar na comhlachtaí poiblí atá faoina gcoimirce agus tugadh deis dóibh freagra a thabhairt ar an dréacht-tuarascáil. </w:t>
      </w:r>
    </w:p>
    <w:p w14:paraId="4890390D" w14:textId="0853CA9B" w:rsidR="00913D5A" w:rsidRDefault="00BD6A52" w:rsidP="008F60BB">
      <w:pPr>
        <w:rPr>
          <w:szCs w:val="26"/>
        </w:rPr>
      </w:pPr>
      <w:r>
        <w:rPr>
          <w:szCs w:val="26"/>
          <w:lang w:val="ga"/>
        </w:rPr>
        <w:t xml:space="preserve">Cuid thábhachtach den phróiseas faireacháin le haghaidh na gníomhaíochta sin is ea am a thabhairt le haghaidh freagra a thabhairt. Maidir leis an gcleachtadh faireacháin sin, níl sé mar aidhm ag ÚNM teacht aniar aduaidh ar chomhlachtaí poiblí. Ina ionad sin, bhí sé mar aidhm aige cur leis an bhfeasacht ar na ceanglais faoin Acht um Míchumas 2005 agus, mar sin de, cur leis an méid a chloítear leo. Sular eisíodh dréacht-tuarascálacha, dá bhrí sin, tugadh cuireadh d’ionadaithe do gach Roinn chun freastal ar sheisiún faisnéise agus ar phlé comhchéime chun plé a dhéanamh ar an bpróiseas faireacháin, ar fhionnachtana ardleibhéil agus ar fhaireachán sa todhchaí faoi na Cóid Chleachtais. Tugadh go leor ama le haghaidh freagra a thabhairt, toisc gurbh í sin an chéad ghníomhaíocht faireacháin den sórt sin. </w:t>
      </w:r>
    </w:p>
    <w:p w14:paraId="714ABCCD" w14:textId="1B58D916" w:rsidR="00A0404F" w:rsidRDefault="00913D5A" w:rsidP="008F60BB">
      <w:pPr>
        <w:rPr>
          <w:szCs w:val="26"/>
        </w:rPr>
      </w:pPr>
      <w:r>
        <w:rPr>
          <w:szCs w:val="26"/>
          <w:lang w:val="ga"/>
        </w:rPr>
        <w:t>Ag teacht sna sála ar eisiúint na ndréacht-tuarascálacha, tugadh cuireadh do chomhlachtaí poiblí chun dul i dteagmháil le ÚNM:</w:t>
      </w:r>
    </w:p>
    <w:p w14:paraId="69DE266F" w14:textId="77777777" w:rsidR="00A0404F" w:rsidRDefault="00913D5A" w:rsidP="0096337F">
      <w:pPr>
        <w:ind w:firstLine="720"/>
        <w:rPr>
          <w:szCs w:val="26"/>
        </w:rPr>
      </w:pPr>
      <w:r>
        <w:rPr>
          <w:szCs w:val="26"/>
          <w:lang w:val="ga"/>
        </w:rPr>
        <w:t xml:space="preserve"> maidir le haon cheisteanna atá acu, </w:t>
      </w:r>
    </w:p>
    <w:p w14:paraId="6883CAA6" w14:textId="77777777" w:rsidR="004B61FB" w:rsidRDefault="001301DD" w:rsidP="0096337F">
      <w:pPr>
        <w:ind w:left="720"/>
        <w:rPr>
          <w:szCs w:val="26"/>
        </w:rPr>
      </w:pPr>
      <w:r>
        <w:rPr>
          <w:szCs w:val="26"/>
          <w:lang w:val="ga"/>
        </w:rPr>
        <w:t xml:space="preserve">seoltaí a sholáthar le haghaidh na leathanach ar a bhfuil faisnéis faoin Oifigeach Rochtana i gcás nach bhfacthas faisnéis sa chigireacht tosaigh ó ÚNM, </w:t>
      </w:r>
    </w:p>
    <w:p w14:paraId="51526EF0" w14:textId="77777777" w:rsidR="004B61FB" w:rsidRDefault="00913D5A" w:rsidP="0096337F">
      <w:pPr>
        <w:ind w:left="720"/>
        <w:rPr>
          <w:szCs w:val="26"/>
        </w:rPr>
      </w:pPr>
      <w:r>
        <w:rPr>
          <w:szCs w:val="26"/>
          <w:lang w:val="ga"/>
        </w:rPr>
        <w:t xml:space="preserve">an t-eolas is deireanaí a thabhairt ar stádas comhlachtaí poiblí, agus </w:t>
      </w:r>
    </w:p>
    <w:p w14:paraId="75D8BAD9" w14:textId="2C298EA7" w:rsidR="00C3242C" w:rsidRDefault="001301DD" w:rsidP="0096337F">
      <w:pPr>
        <w:ind w:left="720"/>
        <w:rPr>
          <w:szCs w:val="26"/>
        </w:rPr>
      </w:pPr>
      <w:r>
        <w:rPr>
          <w:szCs w:val="26"/>
          <w:lang w:val="ga"/>
        </w:rPr>
        <w:t xml:space="preserve">eolas a thabhairt do ÚNM faoi aon nuashonruithe ar an suíomh Gréasáin tar éis na tuarascála. </w:t>
      </w:r>
    </w:p>
    <w:p w14:paraId="4AEEB06F" w14:textId="67962CB5" w:rsidR="00C27D9B" w:rsidRDefault="00C27D9B" w:rsidP="008F60BB">
      <w:pPr>
        <w:rPr>
          <w:szCs w:val="26"/>
        </w:rPr>
      </w:pPr>
      <w:r>
        <w:rPr>
          <w:szCs w:val="26"/>
          <w:lang w:val="ga"/>
        </w:rPr>
        <w:t xml:space="preserve">Tá sé beartaithe go seolfar cleachtadh leantach ag eatraimh thráthrialta tar éis fhoilsiú na tuarascála deiridh sin chun treochtaí breise i soláthar Oifigeach Rochtana ar fud comhlachtaí poiblí a rianú. </w:t>
      </w:r>
    </w:p>
    <w:p w14:paraId="3D7E746A" w14:textId="24CA1CD3" w:rsidR="00C27D9B" w:rsidRDefault="00C27D9B" w:rsidP="008F60BB">
      <w:pPr>
        <w:rPr>
          <w:szCs w:val="26"/>
        </w:rPr>
      </w:pPr>
      <w:r>
        <w:rPr>
          <w:szCs w:val="26"/>
          <w:lang w:val="ga"/>
        </w:rPr>
        <w:t xml:space="preserve">Is ar fáil in Aguisín A atá torthaí mionsonraithe ó gach Roinn tar éis an chleachtaidh sin. </w:t>
      </w:r>
    </w:p>
    <w:p w14:paraId="538BBC46" w14:textId="77777777" w:rsidR="00BF7A8B" w:rsidRPr="00A618F8" w:rsidRDefault="00BF7A8B" w:rsidP="008F60BB">
      <w:pPr>
        <w:rPr>
          <w:szCs w:val="26"/>
        </w:rPr>
      </w:pPr>
    </w:p>
    <w:p w14:paraId="636C0BFD" w14:textId="046FBC74" w:rsidR="00AB020C" w:rsidRPr="00D633FE" w:rsidRDefault="005A38C5" w:rsidP="00412B25">
      <w:pPr>
        <w:pStyle w:val="Heading1"/>
      </w:pPr>
      <w:bookmarkStart w:id="20" w:name="_Toc145484464"/>
      <w:r>
        <w:rPr>
          <w:lang w:val="ga"/>
        </w:rPr>
        <w:lastRenderedPageBreak/>
        <w:t>Fionnachtana Tosaigh an Fhaireacháin</w:t>
      </w:r>
      <w:bookmarkEnd w:id="20"/>
    </w:p>
    <w:p w14:paraId="50633C64" w14:textId="77777777" w:rsidR="00F73534" w:rsidRDefault="00F73534" w:rsidP="00E41CA1">
      <w:pPr>
        <w:pStyle w:val="NormalBeforeList"/>
      </w:pPr>
      <w:r>
        <w:rPr>
          <w:lang w:val="ga"/>
        </w:rPr>
        <w:t xml:space="preserve">Mar a luadh roimhe seo, nuashonraíodh an líon deiridh comhlachtaí poiblí tar éis thuairisciú na bhfionnachtana tosaigh. </w:t>
      </w:r>
    </w:p>
    <w:p w14:paraId="0E6BF255" w14:textId="2D5C8DB6" w:rsidR="00E41CA1" w:rsidRPr="00F73534" w:rsidRDefault="003716E2" w:rsidP="00E41CA1">
      <w:pPr>
        <w:pStyle w:val="NormalBeforeList"/>
      </w:pPr>
      <w:r>
        <w:rPr>
          <w:lang w:val="ga"/>
        </w:rPr>
        <w:t>Ar fud na bliana 2021, rinneadh faireachán ar shuíomhanna Gréasáin gach comhlachta phoiblí chun a mheas ar cuireadh nó nár cuireadh an fhaisnéis riachtanach chun cinn i ndáil leis an Oifigeach Rochtana:</w:t>
      </w:r>
    </w:p>
    <w:p w14:paraId="5E3C5063" w14:textId="77777777" w:rsidR="00E41CA1" w:rsidRPr="00F73534" w:rsidRDefault="00E41CA1" w:rsidP="00E41CA1">
      <w:pPr>
        <w:pStyle w:val="ListBullet"/>
      </w:pPr>
      <w:r>
        <w:rPr>
          <w:lang w:val="ga"/>
        </w:rPr>
        <w:t xml:space="preserve">Cur chun cinn cheapadh an Oifigigh Rochtana </w:t>
      </w:r>
    </w:p>
    <w:p w14:paraId="4AE4D7EE" w14:textId="518C7C44" w:rsidR="00E41CA1" w:rsidRPr="00270DBE" w:rsidRDefault="00E41CA1" w:rsidP="00E41CA1">
      <w:pPr>
        <w:pStyle w:val="ListBullet"/>
      </w:pPr>
      <w:r>
        <w:rPr>
          <w:lang w:val="ga"/>
        </w:rPr>
        <w:t>Faisnéis faoi conas teagmháil a dhéanamh leis an Oifigeach Rochtana</w:t>
      </w:r>
    </w:p>
    <w:p w14:paraId="483CA9DD" w14:textId="77777777" w:rsidR="00E41CA1" w:rsidRPr="00B36284" w:rsidRDefault="00E41CA1" w:rsidP="00E41CA1">
      <w:pPr>
        <w:pStyle w:val="ListBullet"/>
      </w:pPr>
      <w:r>
        <w:rPr>
          <w:lang w:val="ga"/>
        </w:rPr>
        <w:t xml:space="preserve">Éagsúlacht cainéal cumarsáide le haghaidh teagmháil a dhéanamh leis/léi. </w:t>
      </w:r>
    </w:p>
    <w:p w14:paraId="29715F41" w14:textId="77777777" w:rsidR="00042313" w:rsidRDefault="00042313" w:rsidP="00AE657D">
      <w:r>
        <w:rPr>
          <w:lang w:val="ga"/>
        </w:rPr>
        <w:t xml:space="preserve">Rinneadh obair ar an tuarascáil faireacháin a anailísiú agus a dhréachtú sna míonna deiridh den bhliain 2021 agus sna míonna tosaigh den bhliain 2022. </w:t>
      </w:r>
    </w:p>
    <w:p w14:paraId="7E372212" w14:textId="4E916007" w:rsidR="008E4C4B" w:rsidRPr="00F73534" w:rsidRDefault="00106E5F" w:rsidP="00AE657D">
      <w:r>
        <w:rPr>
          <w:lang w:val="ga"/>
        </w:rPr>
        <w:t xml:space="preserve">Tar éis coigeartú a dhéanamh de réir an lín nuashonraithe comhlachtaí poiblí, aimsíodh sna fionnachtana tosaigh gurb amhlaidh, de 281 chomhlacht phoiblí, a chuir 134 cinn (47.7%) chun cinn ar a suíomh Gréasáin poiblí gur ceapadh Oifigeach Rochtana agus a bhí an chuma air nach raibh aon fhaisnéis ar a suíomhanna Gréasáin poiblí faoi Oifigigh Rochtana ar fáil ag 147 gcomhlacht phoiblí (52.3%). Féach Cairt 1. </w:t>
      </w:r>
    </w:p>
    <w:p w14:paraId="4DEB7568" w14:textId="31D36D00" w:rsidR="00565E6C" w:rsidRDefault="00565E6C" w:rsidP="00A618F8">
      <w:pPr>
        <w:pStyle w:val="Caption"/>
        <w:keepNext/>
        <w:jc w:val="left"/>
      </w:pPr>
      <w:r>
        <w:rPr>
          <w:noProof/>
          <w:lang w:val="ga"/>
        </w:rPr>
        <w:t>Cairt 1 – Fionnachtana Tosaigh – Cuireadh Oifigeach Rochtana chun cinn</w:t>
      </w:r>
    </w:p>
    <w:p w14:paraId="20FA3F17" w14:textId="0E8485B8" w:rsidR="0020262A" w:rsidRPr="00D633FE" w:rsidRDefault="00565E6C" w:rsidP="00A618F8">
      <w:pPr>
        <w:tabs>
          <w:tab w:val="left" w:pos="7875"/>
        </w:tabs>
      </w:pPr>
      <w:r>
        <w:rPr>
          <w:noProof/>
          <w:lang w:val="ga"/>
        </w:rPr>
        <w:drawing>
          <wp:inline distT="0" distB="0" distL="0" distR="0" wp14:anchorId="48FDAD1C" wp14:editId="58795C83">
            <wp:extent cx="4912242" cy="2583712"/>
            <wp:effectExtent l="0" t="0" r="3175" b="7620"/>
            <wp:docPr id="3" name="Chart 3" descr="Píchairt ina léirítear gurb amhlaidh i bhfionnachtana tosaigh nár chuir 52.3% de chomhlachtaí poiblí Oifigeach Rochtana chun cinn ar a suíomhanna Gréasáin agus a chuir 47.7% de chomhlachtaí poiblí oifigeach rochtana chun cinn ar a suíomhanna Gréasáin.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9FF5B0" w14:textId="073E1165" w:rsidR="0020262A" w:rsidRPr="00D633FE" w:rsidRDefault="00E60E2A" w:rsidP="00A872A4">
      <w:pPr>
        <w:pStyle w:val="ListBullet"/>
        <w:numPr>
          <w:ilvl w:val="0"/>
          <w:numId w:val="0"/>
        </w:numPr>
      </w:pPr>
      <w:r>
        <w:rPr>
          <w:lang w:val="ga"/>
        </w:rPr>
        <w:t xml:space="preserve">De na comhlachtaí a raibh Oifigigh Rochtana a bhí fógartha ar a suíomh Gréasáin acu, sholáthair 130 ceann (97%) faisnéis teagmhála agus níor sholáthair ceithre cinn (3%) faisnéis teagmhála. </w:t>
      </w:r>
    </w:p>
    <w:p w14:paraId="554FACB1" w14:textId="732E09E8" w:rsidR="006D7E05" w:rsidRPr="00D633FE" w:rsidRDefault="006D7E05" w:rsidP="00E60E2A">
      <w:pPr>
        <w:pStyle w:val="ListBullet"/>
        <w:numPr>
          <w:ilvl w:val="0"/>
          <w:numId w:val="0"/>
        </w:numPr>
      </w:pPr>
      <w:r>
        <w:rPr>
          <w:lang w:val="ga"/>
        </w:rPr>
        <w:lastRenderedPageBreak/>
        <w:t>Den 130 comhlacht poiblí a chuir an tOifigeach Rochtana chun cinn ar a suíomh Gréasáin agus a sholáthair mionsonraí teagmhála, sholáthair 98 gcinn (75.4%) cainéil chumarsáide lena n-éascófaí teagmháil ó bhéal agus teagmháil i scríbhinn araon leis an Oifigeach Rochtana agus níor sholáthair ach 32 cheann (24.6%) ach modh cumarsáide amháin.</w:t>
      </w:r>
    </w:p>
    <w:p w14:paraId="420852A9" w14:textId="4AD40EB9" w:rsidR="00C76C68" w:rsidRDefault="00A872A4" w:rsidP="00E60E2A">
      <w:pPr>
        <w:pStyle w:val="ListBullet"/>
        <w:numPr>
          <w:ilvl w:val="0"/>
          <w:numId w:val="0"/>
        </w:numPr>
      </w:pPr>
      <w:r>
        <w:rPr>
          <w:lang w:val="ga"/>
        </w:rPr>
        <w:t>Den 281 chomhlacht phoiblí san iomlán, dá bhrí sin, chomhlíon 98 gcinn (34.9%) critéir uile an táscaire maidir le hOifigeach Rochtana. Féach Cairt 2</w:t>
      </w:r>
    </w:p>
    <w:p w14:paraId="5BB28AB7" w14:textId="78BD2BB4" w:rsidR="00C76C68" w:rsidRDefault="00C76C68" w:rsidP="00A618F8">
      <w:pPr>
        <w:pStyle w:val="Caption"/>
        <w:keepNext/>
        <w:jc w:val="left"/>
      </w:pPr>
      <w:r>
        <w:rPr>
          <w:noProof/>
          <w:lang w:val="ga"/>
        </w:rPr>
        <w:t>Cairt 2 – Fionnachtana Tosaigh – Comhlachtaí poiblí a chomhlíon critéir uile an táscaire</w:t>
      </w:r>
    </w:p>
    <w:p w14:paraId="1F57AC93" w14:textId="22569BAB" w:rsidR="0020262A" w:rsidRPr="00D633FE" w:rsidRDefault="00C76C68" w:rsidP="00E60E2A">
      <w:pPr>
        <w:pStyle w:val="ListBullet"/>
        <w:numPr>
          <w:ilvl w:val="0"/>
          <w:numId w:val="0"/>
        </w:numPr>
      </w:pPr>
      <w:r>
        <w:rPr>
          <w:noProof/>
          <w:lang w:val="ga"/>
        </w:rPr>
        <w:drawing>
          <wp:inline distT="0" distB="0" distL="0" distR="0" wp14:anchorId="4577FF22" wp14:editId="5CBA7A74">
            <wp:extent cx="4965405" cy="2721934"/>
            <wp:effectExtent l="0" t="0" r="6985" b="2540"/>
            <wp:docPr id="4" name="Chart 4" descr="Píchairt ina léirítear gurb amhlaidh i bhfionnachtana tosaigh a chomhlíon 34.9% de chomhlachtaí poiblí critéir uile an táscaire agus nár chomhlíon 65.1% díobh critéir uile an táscair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F737D8" w14:textId="7C2723FC" w:rsidR="007B09C3" w:rsidRPr="00A618F8" w:rsidRDefault="005A38C5" w:rsidP="007B09C3">
      <w:pPr>
        <w:pStyle w:val="Heading1"/>
        <w:ind w:left="0"/>
      </w:pPr>
      <w:bookmarkStart w:id="21" w:name="_Toc145484465"/>
      <w:r>
        <w:rPr>
          <w:lang w:val="ga"/>
        </w:rPr>
        <w:t>Fionnachtana Deiridh an Fhaireacháin</w:t>
      </w:r>
      <w:bookmarkEnd w:id="21"/>
      <w:r>
        <w:rPr>
          <w:lang w:val="ga"/>
        </w:rPr>
        <w:t xml:space="preserve"> </w:t>
      </w:r>
    </w:p>
    <w:p w14:paraId="673B61AC" w14:textId="52B54E2A" w:rsidR="00677C76" w:rsidRPr="00A618F8" w:rsidRDefault="00677C76" w:rsidP="005A38C5">
      <w:r>
        <w:rPr>
          <w:lang w:val="ga"/>
        </w:rPr>
        <w:t xml:space="preserve">Measúnaíodh fionnachtana deiridh an fhaireacháin ar an dóigh chéanna ar measúnaíodh na fionnachtana tosaigh atá tuairiscithe thuas. </w:t>
      </w:r>
    </w:p>
    <w:p w14:paraId="16D50BF2" w14:textId="0B72525C" w:rsidR="00677C76" w:rsidRDefault="00BF08BC" w:rsidP="00677C76">
      <w:r>
        <w:rPr>
          <w:lang w:val="ga"/>
        </w:rPr>
        <w:t xml:space="preserve">Ag teacht sna sála ar eisiúint na dréacht-tuarascála, agus an fhaisnéis nuashonraithe iarmhartach ar sholáthair comhlachtaí poiblí í á cur san áireamh, is amhlaidh, de 281 chomhlacht phoiblí, a chuir 192 cheann (68.3%) chun cinn ar a suíomh Gréasáin poiblí gur ceapadh Oifigeach Rochtana agus a bhí an chuma air nach raibh aon fhaisnéis ar a suíomhanna Gréasáin poiblí faoi Oifigigh Rochtana ar fáil ag 89 gcomhlacht phoiblí (31.7%). Féach Cairt 3. </w:t>
      </w:r>
    </w:p>
    <w:p w14:paraId="51A149FB" w14:textId="6EE67CDD" w:rsidR="00C47D89" w:rsidRDefault="00C47D89" w:rsidP="00A618F8">
      <w:pPr>
        <w:pStyle w:val="Caption"/>
        <w:keepNext/>
        <w:jc w:val="left"/>
      </w:pPr>
      <w:r>
        <w:rPr>
          <w:lang w:val="ga"/>
        </w:rPr>
        <w:lastRenderedPageBreak/>
        <w:t xml:space="preserve">Cairt 3 – </w:t>
      </w:r>
      <w:r>
        <w:rPr>
          <w:noProof/>
          <w:lang w:val="ga"/>
        </w:rPr>
        <w:t>Fionnachtana Deiridh an Fhaireacháin – Cuireadh Oifigeach Rochtana chun cinn ar an Suíomh Gréasáin</w:t>
      </w:r>
    </w:p>
    <w:p w14:paraId="2C7FCBCC" w14:textId="77777777" w:rsidR="00DB0AA6" w:rsidRDefault="00C47D89" w:rsidP="00677C76">
      <w:pPr>
        <w:pStyle w:val="ListBullet"/>
        <w:numPr>
          <w:ilvl w:val="0"/>
          <w:numId w:val="0"/>
        </w:numPr>
      </w:pPr>
      <w:r>
        <w:rPr>
          <w:noProof/>
          <w:lang w:val="ga"/>
        </w:rPr>
        <w:drawing>
          <wp:inline distT="0" distB="0" distL="0" distR="0" wp14:anchorId="373E3F53" wp14:editId="025CE7EC">
            <wp:extent cx="4610100" cy="2360428"/>
            <wp:effectExtent l="0" t="0" r="0" b="1905"/>
            <wp:docPr id="7" name="Chart 7" descr="Píchairt ina léirítear gurb amhlaidh san anailís deiridh ar an bhfaireachán a chuir 68.3% de chomhlachtaí poiblí oifigeach rochtana chun cinn ar a suíomhanna Gréasáin agus nár chuir 31.7% de chomhlachtaí poiblí oifigeach rochtana chun cinn ar a suíomhanna Gréasá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C8776D" w14:textId="77777777" w:rsidR="00E703DB" w:rsidRDefault="00E703DB" w:rsidP="00677C76">
      <w:pPr>
        <w:pStyle w:val="ListBullet"/>
        <w:numPr>
          <w:ilvl w:val="0"/>
          <w:numId w:val="0"/>
        </w:numPr>
      </w:pPr>
    </w:p>
    <w:p w14:paraId="06380BAC" w14:textId="54D4DA53" w:rsidR="00677C76" w:rsidRDefault="00677C76" w:rsidP="00677C76">
      <w:pPr>
        <w:pStyle w:val="ListBullet"/>
        <w:numPr>
          <w:ilvl w:val="0"/>
          <w:numId w:val="0"/>
        </w:numPr>
      </w:pPr>
      <w:r>
        <w:rPr>
          <w:lang w:val="ga"/>
        </w:rPr>
        <w:t>De na comhlachtaí a raibh Oifigigh Rochtana a bhí fógartha ar a suíomh Gréasáin acu, sholáthair 191 cheann (99.5%) faisnéis teagmhála agus níor sholáthair ceann amháin (0.5%) faisnéis teagmhála. Féach Cairt 4.</w:t>
      </w:r>
    </w:p>
    <w:p w14:paraId="46D74FC8" w14:textId="09ACEA32" w:rsidR="00243285" w:rsidRDefault="00243285" w:rsidP="00A618F8">
      <w:pPr>
        <w:pStyle w:val="Caption"/>
        <w:keepNext/>
        <w:jc w:val="left"/>
      </w:pPr>
      <w:r>
        <w:rPr>
          <w:lang w:val="ga"/>
        </w:rPr>
        <w:t xml:space="preserve">Cairt 4 – </w:t>
      </w:r>
      <w:r>
        <w:rPr>
          <w:noProof/>
          <w:lang w:val="ga"/>
        </w:rPr>
        <w:t>Fionnachtana Deiridh an Fhaireacháin – Cuireadh Oifigeach Rochtana chun cinn agus tugadh Faisnéis Teagmhála</w:t>
      </w:r>
    </w:p>
    <w:p w14:paraId="3D6D3883" w14:textId="77777777" w:rsidR="000F3B61" w:rsidRDefault="00243285" w:rsidP="00677C76">
      <w:pPr>
        <w:pStyle w:val="ListBullet"/>
        <w:numPr>
          <w:ilvl w:val="0"/>
          <w:numId w:val="0"/>
        </w:numPr>
      </w:pPr>
      <w:r>
        <w:rPr>
          <w:noProof/>
          <w:lang w:val="ga"/>
        </w:rPr>
        <w:drawing>
          <wp:inline distT="0" distB="0" distL="0" distR="0" wp14:anchorId="16205C3B" wp14:editId="1F2946F5">
            <wp:extent cx="4610100" cy="2571750"/>
            <wp:effectExtent l="0" t="0" r="0" b="0"/>
            <wp:docPr id="8" name="Chart 8" descr="Cairt ina léirítear gurb amhlaidh, den 192 chomhlacht phoiblí a chuir oifigigh rochtana chun cinn ar a suíomh Gréasáin, nár sholáthair 0.5% aon fhaisnéis teagmhála agus a sholáthair 99.5% faisnéis teagmhál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11B97D" w14:textId="77777777" w:rsidR="000F3B61" w:rsidRPr="000F3B61" w:rsidRDefault="000F3B61" w:rsidP="00DB0AA6"/>
    <w:p w14:paraId="0DA502F7" w14:textId="77777777" w:rsidR="000F3B61" w:rsidRPr="000F3B61" w:rsidRDefault="000F3B61" w:rsidP="00DB0AA6"/>
    <w:p w14:paraId="6328FD81" w14:textId="77777777" w:rsidR="000F3B61" w:rsidRPr="000F3B61" w:rsidRDefault="000F3B61" w:rsidP="00DB0AA6"/>
    <w:p w14:paraId="1F2DF459" w14:textId="77777777" w:rsidR="000F3B61" w:rsidRDefault="000F3B61" w:rsidP="00677C76">
      <w:pPr>
        <w:pStyle w:val="ListBullet"/>
        <w:numPr>
          <w:ilvl w:val="0"/>
          <w:numId w:val="0"/>
        </w:numPr>
      </w:pPr>
    </w:p>
    <w:p w14:paraId="46BF3DE5" w14:textId="77777777" w:rsidR="000F3B61" w:rsidRDefault="000F3B61" w:rsidP="00677C76">
      <w:pPr>
        <w:pStyle w:val="ListBullet"/>
        <w:numPr>
          <w:ilvl w:val="0"/>
          <w:numId w:val="0"/>
        </w:numPr>
      </w:pPr>
    </w:p>
    <w:p w14:paraId="55748A67" w14:textId="31B65634" w:rsidR="00243285" w:rsidRDefault="000F3B61" w:rsidP="00DB0AA6">
      <w:pPr>
        <w:pStyle w:val="ListBullet"/>
        <w:numPr>
          <w:ilvl w:val="0"/>
          <w:numId w:val="0"/>
        </w:numPr>
        <w:tabs>
          <w:tab w:val="left" w:pos="820"/>
        </w:tabs>
      </w:pPr>
      <w:r>
        <w:rPr>
          <w:lang w:val="ga"/>
        </w:rPr>
        <w:tab/>
      </w:r>
      <w:r>
        <w:rPr>
          <w:lang w:val="ga"/>
        </w:rPr>
        <w:br w:type="textWrapping" w:clear="all"/>
      </w:r>
    </w:p>
    <w:p w14:paraId="434CEEDF" w14:textId="77777777" w:rsidR="00243285" w:rsidRPr="00D633FE" w:rsidRDefault="00243285" w:rsidP="00677C76">
      <w:pPr>
        <w:pStyle w:val="ListBullet"/>
        <w:numPr>
          <w:ilvl w:val="0"/>
          <w:numId w:val="0"/>
        </w:numPr>
      </w:pPr>
    </w:p>
    <w:p w14:paraId="2F248746" w14:textId="457380ED" w:rsidR="00677C76" w:rsidRDefault="00677C76" w:rsidP="00677C76">
      <w:pPr>
        <w:pStyle w:val="ListBullet"/>
        <w:numPr>
          <w:ilvl w:val="0"/>
          <w:numId w:val="0"/>
        </w:numPr>
      </w:pPr>
      <w:r>
        <w:rPr>
          <w:lang w:val="ga"/>
        </w:rPr>
        <w:t xml:space="preserve">Den 191 chomhlacht poiblí a chuir an tOifigeach Rochtana chun cinn ar a suíomh Gréasáin agus a sholáthair mionsonraí teagmhála, sholáthair 165 cinn (86.4%) cainéil chumarsáide lena n-éascófaí teagmháil ó bhéal agus teagmháil i scríbhinn araon leis an Oifigeach Rochtana agus níor sholáthair ach 26 cinn (13.6%) ach modh cumarsáide amháin. (Féach Cairt 5). </w:t>
      </w:r>
    </w:p>
    <w:p w14:paraId="679229CB" w14:textId="77777777" w:rsidR="00021A24" w:rsidRDefault="00021A24" w:rsidP="00677C76">
      <w:pPr>
        <w:pStyle w:val="ListBullet"/>
        <w:numPr>
          <w:ilvl w:val="0"/>
          <w:numId w:val="0"/>
        </w:numPr>
      </w:pPr>
    </w:p>
    <w:p w14:paraId="45EFB4B7" w14:textId="1084934D" w:rsidR="00021A24" w:rsidRDefault="00021A24" w:rsidP="00A618F8">
      <w:pPr>
        <w:pStyle w:val="Caption"/>
        <w:keepNext/>
        <w:jc w:val="left"/>
      </w:pPr>
      <w:r>
        <w:rPr>
          <w:noProof/>
          <w:lang w:val="ga"/>
        </w:rPr>
        <w:t>Cairt 5 – Fionnachtana Deiridh – Cumarsáid i Scríbhinn agus Cumarsáid ó Bhéal</w:t>
      </w:r>
    </w:p>
    <w:p w14:paraId="1A35CEE8" w14:textId="34F92C11" w:rsidR="00021A24" w:rsidRPr="00814242" w:rsidRDefault="00021A24" w:rsidP="00677C76">
      <w:pPr>
        <w:pStyle w:val="ListBullet"/>
        <w:numPr>
          <w:ilvl w:val="0"/>
          <w:numId w:val="0"/>
        </w:numPr>
      </w:pPr>
      <w:r>
        <w:rPr>
          <w:noProof/>
          <w:lang w:val="ga"/>
        </w:rPr>
        <w:drawing>
          <wp:inline distT="0" distB="0" distL="0" distR="0" wp14:anchorId="561C4A43" wp14:editId="57A23C84">
            <wp:extent cx="4572000" cy="2743200"/>
            <wp:effectExtent l="0" t="0" r="0" b="0"/>
            <wp:docPr id="10" name="Chart 10" descr="Píchairt ina léirítear gurb amhlaidh, den 191 chomhlacht phoiblí a chuir oifigeach rochtana chun cinn ar a suíomh Gréasáin agus a sholáthair faisnéis teagmhála, nár sholáthair ach 13.6% ach modh teagmhála amháin agus a sholáthair 86.4% cainéil chumarsáide i scríbhinn agus cainéil chumarsáide ó bhéal ara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9E2B4A" w14:textId="77777777" w:rsidR="001F10ED" w:rsidRDefault="001F10ED" w:rsidP="00677C76">
      <w:pPr>
        <w:pStyle w:val="ListBullet"/>
        <w:numPr>
          <w:ilvl w:val="0"/>
          <w:numId w:val="0"/>
        </w:numPr>
      </w:pPr>
    </w:p>
    <w:p w14:paraId="27664E57" w14:textId="7126A00F" w:rsidR="00677C76" w:rsidRDefault="00677C76" w:rsidP="00677C76">
      <w:pPr>
        <w:pStyle w:val="ListBullet"/>
        <w:numPr>
          <w:ilvl w:val="0"/>
          <w:numId w:val="0"/>
        </w:numPr>
      </w:pPr>
      <w:r>
        <w:rPr>
          <w:lang w:val="ga"/>
        </w:rPr>
        <w:t xml:space="preserve">B’amhlaidh ar an iomlán, dá bhrí sin, a chomhlíon 165 chomhlacht phoiblí (58.7%) san iomlán critéir uile an táscaire maidir le hOifigeach Rochtana agus nár chomhlíon 116 cinn díobh (41.3%) critéir uile an táscaire sin. (Féach Cairt 6) </w:t>
      </w:r>
    </w:p>
    <w:p w14:paraId="24698182" w14:textId="77777777" w:rsidR="000F3B61" w:rsidRDefault="000F3B61" w:rsidP="00677C76">
      <w:pPr>
        <w:pStyle w:val="ListBullet"/>
        <w:numPr>
          <w:ilvl w:val="0"/>
          <w:numId w:val="0"/>
        </w:numPr>
      </w:pPr>
    </w:p>
    <w:p w14:paraId="38C8E0C8" w14:textId="1F7CA03A" w:rsidR="008541D6" w:rsidRDefault="008541D6" w:rsidP="00A618F8">
      <w:pPr>
        <w:pStyle w:val="Caption"/>
        <w:keepNext/>
        <w:jc w:val="left"/>
      </w:pPr>
      <w:r>
        <w:rPr>
          <w:lang w:val="ga"/>
        </w:rPr>
        <w:lastRenderedPageBreak/>
        <w:t>Cairt 6 – Fionnachtana Deiridh – Comhlachtaí Poiblí a chomhlíon na Critéir uile</w:t>
      </w:r>
    </w:p>
    <w:p w14:paraId="5C8ECB6A" w14:textId="02B95D3F" w:rsidR="00021A24" w:rsidRDefault="00021A24" w:rsidP="00677C76">
      <w:pPr>
        <w:pStyle w:val="ListBullet"/>
        <w:numPr>
          <w:ilvl w:val="0"/>
          <w:numId w:val="0"/>
        </w:numPr>
      </w:pPr>
      <w:r>
        <w:rPr>
          <w:noProof/>
          <w:lang w:val="ga"/>
        </w:rPr>
        <w:drawing>
          <wp:inline distT="0" distB="0" distL="0" distR="0" wp14:anchorId="323344E7" wp14:editId="71710438">
            <wp:extent cx="4705350" cy="2676525"/>
            <wp:effectExtent l="0" t="0" r="0" b="9525"/>
            <wp:docPr id="12" name="Chart 12" descr="Píchairt ina léirítear gurb amhlaidh i bhfionnachtana deiridh na tuarascála a chomhlíon 58.7% de chomhlachtaí poiblí critéir uile an táscaire agus nár chomhlíon 41.3% de chomhlachtaí poiblí critéir uile an táscair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3ADE61" w14:textId="1971F454" w:rsidR="00B80534" w:rsidRDefault="00B80534" w:rsidP="00677C76">
      <w:pPr>
        <w:pStyle w:val="ListBullet"/>
        <w:numPr>
          <w:ilvl w:val="0"/>
          <w:numId w:val="0"/>
        </w:numPr>
      </w:pPr>
    </w:p>
    <w:p w14:paraId="5157E80F" w14:textId="77777777" w:rsidR="00B80534" w:rsidRDefault="00B80534" w:rsidP="00677C76">
      <w:pPr>
        <w:pStyle w:val="ListBullet"/>
        <w:numPr>
          <w:ilvl w:val="0"/>
          <w:numId w:val="0"/>
        </w:numPr>
      </w:pPr>
    </w:p>
    <w:p w14:paraId="0CB6419B" w14:textId="77777777" w:rsidR="00B80534" w:rsidRDefault="00B80534" w:rsidP="00677C76">
      <w:pPr>
        <w:pStyle w:val="ListBullet"/>
        <w:numPr>
          <w:ilvl w:val="0"/>
          <w:numId w:val="0"/>
        </w:numPr>
      </w:pPr>
    </w:p>
    <w:p w14:paraId="55340A6A" w14:textId="77777777" w:rsidR="00B80534" w:rsidRDefault="00B80534" w:rsidP="00677C76">
      <w:pPr>
        <w:pStyle w:val="ListBullet"/>
        <w:numPr>
          <w:ilvl w:val="0"/>
          <w:numId w:val="0"/>
        </w:numPr>
      </w:pPr>
    </w:p>
    <w:p w14:paraId="495DC827" w14:textId="77777777" w:rsidR="00B80534" w:rsidRDefault="00B80534" w:rsidP="00677C76">
      <w:pPr>
        <w:pStyle w:val="ListBullet"/>
        <w:numPr>
          <w:ilvl w:val="0"/>
          <w:numId w:val="0"/>
        </w:numPr>
        <w:sectPr w:rsidR="00B80534">
          <w:headerReference w:type="default" r:id="rId17"/>
          <w:footerReference w:type="default" r:id="rId18"/>
          <w:pgSz w:w="12240" w:h="15840"/>
          <w:pgMar w:top="1440" w:right="1800" w:bottom="1440" w:left="1800" w:header="708" w:footer="708" w:gutter="0"/>
          <w:cols w:space="708"/>
          <w:docGrid w:linePitch="360"/>
        </w:sectPr>
      </w:pPr>
    </w:p>
    <w:p w14:paraId="43B6F0C4" w14:textId="46FF8F94" w:rsidR="00B80534" w:rsidRDefault="00B80534" w:rsidP="00677C76">
      <w:pPr>
        <w:pStyle w:val="ListBullet"/>
        <w:numPr>
          <w:ilvl w:val="0"/>
          <w:numId w:val="0"/>
        </w:numPr>
      </w:pPr>
      <w:r>
        <w:rPr>
          <w:lang w:val="ga"/>
        </w:rPr>
        <w:lastRenderedPageBreak/>
        <w:t xml:space="preserve">Is ann thíos do thábla ina mionsonraítear an fheidhmíocht i gcomparáid leis an táscaire sin de réir na Ranna agus de réir na gcomhlachtaí poiblí atá faoina gcoimirce. Tá faisnéis níos mine ar an anailís ar na ranna ar fáil in Aguisín A. </w:t>
      </w:r>
    </w:p>
    <w:p w14:paraId="066CEDB9" w14:textId="61A71365" w:rsidR="00B80534" w:rsidRDefault="00B80534" w:rsidP="00677C76">
      <w:pPr>
        <w:pStyle w:val="ListBullet"/>
        <w:numPr>
          <w:ilvl w:val="0"/>
          <w:numId w:val="0"/>
        </w:numPr>
      </w:pPr>
    </w:p>
    <w:p w14:paraId="619FF7AF" w14:textId="085733CE" w:rsidR="00B80534" w:rsidRDefault="00B80534" w:rsidP="00677C76">
      <w:pPr>
        <w:pStyle w:val="ListBullet"/>
        <w:numPr>
          <w:ilvl w:val="0"/>
          <w:numId w:val="0"/>
        </w:numPr>
      </w:pPr>
    </w:p>
    <w:p w14:paraId="21868FD3" w14:textId="389A2A7E" w:rsidR="00B80534" w:rsidRDefault="00B80534" w:rsidP="00B80534">
      <w:pPr>
        <w:pStyle w:val="Heading2"/>
        <w:jc w:val="center"/>
      </w:pPr>
      <w:bookmarkStart w:id="22" w:name="_Toc145484466"/>
      <w:r>
        <w:rPr>
          <w:iCs w:val="0"/>
          <w:lang w:val="ga"/>
        </w:rPr>
        <w:t>Tábla 1 – An dóigh ar chomhlíon Ranna agus na comhlachtaí atá faoina gcoimirce táscaire an Oifigigh Rochtana</w:t>
      </w:r>
      <w:bookmarkEnd w:id="22"/>
    </w:p>
    <w:tbl>
      <w:tblPr>
        <w:tblpPr w:leftFromText="180" w:rightFromText="180" w:vertAnchor="text" w:horzAnchor="margin" w:tblpY="833"/>
        <w:tblW w:w="133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789"/>
        <w:gridCol w:w="3284"/>
        <w:gridCol w:w="3284"/>
      </w:tblGrid>
      <w:tr w:rsidR="00B80534" w:rsidRPr="009F0AF4" w14:paraId="5290607D" w14:textId="77777777" w:rsidTr="00135D7B">
        <w:trPr>
          <w:trHeight w:val="10"/>
          <w:tblHeader/>
        </w:trPr>
        <w:tc>
          <w:tcPr>
            <w:tcW w:w="6789" w:type="dxa"/>
            <w:tcBorders>
              <w:bottom w:val="single" w:sz="12" w:space="0" w:color="000000"/>
            </w:tcBorders>
            <w:shd w:val="clear" w:color="auto" w:fill="auto"/>
          </w:tcPr>
          <w:p w14:paraId="42484654" w14:textId="77777777" w:rsidR="00B80534" w:rsidRPr="009F0AF4" w:rsidRDefault="00B80534" w:rsidP="00BB4BB6">
            <w:pPr>
              <w:spacing w:after="0"/>
              <w:jc w:val="right"/>
              <w:rPr>
                <w:b/>
                <w:sz w:val="24"/>
              </w:rPr>
            </w:pPr>
            <w:r>
              <w:rPr>
                <w:b/>
                <w:bCs/>
                <w:sz w:val="24"/>
                <w:lang w:val="ga"/>
              </w:rPr>
              <w:t>Ainm na Roinne *</w:t>
            </w:r>
          </w:p>
        </w:tc>
        <w:tc>
          <w:tcPr>
            <w:tcW w:w="3284" w:type="dxa"/>
            <w:tcBorders>
              <w:bottom w:val="single" w:sz="12" w:space="0" w:color="000000"/>
            </w:tcBorders>
          </w:tcPr>
          <w:p w14:paraId="69BED297" w14:textId="77777777" w:rsidR="00B80534" w:rsidRPr="009F0AF4" w:rsidRDefault="00B80534" w:rsidP="00BB4BB6">
            <w:pPr>
              <w:spacing w:after="0"/>
              <w:jc w:val="right"/>
              <w:rPr>
                <w:b/>
                <w:sz w:val="24"/>
              </w:rPr>
            </w:pPr>
            <w:r>
              <w:rPr>
                <w:b/>
                <w:bCs/>
                <w:sz w:val="24"/>
                <w:lang w:val="ga"/>
              </w:rPr>
              <w:t>Cuireadh an t-oifigeach rochtana chun cinn (%)</w:t>
            </w:r>
          </w:p>
        </w:tc>
        <w:tc>
          <w:tcPr>
            <w:tcW w:w="3284" w:type="dxa"/>
            <w:tcBorders>
              <w:bottom w:val="single" w:sz="12" w:space="0" w:color="000000"/>
            </w:tcBorders>
          </w:tcPr>
          <w:p w14:paraId="58A1CF09" w14:textId="77777777" w:rsidR="00B80534" w:rsidRPr="009F0AF4" w:rsidRDefault="00B80534" w:rsidP="00BB4BB6">
            <w:pPr>
              <w:spacing w:after="0"/>
              <w:jc w:val="right"/>
              <w:rPr>
                <w:b/>
                <w:sz w:val="24"/>
              </w:rPr>
            </w:pPr>
            <w:r>
              <w:rPr>
                <w:b/>
                <w:bCs/>
                <w:sz w:val="24"/>
                <w:lang w:val="ga"/>
              </w:rPr>
              <w:t>Comhlíonadh na critéir uile (%)</w:t>
            </w:r>
          </w:p>
        </w:tc>
      </w:tr>
      <w:tr w:rsidR="00135D7B" w:rsidRPr="009F0AF4" w14:paraId="1A4E5B48" w14:textId="77777777" w:rsidTr="00135D7B">
        <w:trPr>
          <w:trHeight w:val="10"/>
        </w:trPr>
        <w:tc>
          <w:tcPr>
            <w:tcW w:w="6789" w:type="dxa"/>
            <w:shd w:val="clear" w:color="auto" w:fill="auto"/>
          </w:tcPr>
          <w:p w14:paraId="22758BFA" w14:textId="4CDDAC42" w:rsidR="00135D7B" w:rsidRPr="00B33C41" w:rsidRDefault="00135D7B" w:rsidP="00B33C41">
            <w:pPr>
              <w:keepNext/>
              <w:spacing w:after="0"/>
              <w:rPr>
                <w:sz w:val="24"/>
              </w:rPr>
            </w:pPr>
            <w:r>
              <w:rPr>
                <w:sz w:val="24"/>
                <w:lang w:val="ga"/>
              </w:rPr>
              <w:t>An Roinn Oideachais</w:t>
            </w:r>
          </w:p>
        </w:tc>
        <w:tc>
          <w:tcPr>
            <w:tcW w:w="3284" w:type="dxa"/>
          </w:tcPr>
          <w:p w14:paraId="1287C386" w14:textId="5ED05636" w:rsidR="00135D7B" w:rsidRDefault="00135D7B" w:rsidP="00BB4BB6">
            <w:pPr>
              <w:spacing w:after="0"/>
              <w:jc w:val="right"/>
              <w:rPr>
                <w:bCs/>
                <w:sz w:val="24"/>
              </w:rPr>
            </w:pPr>
            <w:r>
              <w:rPr>
                <w:sz w:val="24"/>
                <w:lang w:val="ga"/>
              </w:rPr>
              <w:t>100.0</w:t>
            </w:r>
          </w:p>
        </w:tc>
        <w:tc>
          <w:tcPr>
            <w:tcW w:w="3284" w:type="dxa"/>
          </w:tcPr>
          <w:p w14:paraId="7D64AD04" w14:textId="5C3125B7" w:rsidR="00135D7B" w:rsidRDefault="00135D7B" w:rsidP="00BB4BB6">
            <w:pPr>
              <w:spacing w:after="0"/>
              <w:jc w:val="right"/>
              <w:rPr>
                <w:bCs/>
                <w:sz w:val="24"/>
              </w:rPr>
            </w:pPr>
            <w:r>
              <w:rPr>
                <w:sz w:val="24"/>
                <w:lang w:val="ga"/>
              </w:rPr>
              <w:t>100.0</w:t>
            </w:r>
          </w:p>
        </w:tc>
      </w:tr>
      <w:tr w:rsidR="00135D7B" w:rsidRPr="009F0AF4" w14:paraId="2B20D7BD" w14:textId="77777777" w:rsidTr="00135D7B">
        <w:trPr>
          <w:trHeight w:val="10"/>
        </w:trPr>
        <w:tc>
          <w:tcPr>
            <w:tcW w:w="6789" w:type="dxa"/>
            <w:shd w:val="clear" w:color="auto" w:fill="auto"/>
          </w:tcPr>
          <w:p w14:paraId="5CAC5295" w14:textId="74431731" w:rsidR="00135D7B" w:rsidRPr="00B33C41" w:rsidRDefault="00135D7B" w:rsidP="00B33C41">
            <w:pPr>
              <w:keepNext/>
              <w:spacing w:after="0"/>
              <w:rPr>
                <w:sz w:val="24"/>
              </w:rPr>
            </w:pPr>
            <w:r>
              <w:rPr>
                <w:sz w:val="24"/>
                <w:lang w:val="ga"/>
              </w:rPr>
              <w:t>An Roinn Gnóthaí Eachtracha</w:t>
            </w:r>
          </w:p>
        </w:tc>
        <w:tc>
          <w:tcPr>
            <w:tcW w:w="3284" w:type="dxa"/>
          </w:tcPr>
          <w:p w14:paraId="59E8FE09" w14:textId="2407CFF8" w:rsidR="00135D7B" w:rsidRDefault="00135D7B" w:rsidP="00BB4BB6">
            <w:pPr>
              <w:spacing w:after="0"/>
              <w:jc w:val="right"/>
              <w:rPr>
                <w:bCs/>
                <w:sz w:val="24"/>
              </w:rPr>
            </w:pPr>
            <w:r>
              <w:rPr>
                <w:sz w:val="24"/>
                <w:lang w:val="ga"/>
              </w:rPr>
              <w:t>100.0</w:t>
            </w:r>
          </w:p>
        </w:tc>
        <w:tc>
          <w:tcPr>
            <w:tcW w:w="3284" w:type="dxa"/>
          </w:tcPr>
          <w:p w14:paraId="5A668C4A" w14:textId="147A1B3D" w:rsidR="00135D7B" w:rsidRDefault="00135D7B" w:rsidP="00BB4BB6">
            <w:pPr>
              <w:spacing w:after="0"/>
              <w:jc w:val="right"/>
              <w:rPr>
                <w:bCs/>
                <w:sz w:val="24"/>
              </w:rPr>
            </w:pPr>
            <w:r>
              <w:rPr>
                <w:sz w:val="24"/>
                <w:lang w:val="ga"/>
              </w:rPr>
              <w:t>100.0</w:t>
            </w:r>
          </w:p>
        </w:tc>
      </w:tr>
      <w:tr w:rsidR="00135D7B" w:rsidRPr="009F0AF4" w14:paraId="6E160881" w14:textId="77777777" w:rsidTr="00135D7B">
        <w:trPr>
          <w:trHeight w:val="10"/>
        </w:trPr>
        <w:tc>
          <w:tcPr>
            <w:tcW w:w="6789" w:type="dxa"/>
            <w:shd w:val="clear" w:color="auto" w:fill="auto"/>
          </w:tcPr>
          <w:p w14:paraId="4E558F84" w14:textId="3DF828D4" w:rsidR="00135D7B" w:rsidRPr="00B33C41" w:rsidRDefault="00135D7B" w:rsidP="00B33C41">
            <w:pPr>
              <w:keepNext/>
              <w:spacing w:after="0"/>
              <w:rPr>
                <w:sz w:val="24"/>
              </w:rPr>
            </w:pPr>
            <w:r>
              <w:rPr>
                <w:sz w:val="24"/>
                <w:lang w:val="ga"/>
              </w:rPr>
              <w:t>An Roinn Airgeadais</w:t>
            </w:r>
          </w:p>
        </w:tc>
        <w:tc>
          <w:tcPr>
            <w:tcW w:w="3284" w:type="dxa"/>
          </w:tcPr>
          <w:p w14:paraId="436FA880" w14:textId="51C7C915" w:rsidR="00135D7B" w:rsidRDefault="00B33C41" w:rsidP="00BB4BB6">
            <w:pPr>
              <w:spacing w:after="0"/>
              <w:jc w:val="right"/>
              <w:rPr>
                <w:bCs/>
                <w:sz w:val="24"/>
              </w:rPr>
            </w:pPr>
            <w:r>
              <w:rPr>
                <w:sz w:val="24"/>
                <w:lang w:val="ga"/>
              </w:rPr>
              <w:t>90.9</w:t>
            </w:r>
          </w:p>
        </w:tc>
        <w:tc>
          <w:tcPr>
            <w:tcW w:w="3284" w:type="dxa"/>
          </w:tcPr>
          <w:p w14:paraId="2D9FFF68" w14:textId="0E2D3CC0" w:rsidR="00135D7B" w:rsidRDefault="00B33C41" w:rsidP="00BB4BB6">
            <w:pPr>
              <w:spacing w:after="0"/>
              <w:jc w:val="right"/>
              <w:rPr>
                <w:bCs/>
                <w:sz w:val="24"/>
              </w:rPr>
            </w:pPr>
            <w:r>
              <w:rPr>
                <w:sz w:val="24"/>
                <w:lang w:val="ga"/>
              </w:rPr>
              <w:t>90.9</w:t>
            </w:r>
          </w:p>
        </w:tc>
      </w:tr>
      <w:tr w:rsidR="00135D7B" w:rsidRPr="009F0AF4" w14:paraId="2815700C" w14:textId="77777777" w:rsidTr="00135D7B">
        <w:trPr>
          <w:trHeight w:val="10"/>
        </w:trPr>
        <w:tc>
          <w:tcPr>
            <w:tcW w:w="6789" w:type="dxa"/>
            <w:shd w:val="clear" w:color="auto" w:fill="auto"/>
          </w:tcPr>
          <w:p w14:paraId="046DC50E" w14:textId="455DE3C7" w:rsidR="00135D7B" w:rsidRPr="00B33C41" w:rsidRDefault="00B33C41" w:rsidP="00B33C41">
            <w:pPr>
              <w:keepNext/>
              <w:spacing w:after="0"/>
              <w:rPr>
                <w:sz w:val="24"/>
              </w:rPr>
            </w:pPr>
            <w:r>
              <w:rPr>
                <w:sz w:val="24"/>
                <w:lang w:val="ga"/>
              </w:rPr>
              <w:t>An Roinn Dlí agus Cirt</w:t>
            </w:r>
          </w:p>
        </w:tc>
        <w:tc>
          <w:tcPr>
            <w:tcW w:w="3284" w:type="dxa"/>
          </w:tcPr>
          <w:p w14:paraId="022D58B2" w14:textId="32AA58E8" w:rsidR="00135D7B" w:rsidRDefault="00B33C41" w:rsidP="00BB4BB6">
            <w:pPr>
              <w:spacing w:after="0"/>
              <w:jc w:val="right"/>
              <w:rPr>
                <w:bCs/>
                <w:sz w:val="24"/>
              </w:rPr>
            </w:pPr>
            <w:r>
              <w:rPr>
                <w:sz w:val="24"/>
                <w:lang w:val="ga"/>
              </w:rPr>
              <w:t>96.2</w:t>
            </w:r>
          </w:p>
        </w:tc>
        <w:tc>
          <w:tcPr>
            <w:tcW w:w="3284" w:type="dxa"/>
          </w:tcPr>
          <w:p w14:paraId="20B05765" w14:textId="0B805711" w:rsidR="00135D7B" w:rsidRDefault="00B33C41" w:rsidP="00BB4BB6">
            <w:pPr>
              <w:spacing w:after="0"/>
              <w:jc w:val="right"/>
              <w:rPr>
                <w:bCs/>
                <w:sz w:val="24"/>
              </w:rPr>
            </w:pPr>
            <w:r>
              <w:rPr>
                <w:sz w:val="24"/>
                <w:lang w:val="ga"/>
              </w:rPr>
              <w:t>88.5</w:t>
            </w:r>
          </w:p>
        </w:tc>
      </w:tr>
      <w:tr w:rsidR="00B33C41" w:rsidRPr="009F0AF4" w14:paraId="3A1CDBFA" w14:textId="77777777" w:rsidTr="00135D7B">
        <w:trPr>
          <w:trHeight w:val="10"/>
        </w:trPr>
        <w:tc>
          <w:tcPr>
            <w:tcW w:w="6789" w:type="dxa"/>
            <w:shd w:val="clear" w:color="auto" w:fill="auto"/>
          </w:tcPr>
          <w:p w14:paraId="41D0153B" w14:textId="6A61CF62" w:rsidR="00B33C41" w:rsidRPr="00B33C41" w:rsidRDefault="00B33C41" w:rsidP="00B33C41">
            <w:pPr>
              <w:keepNext/>
              <w:spacing w:after="0"/>
              <w:rPr>
                <w:sz w:val="24"/>
              </w:rPr>
            </w:pPr>
            <w:r>
              <w:rPr>
                <w:sz w:val="24"/>
                <w:lang w:val="ga"/>
              </w:rPr>
              <w:t>An Roinn Talmhaíochta</w:t>
            </w:r>
          </w:p>
        </w:tc>
        <w:tc>
          <w:tcPr>
            <w:tcW w:w="3284" w:type="dxa"/>
          </w:tcPr>
          <w:p w14:paraId="66CB538B" w14:textId="60B666BE" w:rsidR="00B33C41" w:rsidRDefault="00B33C41" w:rsidP="00BB4BB6">
            <w:pPr>
              <w:spacing w:after="0"/>
              <w:jc w:val="right"/>
              <w:rPr>
                <w:bCs/>
                <w:sz w:val="24"/>
              </w:rPr>
            </w:pPr>
            <w:r>
              <w:rPr>
                <w:sz w:val="24"/>
                <w:lang w:val="ga"/>
              </w:rPr>
              <w:t>84.2</w:t>
            </w:r>
          </w:p>
        </w:tc>
        <w:tc>
          <w:tcPr>
            <w:tcW w:w="3284" w:type="dxa"/>
          </w:tcPr>
          <w:p w14:paraId="2150F6E8" w14:textId="0842E931" w:rsidR="00B33C41" w:rsidRDefault="00B33C41" w:rsidP="00BB4BB6">
            <w:pPr>
              <w:spacing w:after="0"/>
              <w:jc w:val="right"/>
              <w:rPr>
                <w:bCs/>
                <w:sz w:val="24"/>
              </w:rPr>
            </w:pPr>
            <w:r>
              <w:rPr>
                <w:sz w:val="24"/>
                <w:lang w:val="ga"/>
              </w:rPr>
              <w:t>76.9</w:t>
            </w:r>
          </w:p>
        </w:tc>
      </w:tr>
      <w:tr w:rsidR="00B80534" w:rsidRPr="009F0AF4" w14:paraId="39CD23DA" w14:textId="77777777" w:rsidTr="00135D7B">
        <w:trPr>
          <w:trHeight w:val="10"/>
        </w:trPr>
        <w:tc>
          <w:tcPr>
            <w:tcW w:w="6789" w:type="dxa"/>
            <w:shd w:val="clear" w:color="auto" w:fill="auto"/>
          </w:tcPr>
          <w:p w14:paraId="1235A6C0" w14:textId="77777777" w:rsidR="00B80534" w:rsidRPr="00B33C41" w:rsidRDefault="00B80534" w:rsidP="00B33C41">
            <w:pPr>
              <w:keepNext/>
              <w:spacing w:after="0"/>
              <w:rPr>
                <w:sz w:val="24"/>
              </w:rPr>
            </w:pPr>
            <w:r>
              <w:rPr>
                <w:sz w:val="24"/>
                <w:lang w:val="ga"/>
              </w:rPr>
              <w:t>An Roinn Breisoideachais agus Ardoideachais, Taighde, Nuálaíochta agus Eolaíochta</w:t>
            </w:r>
          </w:p>
        </w:tc>
        <w:tc>
          <w:tcPr>
            <w:tcW w:w="3284" w:type="dxa"/>
          </w:tcPr>
          <w:p w14:paraId="2F4AC6ED" w14:textId="77777777" w:rsidR="00B80534" w:rsidRDefault="00B80534" w:rsidP="00BB4BB6">
            <w:pPr>
              <w:spacing w:after="0"/>
              <w:jc w:val="right"/>
              <w:rPr>
                <w:bCs/>
                <w:sz w:val="24"/>
              </w:rPr>
            </w:pPr>
            <w:r>
              <w:rPr>
                <w:sz w:val="24"/>
                <w:lang w:val="ga"/>
              </w:rPr>
              <w:t>79.2</w:t>
            </w:r>
          </w:p>
        </w:tc>
        <w:tc>
          <w:tcPr>
            <w:tcW w:w="3284" w:type="dxa"/>
          </w:tcPr>
          <w:p w14:paraId="62BE4E42" w14:textId="77777777" w:rsidR="00B80534" w:rsidRDefault="00B80534" w:rsidP="00BB4BB6">
            <w:pPr>
              <w:spacing w:after="0"/>
              <w:jc w:val="right"/>
              <w:rPr>
                <w:bCs/>
                <w:sz w:val="24"/>
              </w:rPr>
            </w:pPr>
            <w:r>
              <w:rPr>
                <w:sz w:val="24"/>
                <w:lang w:val="ga"/>
              </w:rPr>
              <w:t>75.0</w:t>
            </w:r>
          </w:p>
        </w:tc>
      </w:tr>
      <w:tr w:rsidR="00B80534" w:rsidRPr="009F0AF4" w14:paraId="58CE9C4A" w14:textId="77777777" w:rsidTr="00135D7B">
        <w:trPr>
          <w:trHeight w:val="10"/>
        </w:trPr>
        <w:tc>
          <w:tcPr>
            <w:tcW w:w="6789" w:type="dxa"/>
            <w:shd w:val="clear" w:color="auto" w:fill="auto"/>
          </w:tcPr>
          <w:p w14:paraId="0DE52EED" w14:textId="3A51ACE0" w:rsidR="00B80534" w:rsidRPr="00B33C41" w:rsidRDefault="00B80534" w:rsidP="00B33C41">
            <w:pPr>
              <w:keepNext/>
              <w:spacing w:after="0"/>
              <w:rPr>
                <w:sz w:val="24"/>
              </w:rPr>
            </w:pPr>
            <w:r>
              <w:rPr>
                <w:sz w:val="24"/>
                <w:lang w:val="ga"/>
              </w:rPr>
              <w:t>An Roinn Forbartha Tuaithe agus Pobail</w:t>
            </w:r>
          </w:p>
        </w:tc>
        <w:tc>
          <w:tcPr>
            <w:tcW w:w="3284" w:type="dxa"/>
          </w:tcPr>
          <w:p w14:paraId="2C45ED93" w14:textId="77777777" w:rsidR="00B80534" w:rsidRDefault="00B80534" w:rsidP="00BB4BB6">
            <w:pPr>
              <w:spacing w:after="0"/>
              <w:jc w:val="right"/>
              <w:rPr>
                <w:bCs/>
                <w:sz w:val="24"/>
              </w:rPr>
            </w:pPr>
            <w:r>
              <w:rPr>
                <w:sz w:val="24"/>
                <w:lang w:val="ga"/>
              </w:rPr>
              <w:t>75.0</w:t>
            </w:r>
          </w:p>
        </w:tc>
        <w:tc>
          <w:tcPr>
            <w:tcW w:w="3284" w:type="dxa"/>
          </w:tcPr>
          <w:p w14:paraId="11B7F214" w14:textId="77777777" w:rsidR="00B80534" w:rsidRDefault="00B80534" w:rsidP="00BB4BB6">
            <w:pPr>
              <w:spacing w:after="0"/>
              <w:jc w:val="right"/>
              <w:rPr>
                <w:bCs/>
                <w:sz w:val="24"/>
              </w:rPr>
            </w:pPr>
            <w:r>
              <w:rPr>
                <w:sz w:val="24"/>
                <w:lang w:val="ga"/>
              </w:rPr>
              <w:t>75.0</w:t>
            </w:r>
          </w:p>
        </w:tc>
      </w:tr>
      <w:tr w:rsidR="00B80534" w:rsidRPr="009F0AF4" w14:paraId="610DAB99" w14:textId="77777777" w:rsidTr="00135D7B">
        <w:trPr>
          <w:trHeight w:val="10"/>
        </w:trPr>
        <w:tc>
          <w:tcPr>
            <w:tcW w:w="6789" w:type="dxa"/>
            <w:shd w:val="clear" w:color="auto" w:fill="auto"/>
          </w:tcPr>
          <w:p w14:paraId="094EB77A" w14:textId="07B80983" w:rsidR="00B80534" w:rsidRPr="00B33C41" w:rsidRDefault="00B80534" w:rsidP="00B33C41">
            <w:pPr>
              <w:keepNext/>
              <w:spacing w:after="0"/>
              <w:rPr>
                <w:sz w:val="24"/>
              </w:rPr>
            </w:pPr>
            <w:r>
              <w:rPr>
                <w:sz w:val="24"/>
                <w:lang w:val="ga"/>
              </w:rPr>
              <w:t>An Roinn Sláinte</w:t>
            </w:r>
          </w:p>
        </w:tc>
        <w:tc>
          <w:tcPr>
            <w:tcW w:w="3284" w:type="dxa"/>
          </w:tcPr>
          <w:p w14:paraId="2BE168B6" w14:textId="77777777" w:rsidR="00B80534" w:rsidRDefault="00B80534" w:rsidP="00BB4BB6">
            <w:pPr>
              <w:spacing w:after="0"/>
              <w:jc w:val="right"/>
              <w:rPr>
                <w:bCs/>
                <w:sz w:val="24"/>
              </w:rPr>
            </w:pPr>
            <w:r>
              <w:rPr>
                <w:sz w:val="24"/>
                <w:lang w:val="ga"/>
              </w:rPr>
              <w:t>70.0</w:t>
            </w:r>
          </w:p>
        </w:tc>
        <w:tc>
          <w:tcPr>
            <w:tcW w:w="3284" w:type="dxa"/>
          </w:tcPr>
          <w:p w14:paraId="017ADA19" w14:textId="77777777" w:rsidR="00B80534" w:rsidRDefault="00B80534" w:rsidP="00BB4BB6">
            <w:pPr>
              <w:spacing w:after="0"/>
              <w:jc w:val="right"/>
              <w:rPr>
                <w:bCs/>
                <w:sz w:val="24"/>
              </w:rPr>
            </w:pPr>
            <w:r>
              <w:rPr>
                <w:sz w:val="24"/>
                <w:lang w:val="ga"/>
              </w:rPr>
              <w:t>60.0</w:t>
            </w:r>
          </w:p>
        </w:tc>
      </w:tr>
      <w:tr w:rsidR="00B80534" w:rsidRPr="009F0AF4" w14:paraId="72318E66" w14:textId="77777777" w:rsidTr="00135D7B">
        <w:trPr>
          <w:trHeight w:val="10"/>
        </w:trPr>
        <w:tc>
          <w:tcPr>
            <w:tcW w:w="6789" w:type="dxa"/>
            <w:shd w:val="clear" w:color="auto" w:fill="auto"/>
          </w:tcPr>
          <w:p w14:paraId="647D0777" w14:textId="11410DB8" w:rsidR="00B80534" w:rsidRPr="00B33C41" w:rsidRDefault="00B80534" w:rsidP="00B33C41">
            <w:pPr>
              <w:keepNext/>
              <w:spacing w:after="0"/>
              <w:rPr>
                <w:sz w:val="24"/>
              </w:rPr>
            </w:pPr>
            <w:r>
              <w:rPr>
                <w:sz w:val="24"/>
                <w:lang w:val="ga"/>
              </w:rPr>
              <w:t>An Roinn Comhshaoil, Aeráide agus Cumarsáide</w:t>
            </w:r>
          </w:p>
        </w:tc>
        <w:tc>
          <w:tcPr>
            <w:tcW w:w="3284" w:type="dxa"/>
          </w:tcPr>
          <w:p w14:paraId="2B944157" w14:textId="77777777" w:rsidR="00B80534" w:rsidRDefault="00B80534" w:rsidP="00BB4BB6">
            <w:pPr>
              <w:spacing w:after="0"/>
              <w:jc w:val="right"/>
              <w:rPr>
                <w:bCs/>
                <w:sz w:val="24"/>
              </w:rPr>
            </w:pPr>
            <w:r>
              <w:rPr>
                <w:sz w:val="24"/>
                <w:lang w:val="ga"/>
              </w:rPr>
              <w:t>64.3</w:t>
            </w:r>
          </w:p>
        </w:tc>
        <w:tc>
          <w:tcPr>
            <w:tcW w:w="3284" w:type="dxa"/>
          </w:tcPr>
          <w:p w14:paraId="719B69AA" w14:textId="77777777" w:rsidR="00B80534" w:rsidRDefault="00B80534" w:rsidP="00BB4BB6">
            <w:pPr>
              <w:spacing w:after="0"/>
              <w:jc w:val="right"/>
              <w:rPr>
                <w:bCs/>
                <w:sz w:val="24"/>
              </w:rPr>
            </w:pPr>
            <w:r>
              <w:rPr>
                <w:sz w:val="24"/>
                <w:lang w:val="ga"/>
              </w:rPr>
              <w:t>57.1</w:t>
            </w:r>
          </w:p>
        </w:tc>
      </w:tr>
      <w:tr w:rsidR="00B80534" w:rsidRPr="009F0AF4" w14:paraId="77940D26" w14:textId="77777777" w:rsidTr="00135D7B">
        <w:trPr>
          <w:trHeight w:val="10"/>
        </w:trPr>
        <w:tc>
          <w:tcPr>
            <w:tcW w:w="6789" w:type="dxa"/>
            <w:shd w:val="clear" w:color="auto" w:fill="auto"/>
          </w:tcPr>
          <w:p w14:paraId="7230D1C4" w14:textId="0FC19A17" w:rsidR="00B80534" w:rsidRPr="00B33C41" w:rsidRDefault="00B80534" w:rsidP="00B33C41">
            <w:pPr>
              <w:keepNext/>
              <w:spacing w:after="0"/>
              <w:rPr>
                <w:sz w:val="24"/>
              </w:rPr>
            </w:pPr>
            <w:r>
              <w:rPr>
                <w:sz w:val="24"/>
                <w:lang w:val="ga"/>
              </w:rPr>
              <w:t>An Roinn Coimirce Sóisialaí</w:t>
            </w:r>
          </w:p>
        </w:tc>
        <w:tc>
          <w:tcPr>
            <w:tcW w:w="3284" w:type="dxa"/>
          </w:tcPr>
          <w:p w14:paraId="55EC5000" w14:textId="77777777" w:rsidR="00B80534" w:rsidRDefault="00B80534" w:rsidP="00BB4BB6">
            <w:pPr>
              <w:spacing w:after="0"/>
              <w:jc w:val="right"/>
              <w:rPr>
                <w:bCs/>
                <w:sz w:val="24"/>
              </w:rPr>
            </w:pPr>
            <w:r>
              <w:rPr>
                <w:sz w:val="24"/>
                <w:lang w:val="ga"/>
              </w:rPr>
              <w:t>57.1</w:t>
            </w:r>
          </w:p>
        </w:tc>
        <w:tc>
          <w:tcPr>
            <w:tcW w:w="3284" w:type="dxa"/>
          </w:tcPr>
          <w:p w14:paraId="65C5FD52" w14:textId="77777777" w:rsidR="00B80534" w:rsidRDefault="00B80534" w:rsidP="00BB4BB6">
            <w:pPr>
              <w:spacing w:after="0"/>
              <w:jc w:val="right"/>
              <w:rPr>
                <w:bCs/>
                <w:sz w:val="24"/>
              </w:rPr>
            </w:pPr>
            <w:r>
              <w:rPr>
                <w:sz w:val="24"/>
                <w:lang w:val="ga"/>
              </w:rPr>
              <w:t>57.1</w:t>
            </w:r>
          </w:p>
        </w:tc>
      </w:tr>
      <w:tr w:rsidR="00B80534" w:rsidRPr="009F0AF4" w14:paraId="6A93B29C" w14:textId="77777777" w:rsidTr="00135D7B">
        <w:trPr>
          <w:trHeight w:val="10"/>
        </w:trPr>
        <w:tc>
          <w:tcPr>
            <w:tcW w:w="6789" w:type="dxa"/>
            <w:shd w:val="clear" w:color="auto" w:fill="auto"/>
          </w:tcPr>
          <w:p w14:paraId="05C96D42" w14:textId="0D0EE706" w:rsidR="00B80534" w:rsidRPr="00B33C41" w:rsidRDefault="00B80534" w:rsidP="00B33C41">
            <w:pPr>
              <w:keepNext/>
              <w:spacing w:after="0"/>
              <w:rPr>
                <w:sz w:val="24"/>
              </w:rPr>
            </w:pPr>
            <w:r>
              <w:rPr>
                <w:sz w:val="24"/>
                <w:lang w:val="ga"/>
              </w:rPr>
              <w:t>An Roinn Caiteachais Phoiblí, Seachadta ar an bPlean Forbartha Náisiúnta, agus Athchóirithe</w:t>
            </w:r>
          </w:p>
        </w:tc>
        <w:tc>
          <w:tcPr>
            <w:tcW w:w="3284" w:type="dxa"/>
          </w:tcPr>
          <w:p w14:paraId="1B713999" w14:textId="77777777" w:rsidR="00B80534" w:rsidRDefault="00B80534" w:rsidP="00BB4BB6">
            <w:pPr>
              <w:spacing w:after="0"/>
              <w:jc w:val="right"/>
              <w:rPr>
                <w:bCs/>
                <w:sz w:val="24"/>
              </w:rPr>
            </w:pPr>
            <w:r>
              <w:rPr>
                <w:sz w:val="24"/>
                <w:lang w:val="ga"/>
              </w:rPr>
              <w:t>69.2</w:t>
            </w:r>
          </w:p>
        </w:tc>
        <w:tc>
          <w:tcPr>
            <w:tcW w:w="3284" w:type="dxa"/>
          </w:tcPr>
          <w:p w14:paraId="61BB5408" w14:textId="77777777" w:rsidR="00B80534" w:rsidRDefault="00B80534" w:rsidP="00BB4BB6">
            <w:pPr>
              <w:spacing w:after="0"/>
              <w:jc w:val="right"/>
              <w:rPr>
                <w:bCs/>
                <w:sz w:val="24"/>
              </w:rPr>
            </w:pPr>
            <w:r>
              <w:rPr>
                <w:sz w:val="24"/>
                <w:lang w:val="ga"/>
              </w:rPr>
              <w:t>53.8</w:t>
            </w:r>
          </w:p>
        </w:tc>
      </w:tr>
      <w:tr w:rsidR="00B80534" w:rsidRPr="009F0AF4" w14:paraId="1566966C" w14:textId="77777777" w:rsidTr="00135D7B">
        <w:trPr>
          <w:trHeight w:val="10"/>
        </w:trPr>
        <w:tc>
          <w:tcPr>
            <w:tcW w:w="6789" w:type="dxa"/>
            <w:shd w:val="clear" w:color="auto" w:fill="auto"/>
          </w:tcPr>
          <w:p w14:paraId="3F38069B" w14:textId="7F5222D3" w:rsidR="00B80534" w:rsidRPr="00B33C41" w:rsidRDefault="00B80534" w:rsidP="00B33C41">
            <w:pPr>
              <w:keepNext/>
              <w:spacing w:after="0"/>
              <w:rPr>
                <w:sz w:val="24"/>
              </w:rPr>
            </w:pPr>
            <w:r>
              <w:rPr>
                <w:sz w:val="24"/>
                <w:lang w:val="ga"/>
              </w:rPr>
              <w:t>An Roinn Fiontar, Trádála agus Fostaíochta</w:t>
            </w:r>
          </w:p>
        </w:tc>
        <w:tc>
          <w:tcPr>
            <w:tcW w:w="3284" w:type="dxa"/>
          </w:tcPr>
          <w:p w14:paraId="63622C6B" w14:textId="77777777" w:rsidR="00B80534" w:rsidRDefault="00B80534" w:rsidP="00BB4BB6">
            <w:pPr>
              <w:spacing w:after="0"/>
              <w:jc w:val="right"/>
              <w:rPr>
                <w:bCs/>
                <w:sz w:val="24"/>
              </w:rPr>
            </w:pPr>
            <w:r>
              <w:rPr>
                <w:sz w:val="24"/>
                <w:lang w:val="ga"/>
              </w:rPr>
              <w:t>64.3</w:t>
            </w:r>
          </w:p>
        </w:tc>
        <w:tc>
          <w:tcPr>
            <w:tcW w:w="3284" w:type="dxa"/>
          </w:tcPr>
          <w:p w14:paraId="484EE2FB" w14:textId="77777777" w:rsidR="00B80534" w:rsidRDefault="00B80534" w:rsidP="00BB4BB6">
            <w:pPr>
              <w:spacing w:after="0"/>
              <w:jc w:val="right"/>
              <w:rPr>
                <w:bCs/>
                <w:sz w:val="24"/>
              </w:rPr>
            </w:pPr>
            <w:r>
              <w:rPr>
                <w:sz w:val="24"/>
                <w:lang w:val="ga"/>
              </w:rPr>
              <w:t>50.0</w:t>
            </w:r>
          </w:p>
        </w:tc>
      </w:tr>
      <w:tr w:rsidR="00B527E8" w:rsidRPr="009F0AF4" w14:paraId="3A3C5EE6" w14:textId="77777777" w:rsidTr="00135D7B">
        <w:trPr>
          <w:trHeight w:val="10"/>
        </w:trPr>
        <w:tc>
          <w:tcPr>
            <w:tcW w:w="6789" w:type="dxa"/>
            <w:shd w:val="clear" w:color="auto" w:fill="auto"/>
          </w:tcPr>
          <w:p w14:paraId="7D7D33EB" w14:textId="3B8BDAB5" w:rsidR="00B527E8" w:rsidRPr="00B33C41" w:rsidRDefault="00B527E8" w:rsidP="00B33C41">
            <w:pPr>
              <w:keepNext/>
              <w:spacing w:after="0"/>
              <w:rPr>
                <w:sz w:val="24"/>
              </w:rPr>
            </w:pPr>
            <w:r>
              <w:rPr>
                <w:sz w:val="24"/>
                <w:lang w:val="ga"/>
              </w:rPr>
              <w:t>An Roinn Leanaí, Comhionannais, Míchumais, Lánpháirtíochta agus Óige</w:t>
            </w:r>
          </w:p>
        </w:tc>
        <w:tc>
          <w:tcPr>
            <w:tcW w:w="3284" w:type="dxa"/>
          </w:tcPr>
          <w:p w14:paraId="473DC6E4" w14:textId="2DC6B467" w:rsidR="00B527E8" w:rsidRDefault="00B527E8" w:rsidP="00BB4BB6">
            <w:pPr>
              <w:spacing w:after="0"/>
              <w:jc w:val="right"/>
              <w:rPr>
                <w:bCs/>
                <w:sz w:val="24"/>
              </w:rPr>
            </w:pPr>
            <w:r>
              <w:rPr>
                <w:sz w:val="24"/>
                <w:lang w:val="ga"/>
              </w:rPr>
              <w:t>57.1</w:t>
            </w:r>
          </w:p>
        </w:tc>
        <w:tc>
          <w:tcPr>
            <w:tcW w:w="3284" w:type="dxa"/>
          </w:tcPr>
          <w:p w14:paraId="2803F0DF" w14:textId="45EDB600" w:rsidR="00B527E8" w:rsidRDefault="00B527E8" w:rsidP="00BB4BB6">
            <w:pPr>
              <w:spacing w:after="0"/>
              <w:jc w:val="right"/>
              <w:rPr>
                <w:bCs/>
                <w:sz w:val="24"/>
              </w:rPr>
            </w:pPr>
            <w:r>
              <w:rPr>
                <w:sz w:val="24"/>
                <w:lang w:val="ga"/>
              </w:rPr>
              <w:t>42.9</w:t>
            </w:r>
          </w:p>
        </w:tc>
      </w:tr>
      <w:tr w:rsidR="00B80534" w:rsidRPr="009F0AF4" w14:paraId="6E66B129" w14:textId="77777777" w:rsidTr="00135D7B">
        <w:trPr>
          <w:trHeight w:val="10"/>
        </w:trPr>
        <w:tc>
          <w:tcPr>
            <w:tcW w:w="6789" w:type="dxa"/>
            <w:shd w:val="clear" w:color="auto" w:fill="auto"/>
          </w:tcPr>
          <w:p w14:paraId="1BA55B8B" w14:textId="6119F2FE" w:rsidR="00B80534" w:rsidRPr="00B33C41" w:rsidRDefault="00B80534" w:rsidP="00B33C41">
            <w:pPr>
              <w:keepNext/>
              <w:spacing w:after="0"/>
              <w:rPr>
                <w:sz w:val="24"/>
              </w:rPr>
            </w:pPr>
            <w:r>
              <w:rPr>
                <w:sz w:val="24"/>
                <w:lang w:val="ga"/>
              </w:rPr>
              <w:lastRenderedPageBreak/>
              <w:t>An Roinn Tithíochta, Rialtais Áitiúil agus Oidhreachta</w:t>
            </w:r>
          </w:p>
        </w:tc>
        <w:tc>
          <w:tcPr>
            <w:tcW w:w="3284" w:type="dxa"/>
          </w:tcPr>
          <w:p w14:paraId="31B5A0B7" w14:textId="77777777" w:rsidR="00B80534" w:rsidRDefault="00B80534" w:rsidP="00BB4BB6">
            <w:pPr>
              <w:spacing w:after="0"/>
              <w:jc w:val="right"/>
              <w:rPr>
                <w:bCs/>
                <w:sz w:val="24"/>
              </w:rPr>
            </w:pPr>
            <w:r>
              <w:rPr>
                <w:sz w:val="24"/>
                <w:lang w:val="ga"/>
              </w:rPr>
              <w:t>52.7</w:t>
            </w:r>
          </w:p>
        </w:tc>
        <w:tc>
          <w:tcPr>
            <w:tcW w:w="3284" w:type="dxa"/>
          </w:tcPr>
          <w:p w14:paraId="1FE34F52" w14:textId="77777777" w:rsidR="00B80534" w:rsidRDefault="00B80534" w:rsidP="00BB4BB6">
            <w:pPr>
              <w:spacing w:after="0"/>
              <w:jc w:val="right"/>
              <w:rPr>
                <w:bCs/>
                <w:sz w:val="24"/>
              </w:rPr>
            </w:pPr>
            <w:r>
              <w:rPr>
                <w:sz w:val="24"/>
                <w:lang w:val="ga"/>
              </w:rPr>
              <w:t>40.0</w:t>
            </w:r>
          </w:p>
        </w:tc>
      </w:tr>
      <w:tr w:rsidR="00B80534" w:rsidRPr="009F0AF4" w14:paraId="49AF5E4B" w14:textId="77777777" w:rsidTr="00135D7B">
        <w:trPr>
          <w:trHeight w:val="10"/>
        </w:trPr>
        <w:tc>
          <w:tcPr>
            <w:tcW w:w="6789" w:type="dxa"/>
            <w:shd w:val="clear" w:color="auto" w:fill="auto"/>
          </w:tcPr>
          <w:p w14:paraId="74A770D2" w14:textId="28CD253A" w:rsidR="00B80534" w:rsidRPr="00B33C41" w:rsidRDefault="00B80534" w:rsidP="00B33C41">
            <w:pPr>
              <w:keepNext/>
              <w:spacing w:after="0"/>
              <w:rPr>
                <w:sz w:val="24"/>
              </w:rPr>
            </w:pPr>
            <w:r>
              <w:rPr>
                <w:sz w:val="24"/>
                <w:lang w:val="ga"/>
              </w:rPr>
              <w:t>An Roinn Iompair</w:t>
            </w:r>
          </w:p>
        </w:tc>
        <w:tc>
          <w:tcPr>
            <w:tcW w:w="3284" w:type="dxa"/>
          </w:tcPr>
          <w:p w14:paraId="56A01D1A" w14:textId="77777777" w:rsidR="00B80534" w:rsidRDefault="00B80534" w:rsidP="00BB4BB6">
            <w:pPr>
              <w:spacing w:after="0"/>
              <w:jc w:val="right"/>
              <w:rPr>
                <w:bCs/>
                <w:sz w:val="24"/>
              </w:rPr>
            </w:pPr>
            <w:r>
              <w:rPr>
                <w:sz w:val="24"/>
                <w:lang w:val="ga"/>
              </w:rPr>
              <w:t>55.6</w:t>
            </w:r>
          </w:p>
        </w:tc>
        <w:tc>
          <w:tcPr>
            <w:tcW w:w="3284" w:type="dxa"/>
          </w:tcPr>
          <w:p w14:paraId="57894F2D" w14:textId="77777777" w:rsidR="00B80534" w:rsidRDefault="00B80534" w:rsidP="00BB4BB6">
            <w:pPr>
              <w:spacing w:after="0"/>
              <w:jc w:val="right"/>
              <w:rPr>
                <w:bCs/>
                <w:sz w:val="24"/>
              </w:rPr>
            </w:pPr>
            <w:r>
              <w:rPr>
                <w:sz w:val="24"/>
                <w:lang w:val="ga"/>
              </w:rPr>
              <w:t>38.9</w:t>
            </w:r>
          </w:p>
        </w:tc>
      </w:tr>
      <w:tr w:rsidR="00B80534" w:rsidRPr="009F0AF4" w14:paraId="6B934B6D" w14:textId="77777777" w:rsidTr="00135D7B">
        <w:trPr>
          <w:trHeight w:val="248"/>
        </w:trPr>
        <w:tc>
          <w:tcPr>
            <w:tcW w:w="6789" w:type="dxa"/>
            <w:shd w:val="clear" w:color="auto" w:fill="auto"/>
          </w:tcPr>
          <w:p w14:paraId="385B5575" w14:textId="77777777" w:rsidR="00B80534" w:rsidRPr="00B33C41" w:rsidRDefault="00B80534" w:rsidP="00B33C41">
            <w:pPr>
              <w:keepNext/>
              <w:spacing w:after="0"/>
              <w:rPr>
                <w:sz w:val="24"/>
              </w:rPr>
            </w:pPr>
            <w:r>
              <w:rPr>
                <w:sz w:val="24"/>
                <w:lang w:val="ga"/>
              </w:rPr>
              <w:t>Roinn an Taoisigh</w:t>
            </w:r>
          </w:p>
        </w:tc>
        <w:tc>
          <w:tcPr>
            <w:tcW w:w="3284" w:type="dxa"/>
          </w:tcPr>
          <w:p w14:paraId="22EA3136" w14:textId="77777777" w:rsidR="00B80534" w:rsidRDefault="00B80534" w:rsidP="00BB4BB6">
            <w:pPr>
              <w:spacing w:after="0"/>
              <w:jc w:val="right"/>
              <w:rPr>
                <w:sz w:val="24"/>
              </w:rPr>
            </w:pPr>
            <w:r>
              <w:rPr>
                <w:sz w:val="24"/>
                <w:lang w:val="ga"/>
              </w:rPr>
              <w:t>66.7</w:t>
            </w:r>
          </w:p>
        </w:tc>
        <w:tc>
          <w:tcPr>
            <w:tcW w:w="3284" w:type="dxa"/>
          </w:tcPr>
          <w:p w14:paraId="0D6EB7F1" w14:textId="77777777" w:rsidR="00B80534" w:rsidRDefault="00B80534" w:rsidP="00BB4BB6">
            <w:pPr>
              <w:spacing w:after="0"/>
              <w:jc w:val="right"/>
              <w:rPr>
                <w:sz w:val="24"/>
              </w:rPr>
            </w:pPr>
            <w:r>
              <w:rPr>
                <w:sz w:val="24"/>
                <w:lang w:val="ga"/>
              </w:rPr>
              <w:t>33.3</w:t>
            </w:r>
          </w:p>
        </w:tc>
      </w:tr>
      <w:tr w:rsidR="00B80534" w:rsidRPr="009F0AF4" w14:paraId="0B124A65" w14:textId="77777777" w:rsidTr="00135D7B">
        <w:trPr>
          <w:trHeight w:val="248"/>
        </w:trPr>
        <w:tc>
          <w:tcPr>
            <w:tcW w:w="6789" w:type="dxa"/>
            <w:shd w:val="clear" w:color="auto" w:fill="auto"/>
          </w:tcPr>
          <w:p w14:paraId="0CC17B41" w14:textId="77777777" w:rsidR="00B80534" w:rsidRPr="00B33C41" w:rsidRDefault="00B80534" w:rsidP="00B33C41">
            <w:pPr>
              <w:keepNext/>
              <w:spacing w:after="0"/>
              <w:rPr>
                <w:sz w:val="24"/>
              </w:rPr>
            </w:pPr>
            <w:r>
              <w:rPr>
                <w:sz w:val="24"/>
                <w:lang w:val="ga"/>
              </w:rPr>
              <w:t>An Roinn Turasóireachta, Cultúir, Ealaíon, Gaeltachta, Spóirt agus Meán</w:t>
            </w:r>
          </w:p>
        </w:tc>
        <w:tc>
          <w:tcPr>
            <w:tcW w:w="3284" w:type="dxa"/>
          </w:tcPr>
          <w:p w14:paraId="75A21A64" w14:textId="77777777" w:rsidR="00B80534" w:rsidRDefault="00B80534" w:rsidP="00BB4BB6">
            <w:pPr>
              <w:spacing w:after="0"/>
              <w:jc w:val="right"/>
              <w:rPr>
                <w:sz w:val="24"/>
              </w:rPr>
            </w:pPr>
            <w:r>
              <w:rPr>
                <w:sz w:val="24"/>
                <w:lang w:val="ga"/>
              </w:rPr>
              <w:t>27.3</w:t>
            </w:r>
          </w:p>
        </w:tc>
        <w:tc>
          <w:tcPr>
            <w:tcW w:w="3284" w:type="dxa"/>
          </w:tcPr>
          <w:p w14:paraId="66DB6DDB" w14:textId="77777777" w:rsidR="00B80534" w:rsidRDefault="00B80534" w:rsidP="00BB4BB6">
            <w:pPr>
              <w:spacing w:after="0"/>
              <w:jc w:val="right"/>
              <w:rPr>
                <w:sz w:val="24"/>
              </w:rPr>
            </w:pPr>
            <w:r>
              <w:rPr>
                <w:sz w:val="24"/>
                <w:lang w:val="ga"/>
              </w:rPr>
              <w:t>13.6</w:t>
            </w:r>
          </w:p>
        </w:tc>
      </w:tr>
      <w:tr w:rsidR="00B80534" w:rsidRPr="009F0AF4" w14:paraId="65C67D7D" w14:textId="77777777" w:rsidTr="00135D7B">
        <w:trPr>
          <w:trHeight w:val="248"/>
        </w:trPr>
        <w:tc>
          <w:tcPr>
            <w:tcW w:w="6789" w:type="dxa"/>
            <w:shd w:val="clear" w:color="auto" w:fill="auto"/>
          </w:tcPr>
          <w:p w14:paraId="57BCC461" w14:textId="77777777" w:rsidR="00B80534" w:rsidRPr="00B33C41" w:rsidRDefault="00B80534" w:rsidP="00B33C41">
            <w:pPr>
              <w:keepNext/>
              <w:spacing w:after="0"/>
              <w:rPr>
                <w:sz w:val="24"/>
              </w:rPr>
            </w:pPr>
            <w:r>
              <w:rPr>
                <w:sz w:val="24"/>
                <w:lang w:val="ga"/>
              </w:rPr>
              <w:t xml:space="preserve">An Roinn Cosanta </w:t>
            </w:r>
          </w:p>
        </w:tc>
        <w:tc>
          <w:tcPr>
            <w:tcW w:w="3284" w:type="dxa"/>
          </w:tcPr>
          <w:p w14:paraId="7FC6A636" w14:textId="77777777" w:rsidR="00B80534" w:rsidRDefault="00B80534" w:rsidP="00BB4BB6">
            <w:pPr>
              <w:spacing w:after="0"/>
              <w:jc w:val="right"/>
              <w:rPr>
                <w:sz w:val="24"/>
              </w:rPr>
            </w:pPr>
            <w:r>
              <w:rPr>
                <w:sz w:val="24"/>
                <w:lang w:val="ga"/>
              </w:rPr>
              <w:t>50.0</w:t>
            </w:r>
          </w:p>
        </w:tc>
        <w:tc>
          <w:tcPr>
            <w:tcW w:w="3284" w:type="dxa"/>
          </w:tcPr>
          <w:p w14:paraId="02E351D1" w14:textId="77777777" w:rsidR="00B80534" w:rsidRDefault="00B80534" w:rsidP="00BB4BB6">
            <w:pPr>
              <w:spacing w:after="0"/>
              <w:jc w:val="right"/>
              <w:rPr>
                <w:sz w:val="24"/>
              </w:rPr>
            </w:pPr>
            <w:r>
              <w:rPr>
                <w:sz w:val="24"/>
                <w:lang w:val="ga"/>
              </w:rPr>
              <w:t>0.0</w:t>
            </w:r>
          </w:p>
        </w:tc>
      </w:tr>
      <w:tr w:rsidR="00B80534" w:rsidRPr="009F0AF4" w14:paraId="4B2CA4D5" w14:textId="77777777" w:rsidTr="00135D7B">
        <w:trPr>
          <w:trHeight w:val="248"/>
        </w:trPr>
        <w:tc>
          <w:tcPr>
            <w:tcW w:w="6789" w:type="dxa"/>
            <w:shd w:val="clear" w:color="auto" w:fill="auto"/>
          </w:tcPr>
          <w:p w14:paraId="0AC917F5" w14:textId="77777777" w:rsidR="00B80534" w:rsidRPr="003F60DF" w:rsidRDefault="00B80534" w:rsidP="00BB4BB6">
            <w:pPr>
              <w:keepNext/>
              <w:spacing w:after="0"/>
              <w:rPr>
                <w:b/>
                <w:bCs/>
                <w:sz w:val="24"/>
              </w:rPr>
            </w:pPr>
            <w:r>
              <w:rPr>
                <w:b/>
                <w:bCs/>
                <w:sz w:val="24"/>
                <w:lang w:val="ga"/>
              </w:rPr>
              <w:t xml:space="preserve">Iomláin Fhoriomlána an Chomhlíonta </w:t>
            </w:r>
          </w:p>
        </w:tc>
        <w:tc>
          <w:tcPr>
            <w:tcW w:w="3284" w:type="dxa"/>
          </w:tcPr>
          <w:p w14:paraId="5FA8B990" w14:textId="2BCB4F00" w:rsidR="00B80534" w:rsidRPr="003F60DF" w:rsidRDefault="00B80534" w:rsidP="00BB4BB6">
            <w:pPr>
              <w:spacing w:after="0"/>
              <w:jc w:val="right"/>
              <w:rPr>
                <w:b/>
                <w:bCs/>
                <w:sz w:val="24"/>
              </w:rPr>
            </w:pPr>
            <w:r>
              <w:rPr>
                <w:b/>
                <w:bCs/>
                <w:sz w:val="24"/>
                <w:lang w:val="ga"/>
              </w:rPr>
              <w:t>68.3</w:t>
            </w:r>
          </w:p>
        </w:tc>
        <w:tc>
          <w:tcPr>
            <w:tcW w:w="3284" w:type="dxa"/>
          </w:tcPr>
          <w:p w14:paraId="66E3C5EB" w14:textId="0873F819" w:rsidR="00B80534" w:rsidRPr="003F60DF" w:rsidRDefault="00B80534" w:rsidP="00BB4BB6">
            <w:pPr>
              <w:spacing w:after="0"/>
              <w:jc w:val="right"/>
              <w:rPr>
                <w:b/>
                <w:bCs/>
                <w:sz w:val="24"/>
              </w:rPr>
            </w:pPr>
            <w:r>
              <w:rPr>
                <w:b/>
                <w:bCs/>
                <w:sz w:val="24"/>
                <w:lang w:val="ga"/>
              </w:rPr>
              <w:t>58.7</w:t>
            </w:r>
          </w:p>
        </w:tc>
      </w:tr>
    </w:tbl>
    <w:p w14:paraId="2DD4652C" w14:textId="7992DB1A" w:rsidR="00B80534" w:rsidRDefault="00B80534" w:rsidP="009E3BB8">
      <w:pPr>
        <w:sectPr w:rsidR="00B80534" w:rsidSect="00B80534">
          <w:pgSz w:w="15840" w:h="12240" w:orient="landscape"/>
          <w:pgMar w:top="1797" w:right="1440" w:bottom="1797" w:left="1440" w:header="709" w:footer="709" w:gutter="0"/>
          <w:cols w:space="708"/>
          <w:docGrid w:linePitch="360"/>
        </w:sectPr>
      </w:pPr>
      <w:r>
        <w:rPr>
          <w:lang w:val="ga"/>
        </w:rPr>
        <w:t>*tabhair faoi deara go mbaineann na céatadáin leis an Roinn móide na comhlachtaí atá faoina coimirce.</w:t>
      </w:r>
    </w:p>
    <w:p w14:paraId="1FAED6E3" w14:textId="5139E6BC" w:rsidR="00460B5C" w:rsidRDefault="00460B5C" w:rsidP="00A618F8">
      <w:pPr>
        <w:pStyle w:val="Heading1"/>
      </w:pPr>
      <w:bookmarkStart w:id="23" w:name="_Toc145484467"/>
      <w:r>
        <w:rPr>
          <w:lang w:val="ga"/>
        </w:rPr>
        <w:lastRenderedPageBreak/>
        <w:t>Tionchar an Fhaireacháin</w:t>
      </w:r>
      <w:bookmarkEnd w:id="23"/>
      <w:r>
        <w:rPr>
          <w:lang w:val="ga"/>
        </w:rPr>
        <w:t xml:space="preserve"> </w:t>
      </w:r>
    </w:p>
    <w:p w14:paraId="21064691" w14:textId="3009EEF9" w:rsidR="00E36F7C" w:rsidRDefault="000E21E4" w:rsidP="00217455">
      <w:r>
        <w:rPr>
          <w:szCs w:val="26"/>
          <w:lang w:val="ga"/>
        </w:rPr>
        <w:t xml:space="preserve">Ar an iomlán, is amhlaidh ó eisiúint na dréacht-tuarascála i leith a thugann ÚNM dá aire gur tháinig feabhas suntasach ar fhógairt Oifigeach Rochtana ar shuíomhanna Gréasáin comhlachtaí poiblí. Tháinig méadú ar an bhfógairt ar shuíomhanna Gréasáin comhlachtaí poiblí ó 134 cinn (47.7% de na comhlachtaí poiblí uile a ndearnadh faireachán orthu) go 192 cheann (68.3% de na comhlachtaí poiblí uile a ndearnadh faireachán orthu). Is ionann é sin agus méadú 43.3% i gcur chun cinn Oifigeach Rochtana ar na suíomhanna Gréasáin comhlachtaí poiblí a ndearnadh faireachán orthu. (Féach Cairt 7) </w:t>
      </w:r>
    </w:p>
    <w:p w14:paraId="4323789E" w14:textId="77777777" w:rsidR="000E21E4" w:rsidRDefault="000E21E4" w:rsidP="000E21E4">
      <w:pPr>
        <w:pStyle w:val="Caption"/>
        <w:keepNext/>
        <w:jc w:val="left"/>
      </w:pPr>
      <w:r>
        <w:rPr>
          <w:lang w:val="ga"/>
        </w:rPr>
        <w:t xml:space="preserve">Cairt 7 – </w:t>
      </w:r>
      <w:r>
        <w:rPr>
          <w:noProof/>
          <w:lang w:val="ga"/>
        </w:rPr>
        <w:t>Athrú ar Chur Chun Cinn Oifigeach Rochtana ar Shuíomhanna Gréasáin</w:t>
      </w:r>
    </w:p>
    <w:p w14:paraId="42D71F76" w14:textId="77777777" w:rsidR="000E21E4" w:rsidRDefault="000E21E4" w:rsidP="000E21E4">
      <w:pPr>
        <w:rPr>
          <w:szCs w:val="26"/>
        </w:rPr>
      </w:pPr>
      <w:r>
        <w:rPr>
          <w:noProof/>
          <w:lang w:val="ga"/>
        </w:rPr>
        <w:drawing>
          <wp:inline distT="0" distB="0" distL="0" distR="0" wp14:anchorId="51DED871" wp14:editId="149D4CB3">
            <wp:extent cx="4610100" cy="2733675"/>
            <wp:effectExtent l="0" t="0" r="0" b="9525"/>
            <wp:docPr id="2" name="Chart 2" descr="Barrachairt ina léirítear an difríocht sa chéatadán de chomhlachtaí poiblí a chuir oifigigh rochtana chun cinn ar a suíomhanna Gréasáin. Ó 47.5% sna fionnachtana tosaigh go 68.1% sna fionnachtana deiridh ">
              <a:extLst xmlns:a="http://schemas.openxmlformats.org/drawingml/2006/main">
                <a:ext uri="{FF2B5EF4-FFF2-40B4-BE49-F238E27FC236}">
                  <a16:creationId xmlns:a16="http://schemas.microsoft.com/office/drawing/2014/main" id="{04E395FE-BC22-CF0F-0C66-17589B3693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268A54" w14:textId="6189277D" w:rsidR="000A5519" w:rsidRDefault="00B96526" w:rsidP="00460B5C">
      <w:r>
        <w:rPr>
          <w:szCs w:val="26"/>
          <w:lang w:val="ga"/>
        </w:rPr>
        <w:t xml:space="preserve">De bhreis air sin, bhí feabhas suntasach ann i soláthar fhaisnéis teagmhála na nOifigeach Rochtana, rud a d’éascaigh cumarsáid i scríbhinn agus cumarsáid ó bhéal agus, dá bhrí sin, a chomhlíon na critéir uile faoin táscaire seo. </w:t>
      </w:r>
      <w:r>
        <w:rPr>
          <w:lang w:val="ga"/>
        </w:rPr>
        <w:t xml:space="preserve">Tháinig feabhas air sin ó 98 gcomhlacht phoiblí (34.9% de na comhlachtaí poiblí uile a ndearnadh faireachán orthu) go 165 cinn (58.7% de na comhlachtaí poiblí uile a ndearnadh faireachán orthu). B’ionann é sin agus méadú 68.4%. </w:t>
      </w:r>
      <w:r>
        <w:rPr>
          <w:szCs w:val="26"/>
          <w:lang w:val="ga"/>
        </w:rPr>
        <w:t xml:space="preserve">(Féach Cairt 8) </w:t>
      </w:r>
    </w:p>
    <w:p w14:paraId="7B5E4D40" w14:textId="77777777" w:rsidR="006C1829" w:rsidRDefault="006C1829" w:rsidP="006C1829">
      <w:pPr>
        <w:pStyle w:val="Caption"/>
        <w:keepNext/>
        <w:jc w:val="left"/>
      </w:pPr>
      <w:r>
        <w:rPr>
          <w:lang w:val="ga"/>
        </w:rPr>
        <w:lastRenderedPageBreak/>
        <w:t xml:space="preserve">Cairt 8 – </w:t>
      </w:r>
      <w:r>
        <w:rPr>
          <w:noProof/>
          <w:lang w:val="ga"/>
        </w:rPr>
        <w:t>Comhlachtaí Poiblí a chomhlíon na Critéir uile</w:t>
      </w:r>
    </w:p>
    <w:p w14:paraId="6BC693AC" w14:textId="77777777" w:rsidR="006C1829" w:rsidRDefault="006C1829" w:rsidP="006C1829">
      <w:pPr>
        <w:rPr>
          <w:szCs w:val="26"/>
        </w:rPr>
      </w:pPr>
      <w:r>
        <w:rPr>
          <w:noProof/>
          <w:lang w:val="ga"/>
        </w:rPr>
        <w:drawing>
          <wp:inline distT="0" distB="0" distL="0" distR="0" wp14:anchorId="3C1C1E67" wp14:editId="275E86CE">
            <wp:extent cx="4785360" cy="2910840"/>
            <wp:effectExtent l="0" t="0" r="15240" b="3810"/>
            <wp:docPr id="5" name="Chart 5" descr="Barrachairt ina léirítear an difríocht sa chéatadán de chomhlachtaí poiblí a chomhlíon na critéir uile. Ó 34.8% sna fionnachtana tosaigh go 58.5% sna fionnachtana deiridh ">
              <a:extLst xmlns:a="http://schemas.openxmlformats.org/drawingml/2006/main">
                <a:ext uri="{FF2B5EF4-FFF2-40B4-BE49-F238E27FC236}">
                  <a16:creationId xmlns:a16="http://schemas.microsoft.com/office/drawing/2014/main" id="{29061A46-CF10-85BD-144D-E309387BEB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CB6E521" w14:textId="40650EE6" w:rsidR="008541D6" w:rsidRDefault="00E630FB" w:rsidP="00460B5C">
      <w:pPr>
        <w:rPr>
          <w:szCs w:val="26"/>
        </w:rPr>
      </w:pPr>
      <w:r>
        <w:rPr>
          <w:szCs w:val="26"/>
          <w:lang w:val="ga"/>
        </w:rPr>
        <w:t xml:space="preserve">Tá sé doiligh a thomhas cén tionchar atá ag faireachán ÚNM ar na líonta sin toisc gurb ann do mhórán tosca ar féidir leo rannchuidiú le soláthar méadaithe Oifigeach Rochtana, agus le cur chun cinn méadaithe Oifigeach Rochtana, ar fud na seirbhíse poiblí. Mar sin féin, fuair ÚNM 85 fhreagra ó chomhlachtaí poiblí ó eisiúint na dréacht-tuarascála i leith. De na 85 fhreagra sin, soláthraíodh i 75 cinn faisnéis agus an t-eolas is deireanaí maidir le mionsonraí ar shuíomhanna Gréasáin poiblí. </w:t>
      </w:r>
    </w:p>
    <w:p w14:paraId="6989C688" w14:textId="749ED9FF" w:rsidR="00313442" w:rsidRDefault="00313442" w:rsidP="00460B5C">
      <w:pPr>
        <w:rPr>
          <w:szCs w:val="26"/>
        </w:rPr>
      </w:pPr>
      <w:r>
        <w:rPr>
          <w:szCs w:val="26"/>
          <w:lang w:val="ga"/>
        </w:rPr>
        <w:t xml:space="preserve">De na 75 fhreagra a fuarthas inar soláthraíodh faisnéis nuashonraithe ar shuíomhanna Gréasáin poiblí, tugadh le fios in 62 cheann (82.7% de na freagraí) gur nuashonraíodh an fhaisnéis mar thoradh ar eisiúint na dréacht-tuarascála. Níor tugadh mionsonraí i 13 cinn de na freagraí (17.3% de na freagraí). </w:t>
      </w:r>
    </w:p>
    <w:p w14:paraId="0DB4DEAF" w14:textId="6C934A4F" w:rsidR="00BB248F" w:rsidRDefault="001B38C5" w:rsidP="00460B5C">
      <w:pPr>
        <w:rPr>
          <w:szCs w:val="26"/>
        </w:rPr>
      </w:pPr>
      <w:r>
        <w:rPr>
          <w:szCs w:val="26"/>
          <w:lang w:val="ga"/>
        </w:rPr>
        <w:t xml:space="preserve">De bhreis ar na feabhsuithe atá mionsonraithe thuas, thapaigh Ranna aonair amhail an Roinn Dlí agus Cirt an deis chun tuilleadh idirchaidrimh a dhéanamh ina leith sin leis na comhlachtaí poiblí atá faoina gcoimirce. </w:t>
      </w:r>
    </w:p>
    <w:p w14:paraId="0F2D227A" w14:textId="722A1ACC" w:rsidR="005A38C5" w:rsidRPr="00492E43" w:rsidRDefault="00460B5C" w:rsidP="005A38C5">
      <w:pPr>
        <w:rPr>
          <w:szCs w:val="26"/>
        </w:rPr>
      </w:pPr>
      <w:r>
        <w:rPr>
          <w:szCs w:val="26"/>
          <w:lang w:val="ga"/>
        </w:rPr>
        <w:t xml:space="preserve">Mar thoradh ar an idirchaidreamh sin, forbraíodh Líonra Oifigeach Rochtana de chuid na hearnála ceartais. Tiocfaidh an Líonra sin le chéile ar bhonn tráthrialta chun an dea-chleachtas a phlé, comhairle a thabhairt, faisnéis a mhalartú, éisteacht le heispéireas fíorshaoil daoine faoi mhíchumas agus foghlaim ón eispéireas sin, agus coinneáil ar an eolas faoi fhorbairtí nua. Fáiltíonn ÚNM roimh an gcur chuige sin atá á ghlacadh ag an Roinn Dlí agus Cirt. Molann ÚNM go leanfaí an cur chuige sin mar eiseamláir den dea-chleachtas agus molann sé go bhféadfadh Ranna eile leas a bhaint as líonraí den chineál céanna a bhunú le haghaidh comhlachtaí atá faoina gcoimirce. </w:t>
      </w:r>
    </w:p>
    <w:p w14:paraId="13D39F07" w14:textId="77777777" w:rsidR="00F91100" w:rsidRPr="00A618F8" w:rsidRDefault="00F91100" w:rsidP="00F91100">
      <w:pPr>
        <w:pStyle w:val="Heading3"/>
      </w:pPr>
      <w:bookmarkStart w:id="24" w:name="_Toc145484468"/>
      <w:r>
        <w:rPr>
          <w:lang w:val="ga"/>
        </w:rPr>
        <w:lastRenderedPageBreak/>
        <w:t>Teorainneacha an phróisis faireacháin</w:t>
      </w:r>
      <w:bookmarkEnd w:id="24"/>
    </w:p>
    <w:p w14:paraId="388887E4" w14:textId="6FFE308D" w:rsidR="00F91100" w:rsidRPr="00D633FE" w:rsidRDefault="00F91100" w:rsidP="00F91100">
      <w:pPr>
        <w:pStyle w:val="ListBullet"/>
      </w:pPr>
      <w:r>
        <w:rPr>
          <w:lang w:val="ga"/>
        </w:rPr>
        <w:t xml:space="preserve">Ba é cuspóir an chleachtaidh faireacháin seo ná meastóireacht a dhéanamh ar an bhfaisnéis atá ar fáil go poiblí. I gcás gur cheap comhlachtaí poiblí Oifigeach Rochtana ach nár chuir siad an méid sin chun cinn go poiblí, meastar nach bhfuil siad comhlíontach, dá bhrí sin. </w:t>
      </w:r>
    </w:p>
    <w:p w14:paraId="21701434" w14:textId="6532BF5B" w:rsidR="000C22F0" w:rsidRDefault="008C73A9" w:rsidP="000C22F0">
      <w:pPr>
        <w:pStyle w:val="ListBullet"/>
      </w:pPr>
      <w:r>
        <w:rPr>
          <w:lang w:val="ga"/>
        </w:rPr>
        <w:t>Cé go ndéanann ÚNM a dhícheall idirchaidreamh a dhéanamh le daoine a bhfuil míchumas orthu agus leis an mórphobal míchumais le linn dó a chuid oibre a dhéanamh,</w:t>
      </w:r>
      <w:r>
        <w:rPr>
          <w:rStyle w:val="FootnoteReference"/>
          <w:lang w:val="ga"/>
        </w:rPr>
        <w:footnoteReference w:id="5"/>
      </w:r>
      <w:r>
        <w:rPr>
          <w:lang w:val="ga"/>
        </w:rPr>
        <w:t xml:space="preserve"> ní dhearnamar idirchaidreamh le daoine a bhfuil míchumas orthu mar chuid den phróiseas toisc gur cuireadh an cleachtadh faireacháin seo i gcrích trí chigireachtaí díreacha a dhéanamh ar shuíomhanna Gréasáin comhlachtaí poiblí. Ar an tuarascáil seo a sheoladh agus a fhoilsiú, áfach, beimid ag iarraidh aiseolas ó Eagraíochtaí do Dhaoine faoi Mhíchumas agus lorgófar rannpháirtíocht agus ionchur Eagraíochtaí do Dhaoine faoi Mhíchumas i ngníomhaíochtaí faireacháin sa todhchaí de réir mar is ábhartha agus is cuí. </w:t>
      </w:r>
    </w:p>
    <w:p w14:paraId="5B59FFB1" w14:textId="6E2CF5E4" w:rsidR="00F91100" w:rsidRPr="00A138A3" w:rsidRDefault="00F91100" w:rsidP="00F91100">
      <w:pPr>
        <w:pStyle w:val="ListBullet"/>
      </w:pPr>
      <w:r>
        <w:rPr>
          <w:lang w:val="ga"/>
        </w:rPr>
        <w:t xml:space="preserve">An tráth seo, níor scrúdaíodh san fhaireachán ach ceapadh an Oifigigh Rochtana mar a cuireadh chun cinn é ar shuíomhanna Gréasáin comhlachtaí poiblí. Ní dhearnadh anailís san fhaireachán sin ar aon ghnéithe oibríochtúla, amhail an cumas chun dul i dteagmháil leis an Oifigeach Rochtana, agus agaí freagartha, etc. Ní thagann faireachán ar ghnéithe oibríochtúla faoi shainchúram reachtach ÚNM i láthair na huaire, agus bheadh tuilleadh faireacháin sa réimse sin faoi réir breithniúcháin reachtacha agus breithniúcháin acmhainne. Tá seans ann go mbeidh fonn ar ranna agus ar chomhlachtaí poiblí éifeachtúlacht na ngnéithe oibríochtúla sin a mheasúnú dóibh féin mar mhodh le haghaidh faireachán a dhéanamh ar a ndul chun cinn féin le himeacht ama. </w:t>
      </w:r>
    </w:p>
    <w:p w14:paraId="26B30FE1" w14:textId="01DA96F0" w:rsidR="00F91100" w:rsidRPr="000C5CCA" w:rsidRDefault="00F91100" w:rsidP="00F91100">
      <w:pPr>
        <w:pStyle w:val="ListBullet"/>
      </w:pPr>
      <w:r>
        <w:rPr>
          <w:lang w:val="ga"/>
        </w:rPr>
        <w:t xml:space="preserve">Níl sa chleachtadh faireacháin ná meastóireacht ag am ar leith (2021, agus measúnaíodh sna míonna tosaigh den bhliain 2023 na nuashonruithe a soláthraíodh). Tá seans ann gur tharla forbairtí sna réimsí dírithe nár ghabh ÚNM iad go fóill. Dá bhrí sin, tá seans ann gur aistríodh roinnt comhlachtaí poiblí chuig Ranna eile, mar shampla, nó, i gcás na nInstitiúidí Teicneolaíochta, tá seans ann gur corpraíodh iad isteach in eagraíochtaí nua. Ní ghabhtar na hathruithe sin sa tuarascáil seo ach nuashonrófar iad i dtuarascálacha sa todhchaí. Ina theannta sin, aithnítear go bhfuair ÚNM roinnt freagraí ó chomhlachtaí poiblí á rá go nuashonrófaí a suíomhanna Gréasáin ach go dtógfadh sé am chun déanamh amhlaidh. Maidir le haon nuashonruithe breise ar shuíomhanna Gréasáin a cuireadh i gcrích tar éis an 15 Meitheamh 2023, gabhfar iad i dtuarascálacha faireacháin ina dhiaidh sin. </w:t>
      </w:r>
    </w:p>
    <w:p w14:paraId="3E74F7C4" w14:textId="1EDEC5C3" w:rsidR="00F91100" w:rsidRPr="00A618F8" w:rsidRDefault="00F91100" w:rsidP="00F91100">
      <w:pPr>
        <w:pStyle w:val="ListBullet"/>
      </w:pPr>
      <w:r>
        <w:rPr>
          <w:lang w:val="ga"/>
        </w:rPr>
        <w:lastRenderedPageBreak/>
        <w:t xml:space="preserve">Aimsíodh nach raibh cur chuige Dearaidh Uilíoch le feiceáil san fhaisnéis a bhí ar fáil ar a lán suíomhanna Gréasáin comhlachtaí poiblí agus nach raibh an fhaisnéis sin ag teacht leis an </w:t>
      </w:r>
      <w:hyperlink r:id="rId21" w:history="1">
        <w:r>
          <w:rPr>
            <w:rStyle w:val="Hyperlink"/>
            <w:lang w:val="ga"/>
          </w:rPr>
          <w:t>bhFoireann Uirlisí Cumarsáidí Custaiméirí le haghaidh Seirbhísí don Phobal – Cur Chuige Dearaidh Uilíoch</w:t>
        </w:r>
      </w:hyperlink>
      <w:r>
        <w:rPr>
          <w:lang w:val="ga"/>
        </w:rPr>
        <w:t xml:space="preserve">, rud ar tháirg ÚNM agus an Roinn Caiteachais Phoiblí, Seachadta ar an bPlean Forbartha Náisiúnta, agus Athchóirithe é chun bonn eolais a chur faoi dhearadh agus soláthar cumarsáidí custaiméirí ar fud na Seirbhíse Poiblí. Mar sin de, b’amhlaidh i mórán cásanna nach raibh an fhaisnéis ar na suíomhanna Gréasáin furasta le rochtain agus le tuiscint. Le linn dóibh an cleachtadh sin a sheoladh, bhí sé doiligh do bhaill foirne ÚNM faisnéis a aisghabháil ar roinnt suíomhanna Gréasáin mar thoradh ar an gcastacht a bhí i gceist le hiad a nascleanúint, cé gur thug siad faoi obair shuntasach chun cuardach le haghaidh na sonraí ábhartha. Bhí na fadhbanna sin le feiceáil freisin nuair a rinne ÚNM a chéad ghníomhaíocht faireacháin faoi I.R. Uimh. 358/2020 – Rialacháin an Aontais Eorpaigh (Inrochtaineacht Suíomhanna Gréasáin agus Feidhmchlár Móibíleach de chuid Comhlachtaí san Earnáil Phoiblí), 2020 (an Treoir ón Aontas Eorpach maidir le hInrochtaineacht Gréasáin), i mí na Nollag 2021. Le haghaidh tuilleadh faisnéise faoi shaincheisteanna inrochtaineachta Gréasáin, moltar go léifeadh comhlachtaí poiblí an </w:t>
      </w:r>
      <w:hyperlink r:id="rId22" w:history="1">
        <w:r>
          <w:rPr>
            <w:rStyle w:val="Hyperlink"/>
            <w:lang w:val="ga"/>
          </w:rPr>
          <w:t>tuarascáil faireacháin ó ÚNM ar an Treoir ón Aontas Eorpach maidir le hInrochtaineacht Gréasáin</w:t>
        </w:r>
      </w:hyperlink>
      <w:r>
        <w:rPr>
          <w:rStyle w:val="Hyperlink"/>
          <w:u w:val="none"/>
          <w:lang w:val="ga"/>
        </w:rPr>
        <w:t>.</w:t>
      </w:r>
    </w:p>
    <w:p w14:paraId="2851E98E" w14:textId="6CC9121A" w:rsidR="00F91100" w:rsidRPr="00D633FE" w:rsidRDefault="00F91100" w:rsidP="00F91100">
      <w:pPr>
        <w:pStyle w:val="ListBullet"/>
        <w:numPr>
          <w:ilvl w:val="0"/>
          <w:numId w:val="0"/>
        </w:numPr>
        <w:rPr>
          <w:szCs w:val="26"/>
        </w:rPr>
      </w:pPr>
      <w:r>
        <w:rPr>
          <w:lang w:val="ga"/>
        </w:rPr>
        <w:t>San fhaireachán a rinne ÚNM ar an gCód Cleachtais, leagadh béim ar réimsí le haghaidh feabhais maidir le faisnéis a chur chun cinn lena breithniú agus lena cur i bhfeidhm ag gach comhlacht poiblí. Tá sé tábhachtach go ndéanfaí machnamh ar na fionnachtana, go gcuirfí na moltaí chun feidhme go comhsheasmhach, agus go gcuirfí feabhas leanúnach ar an bhfeidhmíocht chun go gcomhlíonann comhlachtaí poiblí an oibleagáid reachtúil atá orthu seirbhís phoiblí atá inrochtana agus comhtháite a sholáthar do dhaoine a bhfuil míchumas orthu.</w:t>
      </w:r>
    </w:p>
    <w:p w14:paraId="713403B0" w14:textId="03953C0B" w:rsidR="00F91100" w:rsidRPr="00D633FE" w:rsidRDefault="00F91100" w:rsidP="005A38C5">
      <w:pPr>
        <w:sectPr w:rsidR="00F91100" w:rsidRPr="00D633FE">
          <w:pgSz w:w="12240" w:h="15840"/>
          <w:pgMar w:top="1440" w:right="1800" w:bottom="1440" w:left="1800" w:header="708" w:footer="708" w:gutter="0"/>
          <w:cols w:space="708"/>
          <w:docGrid w:linePitch="360"/>
        </w:sectPr>
      </w:pPr>
    </w:p>
    <w:p w14:paraId="6E0C2167" w14:textId="77777777" w:rsidR="00C67D40" w:rsidRPr="00D633FE" w:rsidRDefault="00442303" w:rsidP="008078B6">
      <w:pPr>
        <w:pStyle w:val="Heading1"/>
        <w:rPr>
          <w:rFonts w:eastAsia="SimSun"/>
        </w:rPr>
      </w:pPr>
      <w:bookmarkStart w:id="25" w:name="_Toc145484469"/>
      <w:r>
        <w:rPr>
          <w:rFonts w:eastAsia="SimSun"/>
          <w:lang w:val="ga"/>
        </w:rPr>
        <w:lastRenderedPageBreak/>
        <w:t>Conclúid agus Moltaí</w:t>
      </w:r>
      <w:bookmarkEnd w:id="25"/>
    </w:p>
    <w:p w14:paraId="626A5EC2" w14:textId="77777777" w:rsidR="00935FE3" w:rsidRPr="00D633FE" w:rsidRDefault="00935FE3" w:rsidP="00412B25">
      <w:pPr>
        <w:pStyle w:val="Heading2"/>
      </w:pPr>
      <w:bookmarkStart w:id="26" w:name="_Toc145484470"/>
      <w:r>
        <w:rPr>
          <w:iCs w:val="0"/>
          <w:lang w:val="ga"/>
        </w:rPr>
        <w:t>Conclúid</w:t>
      </w:r>
      <w:bookmarkEnd w:id="26"/>
    </w:p>
    <w:p w14:paraId="25C21983" w14:textId="1CF1508B" w:rsidR="00CB42C7" w:rsidRPr="00D633FE" w:rsidRDefault="00734B6A" w:rsidP="00CB42C7">
      <w:pPr>
        <w:pStyle w:val="ListBullet"/>
        <w:numPr>
          <w:ilvl w:val="0"/>
          <w:numId w:val="0"/>
        </w:numPr>
      </w:pPr>
      <w:r>
        <w:rPr>
          <w:lang w:val="ga"/>
        </w:rPr>
        <w:t xml:space="preserve">Cé gurbh é an toradh a bhí ar an gcleachtadh faireacháin seo ná feabhas suntasach san fhógairt Oifigeach Rochtana ar na suíomhanna Gréasáin comhlachtaí poiblí a ndearnadh faireachán orthu, is ann fós do 116 chomhlacht phoiblí (41.3%) nár chomhlíon na ceanglais faoi tháscaire an Oifigigh Rochtana. Tá sé soiléir, dá bhrí sin, gur gá do chomhlachtaí poiblí fós feabhas a chur ar a bhfeasacht ar na freagrachtaí atá orthu faoi alt 26(2) den Acht um Míchumas agus dul i mbun gnímh chun a chinntiú go gcuireann siad an fhaisnéis ábhartha ar fáil don phobal. </w:t>
      </w:r>
    </w:p>
    <w:p w14:paraId="7C9DDF85" w14:textId="77777777" w:rsidR="00CC4C19" w:rsidRDefault="00D17B07" w:rsidP="005B47E9">
      <w:r>
        <w:rPr>
          <w:lang w:val="ga"/>
        </w:rPr>
        <w:t xml:space="preserve">Molann ÚNM go nuashonródh comhlachtaí poiblí a nósanna imeachta inmheánacha mura bhfuil na próisis chuí/na ceapacháin chuí i bhfeidhm. De bhreis air sin, ní mór do chomhlachtaí poiblí a bhfuil Oifigeach Rochtana i bhfeidhm acu a chinntiú go bhfuil ag an Oifigeach Rochtana an oiliúint chuí, na hacmhainní cuí agus an fhaisnéis chuí chun tacú leis/léi a c(h)uid dualgas a chomhlíonadh mar atá sonraithe ag an Acht um Míchumas 2005. Tá treoir ó ÚNM ar fáil sa doiciméad dar teideal </w:t>
      </w:r>
      <w:hyperlink r:id="rId23" w:history="1">
        <w:r>
          <w:rPr>
            <w:rStyle w:val="Hyperlink"/>
            <w:lang w:val="ga"/>
          </w:rPr>
          <w:t>‘Treoir maidir le hOifigigh Rochtana do Chomhlachtaí Poiblí’</w:t>
        </w:r>
      </w:hyperlink>
      <w:r>
        <w:rPr>
          <w:lang w:val="ga"/>
        </w:rPr>
        <w:t xml:space="preserve"> i ndáil le ceapadh, oiliúint, dualgais agus próisis a bhaineann le hOifigigh Rochtana. </w:t>
      </w:r>
    </w:p>
    <w:p w14:paraId="5C9170F9" w14:textId="7A6E82D3" w:rsidR="00CB42C7" w:rsidRPr="00C27D9B" w:rsidRDefault="004F6DDE" w:rsidP="005B47E9">
      <w:r>
        <w:rPr>
          <w:lang w:val="ga"/>
        </w:rPr>
        <w:t>Molann ÚNM freisin go gcinnteodh comhlachtaí poiblí go nuashonrófaí a suíomhanna Gréasáin dá réir sin, ar aon dul le hoibleagáidí dlíthiúla an Achta um Míchumas, le hoibleagáidí dlíthiúla na Treorach maidir le hInrochtaineacht Gréasáin</w:t>
      </w:r>
      <w:r>
        <w:rPr>
          <w:rStyle w:val="FootnoteReference"/>
          <w:lang w:val="ga"/>
        </w:rPr>
        <w:footnoteReference w:id="6"/>
      </w:r>
      <w:r>
        <w:rPr>
          <w:lang w:val="ga"/>
        </w:rPr>
        <w:t xml:space="preserve"> agus leis na ceanglais reachtúla atá leagtha amach sa Chód Cleachtais.  </w:t>
      </w:r>
    </w:p>
    <w:p w14:paraId="09D8F95D" w14:textId="70666A02" w:rsidR="00E9772E" w:rsidRPr="00D633FE" w:rsidRDefault="00CC4C19" w:rsidP="00E9772E">
      <w:r>
        <w:rPr>
          <w:lang w:val="ga"/>
        </w:rPr>
        <w:t xml:space="preserve">Chun cabhrú le comhlachtaí poiblí na ceanglais faoin Acht um Míchumas a chomhlíonadh agus feabhas a chur ar sheirbhísí agus faisnéis a chuirtear ar fáil don phobal, lena n-áirítear daoine a bhfuil míchumas orthu, déanfaidh ÚNM an cineál sin cleachtaidh faireacháin spriocdhírithe ag eatraimh thráthrialta, agus roinnt gnéithe den Chód Cleachtais á scrúdú agus á n-athscrúdú, agus tabharfaidh sé tuairisc ar an gcéanna. Mar shampla, seolfaidh ÚNM cleachtadh faireacháin nuashonraithe an bhliain seo chugainn. </w:t>
      </w:r>
      <w:r>
        <w:rPr>
          <w:lang w:val="ga"/>
        </w:rPr>
        <w:lastRenderedPageBreak/>
        <w:t xml:space="preserve">Beidh sé i gceist leis sin na sonraí faoi cheanglas an Oifigigh Rochtana a nuashonrú agus tuairisc a thabhairt ar fheabhsuithe breise sa réimse sin. </w:t>
      </w:r>
    </w:p>
    <w:p w14:paraId="50BB62F0" w14:textId="72DC9C04" w:rsidR="00D256ED" w:rsidRDefault="00473E07" w:rsidP="005B47E9">
      <w:r>
        <w:rPr>
          <w:lang w:val="ga"/>
        </w:rPr>
        <w:t xml:space="preserve">Cé go léirítear san fhaireachán go bhfuil tuilleadh dírithe ag teastáil chun ceanglais an Chóid Cleachtais a chomhlíonadh, rinneadh feabhsuithe thar thréimhse an chleachtaidh faireacháin seo. Tá ÚNM muiníneach go ndéanfar tuilleadh feabhsuithe de réir mar a leanann an faireachán ar aghaidh agus leanfaidh sé d’fhaisnéis agus comhairle a thabhairt do chomhlachtaí poiblí faoina n-oibleagáidí reachtúla i ndáil le hinrochtaineacht faisnéise agus seirbhísí. Tá agus beidh an próiseas faireacháin sin ina thairbhe maidir le cur leis an bhfeasacht ar an gCód Cleachtais agus, dá bhrí sin, le comhlíonadh an Achta um Míchumas, agus táimid ag súil le feidhmíocht fheabhsaithe a fheiceáil sa chéad tuarascáil eile. </w:t>
      </w:r>
    </w:p>
    <w:p w14:paraId="52A7F2A6" w14:textId="1101DAA4" w:rsidR="0075560B" w:rsidRPr="00D633FE" w:rsidRDefault="00CB42C7" w:rsidP="005B47E9">
      <w:r>
        <w:rPr>
          <w:lang w:val="ga"/>
        </w:rPr>
        <w:t xml:space="preserve">Is mian le ÚNM na moltaí thíos a sholáthar do chomhlachtaí poiblí, beag beann ar a bhfeidhmíocht sa chleachtadh faireacháin seo. Baineann na moltaí atá mionsonraithe thíos le ceanglais faoi Alt 26(2) – Oifigeach Rochtana agus faoin gCód Cleachtais. Tá na moltaí bunaithe ar bharúlacha ón ngníomhaíocht faireacháin seo agus ar ár bhfionnachtana. Is féidir tuilleadh faisnéise agus tuilleadh moltaí a aimsiú sa doiciméad dar teideal </w:t>
      </w:r>
      <w:hyperlink r:id="rId24" w:history="1">
        <w:r>
          <w:rPr>
            <w:rStyle w:val="Hyperlink"/>
            <w:lang w:val="ga"/>
          </w:rPr>
          <w:t>‘Treoir maidir le hOifigigh Rochtana do Chomhlachtaí Poiblí’</w:t>
        </w:r>
      </w:hyperlink>
      <w:r>
        <w:rPr>
          <w:lang w:val="ga"/>
        </w:rPr>
        <w:t xml:space="preserve">, atá ar fáil ar shuíomh Gréasáin ÚNM, agus molann ÚNM go mór go gceadódh gach comhlacht poiblí an doiciméad sin, beag beann ar fhionnachtana an chleachtaidh faireacháin seo. </w:t>
      </w:r>
    </w:p>
    <w:p w14:paraId="10149D41" w14:textId="77777777" w:rsidR="00EE0093" w:rsidRPr="00D633FE" w:rsidRDefault="00EE0093" w:rsidP="00412B25">
      <w:pPr>
        <w:pStyle w:val="Heading2"/>
      </w:pPr>
      <w:bookmarkStart w:id="27" w:name="_Toc145484471"/>
      <w:r>
        <w:rPr>
          <w:iCs w:val="0"/>
          <w:lang w:val="ga"/>
        </w:rPr>
        <w:t>Moltaí</w:t>
      </w:r>
      <w:bookmarkEnd w:id="27"/>
    </w:p>
    <w:p w14:paraId="01E17D04" w14:textId="62A3F35D" w:rsidR="00E60E2A" w:rsidRPr="00D633FE" w:rsidRDefault="00E60E2A" w:rsidP="005B47E9">
      <w:r>
        <w:rPr>
          <w:lang w:val="ga"/>
        </w:rPr>
        <w:t xml:space="preserve">Molann ÚNM go mbreithneodh na comhlachtaí poiblí uile na moltaí seo a leanas chun a chinntiú go gcomhlíonann siad a n-oibleagáidí reachtúla faoin Acht um Míchumas agus ceanglais an Chóid Cleachtais. Cuirtear na moltaí i láthair faoi thrí théama: </w:t>
      </w:r>
    </w:p>
    <w:p w14:paraId="4285B0FC" w14:textId="77777777" w:rsidR="00E60E2A" w:rsidRPr="00D633FE" w:rsidRDefault="00E60E2A" w:rsidP="00136BE4">
      <w:pPr>
        <w:pStyle w:val="ListParagraph"/>
        <w:numPr>
          <w:ilvl w:val="0"/>
          <w:numId w:val="13"/>
        </w:numPr>
      </w:pPr>
      <w:r>
        <w:rPr>
          <w:b/>
          <w:bCs/>
          <w:lang w:val="ga"/>
        </w:rPr>
        <w:t>Oifigeach Rochtana</w:t>
      </w:r>
      <w:r>
        <w:rPr>
          <w:lang w:val="ga"/>
        </w:rPr>
        <w:t>: Moltaí a bhaineann go sonrach le hAlt 26 – Oifigeach Rochtana</w:t>
      </w:r>
    </w:p>
    <w:p w14:paraId="3C8BE4F6" w14:textId="5555CE9F" w:rsidR="00C45A70" w:rsidRPr="00D633FE" w:rsidRDefault="00C45A70" w:rsidP="00136BE4">
      <w:pPr>
        <w:pStyle w:val="ListParagraph"/>
        <w:numPr>
          <w:ilvl w:val="0"/>
          <w:numId w:val="13"/>
        </w:numPr>
      </w:pPr>
      <w:r>
        <w:rPr>
          <w:b/>
          <w:bCs/>
          <w:lang w:val="ga"/>
        </w:rPr>
        <w:t>Seimineár Gréasáin lena ngabhann Dearadh Uilíoch</w:t>
      </w:r>
      <w:r>
        <w:rPr>
          <w:lang w:val="ga"/>
        </w:rPr>
        <w:t>: Moltaí a bhfuil feidhm acu maidir le hAlt 26 – Oifigeach Rochtana</w:t>
      </w:r>
    </w:p>
    <w:p w14:paraId="5DDB8429" w14:textId="57E48F5D" w:rsidR="00C45A70" w:rsidRPr="00D633FE" w:rsidRDefault="00C45A70" w:rsidP="00136BE4">
      <w:pPr>
        <w:pStyle w:val="ListParagraph"/>
        <w:numPr>
          <w:ilvl w:val="0"/>
          <w:numId w:val="13"/>
        </w:numPr>
      </w:pPr>
      <w:r>
        <w:rPr>
          <w:b/>
          <w:bCs/>
          <w:lang w:val="ga"/>
        </w:rPr>
        <w:t>Faisnéis teagmhála</w:t>
      </w:r>
      <w:r>
        <w:rPr>
          <w:lang w:val="ga"/>
        </w:rPr>
        <w:t>: Moltaí a bhfuil feidhm acu maidir le hAlt 26 – Oifigeach Rochtana</w:t>
      </w:r>
    </w:p>
    <w:p w14:paraId="496A0E15" w14:textId="26D904A1" w:rsidR="00C45A70" w:rsidRPr="00D633FE" w:rsidRDefault="00C45A70" w:rsidP="00935FE3">
      <w:r>
        <w:rPr>
          <w:lang w:val="ga"/>
        </w:rPr>
        <w:t>Tá na moltaí mar a leanas:</w:t>
      </w:r>
    </w:p>
    <w:p w14:paraId="04AB18C5" w14:textId="77777777" w:rsidR="00EE0093" w:rsidRPr="00D633FE" w:rsidRDefault="00E60E2A" w:rsidP="005B47E9">
      <w:pPr>
        <w:rPr>
          <w:b/>
        </w:rPr>
      </w:pPr>
      <w:r>
        <w:rPr>
          <w:b/>
          <w:bCs/>
          <w:lang w:val="ga"/>
        </w:rPr>
        <w:t>1. Oifigeach Rochtana</w:t>
      </w:r>
    </w:p>
    <w:p w14:paraId="32E1E894" w14:textId="1D61BD1C" w:rsidR="00A771DC" w:rsidRPr="00D633FE" w:rsidRDefault="00A771DC" w:rsidP="008E3D78">
      <w:pPr>
        <w:pStyle w:val="ListParagraph"/>
        <w:numPr>
          <w:ilvl w:val="0"/>
          <w:numId w:val="52"/>
        </w:numPr>
      </w:pPr>
      <w:r>
        <w:rPr>
          <w:lang w:val="ga"/>
        </w:rPr>
        <w:t xml:space="preserve">Ba cheart do chomhlachtaí poiblí feasacht agus tuiscint a bheith acu ar a n-oibleagáidí maidir leis an Oifigeach Rochtana, faoi mar atá leagtha amach i rannán 26(2) den Chód Cleachtais. Tá an oibleagáid sin ann, beag beann ar cé acu a </w:t>
      </w:r>
      <w:r>
        <w:rPr>
          <w:lang w:val="ga"/>
        </w:rPr>
        <w:lastRenderedPageBreak/>
        <w:t>bhíonn nó nach mbíonn oifig ar leith oscailte go tráthrialta do dhaoine den phobal.</w:t>
      </w:r>
      <w:r>
        <w:rPr>
          <w:rStyle w:val="FootnoteReference"/>
          <w:lang w:val="ga"/>
        </w:rPr>
        <w:footnoteReference w:id="7"/>
      </w:r>
    </w:p>
    <w:p w14:paraId="1FA43349" w14:textId="00EAF96B" w:rsidR="00EE0093" w:rsidRPr="00D633FE" w:rsidRDefault="00EE0093" w:rsidP="008E3D78">
      <w:pPr>
        <w:pStyle w:val="ListParagraph"/>
        <w:numPr>
          <w:ilvl w:val="0"/>
          <w:numId w:val="52"/>
        </w:numPr>
      </w:pPr>
      <w:r>
        <w:rPr>
          <w:lang w:val="ga"/>
        </w:rPr>
        <w:t xml:space="preserve">Ba cheart do gach comhlacht poiblí Oifigeach Rochtana amháin ar a laghad a cheapadh de réir rannán 26(2) den Chód Cleachtais. Is ar an gcomhlacht poiblí atá an fhreagracht as cinneadh a dhéanamh ar cá mhéad Oifigeach Rochtana ba cheart a cheapadh, agus bíonn an cinneadh sin ag brath ar mhéid an chomhlachta; ar níos mó ná láithreán amháin a bheith ag an gcomhlacht; agus ar an éileamh ar sheirbhís an chomhlachta, etc.  Tá an tOifigeach Rochtana freagrach as cúnamh agus treoir a sholáthar nó a shocrú, agus as an gcúnamh agus an treoir sin a chomhordú, do dhaoine a bhfuil míchumas orthu chun gur féidir leo rochtain a fháil ar na seirbhísí a sholáthraíonn an comhlacht sin. </w:t>
      </w:r>
    </w:p>
    <w:p w14:paraId="5AFA68F9" w14:textId="77777777" w:rsidR="003D10E6" w:rsidRPr="00D633FE" w:rsidRDefault="009605A3" w:rsidP="003D10E6">
      <w:pPr>
        <w:pStyle w:val="ListParagraph"/>
        <w:numPr>
          <w:ilvl w:val="0"/>
          <w:numId w:val="52"/>
        </w:numPr>
      </w:pPr>
      <w:r>
        <w:rPr>
          <w:lang w:val="ga"/>
        </w:rPr>
        <w:t>Ba cheart do gach comhlacht poiblí a chur chun cinn gur ceapadh Oifigeach/Oifigigh Rochtana agus go bhfuil siad ar fáil agus conas is féidir teagmháil a dhéanamh leo ar a shuíomh Gréasáin ionas go mbeidh an pobal i gcoitinne ar an eolas fúthu agus gurb eol dó conas is féidir leas a bhaint as a gcabhair.</w:t>
      </w:r>
    </w:p>
    <w:p w14:paraId="20809BDC" w14:textId="1ADF1617" w:rsidR="00BB5645" w:rsidRDefault="00D76D63" w:rsidP="00BD6CCA">
      <w:pPr>
        <w:pStyle w:val="ListParagraph"/>
        <w:numPr>
          <w:ilvl w:val="0"/>
          <w:numId w:val="52"/>
        </w:numPr>
      </w:pPr>
      <w:r>
        <w:rPr>
          <w:lang w:val="ga"/>
        </w:rPr>
        <w:t xml:space="preserve">Tá Oifigigh Rochtana le bheith ar fáil do dhaoine a bhfuil míchumas orthu agus ar mian leo rochtain a fháil ar sheirbhísí a sholáthraíonn an comhlacht poiblí agus do bhaill foirne a dteastaíonn comhairle agus tacaíocht uathu. </w:t>
      </w:r>
    </w:p>
    <w:p w14:paraId="76D2F6B2" w14:textId="7F4EFABB" w:rsidR="00BD6CCA" w:rsidRPr="00D633FE" w:rsidRDefault="00BD6CCA" w:rsidP="003D10E6">
      <w:pPr>
        <w:pStyle w:val="ListParagraph"/>
        <w:numPr>
          <w:ilvl w:val="0"/>
          <w:numId w:val="52"/>
        </w:numPr>
      </w:pPr>
      <w:r>
        <w:rPr>
          <w:lang w:val="ga"/>
        </w:rPr>
        <w:t xml:space="preserve">Ba cheart breithniú a dhéanamh ar Líonra Oifigeach Rochtana a bhunú, rud atá á bhunú ag an Roinn Dlí agus Cirt. Is féidir leis na Líonraí sin an deis a thabhairt d’Oifigigh Rochtana </w:t>
      </w:r>
      <w:r>
        <w:rPr>
          <w:szCs w:val="26"/>
          <w:lang w:val="ga"/>
        </w:rPr>
        <w:t>an dea-chleachtas a phlé, comhairle a thabhairt, faisnéis a mhalartú, éisteacht le heispéireas fíorshaoil daoine faoi mhíchumas agus foghlaim ón eispéireas sin, agus coinneáil ar an eolas faoi fhorbairtí nua.</w:t>
      </w:r>
    </w:p>
    <w:p w14:paraId="75DCFFB3" w14:textId="77777777" w:rsidR="00BB5645" w:rsidRPr="00D633FE" w:rsidRDefault="00BB5645" w:rsidP="000024C4">
      <w:pPr>
        <w:pStyle w:val="ListParagraph"/>
        <w:ind w:left="0"/>
      </w:pPr>
    </w:p>
    <w:p w14:paraId="78F70C8E" w14:textId="38999ED9" w:rsidR="00956C93" w:rsidRPr="00D633FE" w:rsidRDefault="000841CA" w:rsidP="000024C4">
      <w:pPr>
        <w:pStyle w:val="ListParagraph"/>
        <w:ind w:left="0"/>
        <w:rPr>
          <w:b/>
        </w:rPr>
      </w:pPr>
      <w:r>
        <w:rPr>
          <w:b/>
          <w:bCs/>
          <w:lang w:val="ga"/>
        </w:rPr>
        <w:t>2. Seimineár Gréasáin lena ngabhann Dearadh Uilíoch</w:t>
      </w:r>
    </w:p>
    <w:p w14:paraId="35C969F8" w14:textId="3970112D" w:rsidR="00D76D63" w:rsidRPr="00D633FE" w:rsidRDefault="00D76D63" w:rsidP="00956C93">
      <w:r>
        <w:rPr>
          <w:lang w:val="ga"/>
        </w:rPr>
        <w:t>Is féidir le comhlachtaí poiblí deireadh a chur le bacainní ar rochtain a fháil ar na seirbhísí agus an fhaisnéis a sholáthraíonn siad trí fheabhas a chur ar an bhfeasacht agus an tuiscint atá acu ar Dhearadh Uilíoch. Is é an toradh a bheadh ar chur chuige Dearaidh Uilíoch a úsáid ná go mbeadh gach duine in ann faisnéis agus seirbhísí a rochtain, a thuiscint agus a úsáid a mhéid is féidir, beag beann ar a n-aois, a méid, a gcumas ná a míchumas.</w:t>
      </w:r>
    </w:p>
    <w:p w14:paraId="38A9903C" w14:textId="77BE782E" w:rsidR="00956C93" w:rsidRPr="00D633FE" w:rsidRDefault="001146C5" w:rsidP="00956C93">
      <w:r>
        <w:rPr>
          <w:lang w:val="ga"/>
        </w:rPr>
        <w:t xml:space="preserve">D’aimsigh ÚNM gur cuireadh faisnéis i láthair ar bhealach casta neamh-chomhsheasmhach ar a lán suíomhanna Gréasáin comhlachtaí poiblí, áit a raibh sé doiligh i mórán cásanna an suíomh a nascleanúint agus faisnéis a aimsiú maidir leis an Oifigeach Rochtana. Mar sin de, mheas ÚNM go raibh sé stuama triúr ball den fhoireann a fhostú chun meastóireacht a dhéanamh ar gach suíomh Gréasáin ag amanna leithleacha ó thaobh dearbhaithe agus cruinnis de. I gcás gur aimsigh ball foirne nach raibh aon </w:t>
      </w:r>
      <w:r>
        <w:rPr>
          <w:lang w:val="ga"/>
        </w:rPr>
        <w:lastRenderedPageBreak/>
        <w:t>mhionsonraí faoi Oifigeach Rochtana ar fáil ar shuíomh Gréasáin comhlachta phoiblí, rinne beirt bhall foirne bhreise é sin a sheiceáil agus a bhailíochtú chun a chinntiú nár cailleadh an fhaisnéis sin. Dá bhrí sin, is amhlaidh, murar aimsigh triúr ball d’fhoireann ÚNM faisnéis shoiléir leordhóthanach faoi Oifigigh Rochtana ar shuíomhanna Gréasáin comhlachtaí poiblí, luífeadh sé le réasún go mbeadh deacrachtaí ag daoine a bhfuil míchumas orthu an fhaisnéis sin a aimsiú.</w:t>
      </w:r>
    </w:p>
    <w:p w14:paraId="5C0F0FF5" w14:textId="6D5EEF5F" w:rsidR="00956C93" w:rsidRPr="00D633FE" w:rsidRDefault="00956C93" w:rsidP="00956C93">
      <w:r>
        <w:rPr>
          <w:lang w:val="ga"/>
        </w:rPr>
        <w:t>Molaimid go ndearfaí suíomhanna Gréasáin chun go mbeadh siad furasta le nascleanúint, furasta le tuiscint agus inúsáidte do dhaoine a bhfuil míchumas orthu:</w:t>
      </w:r>
    </w:p>
    <w:p w14:paraId="48E412C1" w14:textId="64B0ACE5" w:rsidR="00956C93" w:rsidRPr="00D633FE" w:rsidRDefault="00956C93" w:rsidP="008E3D78">
      <w:pPr>
        <w:pStyle w:val="ListBullet"/>
        <w:numPr>
          <w:ilvl w:val="0"/>
          <w:numId w:val="54"/>
        </w:numPr>
      </w:pPr>
      <w:r>
        <w:rPr>
          <w:lang w:val="ga"/>
        </w:rPr>
        <w:t xml:space="preserve">Maidir leis na leathanaigh Ghréasáin ar a bhfuil an fhaisnéis maidir leis an Oifigeach Rochtana, ba cheart iad a chur chun cinn ar leathanach baile shuíomh Gréasáin an chomhlachta phoiblí. B’fhearr go bhféadfaí an fhaisnéis sin a rochtain ach cliceáil uair amháin agus ba cheart í a bheith inrochtana acu cliceáil líon nach mó ná dhá uair. </w:t>
      </w:r>
    </w:p>
    <w:p w14:paraId="70B04D67" w14:textId="77777777" w:rsidR="00956C93" w:rsidRPr="00D633FE" w:rsidRDefault="00956C93" w:rsidP="008E3D78">
      <w:pPr>
        <w:pStyle w:val="ListBullet"/>
        <w:numPr>
          <w:ilvl w:val="0"/>
          <w:numId w:val="54"/>
        </w:numPr>
      </w:pPr>
      <w:r>
        <w:rPr>
          <w:lang w:val="ga"/>
        </w:rPr>
        <w:t xml:space="preserve">Ba cheart don úsáideoir bheith in ann an cnaipe ceart chun an fhaisnéis sin a rochtain a shainaithint go furasta agus go himfhioscach ar an leathanach baile, is cuma cé acu atá sí leabaithe isteach sa leathanach é féin, i rannán an chláir ábhar nó sa phríomhbharra nascleanúna. </w:t>
      </w:r>
    </w:p>
    <w:p w14:paraId="369659B6" w14:textId="6D9ED71F" w:rsidR="00956C93" w:rsidRPr="00D633FE" w:rsidRDefault="00956C93" w:rsidP="008E3D78">
      <w:pPr>
        <w:pStyle w:val="ListBullet"/>
        <w:numPr>
          <w:ilvl w:val="0"/>
          <w:numId w:val="54"/>
        </w:numPr>
      </w:pPr>
      <w:r>
        <w:rPr>
          <w:lang w:val="ga"/>
        </w:rPr>
        <w:t>Ba cheart faisnéis faoin Oifigeach Rochtana a aimsiú leis an bhfeidhm bosca cuardaigh agus ba cheart na leathanaigh Ghréasáin ar a bhfuil an fhaisnéis sin a liostú leis an bhfeidhm sin ag barr an liosta cuardaigh. Mar atá luaite i bpointe b, áfach, níor cheart é a bheith riachtanach brath ar an bhfeidhm bosca cuardaigh.</w:t>
      </w:r>
    </w:p>
    <w:p w14:paraId="40FC672B" w14:textId="73C3E424" w:rsidR="00956C93" w:rsidRPr="00D633FE" w:rsidRDefault="00956C93" w:rsidP="009B5D5F">
      <w:pPr>
        <w:pStyle w:val="ListBullet"/>
        <w:numPr>
          <w:ilvl w:val="0"/>
          <w:numId w:val="54"/>
        </w:numPr>
      </w:pPr>
      <w:r>
        <w:rPr>
          <w:lang w:val="ga"/>
        </w:rPr>
        <w:t>D’aimsigh ÚNM in amanna gur aimsíodh faisnéis faoin Oifigeach Rochtana laistigh de chairt custaiméirí, laistigh de straitéis eagraíochta nó laistigh de dhoiciméad eile maidir le gnó an chomhlachta phoiblí. Sa chás sin, bhí sé an-doiligh an fhaisnéis a aimsiú. Níor cheart na doiciméid sin a bheith ar an aon fhoinse amháin le haghaidh na faisnéise. Ba cheart faisnéis maidir leis an Oifigeach Rochtana a bheith le feiceáil ar leathanach Gréasáin. Maidir le haon fhormáidí comhaid de chuid Microsoft Office agus le doiciméid amhail doiciméid Word nó PDF atá ar an suíomh Gréasáin ar a dtugtar an fhaisnéis sin, ba cheart iad a bheith inrochtana go hiomlán.</w:t>
      </w:r>
    </w:p>
    <w:p w14:paraId="2E0EC479" w14:textId="2AD3BBF9" w:rsidR="00956C93" w:rsidRPr="00D633FE" w:rsidRDefault="005A7853" w:rsidP="008E3D78">
      <w:pPr>
        <w:pStyle w:val="ListBullet"/>
        <w:numPr>
          <w:ilvl w:val="0"/>
          <w:numId w:val="54"/>
        </w:numPr>
      </w:pPr>
      <w:r>
        <w:rPr>
          <w:lang w:val="ga"/>
        </w:rPr>
        <w:t xml:space="preserve">Mar atá luaite thuas, b’amhlaidh in amanna a bhí faisnéis faoin Oifigeach Rochtana foilsithe ach nach raibh sí furasta le haimsiú nó le rochtain. Molann ÚNM, dá bhrí sin, go dtaispeánfaí faisnéis faoin Oifigeach Rochtana in áit fheiceálach ar a leathanach Gréasáin féin nó ar leathanach Gréasáin ábhartha amhail leathanach Gréasáin dar teideal ‘déan teagmháil linn’ nó ‘inrochtaineacht’. Beag beann ar cén </w:t>
      </w:r>
      <w:r>
        <w:rPr>
          <w:lang w:val="ga"/>
        </w:rPr>
        <w:lastRenderedPageBreak/>
        <w:t>áit a bhfuil an fhaisnéis suite, ba cheart a láthair a bheith furasta le sainaithint agus le nascleanúint ó leathanach baile an tsuímh Gréasáin.</w:t>
      </w:r>
      <w:r>
        <w:rPr>
          <w:rStyle w:val="FootnoteReference"/>
          <w:lang w:val="ga"/>
        </w:rPr>
        <w:footnoteReference w:id="8"/>
      </w:r>
      <w:r>
        <w:rPr>
          <w:lang w:val="ga"/>
        </w:rPr>
        <w:t xml:space="preserve"> </w:t>
      </w:r>
    </w:p>
    <w:p w14:paraId="0794265C" w14:textId="7D81AE47" w:rsidR="00034800" w:rsidRPr="00D633FE" w:rsidRDefault="00034800" w:rsidP="008E3D78">
      <w:pPr>
        <w:pStyle w:val="ListBullet"/>
        <w:numPr>
          <w:ilvl w:val="0"/>
          <w:numId w:val="54"/>
        </w:numPr>
      </w:pPr>
      <w:r>
        <w:rPr>
          <w:lang w:val="ga"/>
        </w:rPr>
        <w:t xml:space="preserve">Cé nach raibh siad mar ábhar don chleachtadh faireacháin seo, is ceanglas dlíthiúil é go gcomhlíonann na suíomhanna Gréasáin agus na feidhmchláir fóin mhóibíligh de chuid gach comhlachta phoiblí an Treoir ón Aontas Eorpach maidir le hInrochtaineacht Gréasáin agus go gcloíonn siad le Critéir Ratha Leibhéal AA ó threoirlínte idirnáisiúnta WCAG 2.1. Mar atá luaite roimhe seo, is é ÚNM an comhlacht faireacháin náisiúnta chun críocha na Treorach sin. Má mheastar go bhfuil na suíomhanna Gréasáin ag comhlíonadh na Treorach maidir le hInrochtaineacht Gréasáin, is é is dóichí go mbeidh siad furasta le rochtain agus le tuiscint agus, dá bhrí sin, go gcomhlíonfaidh siad critéir an Oifigigh Rochtana. </w:t>
      </w:r>
    </w:p>
    <w:p w14:paraId="59904713" w14:textId="4B7B17A8" w:rsidR="00956C93" w:rsidRPr="00D633FE" w:rsidRDefault="000841CA" w:rsidP="00956C93">
      <w:pPr>
        <w:pStyle w:val="ListBullet"/>
        <w:numPr>
          <w:ilvl w:val="0"/>
          <w:numId w:val="0"/>
        </w:numPr>
        <w:rPr>
          <w:b/>
        </w:rPr>
      </w:pPr>
      <w:r>
        <w:rPr>
          <w:b/>
          <w:bCs/>
          <w:lang w:val="ga"/>
        </w:rPr>
        <w:t>3. Faisnéis Teagmhála</w:t>
      </w:r>
    </w:p>
    <w:p w14:paraId="0F0391D3" w14:textId="625A2736" w:rsidR="00956C93" w:rsidRPr="00D633FE" w:rsidRDefault="00956C93" w:rsidP="008E3D78">
      <w:pPr>
        <w:pStyle w:val="ListBullet"/>
        <w:numPr>
          <w:ilvl w:val="0"/>
          <w:numId w:val="55"/>
        </w:numPr>
      </w:pPr>
      <w:r>
        <w:rPr>
          <w:lang w:val="ga"/>
        </w:rPr>
        <w:t xml:space="preserve">Ba cheart faisnéis a sholáthar faoi conas teagmháil a dhéanamh leis an Oifigeach Rochtana. Bhí teagmhais ann inar soláthraíodh faisnéis á chur in iúl gur ceapadh Oifigeach Rochtana ach inar fágadh faisnéis faoi conas teagmháil a dhéanamh leis an Oifigeach Rochtana ar lár. </w:t>
      </w:r>
    </w:p>
    <w:p w14:paraId="16FE110A" w14:textId="5819A3EB" w:rsidR="006A6E47" w:rsidRPr="00D633FE" w:rsidRDefault="006A6E47" w:rsidP="008E3D78">
      <w:pPr>
        <w:pStyle w:val="ListBullet"/>
        <w:numPr>
          <w:ilvl w:val="0"/>
          <w:numId w:val="55"/>
        </w:numPr>
      </w:pPr>
      <w:r>
        <w:rPr>
          <w:lang w:val="ga"/>
        </w:rPr>
        <w:t>I gcás go n-óstáiltear faisnéis maidir le seirbhísí comhlachtaí poiblí ar fhofhearann ar shuíomh Gréasáin a máthair-roinne, ba cheart nasc chuig mionsonraí Oifigeach Rochtana an chomhlachta phoiblí a chur ar áireamh san fhofhearann. I gcás gur leis an máthair-roinn an fhaisnéis faoin Oifigeach Rochtana, ba cheart nasc a chur ar fáil ar fhofhearann an chomhlachta phoiblí fós chun go gcuirtear úsáideoirí ar an eolas faoi sin agus go dtuigeann siad conas teagmháil a dhéanamh leis an Oifigeach Rochtana.</w:t>
      </w:r>
    </w:p>
    <w:p w14:paraId="2BE067C1" w14:textId="0B5A4906" w:rsidR="00AE3838" w:rsidRPr="00D633FE" w:rsidRDefault="00D76D63" w:rsidP="008E3D78">
      <w:pPr>
        <w:pStyle w:val="ListBullet"/>
        <w:numPr>
          <w:ilvl w:val="0"/>
          <w:numId w:val="55"/>
        </w:numPr>
      </w:pPr>
      <w:r>
        <w:rPr>
          <w:lang w:val="ga"/>
        </w:rPr>
        <w:t xml:space="preserve">Ba cheart níos mó ná cineál amháin de chainéil chumarsáide a bheith ann lena úsáid ag duine den phobal chun teagmháil a dhéanamh leis na hOifigigh Rochtana. Ba cheart cineál amháin ar a laghad de chumarsáid i scríbhinn agus cineál amháin ar a laghad de chumarsáid ó bhéal a chur chun cinn don phobal. </w:t>
      </w:r>
      <w:r>
        <w:rPr>
          <w:szCs w:val="26"/>
          <w:lang w:val="ga"/>
        </w:rPr>
        <w:t xml:space="preserve">Is bunriachtanas é roinnt cainéal cumarsáide a sholáthar chun go mbeidh daoine a bhfuil míchumas orthu in ann teagmháil a dhéanamh leis an Oifigeach Rochtana trí chainéal atá inrochtana dóibh. </w:t>
      </w:r>
      <w:r>
        <w:rPr>
          <w:lang w:val="ga"/>
        </w:rPr>
        <w:t>Tá an ceanglas sin leagtha amach faoi rannán 28 den Chód Cleachtais:</w:t>
      </w:r>
    </w:p>
    <w:p w14:paraId="5AF916A7" w14:textId="6AE76595" w:rsidR="00AE3838" w:rsidRPr="00D633FE" w:rsidRDefault="00AE3838" w:rsidP="00412B25">
      <w:pPr>
        <w:pStyle w:val="BlockQuote"/>
        <w:ind w:left="1440"/>
      </w:pPr>
      <w:r>
        <w:rPr>
          <w:lang w:val="ga"/>
        </w:rPr>
        <w:lastRenderedPageBreak/>
        <w:t>Nósanna imeachta a bhunú le haghaidh próiseáil a dhéanamh ar iarrataí ar fhormáidí inrochtana a d’fhéadfaí a sholáthar chomh fada agus is indéanta, lena n-áirítear soláthar a dhéanamh d’idirphlé leis an gcustaiméir.</w:t>
      </w:r>
    </w:p>
    <w:p w14:paraId="671FBE97" w14:textId="7634F8FD" w:rsidR="009E555C" w:rsidRPr="00D633FE" w:rsidRDefault="005B11EA" w:rsidP="009C7249">
      <w:r>
        <w:rPr>
          <w:lang w:val="ga"/>
        </w:rPr>
        <w:t xml:space="preserve">Chomh maith leis sin, ba cheart don chomhlacht poiblí aird chuí a bheith aige ar an Acht um Theanga Chomharthaíochta na hÉireann, 2017, agus a chinntiú go ndéanfaidh sé gach a bhfuil réasúnach chun a chinntiú go soláthrófar ateangaireacht Theanga Chomharthaíochta na hÉireann i gcás go bhfuil duine ag iarraidh leas a bhaint as a sheirbhísí. Áirítear leis sin caidreamh leis an Oifigeach Rochtana. Le linn dóibh aon inneachar i dTeanga Chomharthaíochta na hÉireann a tháirgeadh le haghaidh suíomhanna Gréasáin, féadfaidh comhlachtaí poiblí smaoineamh ar mhionsonraí teagmhála an Oifigigh Rochtana a chur ar áireamh mar chuid den inneachar sin chun a chinntiú go mbeidh na daoine sin a dhéanann cumarsáid trí Theanga Chomharthaíochta na hÉireann agus a fhaigheann faisnéis sa teanga sin ar an eolas faoi conas is féidir teagmháil a dhéanamh leis an Oifigeach Rochtana.  </w:t>
      </w:r>
    </w:p>
    <w:sectPr w:rsidR="009E555C" w:rsidRPr="00D633FE" w:rsidSect="00FE7D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65DB" w14:textId="77777777" w:rsidR="00B03F0D" w:rsidRDefault="00B03F0D">
      <w:r>
        <w:separator/>
      </w:r>
    </w:p>
  </w:endnote>
  <w:endnote w:type="continuationSeparator" w:id="0">
    <w:p w14:paraId="2904DBBC" w14:textId="77777777" w:rsidR="00B03F0D" w:rsidRDefault="00B0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4D63" w14:textId="25B188ED" w:rsidR="005B3D5C" w:rsidRDefault="005B3D5C">
    <w:pPr>
      <w:pStyle w:val="Footer"/>
    </w:pPr>
    <w:r>
      <w:rPr>
        <w:lang w:val="ga"/>
      </w:rPr>
      <w:tab/>
    </w:r>
    <w:r>
      <w:rPr>
        <w:lang w:val="ga"/>
      </w:rPr>
      <w:tab/>
    </w:r>
    <w:r>
      <w:rPr>
        <w:lang w:val="ga"/>
      </w:rPr>
      <w:fldChar w:fldCharType="begin"/>
    </w:r>
    <w:r>
      <w:rPr>
        <w:lang w:val="ga"/>
      </w:rPr>
      <w:instrText xml:space="preserve"> PAGE  \* Arabic  \* MERGEFORMAT </w:instrText>
    </w:r>
    <w:r>
      <w:rPr>
        <w:lang w:val="ga"/>
      </w:rPr>
      <w:fldChar w:fldCharType="separate"/>
    </w:r>
    <w:r>
      <w:rPr>
        <w:noProof/>
        <w:lang w:val="ga"/>
      </w:rPr>
      <w:t>1</w:t>
    </w:r>
    <w:r>
      <w:rPr>
        <w:noProof/>
        <w:lang w:val="ga"/>
      </w:rPr>
      <w:t>4</w:t>
    </w:r>
    <w:r>
      <w:rPr>
        <w:lang w:val="g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D679" w14:textId="77777777" w:rsidR="00B03F0D" w:rsidRDefault="00B03F0D">
      <w:r>
        <w:separator/>
      </w:r>
    </w:p>
  </w:footnote>
  <w:footnote w:type="continuationSeparator" w:id="0">
    <w:p w14:paraId="2EBE917C" w14:textId="77777777" w:rsidR="00B03F0D" w:rsidRDefault="00B03F0D">
      <w:r>
        <w:continuationSeparator/>
      </w:r>
    </w:p>
  </w:footnote>
  <w:footnote w:id="1">
    <w:p w14:paraId="3C16D6D5" w14:textId="7AD4A36A" w:rsidR="005B3D5C" w:rsidRPr="00CE783D" w:rsidRDefault="005B3D5C">
      <w:pPr>
        <w:pStyle w:val="FootnoteText"/>
        <w:rPr>
          <w:sz w:val="18"/>
          <w:szCs w:val="18"/>
        </w:rPr>
      </w:pPr>
      <w:r>
        <w:rPr>
          <w:rStyle w:val="FootnoteReference"/>
          <w:lang w:val="ga"/>
        </w:rPr>
        <w:footnoteRef/>
      </w:r>
      <w:r>
        <w:rPr>
          <w:lang w:val="ga"/>
        </w:rPr>
        <w:t xml:space="preserve"> </w:t>
      </w:r>
      <w:hyperlink r:id="rId1" w:anchor=":~:text=In%202022%2C%2094%25%20of%20households,(90%25%20of%20households)" w:history="1">
        <w:r w:rsidRPr="00CE783D">
          <w:rPr>
            <w:rStyle w:val="Hyperlink"/>
            <w:sz w:val="18"/>
            <w:szCs w:val="18"/>
            <w:lang w:val="ga"/>
          </w:rPr>
          <w:t>https://www.cso.ie/en/releasesandpublications/ep/p-isshict/internetcoverageandusageinireland2022/householdinternetconnectivity/#:~:text=In%202022%2C%2094%25%20of%20households,(90%25%20of%20households)</w:t>
        </w:r>
      </w:hyperlink>
      <w:r w:rsidRPr="00CE783D">
        <w:rPr>
          <w:sz w:val="18"/>
          <w:szCs w:val="18"/>
          <w:lang w:val="ga"/>
        </w:rPr>
        <w:t xml:space="preserve"> </w:t>
      </w:r>
    </w:p>
  </w:footnote>
  <w:footnote w:id="2">
    <w:p w14:paraId="2AFEF2B3" w14:textId="77777777" w:rsidR="005B3D5C" w:rsidRPr="00CE783D" w:rsidRDefault="005B3D5C" w:rsidP="00424436">
      <w:pPr>
        <w:pStyle w:val="FootnoteText"/>
        <w:rPr>
          <w:sz w:val="18"/>
          <w:szCs w:val="18"/>
        </w:rPr>
      </w:pPr>
      <w:r w:rsidRPr="00CE783D">
        <w:rPr>
          <w:rStyle w:val="FootnoteReference"/>
          <w:sz w:val="18"/>
          <w:szCs w:val="18"/>
          <w:lang w:val="ga"/>
        </w:rPr>
        <w:footnoteRef/>
      </w:r>
      <w:r w:rsidRPr="00CE783D">
        <w:rPr>
          <w:sz w:val="18"/>
          <w:szCs w:val="18"/>
          <w:lang w:val="ga"/>
        </w:rPr>
        <w:t xml:space="preserve"> </w:t>
      </w:r>
      <w:hyperlink r:id="rId2" w:history="1">
        <w:r w:rsidRPr="00CE783D">
          <w:rPr>
            <w:rStyle w:val="Hyperlink"/>
            <w:sz w:val="18"/>
            <w:szCs w:val="18"/>
            <w:lang w:val="ga"/>
          </w:rPr>
          <w:t>https://www.cso.ie/en/releasesandpublications/ep/p-syi/statisticalyearbookofireland2021part1/soc/internetusagebyhouseholds/</w:t>
        </w:r>
      </w:hyperlink>
      <w:r w:rsidRPr="00CE783D">
        <w:rPr>
          <w:sz w:val="18"/>
          <w:szCs w:val="18"/>
          <w:lang w:val="ga"/>
        </w:rPr>
        <w:t xml:space="preserve"> </w:t>
      </w:r>
    </w:p>
  </w:footnote>
  <w:footnote w:id="3">
    <w:p w14:paraId="11B17D52" w14:textId="3E876F5D" w:rsidR="005B3D5C" w:rsidRDefault="005B3D5C" w:rsidP="00424436">
      <w:pPr>
        <w:pStyle w:val="FootnoteText"/>
      </w:pPr>
      <w:r w:rsidRPr="00CE783D">
        <w:rPr>
          <w:rStyle w:val="FootnoteReference"/>
          <w:sz w:val="18"/>
          <w:szCs w:val="18"/>
          <w:lang w:val="ga"/>
        </w:rPr>
        <w:footnoteRef/>
      </w:r>
      <w:r w:rsidRPr="00CE783D">
        <w:rPr>
          <w:sz w:val="18"/>
          <w:szCs w:val="18"/>
          <w:lang w:val="ga"/>
        </w:rPr>
        <w:t xml:space="preserve"> </w:t>
      </w:r>
      <w:r w:rsidRPr="00CE783D">
        <w:rPr>
          <w:sz w:val="20"/>
          <w:lang w:val="ga"/>
        </w:rPr>
        <w:t xml:space="preserve">Is é is an </w:t>
      </w:r>
      <w:hyperlink r:id="rId3" w:history="1">
        <w:r w:rsidRPr="00CE783D">
          <w:rPr>
            <w:rStyle w:val="Hyperlink"/>
            <w:sz w:val="20"/>
            <w:lang w:val="ga"/>
          </w:rPr>
          <w:t>Fhoireann Uirlisí Cumarsáidí Custaiméirí le haghaidh na Seirbhíse Poiblí – Cur Chuige Dearaidh Uilíoch</w:t>
        </w:r>
      </w:hyperlink>
      <w:r w:rsidRPr="00CE783D">
        <w:rPr>
          <w:sz w:val="20"/>
          <w:lang w:val="ga"/>
        </w:rPr>
        <w:t xml:space="preserve"> ann ná acmhainn shármhaith atá ar fáil do Ranna agus do chomhlachtaí poiblí chun a chinntiú gurb inrochtana, agus gur deartha go huilíoch freisin, atá gach cineál cumarsáide leis an bpobal. </w:t>
      </w:r>
    </w:p>
  </w:footnote>
  <w:footnote w:id="4">
    <w:p w14:paraId="28EBB31E" w14:textId="7068769C" w:rsidR="005B3D5C" w:rsidRDefault="005B3D5C">
      <w:pPr>
        <w:pStyle w:val="FootnoteText"/>
      </w:pPr>
      <w:r>
        <w:rPr>
          <w:rStyle w:val="FootnoteReference"/>
          <w:lang w:val="ga"/>
        </w:rPr>
        <w:footnoteRef/>
      </w:r>
      <w:r>
        <w:rPr>
          <w:lang w:val="ga"/>
        </w:rPr>
        <w:t xml:space="preserve"> Tháirg ÚNM </w:t>
      </w:r>
      <w:hyperlink r:id="rId4" w:history="1">
        <w:r>
          <w:rPr>
            <w:rStyle w:val="Hyperlink"/>
            <w:lang w:val="ga"/>
          </w:rPr>
          <w:t>Treoir maidir le hOifigigh Rochtana do Chomhlachtaí Poiblí</w:t>
        </w:r>
      </w:hyperlink>
      <w:r>
        <w:rPr>
          <w:lang w:val="ga"/>
        </w:rPr>
        <w:t xml:space="preserve"> chun cabhrú le comhlachtaí poiblí agus le Ranna tuiscint a ghnóthú ar ról an oifigigh rochtana agus faisnéis a sholáthar faoin dóigh is fearr ar féidir tacú le ról an Oifigigh Rochtana agus leas a bhaint as </w:t>
      </w:r>
    </w:p>
  </w:footnote>
  <w:footnote w:id="5">
    <w:p w14:paraId="2F19D66A" w14:textId="0DEAFA1E" w:rsidR="000C22F0" w:rsidRDefault="000C22F0">
      <w:pPr>
        <w:pStyle w:val="FootnoteText"/>
      </w:pPr>
      <w:r>
        <w:rPr>
          <w:rStyle w:val="FootnoteReference"/>
          <w:lang w:val="ga"/>
        </w:rPr>
        <w:footnoteRef/>
      </w:r>
      <w:r>
        <w:rPr>
          <w:lang w:val="ga"/>
        </w:rPr>
        <w:t xml:space="preserve"> Mionsonraítear é sin sa </w:t>
      </w:r>
      <w:hyperlink r:id="rId5" w:history="1">
        <w:r>
          <w:rPr>
            <w:rStyle w:val="Hyperlink"/>
            <w:lang w:val="ga"/>
          </w:rPr>
          <w:t>phlean straitéiseach ón Údarás Náisiúnta Míchumais don tréimhse 2022-2024</w:t>
        </w:r>
      </w:hyperlink>
    </w:p>
  </w:footnote>
  <w:footnote w:id="6">
    <w:p w14:paraId="008064BC" w14:textId="5F3B5C1D" w:rsidR="005B3D5C" w:rsidRDefault="005B3D5C">
      <w:pPr>
        <w:pStyle w:val="FootnoteText"/>
      </w:pPr>
      <w:r>
        <w:rPr>
          <w:rStyle w:val="FootnoteReference"/>
          <w:lang w:val="ga"/>
        </w:rPr>
        <w:footnoteRef/>
      </w:r>
      <w:r>
        <w:rPr>
          <w:lang w:val="ga"/>
        </w:rPr>
        <w:t xml:space="preserve"> Ní mór do chomhlachtaí earnála poiblí Ráiteas Inrochtaineachta mionsonraithe, cuimsitheach agus soiléir a ullmhú agus a nuashonrú go tráthrialta ar an dóigh a bhfuil a suíomhanna Gréasáin agus a bhfeidhmchláir mhóibíleacha ag comhlíonadh Rialacháin an Aontais Eorpaigh (Inrochtaineacht Suíomhanna Gréasáin agus Feidhmchlár Móibíleach de chuid Comhlachtaí san Earnáil Phoiblí), 2020. Áirítear leis na rialacháin sin sásra a sholáthar le haghaidh inneachar neamh-inrochtana a thuairisciú agus le haghaidh iarrataí a dhéanamh ar dhoiciméadacht inrochtana, ar iarrataí iad is féidir le hOifigeach Rochtana a chomhlíonadh. Tháirg an Lárionad Sármhaitheasa i nDearadh Uilíoch </w:t>
      </w:r>
      <w:hyperlink r:id="rId6" w:anchor="writingaccessibilitystatement" w:history="1">
        <w:r>
          <w:rPr>
            <w:rStyle w:val="Hyperlink"/>
            <w:lang w:val="ga"/>
          </w:rPr>
          <w:t>Treoir maidir le Ráitis Inrochtaineachta a scríobh</w:t>
        </w:r>
      </w:hyperlink>
      <w:r>
        <w:rPr>
          <w:lang w:val="ga"/>
        </w:rPr>
        <w:t xml:space="preserve"> do chomhlachtaí poiblí chun cabhrú leo na ceanglais a bhaineann le Ráitis Inrochtaineachta a chomhlíonadh. </w:t>
      </w:r>
    </w:p>
  </w:footnote>
  <w:footnote w:id="7">
    <w:p w14:paraId="49A09910" w14:textId="5AAEBAE9" w:rsidR="005B3D5C" w:rsidRDefault="005B3D5C">
      <w:pPr>
        <w:pStyle w:val="FootnoteText"/>
      </w:pPr>
      <w:r>
        <w:rPr>
          <w:rStyle w:val="FootnoteReference"/>
          <w:lang w:val="ga"/>
        </w:rPr>
        <w:footnoteRef/>
      </w:r>
      <w:r>
        <w:rPr>
          <w:lang w:val="ga"/>
        </w:rPr>
        <w:t xml:space="preserve"> Tá sé tábhachtach a thabhairt faoi deara gur féidir le hOifigigh Rochtana bheith úsáideach maidir le daoine den phobal i gcoitinne agus maidir le hiarratasóirí ar phoist, le conraitheoirí, le geallsealbhóirí seachtracha atá ag freastal ar chruinnithe ar an láithreán agus le fostaithe den chomhlacht poiblí é féin.</w:t>
      </w:r>
    </w:p>
  </w:footnote>
  <w:footnote w:id="8">
    <w:p w14:paraId="1FFD1DBA" w14:textId="77777777" w:rsidR="00BF19C7" w:rsidRPr="00DB0AA6" w:rsidRDefault="00BF19C7" w:rsidP="00DB0AA6">
      <w:pPr>
        <w:pStyle w:val="ListBullet"/>
        <w:numPr>
          <w:ilvl w:val="0"/>
          <w:numId w:val="0"/>
        </w:numPr>
        <w:rPr>
          <w:sz w:val="22"/>
          <w:szCs w:val="22"/>
        </w:rPr>
      </w:pPr>
      <w:r>
        <w:rPr>
          <w:rStyle w:val="FootnoteReference"/>
          <w:lang w:val="ga"/>
        </w:rPr>
        <w:footnoteRef/>
      </w:r>
      <w:r>
        <w:rPr>
          <w:lang w:val="ga"/>
        </w:rPr>
        <w:t xml:space="preserve"> </w:t>
      </w:r>
      <w:r>
        <w:rPr>
          <w:sz w:val="22"/>
          <w:szCs w:val="22"/>
          <w:lang w:val="ga"/>
        </w:rPr>
        <w:t xml:space="preserve">Ba cheart do chomhlachtaí poiblí a thabhairt faoi deara gurb amhlaidh, sa </w:t>
      </w:r>
      <w:hyperlink r:id="rId7" w:history="1">
        <w:r>
          <w:rPr>
            <w:rStyle w:val="Hyperlink"/>
            <w:sz w:val="22"/>
            <w:szCs w:val="22"/>
            <w:lang w:val="ga"/>
          </w:rPr>
          <w:t>treoir maidir le scríbhneoireacht</w:t>
        </w:r>
      </w:hyperlink>
      <w:r>
        <w:rPr>
          <w:sz w:val="22"/>
          <w:szCs w:val="22"/>
          <w:lang w:val="ga"/>
        </w:rPr>
        <w:t xml:space="preserve"> ó ÚNM, nach mór ráiteas inrochtaineachta a bheidh i gcomhréir leis na ceanglais faoin Treoir maidir le hInrochtaineacht Gréasáin a chur ar áireamh. Is féidir leis an Oifigeach Rochtana a bheith ar an sásra sin. De bhreis ar mhionsonraí a bheith á soláthar mar chuid den ráiteas inrochtaineachta, áfach, ba cheart na mionsonraí don Oifigeach Rochtana a chur in iúl go soiléir ar rannán eile den suíomh Gréasáin (mar atá mionsonraithe thuas). Is amhlaidh sin toisc gur gá a chur in iúl go soiléir nach bhfuil in inrochtaineacht faisnéise digití ach gné amháin den ról seo. </w:t>
      </w:r>
    </w:p>
    <w:p w14:paraId="0D877A41" w14:textId="4C6A251D" w:rsidR="00BF19C7" w:rsidRDefault="00BF19C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3FB6" w14:textId="77777777" w:rsidR="005B3D5C" w:rsidRDefault="005B3D5C" w:rsidP="00A618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70E46C9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09321B2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B39456E"/>
    <w:multiLevelType w:val="hybridMultilevel"/>
    <w:tmpl w:val="A9106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F6556FA"/>
    <w:multiLevelType w:val="hybridMultilevel"/>
    <w:tmpl w:val="DA16149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FB18C4"/>
    <w:multiLevelType w:val="hybridMultilevel"/>
    <w:tmpl w:val="B4AA5238"/>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1A639B"/>
    <w:multiLevelType w:val="hybridMultilevel"/>
    <w:tmpl w:val="5F20ADC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86B69EE"/>
    <w:multiLevelType w:val="hybridMultilevel"/>
    <w:tmpl w:val="5F20ADC6"/>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48872A25"/>
    <w:multiLevelType w:val="hybridMultilevel"/>
    <w:tmpl w:val="239C8D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562293"/>
    <w:multiLevelType w:val="hybridMultilevel"/>
    <w:tmpl w:val="3C9CA1A0"/>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1A1270B"/>
    <w:multiLevelType w:val="hybridMultilevel"/>
    <w:tmpl w:val="DA16149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F2649C9"/>
    <w:multiLevelType w:val="hybridMultilevel"/>
    <w:tmpl w:val="E024872A"/>
    <w:lvl w:ilvl="0" w:tplc="18090001">
      <w:start w:val="1"/>
      <w:numFmt w:val="bullet"/>
      <w:lvlText w:val=""/>
      <w:lvlJc w:val="left"/>
      <w:pPr>
        <w:ind w:left="790" w:hanging="360"/>
      </w:pPr>
      <w:rPr>
        <w:rFonts w:ascii="Symbol" w:hAnsi="Symbol" w:hint="default"/>
      </w:rPr>
    </w:lvl>
    <w:lvl w:ilvl="1" w:tplc="18090003" w:tentative="1">
      <w:start w:val="1"/>
      <w:numFmt w:val="bullet"/>
      <w:lvlText w:val="o"/>
      <w:lvlJc w:val="left"/>
      <w:pPr>
        <w:ind w:left="1510" w:hanging="360"/>
      </w:pPr>
      <w:rPr>
        <w:rFonts w:ascii="Courier New" w:hAnsi="Courier New" w:cs="Courier New" w:hint="default"/>
      </w:rPr>
    </w:lvl>
    <w:lvl w:ilvl="2" w:tplc="18090005" w:tentative="1">
      <w:start w:val="1"/>
      <w:numFmt w:val="bullet"/>
      <w:lvlText w:val=""/>
      <w:lvlJc w:val="left"/>
      <w:pPr>
        <w:ind w:left="2230" w:hanging="360"/>
      </w:pPr>
      <w:rPr>
        <w:rFonts w:ascii="Wingdings" w:hAnsi="Wingdings" w:hint="default"/>
      </w:rPr>
    </w:lvl>
    <w:lvl w:ilvl="3" w:tplc="18090001" w:tentative="1">
      <w:start w:val="1"/>
      <w:numFmt w:val="bullet"/>
      <w:lvlText w:val=""/>
      <w:lvlJc w:val="left"/>
      <w:pPr>
        <w:ind w:left="2950" w:hanging="360"/>
      </w:pPr>
      <w:rPr>
        <w:rFonts w:ascii="Symbol" w:hAnsi="Symbol" w:hint="default"/>
      </w:rPr>
    </w:lvl>
    <w:lvl w:ilvl="4" w:tplc="18090003" w:tentative="1">
      <w:start w:val="1"/>
      <w:numFmt w:val="bullet"/>
      <w:lvlText w:val="o"/>
      <w:lvlJc w:val="left"/>
      <w:pPr>
        <w:ind w:left="3670" w:hanging="360"/>
      </w:pPr>
      <w:rPr>
        <w:rFonts w:ascii="Courier New" w:hAnsi="Courier New" w:cs="Courier New" w:hint="default"/>
      </w:rPr>
    </w:lvl>
    <w:lvl w:ilvl="5" w:tplc="18090005" w:tentative="1">
      <w:start w:val="1"/>
      <w:numFmt w:val="bullet"/>
      <w:lvlText w:val=""/>
      <w:lvlJc w:val="left"/>
      <w:pPr>
        <w:ind w:left="4390" w:hanging="360"/>
      </w:pPr>
      <w:rPr>
        <w:rFonts w:ascii="Wingdings" w:hAnsi="Wingdings" w:hint="default"/>
      </w:rPr>
    </w:lvl>
    <w:lvl w:ilvl="6" w:tplc="18090001" w:tentative="1">
      <w:start w:val="1"/>
      <w:numFmt w:val="bullet"/>
      <w:lvlText w:val=""/>
      <w:lvlJc w:val="left"/>
      <w:pPr>
        <w:ind w:left="5110" w:hanging="360"/>
      </w:pPr>
      <w:rPr>
        <w:rFonts w:ascii="Symbol" w:hAnsi="Symbol" w:hint="default"/>
      </w:rPr>
    </w:lvl>
    <w:lvl w:ilvl="7" w:tplc="18090003" w:tentative="1">
      <w:start w:val="1"/>
      <w:numFmt w:val="bullet"/>
      <w:lvlText w:val="o"/>
      <w:lvlJc w:val="left"/>
      <w:pPr>
        <w:ind w:left="5830" w:hanging="360"/>
      </w:pPr>
      <w:rPr>
        <w:rFonts w:ascii="Courier New" w:hAnsi="Courier New" w:cs="Courier New" w:hint="default"/>
      </w:rPr>
    </w:lvl>
    <w:lvl w:ilvl="8" w:tplc="18090005" w:tentative="1">
      <w:start w:val="1"/>
      <w:numFmt w:val="bullet"/>
      <w:lvlText w:val=""/>
      <w:lvlJc w:val="left"/>
      <w:pPr>
        <w:ind w:left="6550" w:hanging="360"/>
      </w:pPr>
      <w:rPr>
        <w:rFonts w:ascii="Wingdings" w:hAnsi="Wingdings" w:hint="default"/>
      </w:rPr>
    </w:lvl>
  </w:abstractNum>
  <w:abstractNum w:abstractNumId="15" w15:restartNumberingAfterBreak="0">
    <w:nsid w:val="717977F6"/>
    <w:multiLevelType w:val="hybridMultilevel"/>
    <w:tmpl w:val="F11206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2A87622"/>
    <w:multiLevelType w:val="hybridMultilevel"/>
    <w:tmpl w:val="B4AA5238"/>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45C354A"/>
    <w:multiLevelType w:val="hybridMultilevel"/>
    <w:tmpl w:val="3C9CA1A0"/>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3D4659"/>
    <w:multiLevelType w:val="hybridMultilevel"/>
    <w:tmpl w:val="194A8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6A4EAF"/>
    <w:multiLevelType w:val="hybridMultilevel"/>
    <w:tmpl w:val="88F0D7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CA87B08"/>
    <w:multiLevelType w:val="hybridMultilevel"/>
    <w:tmpl w:val="49549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D794F81"/>
    <w:multiLevelType w:val="hybridMultilevel"/>
    <w:tmpl w:val="806AE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EF37B3D"/>
    <w:multiLevelType w:val="hybridMultilevel"/>
    <w:tmpl w:val="5B2061B4"/>
    <w:lvl w:ilvl="0" w:tplc="18090001">
      <w:start w:val="1"/>
      <w:numFmt w:val="bullet"/>
      <w:lvlText w:val=""/>
      <w:lvlJc w:val="left"/>
      <w:pPr>
        <w:ind w:left="790" w:hanging="360"/>
      </w:pPr>
      <w:rPr>
        <w:rFonts w:ascii="Symbol" w:hAnsi="Symbol" w:hint="default"/>
      </w:rPr>
    </w:lvl>
    <w:lvl w:ilvl="1" w:tplc="18090003" w:tentative="1">
      <w:start w:val="1"/>
      <w:numFmt w:val="bullet"/>
      <w:lvlText w:val="o"/>
      <w:lvlJc w:val="left"/>
      <w:pPr>
        <w:ind w:left="1510" w:hanging="360"/>
      </w:pPr>
      <w:rPr>
        <w:rFonts w:ascii="Courier New" w:hAnsi="Courier New" w:cs="Courier New" w:hint="default"/>
      </w:rPr>
    </w:lvl>
    <w:lvl w:ilvl="2" w:tplc="18090005" w:tentative="1">
      <w:start w:val="1"/>
      <w:numFmt w:val="bullet"/>
      <w:lvlText w:val=""/>
      <w:lvlJc w:val="left"/>
      <w:pPr>
        <w:ind w:left="2230" w:hanging="360"/>
      </w:pPr>
      <w:rPr>
        <w:rFonts w:ascii="Wingdings" w:hAnsi="Wingdings" w:hint="default"/>
      </w:rPr>
    </w:lvl>
    <w:lvl w:ilvl="3" w:tplc="18090001" w:tentative="1">
      <w:start w:val="1"/>
      <w:numFmt w:val="bullet"/>
      <w:lvlText w:val=""/>
      <w:lvlJc w:val="left"/>
      <w:pPr>
        <w:ind w:left="2950" w:hanging="360"/>
      </w:pPr>
      <w:rPr>
        <w:rFonts w:ascii="Symbol" w:hAnsi="Symbol" w:hint="default"/>
      </w:rPr>
    </w:lvl>
    <w:lvl w:ilvl="4" w:tplc="18090003" w:tentative="1">
      <w:start w:val="1"/>
      <w:numFmt w:val="bullet"/>
      <w:lvlText w:val="o"/>
      <w:lvlJc w:val="left"/>
      <w:pPr>
        <w:ind w:left="3670" w:hanging="360"/>
      </w:pPr>
      <w:rPr>
        <w:rFonts w:ascii="Courier New" w:hAnsi="Courier New" w:cs="Courier New" w:hint="default"/>
      </w:rPr>
    </w:lvl>
    <w:lvl w:ilvl="5" w:tplc="18090005" w:tentative="1">
      <w:start w:val="1"/>
      <w:numFmt w:val="bullet"/>
      <w:lvlText w:val=""/>
      <w:lvlJc w:val="left"/>
      <w:pPr>
        <w:ind w:left="4390" w:hanging="360"/>
      </w:pPr>
      <w:rPr>
        <w:rFonts w:ascii="Wingdings" w:hAnsi="Wingdings" w:hint="default"/>
      </w:rPr>
    </w:lvl>
    <w:lvl w:ilvl="6" w:tplc="18090001" w:tentative="1">
      <w:start w:val="1"/>
      <w:numFmt w:val="bullet"/>
      <w:lvlText w:val=""/>
      <w:lvlJc w:val="left"/>
      <w:pPr>
        <w:ind w:left="5110" w:hanging="360"/>
      </w:pPr>
      <w:rPr>
        <w:rFonts w:ascii="Symbol" w:hAnsi="Symbol" w:hint="default"/>
      </w:rPr>
    </w:lvl>
    <w:lvl w:ilvl="7" w:tplc="18090003" w:tentative="1">
      <w:start w:val="1"/>
      <w:numFmt w:val="bullet"/>
      <w:lvlText w:val="o"/>
      <w:lvlJc w:val="left"/>
      <w:pPr>
        <w:ind w:left="5830" w:hanging="360"/>
      </w:pPr>
      <w:rPr>
        <w:rFonts w:ascii="Courier New" w:hAnsi="Courier New" w:cs="Courier New" w:hint="default"/>
      </w:rPr>
    </w:lvl>
    <w:lvl w:ilvl="8" w:tplc="18090005" w:tentative="1">
      <w:start w:val="1"/>
      <w:numFmt w:val="bullet"/>
      <w:lvlText w:val=""/>
      <w:lvlJc w:val="left"/>
      <w:pPr>
        <w:ind w:left="6550" w:hanging="360"/>
      </w:pPr>
      <w:rPr>
        <w:rFonts w:ascii="Wingdings" w:hAnsi="Wingdings" w:hint="default"/>
      </w:rPr>
    </w:lvl>
  </w:abstractNum>
  <w:abstractNum w:abstractNumId="23" w15:restartNumberingAfterBreak="0">
    <w:nsid w:val="7F4E2852"/>
    <w:multiLevelType w:val="hybridMultilevel"/>
    <w:tmpl w:val="13E21D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75816929">
    <w:abstractNumId w:val="5"/>
  </w:num>
  <w:num w:numId="2" w16cid:durableId="71509110">
    <w:abstractNumId w:val="3"/>
  </w:num>
  <w:num w:numId="3" w16cid:durableId="1662151686">
    <w:abstractNumId w:val="2"/>
  </w:num>
  <w:num w:numId="4" w16cid:durableId="1990205172">
    <w:abstractNumId w:val="4"/>
  </w:num>
  <w:num w:numId="5" w16cid:durableId="139463681">
    <w:abstractNumId w:val="4"/>
  </w:num>
  <w:num w:numId="6" w16cid:durableId="1660111242">
    <w:abstractNumId w:val="1"/>
  </w:num>
  <w:num w:numId="7" w16cid:durableId="1144354287">
    <w:abstractNumId w:val="0"/>
  </w:num>
  <w:num w:numId="8" w16cid:durableId="1461067463">
    <w:abstractNumId w:val="21"/>
  </w:num>
  <w:num w:numId="9" w16cid:durableId="128323975">
    <w:abstractNumId w:val="8"/>
  </w:num>
  <w:num w:numId="10" w16cid:durableId="1961180923">
    <w:abstractNumId w:val="12"/>
  </w:num>
  <w:num w:numId="11" w16cid:durableId="470951192">
    <w:abstractNumId w:val="10"/>
  </w:num>
  <w:num w:numId="12" w16cid:durableId="289633714">
    <w:abstractNumId w:val="7"/>
  </w:num>
  <w:num w:numId="13" w16cid:durableId="1930387179">
    <w:abstractNumId w:val="15"/>
  </w:num>
  <w:num w:numId="14" w16cid:durableId="290289937">
    <w:abstractNumId w:val="4"/>
    <w:lvlOverride w:ilvl="0">
      <w:startOverride w:val="1"/>
    </w:lvlOverride>
  </w:num>
  <w:num w:numId="15" w16cid:durableId="24215120">
    <w:abstractNumId w:val="18"/>
  </w:num>
  <w:num w:numId="16" w16cid:durableId="1033925952">
    <w:abstractNumId w:val="4"/>
    <w:lvlOverride w:ilvl="0">
      <w:startOverride w:val="1"/>
    </w:lvlOverride>
  </w:num>
  <w:num w:numId="17" w16cid:durableId="649943993">
    <w:abstractNumId w:val="4"/>
    <w:lvlOverride w:ilvl="0">
      <w:startOverride w:val="1"/>
    </w:lvlOverride>
  </w:num>
  <w:num w:numId="18" w16cid:durableId="105083763">
    <w:abstractNumId w:val="4"/>
    <w:lvlOverride w:ilvl="0">
      <w:startOverride w:val="1"/>
    </w:lvlOverride>
  </w:num>
  <w:num w:numId="19" w16cid:durableId="1601718086">
    <w:abstractNumId w:val="4"/>
    <w:lvlOverride w:ilvl="0">
      <w:startOverride w:val="1"/>
    </w:lvlOverride>
  </w:num>
  <w:num w:numId="20" w16cid:durableId="1369909510">
    <w:abstractNumId w:val="4"/>
    <w:lvlOverride w:ilvl="0">
      <w:startOverride w:val="1"/>
    </w:lvlOverride>
  </w:num>
  <w:num w:numId="21" w16cid:durableId="1347057538">
    <w:abstractNumId w:val="4"/>
    <w:lvlOverride w:ilvl="0">
      <w:startOverride w:val="1"/>
    </w:lvlOverride>
  </w:num>
  <w:num w:numId="22" w16cid:durableId="1922447034">
    <w:abstractNumId w:val="4"/>
    <w:lvlOverride w:ilvl="0">
      <w:startOverride w:val="1"/>
    </w:lvlOverride>
  </w:num>
  <w:num w:numId="23" w16cid:durableId="1041780879">
    <w:abstractNumId w:val="4"/>
    <w:lvlOverride w:ilvl="0">
      <w:startOverride w:val="1"/>
    </w:lvlOverride>
  </w:num>
  <w:num w:numId="24" w16cid:durableId="659578472">
    <w:abstractNumId w:val="4"/>
    <w:lvlOverride w:ilvl="0">
      <w:startOverride w:val="1"/>
    </w:lvlOverride>
  </w:num>
  <w:num w:numId="25" w16cid:durableId="1115297532">
    <w:abstractNumId w:val="4"/>
    <w:lvlOverride w:ilvl="0">
      <w:startOverride w:val="1"/>
    </w:lvlOverride>
  </w:num>
  <w:num w:numId="26" w16cid:durableId="631785001">
    <w:abstractNumId w:val="4"/>
    <w:lvlOverride w:ilvl="0">
      <w:startOverride w:val="1"/>
    </w:lvlOverride>
  </w:num>
  <w:num w:numId="27" w16cid:durableId="391857218">
    <w:abstractNumId w:val="4"/>
    <w:lvlOverride w:ilvl="0">
      <w:startOverride w:val="1"/>
    </w:lvlOverride>
  </w:num>
  <w:num w:numId="28" w16cid:durableId="1788620778">
    <w:abstractNumId w:val="4"/>
    <w:lvlOverride w:ilvl="0">
      <w:startOverride w:val="1"/>
    </w:lvlOverride>
  </w:num>
  <w:num w:numId="29" w16cid:durableId="1020086415">
    <w:abstractNumId w:val="4"/>
    <w:lvlOverride w:ilvl="0">
      <w:startOverride w:val="1"/>
    </w:lvlOverride>
  </w:num>
  <w:num w:numId="30" w16cid:durableId="2074965055">
    <w:abstractNumId w:val="4"/>
    <w:lvlOverride w:ilvl="0">
      <w:startOverride w:val="1"/>
    </w:lvlOverride>
  </w:num>
  <w:num w:numId="31" w16cid:durableId="2030254179">
    <w:abstractNumId w:val="4"/>
    <w:lvlOverride w:ilvl="0">
      <w:startOverride w:val="1"/>
    </w:lvlOverride>
  </w:num>
  <w:num w:numId="32" w16cid:durableId="1631746819">
    <w:abstractNumId w:val="4"/>
    <w:lvlOverride w:ilvl="0">
      <w:startOverride w:val="1"/>
    </w:lvlOverride>
  </w:num>
  <w:num w:numId="33" w16cid:durableId="1158611215">
    <w:abstractNumId w:val="4"/>
    <w:lvlOverride w:ilvl="0">
      <w:startOverride w:val="1"/>
    </w:lvlOverride>
  </w:num>
  <w:num w:numId="34" w16cid:durableId="1045717238">
    <w:abstractNumId w:val="4"/>
    <w:lvlOverride w:ilvl="0">
      <w:startOverride w:val="1"/>
    </w:lvlOverride>
  </w:num>
  <w:num w:numId="35" w16cid:durableId="723529655">
    <w:abstractNumId w:val="4"/>
    <w:lvlOverride w:ilvl="0">
      <w:startOverride w:val="1"/>
    </w:lvlOverride>
  </w:num>
  <w:num w:numId="36" w16cid:durableId="1479885818">
    <w:abstractNumId w:val="4"/>
    <w:lvlOverride w:ilvl="0">
      <w:startOverride w:val="1"/>
    </w:lvlOverride>
  </w:num>
  <w:num w:numId="37" w16cid:durableId="1881938673">
    <w:abstractNumId w:val="4"/>
    <w:lvlOverride w:ilvl="0">
      <w:startOverride w:val="1"/>
    </w:lvlOverride>
  </w:num>
  <w:num w:numId="38" w16cid:durableId="744375370">
    <w:abstractNumId w:val="4"/>
    <w:lvlOverride w:ilvl="0">
      <w:startOverride w:val="1"/>
    </w:lvlOverride>
  </w:num>
  <w:num w:numId="39" w16cid:durableId="1017658135">
    <w:abstractNumId w:val="4"/>
    <w:lvlOverride w:ilvl="0">
      <w:startOverride w:val="1"/>
    </w:lvlOverride>
  </w:num>
  <w:num w:numId="40" w16cid:durableId="2049573400">
    <w:abstractNumId w:val="4"/>
    <w:lvlOverride w:ilvl="0">
      <w:startOverride w:val="1"/>
    </w:lvlOverride>
  </w:num>
  <w:num w:numId="41" w16cid:durableId="1715612652">
    <w:abstractNumId w:val="4"/>
    <w:lvlOverride w:ilvl="0">
      <w:startOverride w:val="1"/>
    </w:lvlOverride>
  </w:num>
  <w:num w:numId="42" w16cid:durableId="1407192855">
    <w:abstractNumId w:val="4"/>
    <w:lvlOverride w:ilvl="0">
      <w:startOverride w:val="1"/>
    </w:lvlOverride>
  </w:num>
  <w:num w:numId="43" w16cid:durableId="329218479">
    <w:abstractNumId w:val="4"/>
    <w:lvlOverride w:ilvl="0">
      <w:startOverride w:val="1"/>
    </w:lvlOverride>
  </w:num>
  <w:num w:numId="44" w16cid:durableId="1206525969">
    <w:abstractNumId w:val="4"/>
    <w:lvlOverride w:ilvl="0">
      <w:startOverride w:val="1"/>
    </w:lvlOverride>
  </w:num>
  <w:num w:numId="45" w16cid:durableId="1775130088">
    <w:abstractNumId w:val="4"/>
    <w:lvlOverride w:ilvl="0">
      <w:startOverride w:val="1"/>
    </w:lvlOverride>
  </w:num>
  <w:num w:numId="46" w16cid:durableId="662317991">
    <w:abstractNumId w:val="4"/>
    <w:lvlOverride w:ilvl="0">
      <w:startOverride w:val="1"/>
    </w:lvlOverride>
  </w:num>
  <w:num w:numId="47" w16cid:durableId="348065440">
    <w:abstractNumId w:val="4"/>
    <w:lvlOverride w:ilvl="0">
      <w:startOverride w:val="1"/>
    </w:lvlOverride>
  </w:num>
  <w:num w:numId="48" w16cid:durableId="960961394">
    <w:abstractNumId w:val="4"/>
    <w:lvlOverride w:ilvl="0">
      <w:startOverride w:val="1"/>
    </w:lvlOverride>
  </w:num>
  <w:num w:numId="49" w16cid:durableId="1028408869">
    <w:abstractNumId w:val="4"/>
    <w:lvlOverride w:ilvl="0">
      <w:startOverride w:val="1"/>
    </w:lvlOverride>
  </w:num>
  <w:num w:numId="50" w16cid:durableId="1203904483">
    <w:abstractNumId w:val="4"/>
    <w:lvlOverride w:ilvl="0">
      <w:startOverride w:val="1"/>
    </w:lvlOverride>
  </w:num>
  <w:num w:numId="51" w16cid:durableId="464352188">
    <w:abstractNumId w:val="4"/>
    <w:lvlOverride w:ilvl="0">
      <w:startOverride w:val="1"/>
    </w:lvlOverride>
  </w:num>
  <w:num w:numId="52" w16cid:durableId="1677725274">
    <w:abstractNumId w:val="16"/>
  </w:num>
  <w:num w:numId="53" w16cid:durableId="730688867">
    <w:abstractNumId w:val="17"/>
  </w:num>
  <w:num w:numId="54" w16cid:durableId="1198393658">
    <w:abstractNumId w:val="9"/>
  </w:num>
  <w:num w:numId="55" w16cid:durableId="2139100461">
    <w:abstractNumId w:val="13"/>
  </w:num>
  <w:num w:numId="56" w16cid:durableId="337655780">
    <w:abstractNumId w:val="4"/>
    <w:lvlOverride w:ilvl="0">
      <w:startOverride w:val="1"/>
    </w:lvlOverride>
  </w:num>
  <w:num w:numId="57" w16cid:durableId="935595851">
    <w:abstractNumId w:val="4"/>
    <w:lvlOverride w:ilvl="0">
      <w:startOverride w:val="1"/>
    </w:lvlOverride>
  </w:num>
  <w:num w:numId="58" w16cid:durableId="621764774">
    <w:abstractNumId w:val="4"/>
    <w:lvlOverride w:ilvl="0">
      <w:startOverride w:val="1"/>
    </w:lvlOverride>
  </w:num>
  <w:num w:numId="59" w16cid:durableId="1556118737">
    <w:abstractNumId w:val="4"/>
    <w:lvlOverride w:ilvl="0">
      <w:startOverride w:val="1"/>
    </w:lvlOverride>
  </w:num>
  <w:num w:numId="60" w16cid:durableId="983317391">
    <w:abstractNumId w:val="4"/>
    <w:lvlOverride w:ilvl="0">
      <w:startOverride w:val="1"/>
    </w:lvlOverride>
  </w:num>
  <w:num w:numId="61" w16cid:durableId="1495343636">
    <w:abstractNumId w:val="4"/>
    <w:lvlOverride w:ilvl="0">
      <w:startOverride w:val="1"/>
    </w:lvlOverride>
  </w:num>
  <w:num w:numId="62" w16cid:durableId="549268583">
    <w:abstractNumId w:val="4"/>
    <w:lvlOverride w:ilvl="0">
      <w:startOverride w:val="1"/>
    </w:lvlOverride>
  </w:num>
  <w:num w:numId="63" w16cid:durableId="648441689">
    <w:abstractNumId w:val="4"/>
    <w:lvlOverride w:ilvl="0">
      <w:startOverride w:val="1"/>
    </w:lvlOverride>
  </w:num>
  <w:num w:numId="64" w16cid:durableId="515190390">
    <w:abstractNumId w:val="4"/>
    <w:lvlOverride w:ilvl="0">
      <w:startOverride w:val="1"/>
    </w:lvlOverride>
  </w:num>
  <w:num w:numId="65" w16cid:durableId="2117165843">
    <w:abstractNumId w:val="4"/>
    <w:lvlOverride w:ilvl="0">
      <w:startOverride w:val="1"/>
    </w:lvlOverride>
  </w:num>
  <w:num w:numId="66" w16cid:durableId="90055811">
    <w:abstractNumId w:val="4"/>
    <w:lvlOverride w:ilvl="0">
      <w:startOverride w:val="1"/>
    </w:lvlOverride>
  </w:num>
  <w:num w:numId="67" w16cid:durableId="380904940">
    <w:abstractNumId w:val="4"/>
    <w:lvlOverride w:ilvl="0">
      <w:startOverride w:val="1"/>
    </w:lvlOverride>
  </w:num>
  <w:num w:numId="68" w16cid:durableId="104276286">
    <w:abstractNumId w:val="4"/>
    <w:lvlOverride w:ilvl="0">
      <w:startOverride w:val="1"/>
    </w:lvlOverride>
  </w:num>
  <w:num w:numId="69" w16cid:durableId="313068319">
    <w:abstractNumId w:val="4"/>
    <w:lvlOverride w:ilvl="0">
      <w:startOverride w:val="1"/>
    </w:lvlOverride>
  </w:num>
  <w:num w:numId="70" w16cid:durableId="1896771670">
    <w:abstractNumId w:val="4"/>
    <w:lvlOverride w:ilvl="0">
      <w:startOverride w:val="1"/>
    </w:lvlOverride>
  </w:num>
  <w:num w:numId="71" w16cid:durableId="296228897">
    <w:abstractNumId w:val="4"/>
    <w:lvlOverride w:ilvl="0">
      <w:startOverride w:val="1"/>
    </w:lvlOverride>
  </w:num>
  <w:num w:numId="72" w16cid:durableId="498690742">
    <w:abstractNumId w:val="4"/>
    <w:lvlOverride w:ilvl="0">
      <w:startOverride w:val="1"/>
    </w:lvlOverride>
  </w:num>
  <w:num w:numId="73" w16cid:durableId="689069405">
    <w:abstractNumId w:val="4"/>
    <w:lvlOverride w:ilvl="0">
      <w:startOverride w:val="1"/>
    </w:lvlOverride>
  </w:num>
  <w:num w:numId="74" w16cid:durableId="295717704">
    <w:abstractNumId w:val="20"/>
  </w:num>
  <w:num w:numId="75" w16cid:durableId="510724584">
    <w:abstractNumId w:val="6"/>
  </w:num>
  <w:num w:numId="76" w16cid:durableId="762797626">
    <w:abstractNumId w:val="23"/>
  </w:num>
  <w:num w:numId="77" w16cid:durableId="1648514292">
    <w:abstractNumId w:val="19"/>
  </w:num>
  <w:num w:numId="78" w16cid:durableId="244992926">
    <w:abstractNumId w:val="14"/>
  </w:num>
  <w:num w:numId="79" w16cid:durableId="668287371">
    <w:abstractNumId w:val="22"/>
  </w:num>
  <w:num w:numId="80" w16cid:durableId="2107186365">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B7"/>
    <w:rsid w:val="000024C4"/>
    <w:rsid w:val="00002F38"/>
    <w:rsid w:val="000053E0"/>
    <w:rsid w:val="000067EB"/>
    <w:rsid w:val="00007DAE"/>
    <w:rsid w:val="00020C6D"/>
    <w:rsid w:val="00021A24"/>
    <w:rsid w:val="000233EE"/>
    <w:rsid w:val="00030458"/>
    <w:rsid w:val="0003096D"/>
    <w:rsid w:val="00030E8F"/>
    <w:rsid w:val="00034800"/>
    <w:rsid w:val="00035246"/>
    <w:rsid w:val="00042313"/>
    <w:rsid w:val="00044CF1"/>
    <w:rsid w:val="00050A93"/>
    <w:rsid w:val="000563C8"/>
    <w:rsid w:val="00056A6A"/>
    <w:rsid w:val="00060C3D"/>
    <w:rsid w:val="000627AB"/>
    <w:rsid w:val="00062D2D"/>
    <w:rsid w:val="00063EE9"/>
    <w:rsid w:val="00065CD9"/>
    <w:rsid w:val="00072AF2"/>
    <w:rsid w:val="00072DDD"/>
    <w:rsid w:val="000773D1"/>
    <w:rsid w:val="000832AE"/>
    <w:rsid w:val="000841CA"/>
    <w:rsid w:val="00084941"/>
    <w:rsid w:val="000946DD"/>
    <w:rsid w:val="00096A0F"/>
    <w:rsid w:val="00096D75"/>
    <w:rsid w:val="00097307"/>
    <w:rsid w:val="000A0053"/>
    <w:rsid w:val="000A5519"/>
    <w:rsid w:val="000A7D6E"/>
    <w:rsid w:val="000B1DF3"/>
    <w:rsid w:val="000B749B"/>
    <w:rsid w:val="000C03FA"/>
    <w:rsid w:val="000C150E"/>
    <w:rsid w:val="000C22F0"/>
    <w:rsid w:val="000C5CCA"/>
    <w:rsid w:val="000D09E0"/>
    <w:rsid w:val="000D1ECB"/>
    <w:rsid w:val="000D42F8"/>
    <w:rsid w:val="000D6FD2"/>
    <w:rsid w:val="000D731A"/>
    <w:rsid w:val="000E089B"/>
    <w:rsid w:val="000E21E4"/>
    <w:rsid w:val="000E2F76"/>
    <w:rsid w:val="000E4153"/>
    <w:rsid w:val="000E7BF0"/>
    <w:rsid w:val="000F0585"/>
    <w:rsid w:val="000F2D76"/>
    <w:rsid w:val="000F3B61"/>
    <w:rsid w:val="000F5746"/>
    <w:rsid w:val="000F575E"/>
    <w:rsid w:val="000F6A4C"/>
    <w:rsid w:val="001023C5"/>
    <w:rsid w:val="00103127"/>
    <w:rsid w:val="00106E5F"/>
    <w:rsid w:val="00107937"/>
    <w:rsid w:val="0011062A"/>
    <w:rsid w:val="0011115E"/>
    <w:rsid w:val="001146C5"/>
    <w:rsid w:val="00115220"/>
    <w:rsid w:val="00115CF4"/>
    <w:rsid w:val="0012370C"/>
    <w:rsid w:val="00124891"/>
    <w:rsid w:val="00125C17"/>
    <w:rsid w:val="0012646D"/>
    <w:rsid w:val="001301DD"/>
    <w:rsid w:val="0013091D"/>
    <w:rsid w:val="00135D7B"/>
    <w:rsid w:val="00136BE4"/>
    <w:rsid w:val="00137BB4"/>
    <w:rsid w:val="00141322"/>
    <w:rsid w:val="0014439C"/>
    <w:rsid w:val="00144F2E"/>
    <w:rsid w:val="00150AB4"/>
    <w:rsid w:val="0015417D"/>
    <w:rsid w:val="001559CC"/>
    <w:rsid w:val="00156826"/>
    <w:rsid w:val="001763F2"/>
    <w:rsid w:val="00176789"/>
    <w:rsid w:val="00181FE6"/>
    <w:rsid w:val="00182635"/>
    <w:rsid w:val="001847CE"/>
    <w:rsid w:val="00186471"/>
    <w:rsid w:val="00191726"/>
    <w:rsid w:val="001944FD"/>
    <w:rsid w:val="00195397"/>
    <w:rsid w:val="00195D0D"/>
    <w:rsid w:val="001A1132"/>
    <w:rsid w:val="001A3C55"/>
    <w:rsid w:val="001B2F93"/>
    <w:rsid w:val="001B2FF6"/>
    <w:rsid w:val="001B38C5"/>
    <w:rsid w:val="001C22A2"/>
    <w:rsid w:val="001C2DA6"/>
    <w:rsid w:val="001C7238"/>
    <w:rsid w:val="001D2D00"/>
    <w:rsid w:val="001D4E67"/>
    <w:rsid w:val="001D52FE"/>
    <w:rsid w:val="001E2754"/>
    <w:rsid w:val="001E34F5"/>
    <w:rsid w:val="001E359D"/>
    <w:rsid w:val="001E7890"/>
    <w:rsid w:val="001F10ED"/>
    <w:rsid w:val="001F1758"/>
    <w:rsid w:val="001F1B44"/>
    <w:rsid w:val="001F29C0"/>
    <w:rsid w:val="001F424D"/>
    <w:rsid w:val="001F4CC8"/>
    <w:rsid w:val="001F7F12"/>
    <w:rsid w:val="0020262A"/>
    <w:rsid w:val="002031DE"/>
    <w:rsid w:val="00203F16"/>
    <w:rsid w:val="002041EB"/>
    <w:rsid w:val="00206498"/>
    <w:rsid w:val="00207884"/>
    <w:rsid w:val="0021002C"/>
    <w:rsid w:val="002107A2"/>
    <w:rsid w:val="00211DBA"/>
    <w:rsid w:val="002156C7"/>
    <w:rsid w:val="00216526"/>
    <w:rsid w:val="00216EF3"/>
    <w:rsid w:val="00217455"/>
    <w:rsid w:val="002264E6"/>
    <w:rsid w:val="00227DDB"/>
    <w:rsid w:val="00230890"/>
    <w:rsid w:val="00231CBB"/>
    <w:rsid w:val="00231E61"/>
    <w:rsid w:val="00232EF7"/>
    <w:rsid w:val="00236CEC"/>
    <w:rsid w:val="00243285"/>
    <w:rsid w:val="00243E7C"/>
    <w:rsid w:val="00246B22"/>
    <w:rsid w:val="0025351F"/>
    <w:rsid w:val="00255BF2"/>
    <w:rsid w:val="00256118"/>
    <w:rsid w:val="00261CF6"/>
    <w:rsid w:val="00262090"/>
    <w:rsid w:val="00262EEE"/>
    <w:rsid w:val="00263B43"/>
    <w:rsid w:val="0026553E"/>
    <w:rsid w:val="00267039"/>
    <w:rsid w:val="00267289"/>
    <w:rsid w:val="00270DBE"/>
    <w:rsid w:val="00272C19"/>
    <w:rsid w:val="002766C6"/>
    <w:rsid w:val="0027748A"/>
    <w:rsid w:val="00277A9F"/>
    <w:rsid w:val="00282B43"/>
    <w:rsid w:val="002846BD"/>
    <w:rsid w:val="00287B8E"/>
    <w:rsid w:val="00292C4A"/>
    <w:rsid w:val="00293524"/>
    <w:rsid w:val="00293A19"/>
    <w:rsid w:val="0029498F"/>
    <w:rsid w:val="00294FFF"/>
    <w:rsid w:val="00296A60"/>
    <w:rsid w:val="002A303D"/>
    <w:rsid w:val="002A5652"/>
    <w:rsid w:val="002B2B07"/>
    <w:rsid w:val="002B5FBC"/>
    <w:rsid w:val="002B7FB9"/>
    <w:rsid w:val="002C2E5D"/>
    <w:rsid w:val="002D1DD7"/>
    <w:rsid w:val="002D433A"/>
    <w:rsid w:val="002D5D28"/>
    <w:rsid w:val="002D6597"/>
    <w:rsid w:val="002D6943"/>
    <w:rsid w:val="002E30D4"/>
    <w:rsid w:val="002E4937"/>
    <w:rsid w:val="002E4A41"/>
    <w:rsid w:val="002E4F72"/>
    <w:rsid w:val="002E662B"/>
    <w:rsid w:val="002F12F2"/>
    <w:rsid w:val="002F17C5"/>
    <w:rsid w:val="002F1CE3"/>
    <w:rsid w:val="002F2010"/>
    <w:rsid w:val="002F20B7"/>
    <w:rsid w:val="002F5897"/>
    <w:rsid w:val="002F644B"/>
    <w:rsid w:val="002F78A1"/>
    <w:rsid w:val="00300258"/>
    <w:rsid w:val="00301C77"/>
    <w:rsid w:val="00304E3A"/>
    <w:rsid w:val="003071BE"/>
    <w:rsid w:val="003074E0"/>
    <w:rsid w:val="00313442"/>
    <w:rsid w:val="00313F34"/>
    <w:rsid w:val="003142B7"/>
    <w:rsid w:val="003170FE"/>
    <w:rsid w:val="0032052D"/>
    <w:rsid w:val="00321F78"/>
    <w:rsid w:val="00327A90"/>
    <w:rsid w:val="003334E6"/>
    <w:rsid w:val="00333966"/>
    <w:rsid w:val="00334D37"/>
    <w:rsid w:val="00340211"/>
    <w:rsid w:val="003405DD"/>
    <w:rsid w:val="00341EAD"/>
    <w:rsid w:val="00344F18"/>
    <w:rsid w:val="00345805"/>
    <w:rsid w:val="00345EDE"/>
    <w:rsid w:val="00351252"/>
    <w:rsid w:val="00352596"/>
    <w:rsid w:val="003527E4"/>
    <w:rsid w:val="00354C40"/>
    <w:rsid w:val="0035715F"/>
    <w:rsid w:val="00360118"/>
    <w:rsid w:val="003647BD"/>
    <w:rsid w:val="00364D4A"/>
    <w:rsid w:val="003716E2"/>
    <w:rsid w:val="00371F43"/>
    <w:rsid w:val="00372EDF"/>
    <w:rsid w:val="00373ABB"/>
    <w:rsid w:val="003756E3"/>
    <w:rsid w:val="0037613B"/>
    <w:rsid w:val="0037628B"/>
    <w:rsid w:val="00377E52"/>
    <w:rsid w:val="003803B8"/>
    <w:rsid w:val="00381261"/>
    <w:rsid w:val="00383B6A"/>
    <w:rsid w:val="00384A6D"/>
    <w:rsid w:val="0039242F"/>
    <w:rsid w:val="003A44C8"/>
    <w:rsid w:val="003A5125"/>
    <w:rsid w:val="003B10EC"/>
    <w:rsid w:val="003B3152"/>
    <w:rsid w:val="003B4675"/>
    <w:rsid w:val="003B5F19"/>
    <w:rsid w:val="003C27FD"/>
    <w:rsid w:val="003C2F4E"/>
    <w:rsid w:val="003C32A9"/>
    <w:rsid w:val="003C4E4B"/>
    <w:rsid w:val="003C62A3"/>
    <w:rsid w:val="003C6C27"/>
    <w:rsid w:val="003D10E6"/>
    <w:rsid w:val="003D4602"/>
    <w:rsid w:val="003D5F1E"/>
    <w:rsid w:val="003D62DF"/>
    <w:rsid w:val="003D7C7D"/>
    <w:rsid w:val="003E1755"/>
    <w:rsid w:val="003E18ED"/>
    <w:rsid w:val="003E1EEA"/>
    <w:rsid w:val="003F22BB"/>
    <w:rsid w:val="003F5E0E"/>
    <w:rsid w:val="0040229A"/>
    <w:rsid w:val="00402A55"/>
    <w:rsid w:val="00403A33"/>
    <w:rsid w:val="00403B57"/>
    <w:rsid w:val="00406A79"/>
    <w:rsid w:val="0040760F"/>
    <w:rsid w:val="00407621"/>
    <w:rsid w:val="00411232"/>
    <w:rsid w:val="004112D8"/>
    <w:rsid w:val="0041188E"/>
    <w:rsid w:val="00412B25"/>
    <w:rsid w:val="00412BB2"/>
    <w:rsid w:val="00413AC4"/>
    <w:rsid w:val="004170AD"/>
    <w:rsid w:val="00417F07"/>
    <w:rsid w:val="004202F7"/>
    <w:rsid w:val="00420CE4"/>
    <w:rsid w:val="004226C6"/>
    <w:rsid w:val="00423E48"/>
    <w:rsid w:val="00424436"/>
    <w:rsid w:val="00426CCD"/>
    <w:rsid w:val="00427426"/>
    <w:rsid w:val="0043267E"/>
    <w:rsid w:val="004336BB"/>
    <w:rsid w:val="00442303"/>
    <w:rsid w:val="0044271A"/>
    <w:rsid w:val="004444DC"/>
    <w:rsid w:val="00450103"/>
    <w:rsid w:val="0045303C"/>
    <w:rsid w:val="00453680"/>
    <w:rsid w:val="0045450D"/>
    <w:rsid w:val="00460B5C"/>
    <w:rsid w:val="00461897"/>
    <w:rsid w:val="00466627"/>
    <w:rsid w:val="0047189E"/>
    <w:rsid w:val="00473E07"/>
    <w:rsid w:val="00475937"/>
    <w:rsid w:val="00477DF7"/>
    <w:rsid w:val="00485279"/>
    <w:rsid w:val="00485310"/>
    <w:rsid w:val="00485881"/>
    <w:rsid w:val="00492E43"/>
    <w:rsid w:val="0049317C"/>
    <w:rsid w:val="004934C9"/>
    <w:rsid w:val="00494AF5"/>
    <w:rsid w:val="004973E1"/>
    <w:rsid w:val="004A050F"/>
    <w:rsid w:val="004A1D17"/>
    <w:rsid w:val="004A328E"/>
    <w:rsid w:val="004A474B"/>
    <w:rsid w:val="004B0D63"/>
    <w:rsid w:val="004B11ED"/>
    <w:rsid w:val="004B1977"/>
    <w:rsid w:val="004B61FB"/>
    <w:rsid w:val="004C1929"/>
    <w:rsid w:val="004C2FEA"/>
    <w:rsid w:val="004C52AE"/>
    <w:rsid w:val="004C5836"/>
    <w:rsid w:val="004C5E1E"/>
    <w:rsid w:val="004C6AA0"/>
    <w:rsid w:val="004D35E5"/>
    <w:rsid w:val="004D44D6"/>
    <w:rsid w:val="004D5312"/>
    <w:rsid w:val="004D6FBF"/>
    <w:rsid w:val="004E09D6"/>
    <w:rsid w:val="004E0DCA"/>
    <w:rsid w:val="004E14FC"/>
    <w:rsid w:val="004E1D42"/>
    <w:rsid w:val="004E2337"/>
    <w:rsid w:val="004E40F1"/>
    <w:rsid w:val="004E55AC"/>
    <w:rsid w:val="004F16E3"/>
    <w:rsid w:val="004F47FB"/>
    <w:rsid w:val="004F6DDE"/>
    <w:rsid w:val="004F755C"/>
    <w:rsid w:val="004F7721"/>
    <w:rsid w:val="005009F6"/>
    <w:rsid w:val="00500F14"/>
    <w:rsid w:val="00502575"/>
    <w:rsid w:val="0050358D"/>
    <w:rsid w:val="00503D70"/>
    <w:rsid w:val="00506CF8"/>
    <w:rsid w:val="00506E9C"/>
    <w:rsid w:val="00515805"/>
    <w:rsid w:val="00515BEB"/>
    <w:rsid w:val="005229DB"/>
    <w:rsid w:val="00522ED3"/>
    <w:rsid w:val="00523F8B"/>
    <w:rsid w:val="00531D02"/>
    <w:rsid w:val="00533A98"/>
    <w:rsid w:val="00535424"/>
    <w:rsid w:val="00535DFB"/>
    <w:rsid w:val="005363E9"/>
    <w:rsid w:val="00540E96"/>
    <w:rsid w:val="00541288"/>
    <w:rsid w:val="005417C3"/>
    <w:rsid w:val="0054313E"/>
    <w:rsid w:val="00553172"/>
    <w:rsid w:val="00554707"/>
    <w:rsid w:val="00554E5F"/>
    <w:rsid w:val="00556F04"/>
    <w:rsid w:val="00557DEA"/>
    <w:rsid w:val="005617CD"/>
    <w:rsid w:val="005627A9"/>
    <w:rsid w:val="00565E6C"/>
    <w:rsid w:val="005708DC"/>
    <w:rsid w:val="00571525"/>
    <w:rsid w:val="00575E0F"/>
    <w:rsid w:val="005777D0"/>
    <w:rsid w:val="00583AEA"/>
    <w:rsid w:val="0058503F"/>
    <w:rsid w:val="0058570F"/>
    <w:rsid w:val="00585A44"/>
    <w:rsid w:val="0059117F"/>
    <w:rsid w:val="00592749"/>
    <w:rsid w:val="00592EC9"/>
    <w:rsid w:val="005952D8"/>
    <w:rsid w:val="00595A56"/>
    <w:rsid w:val="00597C37"/>
    <w:rsid w:val="005A10DF"/>
    <w:rsid w:val="005A12E0"/>
    <w:rsid w:val="005A38C5"/>
    <w:rsid w:val="005A7853"/>
    <w:rsid w:val="005B1010"/>
    <w:rsid w:val="005B11EA"/>
    <w:rsid w:val="005B3D5C"/>
    <w:rsid w:val="005B47E9"/>
    <w:rsid w:val="005C08B3"/>
    <w:rsid w:val="005C2F9C"/>
    <w:rsid w:val="005D183C"/>
    <w:rsid w:val="005E041B"/>
    <w:rsid w:val="005E5784"/>
    <w:rsid w:val="005F4AF6"/>
    <w:rsid w:val="005F5BA8"/>
    <w:rsid w:val="005F6598"/>
    <w:rsid w:val="005F7CA9"/>
    <w:rsid w:val="006006B3"/>
    <w:rsid w:val="00601653"/>
    <w:rsid w:val="0060262F"/>
    <w:rsid w:val="00603075"/>
    <w:rsid w:val="0060408B"/>
    <w:rsid w:val="006077F8"/>
    <w:rsid w:val="00607DDD"/>
    <w:rsid w:val="00612137"/>
    <w:rsid w:val="0061688D"/>
    <w:rsid w:val="00616C76"/>
    <w:rsid w:val="00617449"/>
    <w:rsid w:val="00623DE6"/>
    <w:rsid w:val="00626706"/>
    <w:rsid w:val="00626805"/>
    <w:rsid w:val="00626B07"/>
    <w:rsid w:val="006312F8"/>
    <w:rsid w:val="006349ED"/>
    <w:rsid w:val="00641F35"/>
    <w:rsid w:val="00643E2C"/>
    <w:rsid w:val="006453B0"/>
    <w:rsid w:val="006470F4"/>
    <w:rsid w:val="00647EFF"/>
    <w:rsid w:val="0065123C"/>
    <w:rsid w:val="006513F7"/>
    <w:rsid w:val="00654AC9"/>
    <w:rsid w:val="00655323"/>
    <w:rsid w:val="00660843"/>
    <w:rsid w:val="0066141A"/>
    <w:rsid w:val="00663055"/>
    <w:rsid w:val="00663BAC"/>
    <w:rsid w:val="00675DDE"/>
    <w:rsid w:val="00677391"/>
    <w:rsid w:val="00677C76"/>
    <w:rsid w:val="00680702"/>
    <w:rsid w:val="006818C0"/>
    <w:rsid w:val="006836E5"/>
    <w:rsid w:val="00683986"/>
    <w:rsid w:val="0068590E"/>
    <w:rsid w:val="00686242"/>
    <w:rsid w:val="006940F8"/>
    <w:rsid w:val="006962E0"/>
    <w:rsid w:val="006A242D"/>
    <w:rsid w:val="006A34EB"/>
    <w:rsid w:val="006A5A9E"/>
    <w:rsid w:val="006A6E47"/>
    <w:rsid w:val="006B62F7"/>
    <w:rsid w:val="006C04E5"/>
    <w:rsid w:val="006C0AF0"/>
    <w:rsid w:val="006C1829"/>
    <w:rsid w:val="006C2BA3"/>
    <w:rsid w:val="006C65BD"/>
    <w:rsid w:val="006C7860"/>
    <w:rsid w:val="006D7E05"/>
    <w:rsid w:val="006E43F4"/>
    <w:rsid w:val="006E43F6"/>
    <w:rsid w:val="006E668D"/>
    <w:rsid w:val="006E66A0"/>
    <w:rsid w:val="006F147E"/>
    <w:rsid w:val="006F22DB"/>
    <w:rsid w:val="006F4707"/>
    <w:rsid w:val="006F4896"/>
    <w:rsid w:val="006F679B"/>
    <w:rsid w:val="006F6D77"/>
    <w:rsid w:val="00700330"/>
    <w:rsid w:val="00702B28"/>
    <w:rsid w:val="0070636C"/>
    <w:rsid w:val="00707C0C"/>
    <w:rsid w:val="00713343"/>
    <w:rsid w:val="00714DA4"/>
    <w:rsid w:val="00717572"/>
    <w:rsid w:val="00717CF4"/>
    <w:rsid w:val="00721DDA"/>
    <w:rsid w:val="00726090"/>
    <w:rsid w:val="0073209A"/>
    <w:rsid w:val="00732C2F"/>
    <w:rsid w:val="00733574"/>
    <w:rsid w:val="00734B6A"/>
    <w:rsid w:val="00740852"/>
    <w:rsid w:val="0075271E"/>
    <w:rsid w:val="0075432E"/>
    <w:rsid w:val="0075560B"/>
    <w:rsid w:val="00761D5A"/>
    <w:rsid w:val="00765FAE"/>
    <w:rsid w:val="0077248B"/>
    <w:rsid w:val="007748FC"/>
    <w:rsid w:val="0077543A"/>
    <w:rsid w:val="00776EAE"/>
    <w:rsid w:val="00777243"/>
    <w:rsid w:val="007861CD"/>
    <w:rsid w:val="00787C6C"/>
    <w:rsid w:val="0079270C"/>
    <w:rsid w:val="00795643"/>
    <w:rsid w:val="00796310"/>
    <w:rsid w:val="007A05CC"/>
    <w:rsid w:val="007A0E19"/>
    <w:rsid w:val="007B09C3"/>
    <w:rsid w:val="007B0E1B"/>
    <w:rsid w:val="007B18ED"/>
    <w:rsid w:val="007B2F49"/>
    <w:rsid w:val="007C1D90"/>
    <w:rsid w:val="007D23F0"/>
    <w:rsid w:val="007D360B"/>
    <w:rsid w:val="007E1347"/>
    <w:rsid w:val="007E15AF"/>
    <w:rsid w:val="007E57D9"/>
    <w:rsid w:val="007E7315"/>
    <w:rsid w:val="007F0592"/>
    <w:rsid w:val="007F11C4"/>
    <w:rsid w:val="007F1AB7"/>
    <w:rsid w:val="007F2078"/>
    <w:rsid w:val="007F35AD"/>
    <w:rsid w:val="007F464B"/>
    <w:rsid w:val="007F55AB"/>
    <w:rsid w:val="007F7106"/>
    <w:rsid w:val="007F7432"/>
    <w:rsid w:val="0080263E"/>
    <w:rsid w:val="00805279"/>
    <w:rsid w:val="00805C53"/>
    <w:rsid w:val="008061D7"/>
    <w:rsid w:val="008078B6"/>
    <w:rsid w:val="00812500"/>
    <w:rsid w:val="0081254D"/>
    <w:rsid w:val="00813C2B"/>
    <w:rsid w:val="00814219"/>
    <w:rsid w:val="00820DA9"/>
    <w:rsid w:val="00822170"/>
    <w:rsid w:val="00823BFA"/>
    <w:rsid w:val="00830565"/>
    <w:rsid w:val="00831FA1"/>
    <w:rsid w:val="0083269B"/>
    <w:rsid w:val="0083667F"/>
    <w:rsid w:val="0083753F"/>
    <w:rsid w:val="00841C6D"/>
    <w:rsid w:val="00843616"/>
    <w:rsid w:val="008441AB"/>
    <w:rsid w:val="008462B0"/>
    <w:rsid w:val="00846F23"/>
    <w:rsid w:val="008500B6"/>
    <w:rsid w:val="008541D6"/>
    <w:rsid w:val="00855147"/>
    <w:rsid w:val="00856473"/>
    <w:rsid w:val="00861AC7"/>
    <w:rsid w:val="0086209E"/>
    <w:rsid w:val="0086340D"/>
    <w:rsid w:val="00864C77"/>
    <w:rsid w:val="00864E3B"/>
    <w:rsid w:val="00865948"/>
    <w:rsid w:val="00867EB6"/>
    <w:rsid w:val="00871B68"/>
    <w:rsid w:val="00871BA1"/>
    <w:rsid w:val="00871BBB"/>
    <w:rsid w:val="00871DC5"/>
    <w:rsid w:val="00880558"/>
    <w:rsid w:val="008828B3"/>
    <w:rsid w:val="00882DC8"/>
    <w:rsid w:val="00886196"/>
    <w:rsid w:val="00893030"/>
    <w:rsid w:val="008931D2"/>
    <w:rsid w:val="00895905"/>
    <w:rsid w:val="00895EB6"/>
    <w:rsid w:val="008A25BB"/>
    <w:rsid w:val="008A5505"/>
    <w:rsid w:val="008A5992"/>
    <w:rsid w:val="008A5C64"/>
    <w:rsid w:val="008B1B6B"/>
    <w:rsid w:val="008B473B"/>
    <w:rsid w:val="008C2332"/>
    <w:rsid w:val="008C4113"/>
    <w:rsid w:val="008C73A9"/>
    <w:rsid w:val="008D1476"/>
    <w:rsid w:val="008D264F"/>
    <w:rsid w:val="008D6BC5"/>
    <w:rsid w:val="008D7D3B"/>
    <w:rsid w:val="008E12CE"/>
    <w:rsid w:val="008E3D78"/>
    <w:rsid w:val="008E43D0"/>
    <w:rsid w:val="008E4C4B"/>
    <w:rsid w:val="008E69CE"/>
    <w:rsid w:val="008E7FA9"/>
    <w:rsid w:val="008F29EC"/>
    <w:rsid w:val="008F4917"/>
    <w:rsid w:val="008F6046"/>
    <w:rsid w:val="008F60BB"/>
    <w:rsid w:val="00901646"/>
    <w:rsid w:val="0090337E"/>
    <w:rsid w:val="00907B27"/>
    <w:rsid w:val="00910705"/>
    <w:rsid w:val="00913D5A"/>
    <w:rsid w:val="009149F1"/>
    <w:rsid w:val="00915C99"/>
    <w:rsid w:val="00915D3A"/>
    <w:rsid w:val="009174E8"/>
    <w:rsid w:val="00921052"/>
    <w:rsid w:val="00921146"/>
    <w:rsid w:val="00930317"/>
    <w:rsid w:val="0093095F"/>
    <w:rsid w:val="00932036"/>
    <w:rsid w:val="00933A79"/>
    <w:rsid w:val="00935FE3"/>
    <w:rsid w:val="00943563"/>
    <w:rsid w:val="00950E79"/>
    <w:rsid w:val="00952720"/>
    <w:rsid w:val="00954489"/>
    <w:rsid w:val="0095465A"/>
    <w:rsid w:val="0095659F"/>
    <w:rsid w:val="00956643"/>
    <w:rsid w:val="00956C93"/>
    <w:rsid w:val="009605A3"/>
    <w:rsid w:val="00961B05"/>
    <w:rsid w:val="0096337F"/>
    <w:rsid w:val="00963F49"/>
    <w:rsid w:val="00964FE1"/>
    <w:rsid w:val="00966177"/>
    <w:rsid w:val="0097053E"/>
    <w:rsid w:val="00971118"/>
    <w:rsid w:val="00972915"/>
    <w:rsid w:val="00974A3D"/>
    <w:rsid w:val="00975289"/>
    <w:rsid w:val="009767C1"/>
    <w:rsid w:val="00977A3F"/>
    <w:rsid w:val="00977BA8"/>
    <w:rsid w:val="00985FF0"/>
    <w:rsid w:val="00986173"/>
    <w:rsid w:val="00986288"/>
    <w:rsid w:val="00986EF5"/>
    <w:rsid w:val="00990197"/>
    <w:rsid w:val="00990438"/>
    <w:rsid w:val="00992F91"/>
    <w:rsid w:val="009938B1"/>
    <w:rsid w:val="00994E8F"/>
    <w:rsid w:val="00994F6B"/>
    <w:rsid w:val="009977F4"/>
    <w:rsid w:val="009A117A"/>
    <w:rsid w:val="009A2E80"/>
    <w:rsid w:val="009A38B7"/>
    <w:rsid w:val="009A3F00"/>
    <w:rsid w:val="009A4DB9"/>
    <w:rsid w:val="009A68A5"/>
    <w:rsid w:val="009B0278"/>
    <w:rsid w:val="009B333B"/>
    <w:rsid w:val="009B5D5F"/>
    <w:rsid w:val="009C1D97"/>
    <w:rsid w:val="009C3BD7"/>
    <w:rsid w:val="009C4575"/>
    <w:rsid w:val="009C4D62"/>
    <w:rsid w:val="009C556E"/>
    <w:rsid w:val="009C7249"/>
    <w:rsid w:val="009C729E"/>
    <w:rsid w:val="009C73AF"/>
    <w:rsid w:val="009D428E"/>
    <w:rsid w:val="009D5C9E"/>
    <w:rsid w:val="009D6B08"/>
    <w:rsid w:val="009E21F6"/>
    <w:rsid w:val="009E2815"/>
    <w:rsid w:val="009E2E1D"/>
    <w:rsid w:val="009E3BB8"/>
    <w:rsid w:val="009E4FCA"/>
    <w:rsid w:val="009E555C"/>
    <w:rsid w:val="009F12DE"/>
    <w:rsid w:val="009F3FB8"/>
    <w:rsid w:val="009F6A13"/>
    <w:rsid w:val="00A01E16"/>
    <w:rsid w:val="00A03208"/>
    <w:rsid w:val="00A0404F"/>
    <w:rsid w:val="00A05270"/>
    <w:rsid w:val="00A06583"/>
    <w:rsid w:val="00A133D3"/>
    <w:rsid w:val="00A138A3"/>
    <w:rsid w:val="00A13B2F"/>
    <w:rsid w:val="00A13BC1"/>
    <w:rsid w:val="00A15E64"/>
    <w:rsid w:val="00A25461"/>
    <w:rsid w:val="00A268FD"/>
    <w:rsid w:val="00A30A7B"/>
    <w:rsid w:val="00A332E9"/>
    <w:rsid w:val="00A452A7"/>
    <w:rsid w:val="00A47332"/>
    <w:rsid w:val="00A50843"/>
    <w:rsid w:val="00A51545"/>
    <w:rsid w:val="00A54CC6"/>
    <w:rsid w:val="00A618F8"/>
    <w:rsid w:val="00A64B84"/>
    <w:rsid w:val="00A70182"/>
    <w:rsid w:val="00A72C69"/>
    <w:rsid w:val="00A760FE"/>
    <w:rsid w:val="00A771DC"/>
    <w:rsid w:val="00A77A2E"/>
    <w:rsid w:val="00A838FA"/>
    <w:rsid w:val="00A84790"/>
    <w:rsid w:val="00A85CF8"/>
    <w:rsid w:val="00A872A4"/>
    <w:rsid w:val="00A90270"/>
    <w:rsid w:val="00A90DA2"/>
    <w:rsid w:val="00A91510"/>
    <w:rsid w:val="00A9228A"/>
    <w:rsid w:val="00A92AF6"/>
    <w:rsid w:val="00A94FE1"/>
    <w:rsid w:val="00AA4913"/>
    <w:rsid w:val="00AA556E"/>
    <w:rsid w:val="00AA5A09"/>
    <w:rsid w:val="00AB020C"/>
    <w:rsid w:val="00AB030B"/>
    <w:rsid w:val="00AB2B94"/>
    <w:rsid w:val="00AB3E43"/>
    <w:rsid w:val="00AB5E9B"/>
    <w:rsid w:val="00AB778B"/>
    <w:rsid w:val="00AB7873"/>
    <w:rsid w:val="00AC3A28"/>
    <w:rsid w:val="00AC43E7"/>
    <w:rsid w:val="00AC591D"/>
    <w:rsid w:val="00AC74D4"/>
    <w:rsid w:val="00AC7B9D"/>
    <w:rsid w:val="00AD00DA"/>
    <w:rsid w:val="00AD33BD"/>
    <w:rsid w:val="00AD78C5"/>
    <w:rsid w:val="00AE0E62"/>
    <w:rsid w:val="00AE2B2D"/>
    <w:rsid w:val="00AE3838"/>
    <w:rsid w:val="00AE5436"/>
    <w:rsid w:val="00AE657D"/>
    <w:rsid w:val="00AE7E30"/>
    <w:rsid w:val="00AF1435"/>
    <w:rsid w:val="00AF1672"/>
    <w:rsid w:val="00AF18A6"/>
    <w:rsid w:val="00AF4CC1"/>
    <w:rsid w:val="00AF6720"/>
    <w:rsid w:val="00AF725C"/>
    <w:rsid w:val="00AF7857"/>
    <w:rsid w:val="00AF7A8A"/>
    <w:rsid w:val="00B02160"/>
    <w:rsid w:val="00B03F0D"/>
    <w:rsid w:val="00B1011F"/>
    <w:rsid w:val="00B14548"/>
    <w:rsid w:val="00B14618"/>
    <w:rsid w:val="00B1532B"/>
    <w:rsid w:val="00B1698A"/>
    <w:rsid w:val="00B20AFF"/>
    <w:rsid w:val="00B225A4"/>
    <w:rsid w:val="00B33C41"/>
    <w:rsid w:val="00B3456C"/>
    <w:rsid w:val="00B36284"/>
    <w:rsid w:val="00B41EB7"/>
    <w:rsid w:val="00B505AA"/>
    <w:rsid w:val="00B51510"/>
    <w:rsid w:val="00B51F46"/>
    <w:rsid w:val="00B527E8"/>
    <w:rsid w:val="00B535AF"/>
    <w:rsid w:val="00B57FCB"/>
    <w:rsid w:val="00B617F3"/>
    <w:rsid w:val="00B647E5"/>
    <w:rsid w:val="00B65701"/>
    <w:rsid w:val="00B67FC1"/>
    <w:rsid w:val="00B7196D"/>
    <w:rsid w:val="00B72BB6"/>
    <w:rsid w:val="00B7410B"/>
    <w:rsid w:val="00B7625F"/>
    <w:rsid w:val="00B76547"/>
    <w:rsid w:val="00B77AF7"/>
    <w:rsid w:val="00B80534"/>
    <w:rsid w:val="00B86C05"/>
    <w:rsid w:val="00B91CA2"/>
    <w:rsid w:val="00B91E92"/>
    <w:rsid w:val="00B92118"/>
    <w:rsid w:val="00B92BD5"/>
    <w:rsid w:val="00B940E3"/>
    <w:rsid w:val="00B96526"/>
    <w:rsid w:val="00BA05B5"/>
    <w:rsid w:val="00BA2579"/>
    <w:rsid w:val="00BB0B50"/>
    <w:rsid w:val="00BB0FCD"/>
    <w:rsid w:val="00BB248F"/>
    <w:rsid w:val="00BB3F79"/>
    <w:rsid w:val="00BB5645"/>
    <w:rsid w:val="00BC24BB"/>
    <w:rsid w:val="00BC74C2"/>
    <w:rsid w:val="00BD0D73"/>
    <w:rsid w:val="00BD1EE0"/>
    <w:rsid w:val="00BD3365"/>
    <w:rsid w:val="00BD5197"/>
    <w:rsid w:val="00BD6A52"/>
    <w:rsid w:val="00BD6CCA"/>
    <w:rsid w:val="00BE0DF1"/>
    <w:rsid w:val="00BE3C9E"/>
    <w:rsid w:val="00BE3DCC"/>
    <w:rsid w:val="00BE43EA"/>
    <w:rsid w:val="00BE5973"/>
    <w:rsid w:val="00BE70BA"/>
    <w:rsid w:val="00BE7B35"/>
    <w:rsid w:val="00BF08BC"/>
    <w:rsid w:val="00BF102E"/>
    <w:rsid w:val="00BF11FB"/>
    <w:rsid w:val="00BF19C7"/>
    <w:rsid w:val="00BF2E53"/>
    <w:rsid w:val="00BF3A28"/>
    <w:rsid w:val="00BF4ED7"/>
    <w:rsid w:val="00BF541A"/>
    <w:rsid w:val="00BF7A8B"/>
    <w:rsid w:val="00C01FFD"/>
    <w:rsid w:val="00C02AB4"/>
    <w:rsid w:val="00C06B7B"/>
    <w:rsid w:val="00C073B3"/>
    <w:rsid w:val="00C10E18"/>
    <w:rsid w:val="00C12BBD"/>
    <w:rsid w:val="00C154AE"/>
    <w:rsid w:val="00C161A6"/>
    <w:rsid w:val="00C211E0"/>
    <w:rsid w:val="00C236E5"/>
    <w:rsid w:val="00C26B35"/>
    <w:rsid w:val="00C27D9B"/>
    <w:rsid w:val="00C30E40"/>
    <w:rsid w:val="00C3242C"/>
    <w:rsid w:val="00C36813"/>
    <w:rsid w:val="00C45A70"/>
    <w:rsid w:val="00C46FC5"/>
    <w:rsid w:val="00C47D89"/>
    <w:rsid w:val="00C52F3C"/>
    <w:rsid w:val="00C53419"/>
    <w:rsid w:val="00C544C6"/>
    <w:rsid w:val="00C54600"/>
    <w:rsid w:val="00C54C26"/>
    <w:rsid w:val="00C6353E"/>
    <w:rsid w:val="00C65664"/>
    <w:rsid w:val="00C67D40"/>
    <w:rsid w:val="00C73D9B"/>
    <w:rsid w:val="00C761D2"/>
    <w:rsid w:val="00C76419"/>
    <w:rsid w:val="00C76C68"/>
    <w:rsid w:val="00C813A0"/>
    <w:rsid w:val="00C85C1E"/>
    <w:rsid w:val="00C867C9"/>
    <w:rsid w:val="00C91669"/>
    <w:rsid w:val="00C970A9"/>
    <w:rsid w:val="00CA0602"/>
    <w:rsid w:val="00CA3C92"/>
    <w:rsid w:val="00CA3E7C"/>
    <w:rsid w:val="00CA4050"/>
    <w:rsid w:val="00CA455D"/>
    <w:rsid w:val="00CB3658"/>
    <w:rsid w:val="00CB42C7"/>
    <w:rsid w:val="00CC0EA1"/>
    <w:rsid w:val="00CC19E3"/>
    <w:rsid w:val="00CC414A"/>
    <w:rsid w:val="00CC4C19"/>
    <w:rsid w:val="00CD1907"/>
    <w:rsid w:val="00CD4883"/>
    <w:rsid w:val="00CD78B4"/>
    <w:rsid w:val="00CE4602"/>
    <w:rsid w:val="00CE63A4"/>
    <w:rsid w:val="00CE6AC8"/>
    <w:rsid w:val="00CE783D"/>
    <w:rsid w:val="00CF3CC0"/>
    <w:rsid w:val="00CF524B"/>
    <w:rsid w:val="00CF7FD1"/>
    <w:rsid w:val="00D05F1C"/>
    <w:rsid w:val="00D06597"/>
    <w:rsid w:val="00D10A72"/>
    <w:rsid w:val="00D10C90"/>
    <w:rsid w:val="00D13899"/>
    <w:rsid w:val="00D17B07"/>
    <w:rsid w:val="00D2305D"/>
    <w:rsid w:val="00D256ED"/>
    <w:rsid w:val="00D25D15"/>
    <w:rsid w:val="00D32121"/>
    <w:rsid w:val="00D332B6"/>
    <w:rsid w:val="00D3383B"/>
    <w:rsid w:val="00D424F3"/>
    <w:rsid w:val="00D4405F"/>
    <w:rsid w:val="00D50843"/>
    <w:rsid w:val="00D52D59"/>
    <w:rsid w:val="00D532AF"/>
    <w:rsid w:val="00D53737"/>
    <w:rsid w:val="00D5634C"/>
    <w:rsid w:val="00D563FE"/>
    <w:rsid w:val="00D56907"/>
    <w:rsid w:val="00D630ED"/>
    <w:rsid w:val="00D633FE"/>
    <w:rsid w:val="00D6350C"/>
    <w:rsid w:val="00D70522"/>
    <w:rsid w:val="00D7578E"/>
    <w:rsid w:val="00D759DD"/>
    <w:rsid w:val="00D76D63"/>
    <w:rsid w:val="00D80ED2"/>
    <w:rsid w:val="00D84E3F"/>
    <w:rsid w:val="00D8765D"/>
    <w:rsid w:val="00D87881"/>
    <w:rsid w:val="00D916E9"/>
    <w:rsid w:val="00D91AE6"/>
    <w:rsid w:val="00D94D5F"/>
    <w:rsid w:val="00D9574B"/>
    <w:rsid w:val="00DA582C"/>
    <w:rsid w:val="00DA7BC1"/>
    <w:rsid w:val="00DB0AA6"/>
    <w:rsid w:val="00DB29CA"/>
    <w:rsid w:val="00DB2A93"/>
    <w:rsid w:val="00DB6280"/>
    <w:rsid w:val="00DB7104"/>
    <w:rsid w:val="00DC1D2D"/>
    <w:rsid w:val="00DC5804"/>
    <w:rsid w:val="00DD3FC4"/>
    <w:rsid w:val="00DD7C2E"/>
    <w:rsid w:val="00DE2313"/>
    <w:rsid w:val="00DE3EE9"/>
    <w:rsid w:val="00DE59D3"/>
    <w:rsid w:val="00DE5DBB"/>
    <w:rsid w:val="00DF00F3"/>
    <w:rsid w:val="00DF5D9E"/>
    <w:rsid w:val="00E022C4"/>
    <w:rsid w:val="00E052B7"/>
    <w:rsid w:val="00E0583D"/>
    <w:rsid w:val="00E06188"/>
    <w:rsid w:val="00E0742A"/>
    <w:rsid w:val="00E10450"/>
    <w:rsid w:val="00E1247A"/>
    <w:rsid w:val="00E126F8"/>
    <w:rsid w:val="00E129AA"/>
    <w:rsid w:val="00E257F1"/>
    <w:rsid w:val="00E3614C"/>
    <w:rsid w:val="00E36F7C"/>
    <w:rsid w:val="00E379D4"/>
    <w:rsid w:val="00E40371"/>
    <w:rsid w:val="00E41CA1"/>
    <w:rsid w:val="00E47298"/>
    <w:rsid w:val="00E507E4"/>
    <w:rsid w:val="00E51319"/>
    <w:rsid w:val="00E51433"/>
    <w:rsid w:val="00E520AD"/>
    <w:rsid w:val="00E54CD3"/>
    <w:rsid w:val="00E57145"/>
    <w:rsid w:val="00E60E2A"/>
    <w:rsid w:val="00E630FB"/>
    <w:rsid w:val="00E65AE4"/>
    <w:rsid w:val="00E703DB"/>
    <w:rsid w:val="00E73AF7"/>
    <w:rsid w:val="00E7432E"/>
    <w:rsid w:val="00E7520D"/>
    <w:rsid w:val="00E76327"/>
    <w:rsid w:val="00E7780D"/>
    <w:rsid w:val="00E808FA"/>
    <w:rsid w:val="00E82287"/>
    <w:rsid w:val="00E8521F"/>
    <w:rsid w:val="00E909EE"/>
    <w:rsid w:val="00E93072"/>
    <w:rsid w:val="00E9682B"/>
    <w:rsid w:val="00E9772E"/>
    <w:rsid w:val="00EA1676"/>
    <w:rsid w:val="00EA25AF"/>
    <w:rsid w:val="00EA2FF7"/>
    <w:rsid w:val="00EA3D8C"/>
    <w:rsid w:val="00EA4ED2"/>
    <w:rsid w:val="00EA6100"/>
    <w:rsid w:val="00EA6A50"/>
    <w:rsid w:val="00EA7F01"/>
    <w:rsid w:val="00EB2A66"/>
    <w:rsid w:val="00EB52BA"/>
    <w:rsid w:val="00EB5D6E"/>
    <w:rsid w:val="00EB63D3"/>
    <w:rsid w:val="00EC451E"/>
    <w:rsid w:val="00EC5095"/>
    <w:rsid w:val="00ED029F"/>
    <w:rsid w:val="00ED0F7A"/>
    <w:rsid w:val="00ED1C6E"/>
    <w:rsid w:val="00ED442E"/>
    <w:rsid w:val="00EE0093"/>
    <w:rsid w:val="00EE2B4E"/>
    <w:rsid w:val="00EE3FD0"/>
    <w:rsid w:val="00EE40C5"/>
    <w:rsid w:val="00EE609F"/>
    <w:rsid w:val="00EE648B"/>
    <w:rsid w:val="00F02B10"/>
    <w:rsid w:val="00F07578"/>
    <w:rsid w:val="00F177DB"/>
    <w:rsid w:val="00F245DC"/>
    <w:rsid w:val="00F24CDD"/>
    <w:rsid w:val="00F2613A"/>
    <w:rsid w:val="00F30519"/>
    <w:rsid w:val="00F327D4"/>
    <w:rsid w:val="00F351D6"/>
    <w:rsid w:val="00F37919"/>
    <w:rsid w:val="00F37B37"/>
    <w:rsid w:val="00F414A3"/>
    <w:rsid w:val="00F45A80"/>
    <w:rsid w:val="00F4682A"/>
    <w:rsid w:val="00F476BD"/>
    <w:rsid w:val="00F54221"/>
    <w:rsid w:val="00F561D5"/>
    <w:rsid w:val="00F601AF"/>
    <w:rsid w:val="00F6120E"/>
    <w:rsid w:val="00F671EF"/>
    <w:rsid w:val="00F67487"/>
    <w:rsid w:val="00F70507"/>
    <w:rsid w:val="00F73534"/>
    <w:rsid w:val="00F737D8"/>
    <w:rsid w:val="00F82596"/>
    <w:rsid w:val="00F83144"/>
    <w:rsid w:val="00F845AE"/>
    <w:rsid w:val="00F85F37"/>
    <w:rsid w:val="00F90CA7"/>
    <w:rsid w:val="00F91100"/>
    <w:rsid w:val="00F92ECE"/>
    <w:rsid w:val="00F94A13"/>
    <w:rsid w:val="00F96FBC"/>
    <w:rsid w:val="00FA0A7D"/>
    <w:rsid w:val="00FA48A2"/>
    <w:rsid w:val="00FA5A70"/>
    <w:rsid w:val="00FB3880"/>
    <w:rsid w:val="00FB3C48"/>
    <w:rsid w:val="00FB48A8"/>
    <w:rsid w:val="00FB49A7"/>
    <w:rsid w:val="00FB7316"/>
    <w:rsid w:val="00FC3ECA"/>
    <w:rsid w:val="00FC46DB"/>
    <w:rsid w:val="00FD08F1"/>
    <w:rsid w:val="00FD313B"/>
    <w:rsid w:val="00FD40DF"/>
    <w:rsid w:val="00FE1B5B"/>
    <w:rsid w:val="00FE50D9"/>
    <w:rsid w:val="00FE7D56"/>
    <w:rsid w:val="00FF01FC"/>
    <w:rsid w:val="00FF2C1B"/>
    <w:rsid w:val="00FF2F28"/>
    <w:rsid w:val="00FF4E63"/>
    <w:rsid w:val="00FF563C"/>
    <w:rsid w:val="00FF56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08FC2"/>
  <w15:chartTrackingRefBased/>
  <w15:docId w15:val="{621B2A23-7D14-4948-9D73-C145B5D0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96337F"/>
    <w:pPr>
      <w:keepNext/>
      <w:keepLines/>
      <w:tabs>
        <w:tab w:val="right" w:leader="dot" w:pos="8630"/>
      </w:tab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2"/>
      </w:numPr>
      <w:spacing w:before="60" w:after="60"/>
    </w:pPr>
  </w:style>
  <w:style w:type="paragraph" w:styleId="ListBullet3">
    <w:name w:val="List Bullet 3"/>
    <w:basedOn w:val="Normal"/>
    <w:pPr>
      <w:numPr>
        <w:numId w:val="3"/>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5"/>
      </w:numPr>
      <w:tabs>
        <w:tab w:val="clear" w:pos="360"/>
      </w:tabs>
      <w:spacing w:after="120"/>
    </w:pPr>
  </w:style>
  <w:style w:type="paragraph" w:styleId="ListNumber2">
    <w:name w:val="List Number 2"/>
    <w:basedOn w:val="Normal"/>
    <w:pPr>
      <w:numPr>
        <w:numId w:val="6"/>
      </w:numPr>
      <w:tabs>
        <w:tab w:val="clear" w:pos="641"/>
        <w:tab w:val="num" w:pos="643"/>
      </w:tabs>
      <w:spacing w:before="60" w:after="60"/>
    </w:pPr>
  </w:style>
  <w:style w:type="paragraph" w:styleId="ListNumber3">
    <w:name w:val="List Number 3"/>
    <w:basedOn w:val="Normal"/>
    <w:pPr>
      <w:numPr>
        <w:numId w:val="7"/>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612137"/>
    <w:pPr>
      <w:ind w:left="720"/>
      <w:contextualSpacing/>
    </w:pPr>
    <w:rPr>
      <w:rFonts w:ascii="Gill Sans" w:hAnsi="Gill Sans"/>
    </w:rPr>
  </w:style>
  <w:style w:type="character" w:styleId="CommentReference">
    <w:name w:val="annotation reference"/>
    <w:basedOn w:val="DefaultParagraphFont"/>
    <w:rsid w:val="00CF524B"/>
    <w:rPr>
      <w:sz w:val="16"/>
      <w:szCs w:val="16"/>
    </w:rPr>
  </w:style>
  <w:style w:type="paragraph" w:styleId="CommentSubject">
    <w:name w:val="annotation subject"/>
    <w:basedOn w:val="CommentText"/>
    <w:next w:val="CommentText"/>
    <w:link w:val="CommentSubjectChar"/>
    <w:rsid w:val="00CF524B"/>
    <w:rPr>
      <w:rFonts w:ascii="Gill Sans MT" w:hAnsi="Gill Sans MT"/>
      <w:b/>
      <w:bCs/>
      <w:szCs w:val="20"/>
      <w:lang w:val="en-IE"/>
    </w:rPr>
  </w:style>
  <w:style w:type="character" w:customStyle="1" w:styleId="CommentSubjectChar">
    <w:name w:val="Comment Subject Char"/>
    <w:basedOn w:val="CommentTextChar"/>
    <w:link w:val="CommentSubject"/>
    <w:rsid w:val="00CF524B"/>
    <w:rPr>
      <w:rFonts w:ascii="Gill Sans MT" w:eastAsia="Times New Roman" w:hAnsi="Gill Sans MT"/>
      <w:b/>
      <w:bCs/>
      <w:szCs w:val="24"/>
      <w:lang w:eastAsia="en-US"/>
    </w:rPr>
  </w:style>
  <w:style w:type="paragraph" w:styleId="BalloonText">
    <w:name w:val="Balloon Text"/>
    <w:basedOn w:val="Normal"/>
    <w:link w:val="BalloonTextChar"/>
    <w:rsid w:val="00CF524B"/>
    <w:pPr>
      <w:spacing w:after="0"/>
    </w:pPr>
    <w:rPr>
      <w:rFonts w:ascii="Segoe UI" w:hAnsi="Segoe UI" w:cs="Segoe UI"/>
      <w:sz w:val="18"/>
      <w:szCs w:val="18"/>
    </w:rPr>
  </w:style>
  <w:style w:type="character" w:customStyle="1" w:styleId="BalloonTextChar">
    <w:name w:val="Balloon Text Char"/>
    <w:basedOn w:val="DefaultParagraphFont"/>
    <w:link w:val="BalloonText"/>
    <w:rsid w:val="00CF524B"/>
    <w:rPr>
      <w:rFonts w:ascii="Segoe UI" w:eastAsia="Times New Roman" w:hAnsi="Segoe UI" w:cs="Segoe UI"/>
      <w:sz w:val="18"/>
      <w:szCs w:val="18"/>
      <w:lang w:eastAsia="en-US"/>
    </w:rPr>
  </w:style>
  <w:style w:type="paragraph" w:styleId="EndnoteText">
    <w:name w:val="endnote text"/>
    <w:basedOn w:val="Normal"/>
    <w:link w:val="EndnoteTextChar"/>
    <w:rsid w:val="00BB3F79"/>
    <w:pPr>
      <w:spacing w:after="0"/>
    </w:pPr>
    <w:rPr>
      <w:sz w:val="20"/>
      <w:szCs w:val="20"/>
    </w:rPr>
  </w:style>
  <w:style w:type="character" w:customStyle="1" w:styleId="EndnoteTextChar">
    <w:name w:val="Endnote Text Char"/>
    <w:basedOn w:val="DefaultParagraphFont"/>
    <w:link w:val="EndnoteText"/>
    <w:rsid w:val="00BB3F79"/>
    <w:rPr>
      <w:rFonts w:ascii="Gill Sans MT" w:eastAsia="Times New Roman" w:hAnsi="Gill Sans MT"/>
      <w:lang w:eastAsia="en-US"/>
    </w:rPr>
  </w:style>
  <w:style w:type="character" w:styleId="EndnoteReference">
    <w:name w:val="endnote reference"/>
    <w:basedOn w:val="DefaultParagraphFont"/>
    <w:rsid w:val="00BB3F79"/>
    <w:rPr>
      <w:vertAlign w:val="superscript"/>
    </w:rPr>
  </w:style>
  <w:style w:type="paragraph" w:styleId="TOCHeading">
    <w:name w:val="TOC Heading"/>
    <w:basedOn w:val="Heading1"/>
    <w:next w:val="Normal"/>
    <w:uiPriority w:val="39"/>
    <w:unhideWhenUsed/>
    <w:qFormat/>
    <w:rsid w:val="000C03FA"/>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BC1862" w:themeColor="accent1" w:themeShade="BF"/>
      <w:kern w:val="0"/>
      <w:lang w:val="en-US"/>
    </w:rPr>
  </w:style>
  <w:style w:type="paragraph" w:styleId="NormalWeb">
    <w:name w:val="Normal (Web)"/>
    <w:basedOn w:val="Normal"/>
    <w:uiPriority w:val="99"/>
    <w:unhideWhenUsed/>
    <w:rsid w:val="006312F8"/>
    <w:pPr>
      <w:spacing w:before="100" w:beforeAutospacing="1" w:after="100" w:afterAutospacing="1"/>
    </w:pPr>
    <w:rPr>
      <w:rFonts w:ascii="Times New Roman" w:hAnsi="Times New Roman"/>
      <w:sz w:val="24"/>
      <w:lang w:eastAsia="en-IE"/>
    </w:rPr>
  </w:style>
  <w:style w:type="character" w:customStyle="1" w:styleId="Heading1Char">
    <w:name w:val="Heading 1 Char"/>
    <w:basedOn w:val="DefaultParagraphFont"/>
    <w:link w:val="Heading1"/>
    <w:rsid w:val="00475937"/>
    <w:rPr>
      <w:rFonts w:ascii="Gill Sans MT" w:eastAsia="Times New Roman" w:hAnsi="Gill Sans MT" w:cs="Arial"/>
      <w:b/>
      <w:bCs/>
      <w:kern w:val="32"/>
      <w:sz w:val="32"/>
      <w:szCs w:val="32"/>
      <w:lang w:eastAsia="en-US"/>
    </w:rPr>
  </w:style>
  <w:style w:type="character" w:customStyle="1" w:styleId="Heading2Char">
    <w:name w:val="Heading 2 Char"/>
    <w:basedOn w:val="DefaultParagraphFont"/>
    <w:link w:val="Heading2"/>
    <w:rsid w:val="00475937"/>
    <w:rPr>
      <w:rFonts w:ascii="Gill Sans MT" w:eastAsia="Times New Roman" w:hAnsi="Gill Sans MT" w:cs="Arial Bold"/>
      <w:b/>
      <w:bCs/>
      <w:iCs/>
      <w:sz w:val="28"/>
      <w:szCs w:val="28"/>
      <w:lang w:eastAsia="en-US"/>
    </w:rPr>
  </w:style>
  <w:style w:type="paragraph" w:styleId="TOC3">
    <w:name w:val="toc 3"/>
    <w:basedOn w:val="Normal"/>
    <w:next w:val="Normal"/>
    <w:autoRedefine/>
    <w:uiPriority w:val="39"/>
    <w:rsid w:val="00AD00DA"/>
    <w:pPr>
      <w:tabs>
        <w:tab w:val="right" w:leader="dot" w:pos="8630"/>
      </w:tabs>
      <w:spacing w:after="100"/>
      <w:ind w:left="520"/>
    </w:pPr>
  </w:style>
  <w:style w:type="paragraph" w:styleId="TOC4">
    <w:name w:val="toc 4"/>
    <w:basedOn w:val="Normal"/>
    <w:next w:val="Normal"/>
    <w:autoRedefine/>
    <w:uiPriority w:val="39"/>
    <w:unhideWhenUsed/>
    <w:rsid w:val="00A90270"/>
    <w:pPr>
      <w:spacing w:after="100" w:line="259" w:lineRule="auto"/>
      <w:ind w:left="660"/>
    </w:pPr>
    <w:rPr>
      <w:rFonts w:asciiTheme="minorHAnsi" w:eastAsiaTheme="minorEastAsia" w:hAnsiTheme="minorHAnsi" w:cstheme="minorBidi"/>
      <w:sz w:val="22"/>
      <w:szCs w:val="22"/>
      <w:lang w:eastAsia="en-IE"/>
    </w:rPr>
  </w:style>
  <w:style w:type="paragraph" w:styleId="TOC5">
    <w:name w:val="toc 5"/>
    <w:basedOn w:val="Normal"/>
    <w:next w:val="Normal"/>
    <w:autoRedefine/>
    <w:uiPriority w:val="39"/>
    <w:unhideWhenUsed/>
    <w:rsid w:val="00A90270"/>
    <w:pPr>
      <w:spacing w:after="100" w:line="259" w:lineRule="auto"/>
      <w:ind w:left="880"/>
    </w:pPr>
    <w:rPr>
      <w:rFonts w:asciiTheme="minorHAnsi" w:eastAsiaTheme="minorEastAsia" w:hAnsiTheme="minorHAnsi" w:cstheme="minorBidi"/>
      <w:sz w:val="22"/>
      <w:szCs w:val="22"/>
      <w:lang w:eastAsia="en-IE"/>
    </w:rPr>
  </w:style>
  <w:style w:type="paragraph" w:styleId="TOC6">
    <w:name w:val="toc 6"/>
    <w:basedOn w:val="Normal"/>
    <w:next w:val="Normal"/>
    <w:autoRedefine/>
    <w:uiPriority w:val="39"/>
    <w:unhideWhenUsed/>
    <w:rsid w:val="00A90270"/>
    <w:pPr>
      <w:spacing w:after="100" w:line="259" w:lineRule="auto"/>
      <w:ind w:left="1100"/>
    </w:pPr>
    <w:rPr>
      <w:rFonts w:asciiTheme="minorHAnsi" w:eastAsiaTheme="minorEastAsia" w:hAnsiTheme="minorHAnsi" w:cstheme="minorBidi"/>
      <w:sz w:val="22"/>
      <w:szCs w:val="22"/>
      <w:lang w:eastAsia="en-IE"/>
    </w:rPr>
  </w:style>
  <w:style w:type="paragraph" w:styleId="TOC7">
    <w:name w:val="toc 7"/>
    <w:basedOn w:val="Normal"/>
    <w:next w:val="Normal"/>
    <w:autoRedefine/>
    <w:uiPriority w:val="39"/>
    <w:unhideWhenUsed/>
    <w:rsid w:val="00A90270"/>
    <w:pPr>
      <w:spacing w:after="100" w:line="259" w:lineRule="auto"/>
      <w:ind w:left="1320"/>
    </w:pPr>
    <w:rPr>
      <w:rFonts w:asciiTheme="minorHAnsi" w:eastAsiaTheme="minorEastAsia" w:hAnsiTheme="minorHAnsi" w:cstheme="minorBidi"/>
      <w:sz w:val="22"/>
      <w:szCs w:val="22"/>
      <w:lang w:eastAsia="en-IE"/>
    </w:rPr>
  </w:style>
  <w:style w:type="paragraph" w:styleId="TOC8">
    <w:name w:val="toc 8"/>
    <w:basedOn w:val="Normal"/>
    <w:next w:val="Normal"/>
    <w:autoRedefine/>
    <w:uiPriority w:val="39"/>
    <w:unhideWhenUsed/>
    <w:rsid w:val="00A90270"/>
    <w:pPr>
      <w:spacing w:after="100" w:line="259" w:lineRule="auto"/>
      <w:ind w:left="1540"/>
    </w:pPr>
    <w:rPr>
      <w:rFonts w:asciiTheme="minorHAnsi" w:eastAsiaTheme="minorEastAsia" w:hAnsiTheme="minorHAnsi" w:cstheme="minorBidi"/>
      <w:sz w:val="22"/>
      <w:szCs w:val="22"/>
      <w:lang w:eastAsia="en-IE"/>
    </w:rPr>
  </w:style>
  <w:style w:type="paragraph" w:styleId="TOC9">
    <w:name w:val="toc 9"/>
    <w:basedOn w:val="Normal"/>
    <w:next w:val="Normal"/>
    <w:autoRedefine/>
    <w:uiPriority w:val="39"/>
    <w:unhideWhenUsed/>
    <w:rsid w:val="00A90270"/>
    <w:pPr>
      <w:spacing w:after="100" w:line="259" w:lineRule="auto"/>
      <w:ind w:left="1760"/>
    </w:pPr>
    <w:rPr>
      <w:rFonts w:asciiTheme="minorHAnsi" w:eastAsiaTheme="minorEastAsia" w:hAnsiTheme="minorHAnsi" w:cstheme="minorBidi"/>
      <w:sz w:val="22"/>
      <w:szCs w:val="22"/>
      <w:lang w:eastAsia="en-IE"/>
    </w:rPr>
  </w:style>
  <w:style w:type="character" w:customStyle="1" w:styleId="TitleChar">
    <w:name w:val="Title Char"/>
    <w:basedOn w:val="DefaultParagraphFont"/>
    <w:link w:val="Title"/>
    <w:rsid w:val="0037628B"/>
    <w:rPr>
      <w:rFonts w:ascii="Gill Sans MT" w:eastAsia="Times New Roman" w:hAnsi="Gill Sans MT" w:cs="Arial"/>
      <w:b/>
      <w:bCs/>
      <w:kern w:val="28"/>
      <w:sz w:val="36"/>
      <w:szCs w:val="32"/>
      <w:lang w:eastAsia="en-US"/>
    </w:rPr>
  </w:style>
  <w:style w:type="character" w:customStyle="1" w:styleId="HeaderChar">
    <w:name w:val="Header Char"/>
    <w:basedOn w:val="DefaultParagraphFont"/>
    <w:link w:val="Header"/>
    <w:rsid w:val="0037628B"/>
    <w:rPr>
      <w:rFonts w:ascii="Gill Sans MT" w:eastAsia="Times New Roman" w:hAnsi="Gill Sans MT"/>
      <w:color w:val="333333"/>
      <w:sz w:val="22"/>
      <w:lang w:eastAsia="en-US"/>
    </w:rPr>
  </w:style>
  <w:style w:type="paragraph" w:styleId="Revision">
    <w:name w:val="Revision"/>
    <w:hidden/>
    <w:uiPriority w:val="99"/>
    <w:semiHidden/>
    <w:rsid w:val="0037628B"/>
    <w:rPr>
      <w:rFonts w:ascii="Gill Sans MT" w:eastAsia="Times New Roman" w:hAnsi="Gill Sans MT"/>
      <w:sz w:val="26"/>
      <w:szCs w:val="24"/>
      <w:lang w:eastAsia="en-US"/>
    </w:rPr>
  </w:style>
  <w:style w:type="table" w:styleId="TableGrid">
    <w:name w:val="Table Grid"/>
    <w:basedOn w:val="TableNormal"/>
    <w:rsid w:val="004E1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9242F"/>
    <w:rPr>
      <w:rFonts w:ascii="Gill Sans MT" w:eastAsia="Times New Roman" w:hAnsi="Gill Sans MT"/>
      <w:sz w:val="22"/>
      <w:lang w:eastAsia="en-US"/>
    </w:rPr>
  </w:style>
  <w:style w:type="character" w:customStyle="1" w:styleId="Heading3Char">
    <w:name w:val="Heading 3 Char"/>
    <w:basedOn w:val="DefaultParagraphFont"/>
    <w:link w:val="Heading3"/>
    <w:rsid w:val="00864C77"/>
    <w:rPr>
      <w:rFonts w:ascii="Gill Sans MT" w:eastAsia="Times New Roman" w:hAnsi="Gill Sans MT" w:cs="Arial Bold"/>
      <w:b/>
      <w:bCs/>
      <w:sz w:val="26"/>
      <w:szCs w:val="24"/>
      <w:lang w:eastAsia="en-US"/>
    </w:rPr>
  </w:style>
  <w:style w:type="paragraph" w:customStyle="1" w:styleId="CM61">
    <w:name w:val="CM61"/>
    <w:basedOn w:val="Normal"/>
    <w:next w:val="Normal"/>
    <w:uiPriority w:val="99"/>
    <w:rsid w:val="00864C77"/>
    <w:pPr>
      <w:autoSpaceDE w:val="0"/>
      <w:autoSpaceDN w:val="0"/>
      <w:adjustRightInd w:val="0"/>
      <w:spacing w:after="0"/>
    </w:pPr>
    <w:rPr>
      <w:rFonts w:eastAsia="SimSun"/>
      <w:sz w:val="24"/>
      <w:lang w:eastAsia="en-IE"/>
    </w:rPr>
  </w:style>
  <w:style w:type="character" w:styleId="UnresolvedMention">
    <w:name w:val="Unresolved Mention"/>
    <w:basedOn w:val="DefaultParagraphFont"/>
    <w:uiPriority w:val="99"/>
    <w:semiHidden/>
    <w:unhideWhenUsed/>
    <w:rsid w:val="00D25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197">
      <w:bodyDiv w:val="1"/>
      <w:marLeft w:val="0"/>
      <w:marRight w:val="0"/>
      <w:marTop w:val="0"/>
      <w:marBottom w:val="0"/>
      <w:divBdr>
        <w:top w:val="none" w:sz="0" w:space="0" w:color="auto"/>
        <w:left w:val="none" w:sz="0" w:space="0" w:color="auto"/>
        <w:bottom w:val="none" w:sz="0" w:space="0" w:color="auto"/>
        <w:right w:val="none" w:sz="0" w:space="0" w:color="auto"/>
      </w:divBdr>
    </w:div>
    <w:div w:id="123819283">
      <w:bodyDiv w:val="1"/>
      <w:marLeft w:val="0"/>
      <w:marRight w:val="0"/>
      <w:marTop w:val="0"/>
      <w:marBottom w:val="0"/>
      <w:divBdr>
        <w:top w:val="none" w:sz="0" w:space="0" w:color="auto"/>
        <w:left w:val="none" w:sz="0" w:space="0" w:color="auto"/>
        <w:bottom w:val="none" w:sz="0" w:space="0" w:color="auto"/>
        <w:right w:val="none" w:sz="0" w:space="0" w:color="auto"/>
      </w:divBdr>
    </w:div>
    <w:div w:id="163010031">
      <w:bodyDiv w:val="1"/>
      <w:marLeft w:val="0"/>
      <w:marRight w:val="0"/>
      <w:marTop w:val="0"/>
      <w:marBottom w:val="0"/>
      <w:divBdr>
        <w:top w:val="none" w:sz="0" w:space="0" w:color="auto"/>
        <w:left w:val="none" w:sz="0" w:space="0" w:color="auto"/>
        <w:bottom w:val="none" w:sz="0" w:space="0" w:color="auto"/>
        <w:right w:val="none" w:sz="0" w:space="0" w:color="auto"/>
      </w:divBdr>
    </w:div>
    <w:div w:id="197358670">
      <w:bodyDiv w:val="1"/>
      <w:marLeft w:val="0"/>
      <w:marRight w:val="0"/>
      <w:marTop w:val="0"/>
      <w:marBottom w:val="0"/>
      <w:divBdr>
        <w:top w:val="none" w:sz="0" w:space="0" w:color="auto"/>
        <w:left w:val="none" w:sz="0" w:space="0" w:color="auto"/>
        <w:bottom w:val="none" w:sz="0" w:space="0" w:color="auto"/>
        <w:right w:val="none" w:sz="0" w:space="0" w:color="auto"/>
      </w:divBdr>
    </w:div>
    <w:div w:id="236014078">
      <w:bodyDiv w:val="1"/>
      <w:marLeft w:val="0"/>
      <w:marRight w:val="0"/>
      <w:marTop w:val="0"/>
      <w:marBottom w:val="0"/>
      <w:divBdr>
        <w:top w:val="none" w:sz="0" w:space="0" w:color="auto"/>
        <w:left w:val="none" w:sz="0" w:space="0" w:color="auto"/>
        <w:bottom w:val="none" w:sz="0" w:space="0" w:color="auto"/>
        <w:right w:val="none" w:sz="0" w:space="0" w:color="auto"/>
      </w:divBdr>
    </w:div>
    <w:div w:id="254823068">
      <w:bodyDiv w:val="1"/>
      <w:marLeft w:val="0"/>
      <w:marRight w:val="0"/>
      <w:marTop w:val="0"/>
      <w:marBottom w:val="0"/>
      <w:divBdr>
        <w:top w:val="none" w:sz="0" w:space="0" w:color="auto"/>
        <w:left w:val="none" w:sz="0" w:space="0" w:color="auto"/>
        <w:bottom w:val="none" w:sz="0" w:space="0" w:color="auto"/>
        <w:right w:val="none" w:sz="0" w:space="0" w:color="auto"/>
      </w:divBdr>
    </w:div>
    <w:div w:id="387729474">
      <w:bodyDiv w:val="1"/>
      <w:marLeft w:val="0"/>
      <w:marRight w:val="0"/>
      <w:marTop w:val="0"/>
      <w:marBottom w:val="0"/>
      <w:divBdr>
        <w:top w:val="none" w:sz="0" w:space="0" w:color="auto"/>
        <w:left w:val="none" w:sz="0" w:space="0" w:color="auto"/>
        <w:bottom w:val="none" w:sz="0" w:space="0" w:color="auto"/>
        <w:right w:val="none" w:sz="0" w:space="0" w:color="auto"/>
      </w:divBdr>
    </w:div>
    <w:div w:id="432752800">
      <w:bodyDiv w:val="1"/>
      <w:marLeft w:val="0"/>
      <w:marRight w:val="0"/>
      <w:marTop w:val="0"/>
      <w:marBottom w:val="0"/>
      <w:divBdr>
        <w:top w:val="none" w:sz="0" w:space="0" w:color="auto"/>
        <w:left w:val="none" w:sz="0" w:space="0" w:color="auto"/>
        <w:bottom w:val="none" w:sz="0" w:space="0" w:color="auto"/>
        <w:right w:val="none" w:sz="0" w:space="0" w:color="auto"/>
      </w:divBdr>
    </w:div>
    <w:div w:id="635839468">
      <w:bodyDiv w:val="1"/>
      <w:marLeft w:val="0"/>
      <w:marRight w:val="0"/>
      <w:marTop w:val="0"/>
      <w:marBottom w:val="0"/>
      <w:divBdr>
        <w:top w:val="none" w:sz="0" w:space="0" w:color="auto"/>
        <w:left w:val="none" w:sz="0" w:space="0" w:color="auto"/>
        <w:bottom w:val="none" w:sz="0" w:space="0" w:color="auto"/>
        <w:right w:val="none" w:sz="0" w:space="0" w:color="auto"/>
      </w:divBdr>
    </w:div>
    <w:div w:id="713234164">
      <w:bodyDiv w:val="1"/>
      <w:marLeft w:val="0"/>
      <w:marRight w:val="0"/>
      <w:marTop w:val="0"/>
      <w:marBottom w:val="0"/>
      <w:divBdr>
        <w:top w:val="none" w:sz="0" w:space="0" w:color="auto"/>
        <w:left w:val="none" w:sz="0" w:space="0" w:color="auto"/>
        <w:bottom w:val="none" w:sz="0" w:space="0" w:color="auto"/>
        <w:right w:val="none" w:sz="0" w:space="0" w:color="auto"/>
      </w:divBdr>
    </w:div>
    <w:div w:id="780106144">
      <w:bodyDiv w:val="1"/>
      <w:marLeft w:val="0"/>
      <w:marRight w:val="0"/>
      <w:marTop w:val="0"/>
      <w:marBottom w:val="0"/>
      <w:divBdr>
        <w:top w:val="none" w:sz="0" w:space="0" w:color="auto"/>
        <w:left w:val="none" w:sz="0" w:space="0" w:color="auto"/>
        <w:bottom w:val="none" w:sz="0" w:space="0" w:color="auto"/>
        <w:right w:val="none" w:sz="0" w:space="0" w:color="auto"/>
      </w:divBdr>
    </w:div>
    <w:div w:id="781609185">
      <w:bodyDiv w:val="1"/>
      <w:marLeft w:val="0"/>
      <w:marRight w:val="0"/>
      <w:marTop w:val="0"/>
      <w:marBottom w:val="0"/>
      <w:divBdr>
        <w:top w:val="none" w:sz="0" w:space="0" w:color="auto"/>
        <w:left w:val="none" w:sz="0" w:space="0" w:color="auto"/>
        <w:bottom w:val="none" w:sz="0" w:space="0" w:color="auto"/>
        <w:right w:val="none" w:sz="0" w:space="0" w:color="auto"/>
      </w:divBdr>
    </w:div>
    <w:div w:id="879443432">
      <w:bodyDiv w:val="1"/>
      <w:marLeft w:val="0"/>
      <w:marRight w:val="0"/>
      <w:marTop w:val="0"/>
      <w:marBottom w:val="0"/>
      <w:divBdr>
        <w:top w:val="none" w:sz="0" w:space="0" w:color="auto"/>
        <w:left w:val="none" w:sz="0" w:space="0" w:color="auto"/>
        <w:bottom w:val="none" w:sz="0" w:space="0" w:color="auto"/>
        <w:right w:val="none" w:sz="0" w:space="0" w:color="auto"/>
      </w:divBdr>
    </w:div>
    <w:div w:id="943414589">
      <w:bodyDiv w:val="1"/>
      <w:marLeft w:val="0"/>
      <w:marRight w:val="0"/>
      <w:marTop w:val="0"/>
      <w:marBottom w:val="0"/>
      <w:divBdr>
        <w:top w:val="none" w:sz="0" w:space="0" w:color="auto"/>
        <w:left w:val="none" w:sz="0" w:space="0" w:color="auto"/>
        <w:bottom w:val="none" w:sz="0" w:space="0" w:color="auto"/>
        <w:right w:val="none" w:sz="0" w:space="0" w:color="auto"/>
      </w:divBdr>
    </w:div>
    <w:div w:id="1024598523">
      <w:bodyDiv w:val="1"/>
      <w:marLeft w:val="0"/>
      <w:marRight w:val="0"/>
      <w:marTop w:val="0"/>
      <w:marBottom w:val="0"/>
      <w:divBdr>
        <w:top w:val="none" w:sz="0" w:space="0" w:color="auto"/>
        <w:left w:val="none" w:sz="0" w:space="0" w:color="auto"/>
        <w:bottom w:val="none" w:sz="0" w:space="0" w:color="auto"/>
        <w:right w:val="none" w:sz="0" w:space="0" w:color="auto"/>
      </w:divBdr>
    </w:div>
    <w:div w:id="1143237674">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8322300">
      <w:bodyDiv w:val="1"/>
      <w:marLeft w:val="0"/>
      <w:marRight w:val="0"/>
      <w:marTop w:val="0"/>
      <w:marBottom w:val="0"/>
      <w:divBdr>
        <w:top w:val="none" w:sz="0" w:space="0" w:color="auto"/>
        <w:left w:val="none" w:sz="0" w:space="0" w:color="auto"/>
        <w:bottom w:val="none" w:sz="0" w:space="0" w:color="auto"/>
        <w:right w:val="none" w:sz="0" w:space="0" w:color="auto"/>
      </w:divBdr>
    </w:div>
    <w:div w:id="1174105049">
      <w:bodyDiv w:val="1"/>
      <w:marLeft w:val="0"/>
      <w:marRight w:val="0"/>
      <w:marTop w:val="0"/>
      <w:marBottom w:val="0"/>
      <w:divBdr>
        <w:top w:val="none" w:sz="0" w:space="0" w:color="auto"/>
        <w:left w:val="none" w:sz="0" w:space="0" w:color="auto"/>
        <w:bottom w:val="none" w:sz="0" w:space="0" w:color="auto"/>
        <w:right w:val="none" w:sz="0" w:space="0" w:color="auto"/>
      </w:divBdr>
    </w:div>
    <w:div w:id="1270699565">
      <w:bodyDiv w:val="1"/>
      <w:marLeft w:val="0"/>
      <w:marRight w:val="0"/>
      <w:marTop w:val="0"/>
      <w:marBottom w:val="0"/>
      <w:divBdr>
        <w:top w:val="none" w:sz="0" w:space="0" w:color="auto"/>
        <w:left w:val="none" w:sz="0" w:space="0" w:color="auto"/>
        <w:bottom w:val="none" w:sz="0" w:space="0" w:color="auto"/>
        <w:right w:val="none" w:sz="0" w:space="0" w:color="auto"/>
      </w:divBdr>
    </w:div>
    <w:div w:id="1319577518">
      <w:bodyDiv w:val="1"/>
      <w:marLeft w:val="0"/>
      <w:marRight w:val="0"/>
      <w:marTop w:val="0"/>
      <w:marBottom w:val="0"/>
      <w:divBdr>
        <w:top w:val="none" w:sz="0" w:space="0" w:color="auto"/>
        <w:left w:val="none" w:sz="0" w:space="0" w:color="auto"/>
        <w:bottom w:val="none" w:sz="0" w:space="0" w:color="auto"/>
        <w:right w:val="none" w:sz="0" w:space="0" w:color="auto"/>
      </w:divBdr>
    </w:div>
    <w:div w:id="1386293263">
      <w:bodyDiv w:val="1"/>
      <w:marLeft w:val="0"/>
      <w:marRight w:val="0"/>
      <w:marTop w:val="0"/>
      <w:marBottom w:val="0"/>
      <w:divBdr>
        <w:top w:val="none" w:sz="0" w:space="0" w:color="auto"/>
        <w:left w:val="none" w:sz="0" w:space="0" w:color="auto"/>
        <w:bottom w:val="none" w:sz="0" w:space="0" w:color="auto"/>
        <w:right w:val="none" w:sz="0" w:space="0" w:color="auto"/>
      </w:divBdr>
    </w:div>
    <w:div w:id="1509710160">
      <w:bodyDiv w:val="1"/>
      <w:marLeft w:val="0"/>
      <w:marRight w:val="0"/>
      <w:marTop w:val="0"/>
      <w:marBottom w:val="0"/>
      <w:divBdr>
        <w:top w:val="none" w:sz="0" w:space="0" w:color="auto"/>
        <w:left w:val="none" w:sz="0" w:space="0" w:color="auto"/>
        <w:bottom w:val="none" w:sz="0" w:space="0" w:color="auto"/>
        <w:right w:val="none" w:sz="0" w:space="0" w:color="auto"/>
      </w:divBdr>
    </w:div>
    <w:div w:id="1554582474">
      <w:bodyDiv w:val="1"/>
      <w:marLeft w:val="0"/>
      <w:marRight w:val="0"/>
      <w:marTop w:val="0"/>
      <w:marBottom w:val="0"/>
      <w:divBdr>
        <w:top w:val="none" w:sz="0" w:space="0" w:color="auto"/>
        <w:left w:val="none" w:sz="0" w:space="0" w:color="auto"/>
        <w:bottom w:val="none" w:sz="0" w:space="0" w:color="auto"/>
        <w:right w:val="none" w:sz="0" w:space="0" w:color="auto"/>
      </w:divBdr>
    </w:div>
    <w:div w:id="1674918629">
      <w:bodyDiv w:val="1"/>
      <w:marLeft w:val="0"/>
      <w:marRight w:val="0"/>
      <w:marTop w:val="0"/>
      <w:marBottom w:val="0"/>
      <w:divBdr>
        <w:top w:val="none" w:sz="0" w:space="0" w:color="auto"/>
        <w:left w:val="none" w:sz="0" w:space="0" w:color="auto"/>
        <w:bottom w:val="none" w:sz="0" w:space="0" w:color="auto"/>
        <w:right w:val="none" w:sz="0" w:space="0" w:color="auto"/>
      </w:divBdr>
    </w:div>
    <w:div w:id="1726179159">
      <w:bodyDiv w:val="1"/>
      <w:marLeft w:val="0"/>
      <w:marRight w:val="0"/>
      <w:marTop w:val="0"/>
      <w:marBottom w:val="0"/>
      <w:divBdr>
        <w:top w:val="none" w:sz="0" w:space="0" w:color="auto"/>
        <w:left w:val="none" w:sz="0" w:space="0" w:color="auto"/>
        <w:bottom w:val="none" w:sz="0" w:space="0" w:color="auto"/>
        <w:right w:val="none" w:sz="0" w:space="0" w:color="auto"/>
      </w:divBdr>
    </w:div>
    <w:div w:id="1728068206">
      <w:bodyDiv w:val="1"/>
      <w:marLeft w:val="0"/>
      <w:marRight w:val="0"/>
      <w:marTop w:val="0"/>
      <w:marBottom w:val="0"/>
      <w:divBdr>
        <w:top w:val="none" w:sz="0" w:space="0" w:color="auto"/>
        <w:left w:val="none" w:sz="0" w:space="0" w:color="auto"/>
        <w:bottom w:val="none" w:sz="0" w:space="0" w:color="auto"/>
        <w:right w:val="none" w:sz="0" w:space="0" w:color="auto"/>
      </w:divBdr>
    </w:div>
    <w:div w:id="1730880197">
      <w:bodyDiv w:val="1"/>
      <w:marLeft w:val="0"/>
      <w:marRight w:val="0"/>
      <w:marTop w:val="0"/>
      <w:marBottom w:val="0"/>
      <w:divBdr>
        <w:top w:val="none" w:sz="0" w:space="0" w:color="auto"/>
        <w:left w:val="none" w:sz="0" w:space="0" w:color="auto"/>
        <w:bottom w:val="none" w:sz="0" w:space="0" w:color="auto"/>
        <w:right w:val="none" w:sz="0" w:space="0" w:color="auto"/>
      </w:divBdr>
    </w:div>
    <w:div w:id="1775663943">
      <w:bodyDiv w:val="1"/>
      <w:marLeft w:val="0"/>
      <w:marRight w:val="0"/>
      <w:marTop w:val="0"/>
      <w:marBottom w:val="0"/>
      <w:divBdr>
        <w:top w:val="none" w:sz="0" w:space="0" w:color="auto"/>
        <w:left w:val="none" w:sz="0" w:space="0" w:color="auto"/>
        <w:bottom w:val="none" w:sz="0" w:space="0" w:color="auto"/>
        <w:right w:val="none" w:sz="0" w:space="0" w:color="auto"/>
      </w:divBdr>
    </w:div>
    <w:div w:id="1790317793">
      <w:bodyDiv w:val="1"/>
      <w:marLeft w:val="0"/>
      <w:marRight w:val="0"/>
      <w:marTop w:val="0"/>
      <w:marBottom w:val="0"/>
      <w:divBdr>
        <w:top w:val="none" w:sz="0" w:space="0" w:color="auto"/>
        <w:left w:val="none" w:sz="0" w:space="0" w:color="auto"/>
        <w:bottom w:val="none" w:sz="0" w:space="0" w:color="auto"/>
        <w:right w:val="none" w:sz="0" w:space="0" w:color="auto"/>
      </w:divBdr>
    </w:div>
    <w:div w:id="1825120090">
      <w:bodyDiv w:val="1"/>
      <w:marLeft w:val="0"/>
      <w:marRight w:val="0"/>
      <w:marTop w:val="0"/>
      <w:marBottom w:val="0"/>
      <w:divBdr>
        <w:top w:val="none" w:sz="0" w:space="0" w:color="auto"/>
        <w:left w:val="none" w:sz="0" w:space="0" w:color="auto"/>
        <w:bottom w:val="none" w:sz="0" w:space="0" w:color="auto"/>
        <w:right w:val="none" w:sz="0" w:space="0" w:color="auto"/>
      </w:divBdr>
    </w:div>
    <w:div w:id="1883783497">
      <w:bodyDiv w:val="1"/>
      <w:marLeft w:val="0"/>
      <w:marRight w:val="0"/>
      <w:marTop w:val="0"/>
      <w:marBottom w:val="0"/>
      <w:divBdr>
        <w:top w:val="none" w:sz="0" w:space="0" w:color="auto"/>
        <w:left w:val="none" w:sz="0" w:space="0" w:color="auto"/>
        <w:bottom w:val="none" w:sz="0" w:space="0" w:color="auto"/>
        <w:right w:val="none" w:sz="0" w:space="0" w:color="auto"/>
      </w:divBdr>
    </w:div>
    <w:div w:id="2033189965">
      <w:bodyDiv w:val="1"/>
      <w:marLeft w:val="0"/>
      <w:marRight w:val="0"/>
      <w:marTop w:val="0"/>
      <w:marBottom w:val="0"/>
      <w:divBdr>
        <w:top w:val="none" w:sz="0" w:space="0" w:color="auto"/>
        <w:left w:val="none" w:sz="0" w:space="0" w:color="auto"/>
        <w:bottom w:val="none" w:sz="0" w:space="0" w:color="auto"/>
        <w:right w:val="none" w:sz="0" w:space="0" w:color="auto"/>
      </w:divBdr>
    </w:div>
    <w:div w:id="2131700372">
      <w:bodyDiv w:val="1"/>
      <w:marLeft w:val="0"/>
      <w:marRight w:val="0"/>
      <w:marTop w:val="0"/>
      <w:marBottom w:val="0"/>
      <w:divBdr>
        <w:top w:val="none" w:sz="0" w:space="0" w:color="auto"/>
        <w:left w:val="none" w:sz="0" w:space="0" w:color="auto"/>
        <w:bottom w:val="none" w:sz="0" w:space="0" w:color="auto"/>
        <w:right w:val="none" w:sz="0" w:space="0" w:color="auto"/>
      </w:divBdr>
    </w:div>
    <w:div w:id="21442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iversaldesign.ie/products-services/customer-communications-toolkit-for-services-to-the-public-a-universal-design-approach/"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nda.ie/publications/access-officer-guidance-for-public-bodies"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nda.ie/publications/access-officer-guidance-for-public-bodies" TargetMode="External"/><Relationship Id="rId10" Type="http://schemas.openxmlformats.org/officeDocument/2006/relationships/hyperlink" Target="https://nda.ie/publications/monitoring-report-eu-wad-ireland-2021-nda-report"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nda.ie/publications/nda-annual-reports-on-compliance-with-part-5-of-the-disability-act" TargetMode="External"/><Relationship Id="rId14" Type="http://schemas.openxmlformats.org/officeDocument/2006/relationships/chart" Target="charts/chart4.xml"/><Relationship Id="rId22" Type="http://schemas.openxmlformats.org/officeDocument/2006/relationships/hyperlink" Target="https://nda.ie/publications/monitoring-report-eu-wad-ireland-2021-nda-repo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iversaldesign.ie/products-services/customer-communications-toolkit-for-services-to-the-public-a-universal-design-approach/" TargetMode="External"/><Relationship Id="rId7" Type="http://schemas.openxmlformats.org/officeDocument/2006/relationships/hyperlink" Target="https://universaldesign.ie/technology-ict/web-and-mobile-app-accessibility/accessibility-statement1/" TargetMode="External"/><Relationship Id="rId2" Type="http://schemas.openxmlformats.org/officeDocument/2006/relationships/hyperlink" Target="https://www.cso.ie/en/releasesandpublications/ep/p-syi/statisticalyearbookofireland2021part1/soc/internetusagebyhouseholds/" TargetMode="External"/><Relationship Id="rId1" Type="http://schemas.openxmlformats.org/officeDocument/2006/relationships/hyperlink" Target="https://www.cso.ie/en/releasesandpublications/ep/p-isshict/internetcoverageandusageinireland2022/householdinternetconnectivity/" TargetMode="External"/><Relationship Id="rId6" Type="http://schemas.openxmlformats.org/officeDocument/2006/relationships/hyperlink" Target="https://universaldesign.ie/technology-ict/web-and-mobile-app-accessibility/accessibility-statement1/" TargetMode="External"/><Relationship Id="rId5" Type="http://schemas.openxmlformats.org/officeDocument/2006/relationships/hyperlink" Target="https://nda.ie/uploads/publications/nda-strategic-plan-2022-2024.pdf" TargetMode="External"/><Relationship Id="rId4" Type="http://schemas.openxmlformats.org/officeDocument/2006/relationships/hyperlink" Target="https://nda.ie/publications/access-officer-guidance-for-public-bod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ojfilecluster\dojshares$\NDA\Shares\CEUD%20and%20Standards%20&amp;%20Monitoring\CEUDSM%20Targeted%20monitoring%20-%20Access%20Officers\Final%20Report%20for%20Publication\Analysis\Access%20Officer%20Analysis%202023%20v1.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solidFill>
                <a:latin typeface="Gill Sans MT" panose="020B0502020104020203" pitchFamily="34" charset="0"/>
                <a:ea typeface="+mn-ea"/>
                <a:cs typeface="+mn-cs"/>
              </a:defRPr>
            </a:pPr>
            <a:r>
              <a:rPr lang="ga" b="0" i="0" u="none" baseline="0">
                <a:latin typeface="Gill Sans MT" panose="020B0502020104020203" pitchFamily="34" charset="0"/>
                <a:ea typeface="Gill Sans MT" panose="020B0502020104020203" pitchFamily="34" charset="0"/>
                <a:cs typeface="Gill Sans MT" panose="020B0502020104020203" pitchFamily="34" charset="0"/>
              </a:rPr>
              <a:t>Cuireadh Oifigeach Rochtana chun cinn ar an suíomh Gréasáin </a:t>
            </a:r>
          </a:p>
        </c:rich>
      </c:tx>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solidFill>
              <a:latin typeface="Gill Sans MT" panose="020B0502020104020203" pitchFamily="34" charset="0"/>
              <a:ea typeface="+mn-ea"/>
              <a:cs typeface="+mn-cs"/>
            </a:defRPr>
          </a:pPr>
          <a:endParaRPr lang="en-US"/>
        </a:p>
      </c:txPr>
    </c:title>
    <c:autoTitleDeleted val="0"/>
    <c:plotArea>
      <c:layout/>
      <c:pieChart>
        <c:varyColors val="1"/>
        <c:ser>
          <c:idx val="0"/>
          <c:order val="0"/>
          <c:dPt>
            <c:idx val="0"/>
            <c:bubble3D val="0"/>
            <c:spPr>
              <a:solidFill>
                <a:srgbClr val="CC0099"/>
              </a:solidFill>
              <a:ln w="19050">
                <a:solidFill>
                  <a:schemeClr val="lt1"/>
                </a:solidFill>
              </a:ln>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3374-4146-809E-4AAD0C8A798E}"/>
              </c:ext>
            </c:extLst>
          </c:dPt>
          <c:dPt>
            <c:idx val="1"/>
            <c:bubble3D val="0"/>
            <c:spPr>
              <a:solidFill>
                <a:schemeClr val="tx1"/>
              </a:solidFill>
              <a:ln w="19050">
                <a:solidFill>
                  <a:schemeClr val="lt1"/>
                </a:solidFill>
              </a:ln>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3374-4146-809E-4AAD0C8A798E}"/>
              </c:ext>
            </c:extLst>
          </c:dPt>
          <c:dLbls>
            <c:dLbl>
              <c:idx val="0"/>
              <c:layout>
                <c:manualLayout>
                  <c:x val="-1.3191383996249747E-2"/>
                  <c:y val="-0.11157608381084679"/>
                </c:manualLayout>
              </c:layout>
              <c:tx>
                <c:rich>
                  <a:bodyPr rot="0" spcFirstLastPara="1" vertOverflow="clip" horzOverflow="clip" vert="horz" wrap="square" lIns="38100" tIns="19050" rIns="38100" bIns="19050" anchor="ctr" anchorCtr="1">
                    <a:spAutoFit/>
                  </a:bodyPr>
                  <a:lstStyle/>
                  <a:p>
                    <a:pPr rtl="0">
                      <a:defRPr sz="900" b="0" i="0" u="none" strike="noStrike" kern="1200" baseline="0">
                        <a:solidFill>
                          <a:schemeClr val="tx1"/>
                        </a:solidFill>
                        <a:latin typeface="+mn-lt"/>
                        <a:ea typeface="+mn-ea"/>
                        <a:cs typeface="+mn-cs"/>
                      </a:defRPr>
                    </a:pPr>
                    <a:r>
                      <a:rPr lang="en-US" sz="900" b="0" i="0" u="none" strike="noStrike" baseline="0">
                        <a:effectLst/>
                        <a:latin typeface="Gill Sans MT" panose="020B0502020104020203" pitchFamily="34" charset="0"/>
                      </a:rPr>
                      <a:t>Cuireadh an tOifigeach Rochtana chun cinn</a:t>
                    </a:r>
                    <a:r>
                      <a:rPr lang="en-US" sz="1100" b="0" i="0" u="none" baseline="0">
                        <a:latin typeface="Gill Sans MT" panose="020B0502020104020203" pitchFamily="34" charset="0"/>
                        <a:ea typeface="Gill Sans MT" panose="020B0502020104020203" pitchFamily="34" charset="0"/>
                        <a:cs typeface="Gill Sans MT" panose="020B0502020104020203" pitchFamily="34" charset="0"/>
                      </a:rPr>
                      <a:t>  </a:t>
                    </a:r>
                  </a:p>
                  <a:p>
                    <a:pPr rtl="0">
                      <a:defRPr/>
                    </a:pPr>
                    <a:r>
                      <a:rPr lang="en-US" sz="1100" b="0" i="0" u="none" baseline="0">
                        <a:latin typeface="Gill Sans MT" panose="020B0502020104020203" pitchFamily="34" charset="0"/>
                        <a:ea typeface="Gill Sans MT" panose="020B0502020104020203" pitchFamily="34" charset="0"/>
                        <a:cs typeface="Gill Sans MT" panose="020B0502020104020203" pitchFamily="34" charset="0"/>
                      </a:rPr>
                      <a:t>47.7%</a:t>
                    </a:r>
                  </a:p>
                </c:rich>
              </c:tx>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rtl="0">
                    <a:defRPr sz="90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15:showDataLabelsRange val="0"/>
                </c:ext>
                <c:ext xmlns:c16="http://schemas.microsoft.com/office/drawing/2014/chart" uri="{C3380CC4-5D6E-409C-BE32-E72D297353CC}">
                  <c16:uniqueId val="{00000001-3374-4146-809E-4AAD0C8A798E}"/>
                </c:ext>
              </c:extLst>
            </c:dLbl>
            <c:dLbl>
              <c:idx val="1"/>
              <c:layout>
                <c:manualLayout>
                  <c:x val="7.0387453964823891E-4"/>
                  <c:y val="0.13016727441106674"/>
                </c:manualLayout>
              </c:layout>
              <c:tx>
                <c:rich>
                  <a:bodyPr rot="0" spcFirstLastPara="1" vertOverflow="clip" horzOverflow="clip" vert="horz" wrap="square" lIns="38100" tIns="19050" rIns="38100" bIns="19050" anchor="ctr" anchorCtr="1">
                    <a:spAutoFit/>
                  </a:bodyPr>
                  <a:lstStyle/>
                  <a:p>
                    <a:pPr rtl="0">
                      <a:defRPr sz="900" b="0" i="0" u="none" strike="noStrike" kern="1200" baseline="0">
                        <a:solidFill>
                          <a:schemeClr val="tx1"/>
                        </a:solidFill>
                        <a:latin typeface="+mn-lt"/>
                        <a:ea typeface="+mn-ea"/>
                        <a:cs typeface="+mn-cs"/>
                      </a:defRPr>
                    </a:pPr>
                    <a:r>
                      <a:rPr lang="en-US" sz="900" b="0" i="0" u="none" strike="noStrike" baseline="0">
                        <a:effectLst/>
                        <a:latin typeface="Gill Sans MT" panose="020B0502020104020203" pitchFamily="34" charset="0"/>
                      </a:rPr>
                      <a:t>Níor cuireadh an tOifigeach Rochtana chun cinn</a:t>
                    </a:r>
                    <a:r>
                      <a:rPr lang="en-US" sz="1100" b="0" i="0" u="none" baseline="0">
                        <a:latin typeface="Gill Sans MT" panose="020B0502020104020203" pitchFamily="34" charset="0"/>
                        <a:ea typeface="Gill Sans MT" panose="020B0502020104020203" pitchFamily="34" charset="0"/>
                        <a:cs typeface="Gill Sans MT" panose="020B0502020104020203" pitchFamily="34" charset="0"/>
                      </a:rPr>
                      <a:t>  </a:t>
                    </a:r>
                  </a:p>
                  <a:p>
                    <a:pPr rtl="0">
                      <a:defRPr/>
                    </a:pPr>
                    <a:r>
                      <a:rPr lang="en-US" sz="1100" b="0" i="0" u="none" baseline="0">
                        <a:latin typeface="Gill Sans MT" panose="020B0502020104020203" pitchFamily="34" charset="0"/>
                        <a:ea typeface="Gill Sans MT" panose="020B0502020104020203" pitchFamily="34" charset="0"/>
                        <a:cs typeface="Gill Sans MT" panose="020B0502020104020203" pitchFamily="34" charset="0"/>
                      </a:rPr>
                      <a:t>52.3%</a:t>
                    </a:r>
                  </a:p>
                </c:rich>
              </c:tx>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rtl="0">
                    <a:defRPr sz="90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15:showDataLabelsRange val="0"/>
                </c:ext>
                <c:ext xmlns:c16="http://schemas.microsoft.com/office/drawing/2014/chart" uri="{C3380CC4-5D6E-409C-BE32-E72D297353CC}">
                  <c16:uniqueId val="{00000003-3374-4146-809E-4AAD0C8A798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rtl="0">
                  <a:defRPr sz="90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1"/>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ext>
            </c:extLst>
          </c:dLbls>
          <c:cat>
            <c:strRef>
              <c:f>'initial findings- adjusted'!$A$290:$A$291</c:f>
              <c:strCache>
                <c:ptCount val="2"/>
                <c:pt idx="0">
                  <c:v>Access Officer promoted </c:v>
                </c:pt>
                <c:pt idx="1">
                  <c:v>Access Officer not promoted</c:v>
                </c:pt>
              </c:strCache>
            </c:strRef>
          </c:cat>
          <c:val>
            <c:numRef>
              <c:f>'initial findings- adjusted'!$B$290:$B$291</c:f>
              <c:numCache>
                <c:formatCode>General</c:formatCode>
                <c:ptCount val="2"/>
                <c:pt idx="0">
                  <c:v>134</c:v>
                </c:pt>
                <c:pt idx="1">
                  <c:v>148</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4-3374-4146-809E-4AAD0C8A798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solidFill>
                <a:latin typeface="Gill Sans MT" panose="020B0502020104020203" pitchFamily="34" charset="0"/>
                <a:ea typeface="+mn-ea"/>
                <a:cs typeface="+mn-cs"/>
              </a:defRPr>
            </a:pPr>
            <a:r>
              <a:rPr lang="ga" b="0" i="0" u="none" baseline="0">
                <a:solidFill>
                  <a:schemeClr val="tx1"/>
                </a:solidFill>
                <a:latin typeface="Gill Sans MT" panose="020B0502020104020203" pitchFamily="34" charset="0"/>
                <a:ea typeface="Gill Sans MT" panose="020B0502020104020203" pitchFamily="34" charset="0"/>
                <a:cs typeface="Gill Sans MT" panose="020B0502020104020203" pitchFamily="34" charset="0"/>
              </a:rPr>
              <a:t>Comhlachtaí poiblí a chomhlíon critéir uile an táscaire</a:t>
            </a:r>
          </a:p>
        </c:rich>
      </c:tx>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solidFill>
              <a:latin typeface="Gill Sans MT" panose="020B0502020104020203" pitchFamily="34" charset="0"/>
              <a:ea typeface="+mn-ea"/>
              <a:cs typeface="+mn-cs"/>
            </a:defRPr>
          </a:pPr>
          <a:endParaRPr lang="en-US"/>
        </a:p>
      </c:txPr>
    </c:title>
    <c:autoTitleDeleted val="0"/>
    <c:plotArea>
      <c:layout/>
      <c:pieChart>
        <c:varyColors val="1"/>
        <c:ser>
          <c:idx val="0"/>
          <c:order val="0"/>
          <c:spPr>
            <a:solidFill>
              <a:schemeClr val="accent4"/>
            </a:solidFill>
          </c:spPr>
          <c:dPt>
            <c:idx val="0"/>
            <c:bubble3D val="0"/>
            <c:spPr>
              <a:solidFill>
                <a:schemeClr val="accent2"/>
              </a:solidFill>
              <a:ln w="19050">
                <a:solidFill>
                  <a:schemeClr val="lt1"/>
                </a:solidFill>
              </a:ln>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2A44-449D-AE4D-A7162B8CF75B}"/>
              </c:ext>
            </c:extLst>
          </c:dPt>
          <c:dPt>
            <c:idx val="1"/>
            <c:bubble3D val="0"/>
            <c:spPr>
              <a:solidFill>
                <a:schemeClr val="accent4"/>
              </a:solidFill>
              <a:ln w="19050">
                <a:solidFill>
                  <a:schemeClr val="lt1"/>
                </a:solidFill>
              </a:ln>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2A44-449D-AE4D-A7162B8CF75B}"/>
              </c:ext>
            </c:extLst>
          </c:dPt>
          <c:dLbls>
            <c:dLbl>
              <c:idx val="0"/>
              <c:tx>
                <c:rich>
                  <a:bodyPr/>
                  <a:lstStyle/>
                  <a:p>
                    <a:r>
                      <a:rPr lang="en-US" sz="900" b="0" i="0" u="none" strike="noStrike" baseline="0">
                        <a:effectLst/>
                      </a:rPr>
                      <a:t>Níor comhlíonadh critéir uile an táscaire</a:t>
                    </a:r>
                    <a:r>
                      <a:rPr lang="en-US" b="0" i="0" u="none" baseline="0"/>
                      <a:t>
65.1%</a:t>
                    </a:r>
                  </a:p>
                </c:rich>
              </c:tx>
              <c:dLblPos val="outEnd"/>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manualLayout>
                      <c:w val="0.22002823598485063"/>
                      <c:h val="0.23121615558186884"/>
                    </c:manualLayout>
                  </c15:layout>
                  <c15:showDataLabelsRange val="0"/>
                </c:ext>
                <c:ext xmlns:c16="http://schemas.microsoft.com/office/drawing/2014/chart" uri="{C3380CC4-5D6E-409C-BE32-E72D297353CC}">
                  <c16:uniqueId val="{00000001-2A44-449D-AE4D-A7162B8CF75B}"/>
                </c:ext>
              </c:extLst>
            </c:dLbl>
            <c:dLbl>
              <c:idx val="1"/>
              <c:tx>
                <c:rich>
                  <a:bodyPr/>
                  <a:lstStyle/>
                  <a:p>
                    <a:r>
                      <a:rPr lang="en-US" sz="900" b="0" i="0" u="none" strike="noStrike" baseline="0">
                        <a:effectLst/>
                      </a:rPr>
                      <a:t>Comhlíonadh critéir uile an táscaire</a:t>
                    </a:r>
                    <a:r>
                      <a:rPr lang="en-US" b="0" i="0" u="none" baseline="0"/>
                      <a:t>
34.9%</a:t>
                    </a:r>
                  </a:p>
                </c:rich>
              </c:tx>
              <c:dLblPos val="outEnd"/>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manualLayout>
                      <c:w val="0.18785389133201613"/>
                      <c:h val="0.17961373425318333"/>
                    </c:manualLayout>
                  </c15:layout>
                  <c15:showDataLabelsRange val="0"/>
                </c:ext>
                <c:ext xmlns:c16="http://schemas.microsoft.com/office/drawing/2014/chart" uri="{C3380CC4-5D6E-409C-BE32-E72D297353CC}">
                  <c16:uniqueId val="{00000003-2A44-449D-AE4D-A7162B8CF75B}"/>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rtl="0">
                  <a:defRPr sz="900" b="0" i="0" u="none" strike="noStrike" kern="1200" baseline="0">
                    <a:solidFill>
                      <a:schemeClr val="tx1"/>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ext>
            </c:extLst>
          </c:dLbls>
          <c:cat>
            <c:strRef>
              <c:f>'initial findings- adjusted'!$J$308:$J$309</c:f>
              <c:strCache>
                <c:ptCount val="2"/>
                <c:pt idx="0">
                  <c:v>Did not meet all the criteria of the indicator</c:v>
                </c:pt>
                <c:pt idx="1">
                  <c:v>met all criteria of the indicator</c:v>
                </c:pt>
              </c:strCache>
            </c:strRef>
          </c:cat>
          <c:val>
            <c:numRef>
              <c:f>'initial findings- adjusted'!$K$308:$K$309</c:f>
              <c:numCache>
                <c:formatCode>General</c:formatCode>
                <c:ptCount val="2"/>
                <c:pt idx="0">
                  <c:v>184</c:v>
                </c:pt>
                <c:pt idx="1">
                  <c:v>98</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4-2A44-449D-AE4D-A7162B8CF75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rtl="0">
              <a:defRPr sz="1400" b="1" i="0" u="none" strike="noStrike" kern="1200" spc="0" baseline="0">
                <a:solidFill>
                  <a:sysClr val="windowText" lastClr="000000"/>
                </a:solidFill>
                <a:latin typeface="+mn-lt"/>
                <a:ea typeface="+mn-ea"/>
                <a:cs typeface="+mn-cs"/>
              </a:defRPr>
            </a:pPr>
            <a:r>
              <a:rPr lang="ga" sz="1000" b="0" i="0" u="none" baseline="0">
                <a:solidFill>
                  <a:sysClr val="windowText" lastClr="000000"/>
                </a:solidFill>
                <a:latin typeface="Gill Sans MT" panose="020B0502020104020203" pitchFamily="34" charset="0"/>
                <a:ea typeface="Gill Sans MT" panose="020B0502020104020203" pitchFamily="34" charset="0"/>
                <a:cs typeface="Gill Sans MT" panose="020B0502020104020203" pitchFamily="34" charset="0"/>
              </a:rPr>
              <a:t>Cuireadh Oifigeach Rochtana Chun Cinn ar an Suíomh Gréasáin </a:t>
            </a:r>
          </a:p>
        </c:rich>
      </c:tx>
      <c:layout>
        <c:manualLayout>
          <c:xMode val="edge"/>
          <c:yMode val="edge"/>
          <c:x val="0.20617036506800285"/>
          <c:y val="2.9728911004768467E-2"/>
        </c:manualLayout>
      </c:layout>
      <c:overlay val="0"/>
      <c:spPr>
        <a:solidFill>
          <a:sysClr val="window" lastClr="FFFFFF"/>
        </a:solidFill>
        <a:ln>
          <a:noFill/>
        </a:ln>
        <a:effectLst/>
      </c:spPr>
      <c:txPr>
        <a:bodyPr rot="0" spcFirstLastPara="1" vertOverflow="ellipsis" vert="horz" wrap="square" anchor="ctr" anchorCtr="1"/>
        <a:lstStyle/>
        <a:p>
          <a:pPr rtl="0">
            <a:defRPr sz="14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8913116629652064"/>
          <c:y val="0.15313070322168279"/>
          <c:w val="0.46511407227942658"/>
          <c:h val="0.75189425156052381"/>
        </c:manualLayout>
      </c:layout>
      <c:pieChart>
        <c:varyColors val="1"/>
        <c:ser>
          <c:idx val="0"/>
          <c:order val="0"/>
          <c:dPt>
            <c:idx val="0"/>
            <c:bubble3D val="0"/>
            <c:spPr>
              <a:solidFill>
                <a:schemeClr val="accent1"/>
              </a:solidFill>
              <a:ln w="19050">
                <a:solidFill>
                  <a:schemeClr val="lt1"/>
                </a:solidFill>
              </a:ln>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86C0-4EF7-9E2A-AED7FF108EA4}"/>
              </c:ext>
            </c:extLst>
          </c:dPt>
          <c:dPt>
            <c:idx val="1"/>
            <c:bubble3D val="0"/>
            <c:spPr>
              <a:solidFill>
                <a:schemeClr val="accent2"/>
              </a:solidFill>
              <a:ln w="19050">
                <a:solidFill>
                  <a:schemeClr val="lt1"/>
                </a:solidFill>
              </a:ln>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86C0-4EF7-9E2A-AED7FF108EA4}"/>
              </c:ext>
            </c:extLst>
          </c:dPt>
          <c:dLbls>
            <c:dLbl>
              <c:idx val="0"/>
              <c:layout>
                <c:manualLayout>
                  <c:x val="8.9743741306017616E-2"/>
                  <c:y val="-0.12793914087339589"/>
                </c:manualLayout>
              </c:layout>
              <c:tx>
                <c:rich>
                  <a:bodyPr/>
                  <a:lstStyle/>
                  <a:p>
                    <a:r>
                      <a:rPr lang="en-US" sz="900" b="0" i="0" u="none" strike="noStrike" baseline="0">
                        <a:effectLst/>
                      </a:rPr>
                      <a:t>Cuireadh an tOifigeach Rochtana chun cinn</a:t>
                    </a:r>
                    <a:r>
                      <a:rPr lang="en-US" sz="900" b="0" i="0" u="none" baseline="0">
                        <a:solidFill>
                          <a:sysClr val="windowText" lastClr="000000"/>
                        </a:solidFill>
                        <a:latin typeface="Gill Sans MT" panose="020B0502020104020203" pitchFamily="34" charset="0"/>
                        <a:ea typeface="Gill Sans MT" panose="020B0502020104020203" pitchFamily="34" charset="0"/>
                        <a:cs typeface="Gill Sans MT" panose="020B0502020104020203" pitchFamily="34" charset="0"/>
                      </a:rPr>
                      <a:t>
68.3%</a:t>
                    </a:r>
                  </a:p>
                </c:rich>
              </c:tx>
              <c:dLblPos val="bestFit"/>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manualLayout>
                      <c:w val="0.14662827270558124"/>
                      <c:h val="0.33490898383464779"/>
                    </c:manualLayout>
                  </c15:layout>
                  <c15:showDataLabelsRange val="0"/>
                </c:ext>
                <c:ext xmlns:c16="http://schemas.microsoft.com/office/drawing/2014/chart" uri="{C3380CC4-5D6E-409C-BE32-E72D297353CC}">
                  <c16:uniqueId val="{00000001-86C0-4EF7-9E2A-AED7FF108EA4}"/>
                </c:ext>
              </c:extLst>
            </c:dLbl>
            <c:dLbl>
              <c:idx val="1"/>
              <c:layout>
                <c:manualLayout>
                  <c:x val="-7.7541051170256628E-2"/>
                  <c:y val="0.22167017258435917"/>
                </c:manualLayout>
              </c:layout>
              <c:tx>
                <c:rich>
                  <a:bodyPr/>
                  <a:lstStyle/>
                  <a:p>
                    <a:r>
                      <a:rPr lang="en-US" sz="900" b="0" i="0" u="none" strike="noStrike" baseline="0">
                        <a:effectLst/>
                      </a:rPr>
                      <a:t>Níor cuireadh an tOifigeach Rochtana chun cinn</a:t>
                    </a:r>
                    <a:r>
                      <a:rPr lang="en-US" sz="900" b="0" i="0" u="none" baseline="0">
                        <a:solidFill>
                          <a:schemeClr val="dk1"/>
                        </a:solidFill>
                        <a:latin typeface="Gill Sans MT" panose="020B0502020104020203" pitchFamily="34" charset="0"/>
                        <a:ea typeface="+mn-ea"/>
                        <a:cs typeface="+mn-cs"/>
                      </a:rPr>
                      <a:t>
31.7%</a:t>
                    </a:r>
                  </a:p>
                </c:rich>
              </c:tx>
              <c:dLblPos val="bestFit"/>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manualLayout>
                      <c:w val="0.17823457164008344"/>
                      <c:h val="0.2799061645791685"/>
                    </c:manualLayout>
                  </c15:layout>
                  <c15:showDataLabelsRange val="0"/>
                </c:ext>
                <c:ext xmlns:c16="http://schemas.microsoft.com/office/drawing/2014/chart" uri="{C3380CC4-5D6E-409C-BE32-E72D297353CC}">
                  <c16:uniqueId val="{00000003-86C0-4EF7-9E2A-AED7FF108EA4}"/>
                </c:ext>
              </c:extLst>
            </c:dLbl>
            <c:spPr>
              <a:solidFill>
                <a:sysClr val="window" lastClr="FFFFFF"/>
              </a:solidFill>
              <a:ln w="12700" cap="flat" cmpd="sng" algn="ctr">
                <a:solidFill>
                  <a:srgbClr val="000000"/>
                </a:solidFill>
                <a:prstDash val="solid"/>
                <a:miter lim="800000"/>
              </a:ln>
              <a:effectLst/>
            </c:spPr>
            <c:txPr>
              <a:bodyPr rot="0" spcFirstLastPara="1" vertOverflow="clip" horzOverflow="clip" vert="horz" wrap="square" lIns="36576" tIns="18288" rIns="36576" bIns="18288" anchor="ctr" anchorCtr="1">
                <a:spAutoFit/>
              </a:bodyPr>
              <a:lstStyle/>
              <a:p>
                <a:pPr rtl="0">
                  <a:defRPr sz="900" b="0" i="0" u="none" strike="noStrike" kern="1200" baseline="0">
                    <a:solidFill>
                      <a:schemeClr val="dk1"/>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ext>
            </c:extLst>
          </c:dLbls>
          <c:cat>
            <c:strRef>
              <c:f>'Final Monitoring Findings '!$A$290:$A$291</c:f>
              <c:strCache>
                <c:ptCount val="2"/>
                <c:pt idx="0">
                  <c:v>Access Officer promoted </c:v>
                </c:pt>
                <c:pt idx="1">
                  <c:v>Access Officer not promoted</c:v>
                </c:pt>
              </c:strCache>
            </c:strRef>
          </c:cat>
          <c:val>
            <c:numRef>
              <c:f>'Final Monitoring Findings '!$B$290:$B$291</c:f>
              <c:numCache>
                <c:formatCode>General</c:formatCode>
                <c:ptCount val="2"/>
                <c:pt idx="0">
                  <c:v>192</c:v>
                </c:pt>
                <c:pt idx="1">
                  <c:v>90</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4-86C0-4EF7-9E2A-AED7FF108EA4}"/>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rtl="0">
              <a:defRPr sz="1800" b="1" i="0" u="none" strike="noStrike" kern="1200" baseline="0">
                <a:solidFill>
                  <a:schemeClr val="dk1">
                    <a:lumMod val="65000"/>
                    <a:lumOff val="35000"/>
                  </a:schemeClr>
                </a:solidFill>
                <a:effectLst/>
                <a:latin typeface="+mn-lt"/>
                <a:ea typeface="+mn-ea"/>
                <a:cs typeface="+mn-cs"/>
              </a:defRPr>
            </a:pPr>
            <a:r>
              <a:rPr lang="ga" sz="1600" b="0" i="0" u="none" baseline="0">
                <a:solidFill>
                  <a:sysClr val="windowText" lastClr="000000"/>
                </a:solidFill>
                <a:latin typeface="Gill Sans MT" panose="020B0502020104020203" pitchFamily="34" charset="0"/>
                <a:ea typeface="Gill Sans MT" panose="020B0502020104020203" pitchFamily="34" charset="0"/>
                <a:cs typeface="Gill Sans MT" panose="020B0502020104020203" pitchFamily="34" charset="0"/>
              </a:rPr>
              <a:t>Cuireadh Oifigeach Rochtana Chun Cinn agus Tugadh Faisnéis Teagmhála </a:t>
            </a:r>
          </a:p>
        </c:rich>
      </c:tx>
      <c:layout>
        <c:manualLayout>
          <c:xMode val="edge"/>
          <c:yMode val="edge"/>
          <c:x val="0.15632415782737905"/>
          <c:y val="3.9421016817342273E-2"/>
        </c:manualLayout>
      </c:layout>
      <c:overlay val="0"/>
      <c:spPr>
        <a:noFill/>
        <a:ln>
          <a:noFill/>
        </a:ln>
        <a:effectLst/>
      </c:spPr>
      <c:txPr>
        <a:bodyPr rot="0" spcFirstLastPara="1" vertOverflow="ellipsis" vert="horz" wrap="square" anchor="ctr" anchorCtr="1"/>
        <a:lstStyle/>
        <a:p>
          <a:pPr rtl="0">
            <a:defRPr sz="1800" b="1"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a:noFill/>
              </a:ln>
              <a:effectLst>
                <a:outerShdw blurRad="317500" algn="ctr" rotWithShape="0">
                  <a:prstClr val="black">
                    <a:alpha val="25000"/>
                  </a:prstClr>
                </a:outerShdw>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E943-473F-BE00-21D87D8A3194}"/>
              </c:ext>
            </c:extLst>
          </c:dPt>
          <c:dPt>
            <c:idx val="1"/>
            <c:bubble3D val="0"/>
            <c:spPr>
              <a:solidFill>
                <a:schemeClr val="accent4"/>
              </a:solidFill>
              <a:ln>
                <a:noFill/>
              </a:ln>
              <a:effectLst>
                <a:outerShdw blurRad="317500" algn="ctr" rotWithShape="0">
                  <a:prstClr val="black">
                    <a:alpha val="25000"/>
                  </a:prstClr>
                </a:outerShdw>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E943-473F-BE00-21D87D8A3194}"/>
              </c:ext>
            </c:extLst>
          </c:dPt>
          <c:dLbls>
            <c:dLbl>
              <c:idx val="0"/>
              <c:layout>
                <c:manualLayout>
                  <c:x val="-0.36244877656421981"/>
                  <c:y val="0.16534444558066602"/>
                </c:manualLayout>
              </c:layout>
              <c:tx>
                <c:rich>
                  <a:bodyPr/>
                  <a:lstStyle/>
                  <a:p>
                    <a:r>
                      <a:rPr lang="en-US" sz="900" b="0" i="0" u="none" strike="noStrike" baseline="0">
                        <a:effectLst/>
                      </a:rPr>
                      <a:t>Oifigeach Rochtana nach ngabhann aon fhaisnéis teagmhála leis</a:t>
                    </a:r>
                    <a:r>
                      <a:rPr lang="en-US" b="0" i="0" u="none" baseline="0">
                        <a:solidFill>
                          <a:sysClr val="windowText" lastClr="000000"/>
                        </a:solidFill>
                        <a:latin typeface="Gill Sans MT" panose="020B0502020104020203" pitchFamily="34" charset="0"/>
                        <a:ea typeface="Gill Sans MT" panose="020B0502020104020203" pitchFamily="34" charset="0"/>
                        <a:cs typeface="Gill Sans MT" panose="020B0502020104020203" pitchFamily="34" charset="0"/>
                      </a:rPr>
                      <a:t>
0.5%</a:t>
                    </a:r>
                  </a:p>
                </c:rich>
              </c:tx>
              <c:dLblPos val="bestFit"/>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DataLabelsRange val="0"/>
                </c:ext>
                <c:ext xmlns:c16="http://schemas.microsoft.com/office/drawing/2014/chart" uri="{C3380CC4-5D6E-409C-BE32-E72D297353CC}">
                  <c16:uniqueId val="{00000001-E943-473F-BE00-21D87D8A3194}"/>
                </c:ext>
              </c:extLst>
            </c:dLbl>
            <c:dLbl>
              <c:idx val="1"/>
              <c:layout>
                <c:manualLayout>
                  <c:x val="0.3601193802387605"/>
                  <c:y val="-0.38654983174125168"/>
                </c:manualLayout>
              </c:layout>
              <c:tx>
                <c:rich>
                  <a:bodyPr rot="0" spcFirstLastPara="1" vertOverflow="clip" horzOverflow="clip" vert="horz" wrap="square" lIns="36576" tIns="18288" rIns="36576" bIns="18288" anchor="ctr" anchorCtr="1">
                    <a:spAutoFit/>
                  </a:bodyPr>
                  <a:lstStyle/>
                  <a:p>
                    <a:pPr rtl="0">
                      <a:defRPr sz="900" b="0" i="0" u="none" strike="noStrike" kern="1200" baseline="0">
                        <a:solidFill>
                          <a:schemeClr val="dk1">
                            <a:lumMod val="65000"/>
                            <a:lumOff val="35000"/>
                          </a:schemeClr>
                        </a:solidFill>
                        <a:effectLst/>
                        <a:latin typeface="Gill Sans MT" panose="020B0502020104020203" pitchFamily="34" charset="0"/>
                        <a:ea typeface="+mn-ea"/>
                        <a:cs typeface="+mn-cs"/>
                      </a:defRPr>
                    </a:pPr>
                    <a:r>
                      <a:rPr lang="en-US" sz="900" b="0" i="0" u="none" strike="noStrike" baseline="0">
                        <a:effectLst/>
                      </a:rPr>
                      <a:t>Oifigeach Rochtana lena ngabhann faisnéis teagmhála</a:t>
                    </a:r>
                    <a:r>
                      <a:rPr lang="en-US" b="0" i="0" u="none" baseline="0">
                        <a:latin typeface="Gill Sans MT" panose="020B0502020104020203" pitchFamily="34" charset="0"/>
                        <a:ea typeface="Gill Sans MT" panose="020B0502020104020203" pitchFamily="34" charset="0"/>
                        <a:cs typeface="Gill Sans MT" panose="020B0502020104020203" pitchFamily="34" charset="0"/>
                      </a:rPr>
                      <a:t>
99.5%</a:t>
                    </a:r>
                  </a:p>
                </c:rich>
              </c:tx>
              <c:spPr>
                <a:solidFill>
                  <a:schemeClr val="lt1"/>
                </a:solidFill>
                <a:ln w="12700" cap="flat" cmpd="sng" algn="ctr">
                  <a:solidFill>
                    <a:schemeClr val="dk1"/>
                  </a:solidFill>
                  <a:prstDash val="solid"/>
                  <a:miter lim="800000"/>
                </a:ln>
                <a:effectLst/>
              </c:spPr>
              <c:txPr>
                <a:bodyPr rot="0" spcFirstLastPara="1" vertOverflow="clip" horzOverflow="clip" vert="horz" wrap="square" lIns="36576" tIns="18288" rIns="36576" bIns="18288" anchor="ctr" anchorCtr="1">
                  <a:spAutoFit/>
                </a:bodyPr>
                <a:lstStyle/>
                <a:p>
                  <a:pPr rtl="0">
                    <a:defRPr sz="900" b="0" i="0" u="none" strike="noStrike" kern="1200" baseline="0">
                      <a:solidFill>
                        <a:schemeClr val="dk1">
                          <a:lumMod val="65000"/>
                          <a:lumOff val="35000"/>
                        </a:schemeClr>
                      </a:solidFill>
                      <a:effectLst/>
                      <a:latin typeface="Gill Sans MT" panose="020B0502020104020203" pitchFamily="34" charset="0"/>
                      <a:ea typeface="+mn-ea"/>
                      <a:cs typeface="+mn-cs"/>
                    </a:defRPr>
                  </a:pPr>
                  <a:endParaRPr lang="en-US"/>
                </a:p>
              </c:txPr>
              <c:dLblPos val="bestFit"/>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gd name="adj1" fmla="val -141020"/>
                        <a:gd name="adj2" fmla="val 72609"/>
                      </a:avLst>
                    </a:prstGeom>
                    <a:noFill/>
                    <a:ln>
                      <a:noFill/>
                    </a:ln>
                  </c15:spPr>
                  <c15:showDataLabelsRange val="0"/>
                </c:ext>
                <c:ext xmlns:c16="http://schemas.microsoft.com/office/drawing/2014/chart" uri="{C3380CC4-5D6E-409C-BE32-E72D297353CC}">
                  <c16:uniqueId val="{00000003-E943-473F-BE00-21D87D8A3194}"/>
                </c:ext>
              </c:extLst>
            </c:dLbl>
            <c:spPr>
              <a:solidFill>
                <a:sysClr val="window" lastClr="FFFFFF"/>
              </a:solidFill>
              <a:ln w="12700" cap="flat" cmpd="sng" algn="ctr">
                <a:solidFill>
                  <a:sysClr val="windowText" lastClr="000000"/>
                </a:solidFill>
                <a:prstDash val="solid"/>
                <a:miter lim="800000"/>
              </a:ln>
              <a:effectLst/>
            </c:spPr>
            <c:txPr>
              <a:bodyPr rot="0" spcFirstLastPara="1" vertOverflow="clip" horzOverflow="clip" vert="horz" wrap="square" lIns="36576" tIns="18288" rIns="36576" bIns="18288" anchor="ctr" anchorCtr="1">
                <a:spAutoFit/>
              </a:bodyPr>
              <a:lstStyle/>
              <a:p>
                <a:pPr rtl="0">
                  <a:defRPr sz="900" b="0" i="0" u="none" strike="noStrike" kern="1200" baseline="0">
                    <a:solidFill>
                      <a:schemeClr val="dk1">
                        <a:lumMod val="65000"/>
                        <a:lumOff val="35000"/>
                      </a:schemeClr>
                    </a:solidFill>
                    <a:effectLst/>
                    <a:latin typeface="Gill Sans MT" panose="020B0502020104020203" pitchFamily="34" charset="0"/>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ext>
            </c:extLst>
          </c:dLbls>
          <c:cat>
            <c:strRef>
              <c:f>'Final Monitoring Findings '!$A$293:$A$294</c:f>
              <c:strCache>
                <c:ptCount val="2"/>
                <c:pt idx="0">
                  <c:v>Access Officer without contact information</c:v>
                </c:pt>
                <c:pt idx="1">
                  <c:v>Access Officer with contact information</c:v>
                </c:pt>
              </c:strCache>
            </c:strRef>
          </c:cat>
          <c:val>
            <c:numRef>
              <c:f>'Final Monitoring Findings '!$B$293:$B$294</c:f>
              <c:numCache>
                <c:formatCode>General</c:formatCode>
                <c:ptCount val="2"/>
                <c:pt idx="0">
                  <c:v>1</c:v>
                </c:pt>
                <c:pt idx="1">
                  <c:v>191</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4-E943-473F-BE00-21D87D8A3194}"/>
            </c:ext>
          </c:extLst>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ysClr val="window" lastClr="FFFFFF"/>
    </a:solidFill>
    <a:ln w="9525" cap="flat" cmpd="sng" algn="ctr">
      <a:solidFill>
        <a:schemeClr val="dk1">
          <a:lumMod val="15000"/>
          <a:lumOff val="85000"/>
        </a:schemeClr>
      </a:solidFill>
      <a:round/>
    </a:ln>
    <a:effectLst/>
  </c:spPr>
  <c:txPr>
    <a:bodyPr/>
    <a:lstStyle/>
    <a:p>
      <a:pPr>
        <a:defRPr>
          <a:effectLst/>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rtl="0">
              <a:defRPr sz="1600" b="0" i="0" u="none" strike="noStrike" kern="1200" cap="none" spc="0" baseline="0">
                <a:ln w="0"/>
                <a:solidFill>
                  <a:schemeClr val="tx1"/>
                </a:solidFill>
                <a:effectLst/>
                <a:latin typeface="+mn-lt"/>
                <a:ea typeface="+mn-ea"/>
                <a:cs typeface="+mn-cs"/>
              </a:defRPr>
            </a:pPr>
            <a:r>
              <a:rPr lang="ga" b="0" i="0" u="none" cap="none" spc="0" baseline="0">
                <a:ln w="0"/>
                <a:solidFill>
                  <a:schemeClr val="tx1"/>
                </a:solidFill>
                <a:effectLst/>
                <a:latin typeface="Gill Sans MT" panose="020B0502020104020203" pitchFamily="34" charset="0"/>
                <a:ea typeface="Gill Sans MT" panose="020B0502020104020203" pitchFamily="34" charset="0"/>
                <a:cs typeface="Gill Sans MT" panose="020B0502020104020203" pitchFamily="34" charset="0"/>
              </a:rPr>
              <a:t>Éascaíodh Cumarsáid i Scríbhinn agus Cumarsáid ó Bhéal</a:t>
            </a:r>
          </a:p>
        </c:rich>
      </c:tx>
      <c:overlay val="0"/>
      <c:spPr>
        <a:noFill/>
        <a:ln>
          <a:noFill/>
        </a:ln>
        <a:effectLst/>
      </c:spPr>
      <c:txPr>
        <a:bodyPr rot="0" spcFirstLastPara="1" vertOverflow="ellipsis" vert="horz" wrap="square" anchor="ctr" anchorCtr="1"/>
        <a:lstStyle/>
        <a:p>
          <a:pPr rtl="0">
            <a:defRPr sz="1600" b="0" i="0" u="none" strike="noStrike" kern="1200" cap="none" spc="0" baseline="0">
              <a:ln w="0"/>
              <a:solidFill>
                <a:schemeClr val="tx1"/>
              </a:solidFill>
              <a:effectLst/>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solidFill>
                  <a:sysClr val="window" lastClr="FFFFFF"/>
                </a:solidFill>
              </a:ln>
              <a:effectLst>
                <a:outerShdw blurRad="63500" sx="102000" sy="102000" algn="ctr" rotWithShape="0">
                  <a:prstClr val="black">
                    <a:alpha val="20000"/>
                  </a:prstClr>
                </a:outerShdw>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A7E7-45C4-BA1D-C1D0C32450C6}"/>
              </c:ext>
            </c:extLst>
          </c:dPt>
          <c:dPt>
            <c:idx val="1"/>
            <c:bubble3D val="0"/>
            <c:spPr>
              <a:solidFill>
                <a:schemeClr val="accent2"/>
              </a:solidFill>
              <a:ln>
                <a:noFill/>
              </a:ln>
              <a:effectLst>
                <a:outerShdw blurRad="63500" sx="102000" sy="102000" algn="ctr" rotWithShape="0">
                  <a:prstClr val="black">
                    <a:alpha val="20000"/>
                  </a:prstClr>
                </a:outerShdw>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A7E7-45C4-BA1D-C1D0C32450C6}"/>
              </c:ext>
            </c:extLst>
          </c:dPt>
          <c:dLbls>
            <c:dLbl>
              <c:idx val="0"/>
              <c:layout>
                <c:manualLayout>
                  <c:x val="0.13611111111111102"/>
                  <c:y val="-8.3333333333333412E-2"/>
                </c:manualLayout>
              </c:layout>
              <c:tx>
                <c:rich>
                  <a:bodyPr rot="0" spcFirstLastPara="1" vertOverflow="clip" horzOverflow="clip" vert="horz" wrap="square" lIns="36576" tIns="18288" rIns="36576" bIns="18288" anchor="ctr" anchorCtr="1">
                    <a:spAutoFit/>
                  </a:bodyPr>
                  <a:lstStyle/>
                  <a:p>
                    <a:pPr rtl="0">
                      <a:defRPr sz="900" b="1" i="0" u="none" strike="noStrike" kern="1200" baseline="0">
                        <a:solidFill>
                          <a:schemeClr val="dk1"/>
                        </a:solidFill>
                        <a:latin typeface="Gill Sans MT" panose="020B0502020104020203" pitchFamily="34" charset="0"/>
                        <a:ea typeface="+mn-ea"/>
                        <a:cs typeface="+mn-cs"/>
                      </a:defRPr>
                    </a:pPr>
                    <a:r>
                      <a:rPr lang="en-US" sz="900" b="0" i="0" u="none" baseline="0">
                        <a:solidFill>
                          <a:sysClr val="windowText" lastClr="000000"/>
                        </a:solidFill>
                        <a:latin typeface="Gill Sans MT" panose="020B0502020104020203" pitchFamily="34" charset="0"/>
                        <a:ea typeface="+mn-ea"/>
                        <a:cs typeface="+mn-cs"/>
                      </a:rPr>
                      <a:t>Oifigeach Rochtana lena ngabhann cainéil chumarsáide i scríbhinn agus cainéil chumarsáide ó bhéal</a:t>
                    </a:r>
                  </a:p>
                  <a:p>
                    <a:pPr rtl="0">
                      <a:defRPr sz="900">
                        <a:solidFill>
                          <a:schemeClr val="dk1"/>
                        </a:solidFill>
                        <a:latin typeface="Gill Sans MT" panose="020B0502020104020203" pitchFamily="34" charset="0"/>
                      </a:defRPr>
                    </a:pPr>
                    <a:r>
                      <a:rPr lang="en-US" sz="900" b="0" i="0" u="none" baseline="0">
                        <a:solidFill>
                          <a:sysClr val="windowText" lastClr="000000"/>
                        </a:solidFill>
                        <a:latin typeface="Gill Sans MT" panose="020B0502020104020203" pitchFamily="34" charset="0"/>
                        <a:ea typeface="+mn-ea"/>
                        <a:cs typeface="+mn-cs"/>
                      </a:rPr>
                      <a:t>86.4%</a:t>
                    </a:r>
                    <a:endParaRPr lang="en-US" sz="900" b="0">
                      <a:solidFill>
                        <a:sysClr val="windowText" lastClr="000000"/>
                      </a:solidFill>
                      <a:latin typeface="Gill Sans MT" panose="020B0502020104020203" pitchFamily="34" charset="0"/>
                    </a:endParaRPr>
                  </a:p>
                </c:rich>
              </c:tx>
              <c:spPr>
                <a:solidFill>
                  <a:sysClr val="window" lastClr="FFFFFF"/>
                </a:solidFill>
                <a:ln w="12700" cap="flat" cmpd="sng" algn="ctr">
                  <a:solidFill>
                    <a:sysClr val="windowText" lastClr="000000"/>
                  </a:solidFill>
                  <a:prstDash val="solid"/>
                  <a:miter lim="800000"/>
                </a:ln>
                <a:effectLst/>
              </c:spPr>
              <c:txPr>
                <a:bodyPr rot="0" spcFirstLastPara="1" vertOverflow="clip" horzOverflow="clip" vert="horz" wrap="square" lIns="36576" tIns="18288" rIns="36576" bIns="18288" anchor="ctr" anchorCtr="1">
                  <a:spAutoFit/>
                </a:bodyPr>
                <a:lstStyle/>
                <a:p>
                  <a:pPr rtl="0">
                    <a:defRPr sz="900" b="1" i="0" u="none" strike="noStrike" kern="1200" baseline="0">
                      <a:solidFill>
                        <a:schemeClr val="dk1"/>
                      </a:solidFill>
                      <a:latin typeface="Gill Sans MT" panose="020B0502020104020203" pitchFamily="34" charset="0"/>
                      <a:ea typeface="+mn-ea"/>
                      <a:cs typeface="+mn-cs"/>
                    </a:defRPr>
                  </a:pPr>
                  <a:endParaRPr lang="en-US"/>
                </a:p>
              </c:txPr>
              <c:dLblPos val="bestFit"/>
              <c:showLegendKey val="0"/>
              <c:showVal val="0"/>
              <c:showCatName val="1"/>
              <c:showSerName val="0"/>
              <c:showPercent val="0"/>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15:showDataLabelsRange val="0"/>
                </c:ext>
                <c:ext xmlns:c16="http://schemas.microsoft.com/office/drawing/2014/chart" uri="{C3380CC4-5D6E-409C-BE32-E72D297353CC}">
                  <c16:uniqueId val="{00000001-A7E7-45C4-BA1D-C1D0C32450C6}"/>
                </c:ext>
              </c:extLst>
            </c:dLbl>
            <c:dLbl>
              <c:idx val="1"/>
              <c:layout>
                <c:manualLayout>
                  <c:x val="-0.18472222222222223"/>
                  <c:y val="0.1550925925925925"/>
                </c:manualLayout>
              </c:layout>
              <c:tx>
                <c:rich>
                  <a:bodyPr rot="0" spcFirstLastPara="1" vertOverflow="clip" horzOverflow="clip" vert="horz" wrap="square" lIns="36576" tIns="18288" rIns="36576" bIns="18288" anchor="ctr" anchorCtr="1">
                    <a:spAutoFit/>
                  </a:bodyPr>
                  <a:lstStyle/>
                  <a:p>
                    <a:pPr rtl="0">
                      <a:defRPr sz="900" b="1" i="0" u="none" strike="noStrike" kern="1200" baseline="0">
                        <a:solidFill>
                          <a:schemeClr val="accent1"/>
                        </a:solidFill>
                        <a:latin typeface="Gill Sans MT" panose="020B0502020104020203" pitchFamily="34" charset="0"/>
                        <a:ea typeface="+mn-ea"/>
                        <a:cs typeface="+mn-cs"/>
                      </a:defRPr>
                    </a:pPr>
                    <a:r>
                      <a:rPr lang="en-US" sz="900" b="0" i="0" u="none" strike="noStrike" baseline="0">
                        <a:solidFill>
                          <a:schemeClr val="tx1"/>
                        </a:solidFill>
                        <a:effectLst/>
                      </a:rPr>
                      <a:t>Oifigeach Rochtana nach ngabhann ach modh teagmhála amháin leis</a:t>
                    </a:r>
                    <a:endParaRPr lang="en-US" sz="900" b="0">
                      <a:solidFill>
                        <a:schemeClr val="tx1"/>
                      </a:solidFill>
                      <a:latin typeface="Gill Sans MT" panose="020B0502020104020203" pitchFamily="34" charset="0"/>
                    </a:endParaRPr>
                  </a:p>
                  <a:p>
                    <a:pPr rtl="0">
                      <a:defRPr sz="900">
                        <a:solidFill>
                          <a:schemeClr val="accent1"/>
                        </a:solidFill>
                        <a:latin typeface="Gill Sans MT" panose="020B0502020104020203" pitchFamily="34" charset="0"/>
                      </a:defRPr>
                    </a:pPr>
                    <a:r>
                      <a:rPr lang="en-US" sz="900" b="0" i="0" u="none" baseline="0">
                        <a:solidFill>
                          <a:sysClr val="windowText" lastClr="000000"/>
                        </a:solidFill>
                        <a:latin typeface="Gill Sans MT" panose="020B0502020104020203" pitchFamily="34" charset="0"/>
                        <a:ea typeface="Gill Sans MT" panose="020B0502020104020203" pitchFamily="34" charset="0"/>
                        <a:cs typeface="Gill Sans MT" panose="020B0502020104020203" pitchFamily="34" charset="0"/>
                      </a:rPr>
                      <a:t>13.6%</a:t>
                    </a:r>
                  </a:p>
                </c:rich>
              </c:tx>
              <c:spPr>
                <a:solidFill>
                  <a:sysClr val="window" lastClr="FFFFFF"/>
                </a:solidFill>
                <a:ln>
                  <a:solidFill>
                    <a:srgbClr val="000000"/>
                  </a:solidFill>
                </a:ln>
                <a:effectLst/>
              </c:spPr>
              <c:txPr>
                <a:bodyPr rot="0" spcFirstLastPara="1" vertOverflow="clip" horzOverflow="clip" vert="horz" wrap="square" lIns="36576" tIns="18288" rIns="36576" bIns="18288" anchor="ctr" anchorCtr="1">
                  <a:spAutoFit/>
                </a:bodyPr>
                <a:lstStyle/>
                <a:p>
                  <a:pPr rtl="0">
                    <a:defRPr sz="900" b="1" i="0" u="none" strike="noStrike" kern="1200" baseline="0">
                      <a:solidFill>
                        <a:schemeClr val="accent1"/>
                      </a:solidFill>
                      <a:latin typeface="Gill Sans MT" panose="020B0502020104020203" pitchFamily="34" charset="0"/>
                      <a:ea typeface="+mn-ea"/>
                      <a:cs typeface="+mn-cs"/>
                    </a:defRPr>
                  </a:pPr>
                  <a:endParaRPr lang="en-US"/>
                </a:p>
              </c:txPr>
              <c:dLblPos val="bestFit"/>
              <c:showLegendKey val="0"/>
              <c:showVal val="0"/>
              <c:showCatName val="1"/>
              <c:showSerName val="0"/>
              <c:showPercent val="0"/>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15:layout>
                    <c:manualLayout>
                      <c:w val="0.16952777777777778"/>
                      <c:h val="0.35564814814814805"/>
                    </c:manualLayout>
                  </c15:layout>
                  <c15:showDataLabelsRange val="0"/>
                </c:ext>
                <c:ext xmlns:c16="http://schemas.microsoft.com/office/drawing/2014/chart" uri="{C3380CC4-5D6E-409C-BE32-E72D297353CC}">
                  <c16:uniqueId val="{00000003-A7E7-45C4-BA1D-C1D0C32450C6}"/>
                </c:ext>
              </c:extLst>
            </c:dLbl>
            <c:spPr>
              <a:noFill/>
              <a:ln>
                <a:noFill/>
              </a:ln>
              <a:effectLst/>
            </c:spPr>
            <c:txPr>
              <a:bodyPr rot="0" spcFirstLastPara="1" vertOverflow="ellipsis" vert="horz" wrap="square" lIns="38100" tIns="19050" rIns="38100" bIns="19050" anchor="ctr" anchorCtr="1">
                <a:spAutoFit/>
              </a:bodyPr>
              <a:lstStyle/>
              <a:p>
                <a:pPr rtl="0">
                  <a:defRPr sz="1000" b="1" i="0" u="none" strike="noStrike" kern="1200" spc="0" baseline="0">
                    <a:solidFill>
                      <a:schemeClr val="accent1"/>
                    </a:solidFill>
                    <a:latin typeface="Gill Sans MT" panose="020B0502020104020203" pitchFamily="34" charset="0"/>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extLst>
          </c:dLbls>
          <c:cat>
            <c:strRef>
              <c:f>'Final Monitoring Findings '!$A$295:$A$296</c:f>
              <c:strCache>
                <c:ptCount val="2"/>
                <c:pt idx="0">
                  <c:v>Access Officer WITH contact info WITH W&amp;S comms</c:v>
                </c:pt>
                <c:pt idx="1">
                  <c:v>Access Officer with only one mode of contact </c:v>
                </c:pt>
              </c:strCache>
            </c:strRef>
          </c:cat>
          <c:val>
            <c:numRef>
              <c:f>'Final Monitoring Findings '!$B$295:$B$296</c:f>
              <c:numCache>
                <c:formatCode>General</c:formatCode>
                <c:ptCount val="2"/>
                <c:pt idx="0">
                  <c:v>165</c:v>
                </c:pt>
                <c:pt idx="1">
                  <c:v>26</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4-A7E7-45C4-BA1D-C1D0C32450C6}"/>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rtl="0">
              <a:defRPr sz="1600" b="1" i="0" u="none" strike="noStrike" kern="1200" cap="all" baseline="0">
                <a:solidFill>
                  <a:schemeClr val="tx1">
                    <a:lumMod val="65000"/>
                    <a:lumOff val="35000"/>
                  </a:schemeClr>
                </a:solidFill>
                <a:effectLst/>
                <a:latin typeface="+mn-lt"/>
                <a:ea typeface="+mn-ea"/>
                <a:cs typeface="+mn-cs"/>
              </a:defRPr>
            </a:pPr>
            <a:r>
              <a:rPr lang="ga" sz="1600" b="0" i="0" u="none" cap="none" spc="0" baseline="0">
                <a:ln w="0"/>
                <a:solidFill>
                  <a:schemeClr val="tx1"/>
                </a:solidFill>
                <a:effectLst/>
                <a:latin typeface="Gill Sans MT" panose="020B0502020104020203" pitchFamily="34" charset="0"/>
                <a:ea typeface="Gill Sans MT" panose="020B0502020104020203" pitchFamily="34" charset="0"/>
                <a:cs typeface="Gill Sans MT" panose="020B0502020104020203" pitchFamily="34" charset="0"/>
              </a:rPr>
              <a:t>Comhlachtaí poiblí a chomhlíon critéir uile an táscaire</a:t>
            </a:r>
            <a:endParaRPr lang="ga" sz="1400" b="0" cap="none" spc="0">
              <a:ln w="0"/>
              <a:solidFill>
                <a:schemeClr val="tx1"/>
              </a:solidFill>
              <a:effectLst/>
              <a:latin typeface="Gill Sans MT" panose="020B0502020104020203" pitchFamily="34" charset="0"/>
            </a:endParaRPr>
          </a:p>
        </c:rich>
      </c:tx>
      <c:overlay val="0"/>
      <c:spPr>
        <a:noFill/>
        <a:ln>
          <a:noFill/>
        </a:ln>
        <a:effectLst/>
      </c:spPr>
      <c:txPr>
        <a:bodyPr rot="0" spcFirstLastPara="1" vertOverflow="ellipsis" vert="horz" wrap="square" anchor="ctr" anchorCtr="1"/>
        <a:lstStyle/>
        <a:p>
          <a:pPr rtl="0">
            <a:defRPr sz="1600" b="1" i="0" u="none" strike="noStrike" kern="1200" cap="all" baseline="0">
              <a:solidFill>
                <a:schemeClr val="tx1">
                  <a:lumMod val="65000"/>
                  <a:lumOff val="35000"/>
                </a:schemeClr>
              </a:solidFill>
              <a:effectLst/>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solidFill>
                  <a:sysClr val="window" lastClr="FFFFFF"/>
                </a:solidFill>
              </a:ln>
              <a:effectLst>
                <a:outerShdw blurRad="63500" sx="102000" sy="102000" algn="ctr" rotWithShape="0">
                  <a:prstClr val="black">
                    <a:alpha val="20000"/>
                  </a:prstClr>
                </a:outerShdw>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F05B-409E-9CE1-507C787587CE}"/>
              </c:ext>
            </c:extLst>
          </c:dPt>
          <c:dPt>
            <c:idx val="1"/>
            <c:bubble3D val="0"/>
            <c:spPr>
              <a:solidFill>
                <a:schemeClr val="accent2"/>
              </a:solidFill>
              <a:ln>
                <a:noFill/>
              </a:ln>
              <a:effectLst>
                <a:outerShdw blurRad="63500" sx="102000" sy="102000" algn="ctr" rotWithShape="0">
                  <a:prstClr val="black">
                    <a:alpha val="20000"/>
                  </a:prstClr>
                </a:outerShdw>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F05B-409E-9CE1-507C787587CE}"/>
              </c:ext>
            </c:extLst>
          </c:dPt>
          <c:dLbls>
            <c:dLbl>
              <c:idx val="0"/>
              <c:layout>
                <c:manualLayout>
                  <c:x val="5.3647464201436214E-2"/>
                  <c:y val="-0.10939112487100101"/>
                </c:manualLayout>
              </c:layout>
              <c:tx>
                <c:rich>
                  <a:bodyPr rot="0" spcFirstLastPara="1" vertOverflow="clip" horzOverflow="clip" vert="horz" wrap="square" lIns="36576" tIns="18288" rIns="36576" bIns="18288" anchor="ctr" anchorCtr="1">
                    <a:spAutoFit/>
                  </a:bodyPr>
                  <a:lstStyle/>
                  <a:p>
                    <a:pPr rtl="0">
                      <a:defRPr sz="900" b="1" i="0" u="none" strike="noStrike" kern="1200" baseline="0">
                        <a:solidFill>
                          <a:schemeClr val="dk1"/>
                        </a:solidFill>
                        <a:latin typeface="Gill Sans MT" panose="020B0502020104020203" pitchFamily="34" charset="0"/>
                        <a:ea typeface="+mn-ea"/>
                        <a:cs typeface="+mn-cs"/>
                      </a:defRPr>
                    </a:pPr>
                    <a:r>
                      <a:rPr lang="en-US" sz="900" b="0" i="0" u="none" strike="noStrike" baseline="0">
                        <a:effectLst/>
                      </a:rPr>
                      <a:t>Comhlíonadh critéir uile an táscaire</a:t>
                    </a:r>
                    <a:r>
                      <a:rPr lang="en-US" sz="900" b="0" i="0" u="none" baseline="0">
                        <a:solidFill>
                          <a:schemeClr val="dk1"/>
                        </a:solidFill>
                        <a:latin typeface="Gill Sans MT" panose="020B0502020104020203" pitchFamily="34" charset="0"/>
                        <a:ea typeface="+mn-ea"/>
                        <a:cs typeface="+mn-cs"/>
                      </a:rPr>
                      <a:t>
58.7%</a:t>
                    </a:r>
                  </a:p>
                </c:rich>
              </c:tx>
              <c:spPr>
                <a:solidFill>
                  <a:sysClr val="window" lastClr="FFFFFF"/>
                </a:solidFill>
                <a:ln w="12700" cap="flat" cmpd="sng" algn="ctr">
                  <a:solidFill>
                    <a:sysClr val="windowText" lastClr="000000"/>
                  </a:solidFill>
                  <a:prstDash val="solid"/>
                  <a:miter lim="800000"/>
                </a:ln>
                <a:effectLst/>
              </c:spPr>
              <c:txPr>
                <a:bodyPr rot="0" spcFirstLastPara="1" vertOverflow="clip" horzOverflow="clip" vert="horz" wrap="square" lIns="36576" tIns="18288" rIns="36576" bIns="18288" anchor="ctr" anchorCtr="1">
                  <a:spAutoFit/>
                </a:bodyPr>
                <a:lstStyle/>
                <a:p>
                  <a:pPr rtl="0">
                    <a:defRPr sz="900" b="1" i="0" u="none" strike="noStrike" kern="1200" baseline="0">
                      <a:solidFill>
                        <a:schemeClr val="dk1"/>
                      </a:solidFill>
                      <a:latin typeface="Gill Sans MT" panose="020B0502020104020203" pitchFamily="34" charset="0"/>
                      <a:ea typeface="+mn-ea"/>
                      <a:cs typeface="+mn-cs"/>
                    </a:defRPr>
                  </a:pPr>
                  <a:endParaRPr lang="en-US"/>
                </a:p>
              </c:txPr>
              <c:dLblPos val="bestFit"/>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15:layout>
                    <c:manualLayout>
                      <c:w val="0.19611237447939289"/>
                      <c:h val="0.22598018900888164"/>
                    </c:manualLayout>
                  </c15:layout>
                  <c15:showDataLabelsRange val="0"/>
                </c:ext>
                <c:ext xmlns:c16="http://schemas.microsoft.com/office/drawing/2014/chart" uri="{C3380CC4-5D6E-409C-BE32-E72D297353CC}">
                  <c16:uniqueId val="{00000001-F05B-409E-9CE1-507C787587CE}"/>
                </c:ext>
              </c:extLst>
            </c:dLbl>
            <c:dLbl>
              <c:idx val="1"/>
              <c:layout>
                <c:manualLayout>
                  <c:x val="-7.0657500080362867E-2"/>
                  <c:y val="-0.11558307533539736"/>
                </c:manualLayout>
              </c:layout>
              <c:tx>
                <c:rich>
                  <a:bodyPr rot="0" spcFirstLastPara="1" vertOverflow="clip" horzOverflow="clip" vert="horz" wrap="square" lIns="36576" tIns="18288" rIns="36576" bIns="18288" anchor="ctr" anchorCtr="1">
                    <a:spAutoFit/>
                  </a:bodyPr>
                  <a:lstStyle/>
                  <a:p>
                    <a:pPr rtl="0">
                      <a:defRPr sz="900" b="1" i="0" u="none" strike="noStrike" kern="1200" baseline="0">
                        <a:solidFill>
                          <a:schemeClr val="dk1"/>
                        </a:solidFill>
                        <a:latin typeface="Gill Sans MT" panose="020B0502020104020203" pitchFamily="34" charset="0"/>
                        <a:ea typeface="+mn-ea"/>
                        <a:cs typeface="+mn-cs"/>
                      </a:defRPr>
                    </a:pPr>
                    <a:r>
                      <a:rPr lang="en-US" sz="900" b="0" i="0" u="none" strike="noStrike" baseline="0">
                        <a:effectLst/>
                      </a:rPr>
                      <a:t>Níor comhlíonadh critéir uile an táscaire</a:t>
                    </a:r>
                    <a:r>
                      <a:rPr lang="en-US" sz="900" b="0" i="0" u="none" baseline="0">
                        <a:latin typeface="Gill Sans MT" panose="020B0502020104020203" pitchFamily="34" charset="0"/>
                        <a:ea typeface="Gill Sans MT" panose="020B0502020104020203" pitchFamily="34" charset="0"/>
                        <a:cs typeface="Gill Sans MT" panose="020B0502020104020203" pitchFamily="34" charset="0"/>
                      </a:rPr>
                      <a:t>
41.3%</a:t>
                    </a:r>
                  </a:p>
                </c:rich>
              </c:tx>
              <c:spPr>
                <a:solidFill>
                  <a:sysClr val="window" lastClr="FFFFFF"/>
                </a:solidFill>
                <a:ln w="12700" cap="flat" cmpd="sng" algn="ctr">
                  <a:solidFill>
                    <a:srgbClr val="000000"/>
                  </a:solidFill>
                  <a:prstDash val="solid"/>
                  <a:miter lim="800000"/>
                </a:ln>
                <a:effectLst/>
              </c:spPr>
              <c:txPr>
                <a:bodyPr rot="0" spcFirstLastPara="1" vertOverflow="clip" horzOverflow="clip" vert="horz" wrap="square" lIns="36576" tIns="18288" rIns="36576" bIns="18288" anchor="ctr" anchorCtr="1">
                  <a:spAutoFit/>
                </a:bodyPr>
                <a:lstStyle/>
                <a:p>
                  <a:pPr rtl="0">
                    <a:defRPr sz="900" b="1" i="0" u="none" strike="noStrike" kern="1200" baseline="0">
                      <a:solidFill>
                        <a:schemeClr val="dk1"/>
                      </a:solidFill>
                      <a:latin typeface="Gill Sans MT" panose="020B0502020104020203" pitchFamily="34" charset="0"/>
                      <a:ea typeface="+mn-ea"/>
                      <a:cs typeface="+mn-cs"/>
                    </a:defRPr>
                  </a:pPr>
                  <a:endParaRPr lang="en-US"/>
                </a:p>
              </c:txPr>
              <c:dLblPos val="bestFit"/>
              <c:showLegendKey val="0"/>
              <c:showVal val="0"/>
              <c:showCatName val="1"/>
              <c:showSerName val="0"/>
              <c:showPercent val="1"/>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15:showDataLabelsRange val="0"/>
                </c:ext>
                <c:ext xmlns:c16="http://schemas.microsoft.com/office/drawing/2014/chart" uri="{C3380CC4-5D6E-409C-BE32-E72D297353CC}">
                  <c16:uniqueId val="{00000003-F05B-409E-9CE1-507C787587CE}"/>
                </c:ext>
              </c:extLst>
            </c:dLbl>
            <c:spPr>
              <a:solidFill>
                <a:sysClr val="window" lastClr="FFFFFF"/>
              </a:solidFill>
              <a:ln w="12700" cap="flat" cmpd="sng" algn="ctr">
                <a:solidFill>
                  <a:srgbClr val="000000"/>
                </a:solidFill>
                <a:prstDash val="solid"/>
                <a:miter lim="800000"/>
              </a:ln>
              <a:effectLst/>
            </c:spPr>
            <c:txPr>
              <a:bodyPr rot="0" spcFirstLastPara="1" vertOverflow="clip" horzOverflow="clip" vert="horz" wrap="square" lIns="36576" tIns="18288" rIns="36576" bIns="18288" anchor="ctr" anchorCtr="1">
                <a:spAutoFit/>
              </a:bodyPr>
              <a:lstStyle/>
              <a:p>
                <a:pPr rtl="0">
                  <a:defRPr sz="900" b="1" i="0" u="none" strike="noStrike" kern="1200" baseline="0">
                    <a:solidFill>
                      <a:schemeClr val="dk1"/>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pPr xmlns:c15="http://schemas.microsoft.com/office/drawing/2012/chart">
                  <a:prstGeom prst="wedgeRectCallout">
                    <a:avLst/>
                  </a:prstGeom>
                  <a:noFill/>
                  <a:ln>
                    <a:noFill/>
                  </a:ln>
                </c15:spPr>
              </c:ext>
            </c:extLst>
          </c:dLbls>
          <c:cat>
            <c:strRef>
              <c:f>'Final Monitoring Findings '!$J$308:$J$309</c:f>
              <c:strCache>
                <c:ptCount val="2"/>
                <c:pt idx="0">
                  <c:v> Met the criteria of the indicator</c:v>
                </c:pt>
                <c:pt idx="1">
                  <c:v>Did not meet the criteria of the indicator</c:v>
                </c:pt>
              </c:strCache>
            </c:strRef>
          </c:cat>
          <c:val>
            <c:numRef>
              <c:f>'Final Monitoring Findings '!$K$308:$K$309</c:f>
              <c:numCache>
                <c:formatCode>General</c:formatCode>
                <c:ptCount val="2"/>
                <c:pt idx="0">
                  <c:v>165</c:v>
                </c:pt>
                <c:pt idx="1">
                  <c:v>117</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4-F05B-409E-9CE1-507C787587CE}"/>
            </c:ext>
          </c:extLst>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Word]Sheet1'!$B$1</c:f>
              <c:strCache>
                <c:ptCount val="1"/>
                <c:pt idx="0">
                  <c:v>Initial Findings</c:v>
                </c:pt>
              </c:strCache>
            </c:strRef>
          </c:tx>
          <c:spPr>
            <a:solidFill>
              <a:schemeClr val="accent1"/>
            </a:solidFill>
            <a:ln>
              <a:noFill/>
            </a:ln>
            <a:effectLst/>
          </c:spPr>
          <c:invertIfNegative val="0"/>
          <c:dLbls>
            <c:dLbl>
              <c:idx val="0"/>
              <c:tx>
                <c:rich>
                  <a:bodyPr/>
                  <a:lstStyle/>
                  <a:p>
                    <a:r>
                      <a:rPr lang="en-US" b="0" i="0" u="none" baseline="0"/>
                      <a:t>47.7%</a:t>
                    </a:r>
                  </a:p>
                </c:rich>
              </c:tx>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DataLabelsRange val="0"/>
                </c:ext>
                <c:ext xmlns:c16="http://schemas.microsoft.com/office/drawing/2014/chart" uri="{C3380CC4-5D6E-409C-BE32-E72D297353CC}">
                  <c16:uniqueId val="{00000000-D3CD-47AF-B65E-70362057A89C}"/>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'[Chart in Microsoft Word]Sheet1'!$B$3</c:f>
              <c:numCache>
                <c:formatCode>0.0%</c:formatCode>
                <c:ptCount val="1"/>
                <c:pt idx="0">
                  <c:v>0.47517730496453903</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0-9DAD-4A98-9237-F47F63203E81}"/>
            </c:ext>
          </c:extLst>
        </c:ser>
        <c:ser>
          <c:idx val="1"/>
          <c:order val="1"/>
          <c:tx>
            <c:strRef>
              <c:f>'[Chart in Microsoft Word]Sheet1'!$C$1</c:f>
              <c:strCache>
                <c:ptCount val="1"/>
                <c:pt idx="0">
                  <c:v>Final Findings</c:v>
                </c:pt>
              </c:strCache>
            </c:strRef>
          </c:tx>
          <c:spPr>
            <a:solidFill>
              <a:schemeClr val="accent2"/>
            </a:solidFill>
            <a:ln>
              <a:noFill/>
            </a:ln>
            <a:effectLst/>
          </c:spPr>
          <c:invertIfNegative val="0"/>
          <c:dLbls>
            <c:dLbl>
              <c:idx val="0"/>
              <c:tx>
                <c:rich>
                  <a:bodyPr/>
                  <a:lstStyle/>
                  <a:p>
                    <a:r>
                      <a:rPr lang="en-US" b="0" i="0" u="none" baseline="0"/>
                      <a:t>68.3%</a:t>
                    </a:r>
                  </a:p>
                </c:rich>
              </c:tx>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DataLabelsRange val="0"/>
                </c:ext>
                <c:ext xmlns:c16="http://schemas.microsoft.com/office/drawing/2014/chart" uri="{C3380CC4-5D6E-409C-BE32-E72D297353CC}">
                  <c16:uniqueId val="{00000000-1080-481E-9C7C-1CF0938DD53D}"/>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'[Chart in Microsoft Word]Sheet1'!$C$3</c:f>
              <c:numCache>
                <c:formatCode>0.0%</c:formatCode>
                <c:ptCount val="1"/>
                <c:pt idx="0">
                  <c:v>0.68085106382978722</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9DAD-4A98-9237-F47F63203E81}"/>
            </c:ext>
          </c:extLst>
        </c:ser>
        <c:dLbls>
          <c:showLegendKey val="0"/>
          <c:showVal val="0"/>
          <c:showCatName val="0"/>
          <c:showSerName val="0"/>
          <c:showPercent val="0"/>
          <c:showBubbleSize val="0"/>
        </c:dLbls>
        <c:gapWidth val="219"/>
        <c:overlap val="-27"/>
        <c:axId val="475994312"/>
        <c:axId val="475992672"/>
      </c:barChart>
      <c:catAx>
        <c:axId val="475994312"/>
        <c:scaling>
          <c:orientation val="minMax"/>
        </c:scaling>
        <c:delete val="1"/>
        <c:axPos val="b"/>
        <c:majorTickMark val="none"/>
        <c:minorTickMark val="none"/>
        <c:tickLblPos val="nextTo"/>
        <c:crossAx val="475992672"/>
        <c:crosses val="autoZero"/>
        <c:auto val="1"/>
        <c:lblAlgn val="ctr"/>
        <c:lblOffset val="100"/>
        <c:noMultiLvlLbl val="0"/>
      </c:catAx>
      <c:valAx>
        <c:axId val="4759926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475994312"/>
        <c:crosses val="autoZero"/>
        <c:crossBetween val="between"/>
      </c:valAx>
      <c:spPr>
        <a:noFill/>
        <a:ln>
          <a:noFill/>
        </a:ln>
        <a:effectLst/>
      </c:spPr>
    </c:plotArea>
    <c:plotVisOnly val="1"/>
    <c:dispBlanksAs val="gap"/>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001698935929596E-2"/>
          <c:y val="4.9052396878483832E-2"/>
          <c:w val="0.87424613005538632"/>
          <c:h val="0.80229355945891379"/>
        </c:manualLayout>
      </c:layout>
      <c:barChart>
        <c:barDir val="col"/>
        <c:grouping val="clustered"/>
        <c:varyColors val="0"/>
        <c:ser>
          <c:idx val="3"/>
          <c:order val="3"/>
          <c:tx>
            <c:v>Initial Findings</c:v>
          </c:tx>
          <c:spPr>
            <a:solidFill>
              <a:schemeClr val="accent4"/>
            </a:solidFill>
            <a:ln>
              <a:noFill/>
            </a:ln>
            <a:effectLst/>
          </c:spPr>
          <c:invertIfNegative val="0"/>
          <c:dLbls>
            <c:dLbl>
              <c:idx val="0"/>
              <c:tx>
                <c:rich>
                  <a:bodyPr/>
                  <a:lstStyle/>
                  <a:p>
                    <a:r>
                      <a:rPr lang="en-US" b="0" i="0" u="none" baseline="0"/>
                      <a:t>34.9%</a:t>
                    </a:r>
                  </a:p>
                </c:rich>
              </c:tx>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DataLabelsRange val="0"/>
                </c:ext>
                <c:ext xmlns:c16="http://schemas.microsoft.com/office/drawing/2014/chart" uri="{C3380CC4-5D6E-409C-BE32-E72D297353CC}">
                  <c16:uniqueId val="{00000001-EEDE-447E-B67B-8BD5CF147595}"/>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Met all Criteria</c:v>
              </c:pt>
            </c:strLit>
          </c:cat>
          <c:val>
            <c:numRef>
              <c:f>'[Chart in Microsoft Word]Sheet1'!$B$3</c:f>
              <c:numCache>
                <c:formatCode>0.0%</c:formatCode>
                <c:ptCount val="1"/>
                <c:pt idx="0">
                  <c:v>0.3475177304964539</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0-BB07-48E3-8E90-7ED48649DFC8}"/>
            </c:ext>
          </c:extLst>
        </c:ser>
        <c:ser>
          <c:idx val="4"/>
          <c:order val="4"/>
          <c:tx>
            <c:v>Final Findings</c:v>
          </c:tx>
          <c:spPr>
            <a:solidFill>
              <a:schemeClr val="accent5"/>
            </a:solidFill>
            <a:ln>
              <a:noFill/>
            </a:ln>
            <a:effectLst/>
          </c:spPr>
          <c:invertIfNegative val="0"/>
          <c:dLbls>
            <c:dLbl>
              <c:idx val="0"/>
              <c:tx>
                <c:rich>
                  <a:bodyPr/>
                  <a:lstStyle/>
                  <a:p>
                    <a:r>
                      <a:rPr lang="en-US" b="0" i="0" u="none" baseline="0"/>
                      <a:t>58.7%</a:t>
                    </a:r>
                  </a:p>
                </c:rich>
              </c:tx>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DataLabelsRange val="0"/>
                </c:ext>
                <c:ext xmlns:c16="http://schemas.microsoft.com/office/drawing/2014/chart" uri="{C3380CC4-5D6E-409C-BE32-E72D297353CC}">
                  <c16:uniqueId val="{00000000-EEDE-447E-B67B-8BD5CF147595}"/>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Met all Criteria</c:v>
              </c:pt>
            </c:strLit>
          </c:cat>
          <c:val>
            <c:numRef>
              <c:f>'[Chart in Microsoft Word]Sheet1'!$C$3</c:f>
              <c:numCache>
                <c:formatCode>0.0%</c:formatCode>
                <c:ptCount val="1"/>
                <c:pt idx="0">
                  <c:v>0.58510638297872342</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BB07-48E3-8E90-7ED48649DFC8}"/>
            </c:ext>
          </c:extLst>
        </c:ser>
        <c:dLbls>
          <c:showLegendKey val="0"/>
          <c:showVal val="0"/>
          <c:showCatName val="0"/>
          <c:showSerName val="0"/>
          <c:showPercent val="0"/>
          <c:showBubbleSize val="0"/>
        </c:dLbls>
        <c:gapWidth val="219"/>
        <c:overlap val="-27"/>
        <c:axId val="471417024"/>
        <c:axId val="471418664"/>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02D57815-91ED-43cb-92C2-25804820EDAC}">
            <c15:filteredBarSeries>
              <c15:ser>
                <c:idx val="0"/>
                <c:order val="0"/>
                <c:spPr>
                  <a:solidFill>
                    <a:schemeClr val="accent1"/>
                  </a:solidFill>
                  <a:ln>
                    <a:noFill/>
                  </a:ln>
                  <a:effectLst/>
                </c:spPr>
                <c:invertIfNegative val="0"/>
                <c:cat>
                  <c:strLit>
                    <c:ptCount val="1"/>
                    <c:pt idx="0">
                      <c:v>Met all Criteria</c:v>
                    </c:pt>
                  </c:strLit>
                </c:cat>
                <c:val>
                  <c:numRef>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uri="{02D57815-91ED-43cb-92C2-25804820EDAC}">
                        <c15:formulaRef>
                          <c15:sqref>'[Chart in Microsoft Word]Sheet1'!$B$1</c15:sqref>
                        </c15:formulaRef>
                      </c:ext>
                    </c:extLst>
                    <c:numCache>
                      <c:formatCode>General</c:formatCode>
                      <c:ptCount val="1"/>
                      <c:pt idx="0">
                        <c:v>0</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2-BB07-48E3-8E90-7ED48649DFC8}"/>
                  </c:ext>
                </c:extLst>
              </c15:ser>
            </c15:filteredBarSeries>
            <c15:filteredBarSeries>
              <c15:ser>
                <c:idx val="1"/>
                <c:order val="1"/>
                <c:spPr>
                  <a:solidFill>
                    <a:schemeClr val="accent2"/>
                  </a:solidFill>
                  <a:ln>
                    <a:noFill/>
                  </a:ln>
                  <a:effectLst/>
                </c:spPr>
                <c:invertIfNegative val="0"/>
                <c:cat>
                  <c:strLit>
                    <c:ptCount val="1"/>
                    <c:pt idx="0">
                      <c:v>Met all Criteria</c:v>
                    </c:pt>
                  </c:strLit>
                </c:cat>
                <c:val>
                  <c:numRef>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c15="http://schemas.microsoft.com/office/drawing/2012/chart">
                      <c:ext xmlns:c15="http://schemas.microsoft.com/office/drawing/2012/chart" uri="{02D57815-91ED-43cb-92C2-25804820EDAC}">
                        <c15:formulaRef>
                          <c15:sqref>'[Chart in Microsoft Word]Sheet1'!$C$1</c15:sqref>
                        </c15:formulaRef>
                      </c:ext>
                    </c:extLst>
                    <c:numCache>
                      <c:formatCode>General</c:formatCode>
                      <c:ptCount val="1"/>
                      <c:pt idx="0">
                        <c:v>0</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c15="http://schemas.microsoft.com/office/drawing/2012/chart">
                  <c:ext xmlns:c16="http://schemas.microsoft.com/office/drawing/2014/chart" uri="{C3380CC4-5D6E-409C-BE32-E72D297353CC}">
                    <c16:uniqueId val="{00000003-BB07-48E3-8E90-7ED48649DFC8}"/>
                  </c:ext>
                </c:extLst>
              </c15:ser>
            </c15:filteredBarSeries>
            <c15:filteredBarSeries>
              <c15:ser>
                <c:idx val="2"/>
                <c:order val="2"/>
                <c:spPr>
                  <a:solidFill>
                    <a:schemeClr val="accent3"/>
                  </a:solidFill>
                  <a:ln>
                    <a:noFill/>
                  </a:ln>
                  <a:effectLst/>
                </c:spPr>
                <c:invertIfNegative val="0"/>
                <c:cat>
                  <c:strLit>
                    <c:ptCount val="1"/>
                    <c:pt idx="0">
                      <c:v>Met all Criteria</c:v>
                    </c:pt>
                  </c:strLit>
                </c:cat>
                <c:val>
                  <c:numRef>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c15="http://schemas.microsoft.com/office/drawing/2012/chart">
                      <c:ext xmlns:c15="http://schemas.microsoft.com/office/drawing/2012/chart" uri="{02D57815-91ED-43cb-92C2-25804820EDAC}">
                        <c15:formulaRef>
                          <c15:sqref>'[Chart in Microsoft Word]Sheet1'!$A$2</c15:sqref>
                        </c15:formulaRef>
                      </c:ext>
                    </c:extLst>
                    <c:numCache>
                      <c:formatCode>General</c:formatCode>
                      <c:ptCount val="1"/>
                      <c:pt idx="0">
                        <c:v>0</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c15="http://schemas.microsoft.com/office/drawing/2012/chart">
                  <c:ext xmlns:c16="http://schemas.microsoft.com/office/drawing/2014/chart" uri="{C3380CC4-5D6E-409C-BE32-E72D297353CC}">
                    <c16:uniqueId val="{00000004-BB07-48E3-8E90-7ED48649DFC8}"/>
                  </c:ext>
                </c:extLst>
              </c15:ser>
            </c15:filteredBarSeries>
          </c:ext>
        </c:extLst>
      </c:barChart>
      <c:catAx>
        <c:axId val="471417024"/>
        <c:scaling>
          <c:orientation val="minMax"/>
        </c:scaling>
        <c:delete val="1"/>
        <c:axPos val="b"/>
        <c:numFmt formatCode="General" sourceLinked="1"/>
        <c:majorTickMark val="none"/>
        <c:minorTickMark val="none"/>
        <c:tickLblPos val="nextTo"/>
        <c:crossAx val="471418664"/>
        <c:crosses val="autoZero"/>
        <c:auto val="1"/>
        <c:lblAlgn val="ctr"/>
        <c:lblOffset val="100"/>
        <c:noMultiLvlLbl val="0"/>
      </c:catAx>
      <c:valAx>
        <c:axId val="4714186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471417024"/>
        <c:crosses val="autoZero"/>
        <c:crossBetween val="between"/>
      </c:valAx>
      <c:spPr>
        <a:noFill/>
        <a:ln>
          <a:noFill/>
        </a:ln>
        <a:effectLst/>
      </c:spPr>
    </c:plotArea>
    <c:plotVisOnly val="1"/>
    <c:dispBlanksAs val="gap"/>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E53786"/>
      </a:accent1>
      <a:accent2>
        <a:srgbClr val="000000"/>
      </a:accent2>
      <a:accent3>
        <a:srgbClr val="000000"/>
      </a:accent3>
      <a:accent4>
        <a:srgbClr val="E31DA1"/>
      </a:accent4>
      <a:accent5>
        <a:srgbClr val="000000"/>
      </a:accent5>
      <a:accent6>
        <a:srgbClr val="E31DA1"/>
      </a:accent6>
      <a:hlink>
        <a:srgbClr val="000000"/>
      </a:hlink>
      <a:folHlink>
        <a:srgbClr val="E31D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E31DA1"/>
    </a:accent1>
    <a:accent2>
      <a:srgbClr val="000000"/>
    </a:accent2>
    <a:accent3>
      <a:srgbClr val="000000"/>
    </a:accent3>
    <a:accent4>
      <a:srgbClr val="E31DA1"/>
    </a:accent4>
    <a:accent5>
      <a:srgbClr val="000000"/>
    </a:accent5>
    <a:accent6>
      <a:srgbClr val="E31DA1"/>
    </a:accent6>
    <a:hlink>
      <a:srgbClr val="000000"/>
    </a:hlink>
    <a:folHlink>
      <a:srgbClr val="E31D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E31DA1"/>
    </a:accent1>
    <a:accent2>
      <a:srgbClr val="000000"/>
    </a:accent2>
    <a:accent3>
      <a:srgbClr val="000000"/>
    </a:accent3>
    <a:accent4>
      <a:srgbClr val="E31DA1"/>
    </a:accent4>
    <a:accent5>
      <a:srgbClr val="000000"/>
    </a:accent5>
    <a:accent6>
      <a:srgbClr val="E31DA1"/>
    </a:accent6>
    <a:hlink>
      <a:srgbClr val="000000"/>
    </a:hlink>
    <a:folHlink>
      <a:srgbClr val="E31D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E31DA1"/>
    </a:accent1>
    <a:accent2>
      <a:srgbClr val="000000"/>
    </a:accent2>
    <a:accent3>
      <a:srgbClr val="000000"/>
    </a:accent3>
    <a:accent4>
      <a:srgbClr val="E31DA1"/>
    </a:accent4>
    <a:accent5>
      <a:srgbClr val="000000"/>
    </a:accent5>
    <a:accent6>
      <a:srgbClr val="E31DA1"/>
    </a:accent6>
    <a:hlink>
      <a:srgbClr val="000000"/>
    </a:hlink>
    <a:folHlink>
      <a:srgbClr val="E31D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E31DA1"/>
    </a:accent1>
    <a:accent2>
      <a:srgbClr val="000000"/>
    </a:accent2>
    <a:accent3>
      <a:srgbClr val="000000"/>
    </a:accent3>
    <a:accent4>
      <a:srgbClr val="E31DA1"/>
    </a:accent4>
    <a:accent5>
      <a:srgbClr val="000000"/>
    </a:accent5>
    <a:accent6>
      <a:srgbClr val="E31DA1"/>
    </a:accent6>
    <a:hlink>
      <a:srgbClr val="000000"/>
    </a:hlink>
    <a:folHlink>
      <a:srgbClr val="E31DA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E9B2-D49E-4CA1-AA31-5FC29482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27</Pages>
  <Words>6861</Words>
  <Characters>38933</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45703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 Oldenburg</dc:creator>
  <cp:keywords/>
  <dc:description/>
  <cp:lastModifiedBy>Naomi Oldenburg (NDA)</cp:lastModifiedBy>
  <cp:revision>2</cp:revision>
  <dcterms:created xsi:type="dcterms:W3CDTF">2023-11-09T08:55:00Z</dcterms:created>
  <dcterms:modified xsi:type="dcterms:W3CDTF">2023-11-09T08:55:00Z</dcterms:modified>
</cp:coreProperties>
</file>