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F0ACB" w14:textId="3BB53EA8" w:rsidR="009C1B4D" w:rsidRDefault="00B675BA" w:rsidP="009C1B4D">
      <w:pPr>
        <w:pStyle w:val="Title"/>
        <w:spacing w:before="960" w:after="960"/>
        <w:jc w:val="left"/>
      </w:pPr>
      <w:bookmarkStart w:id="0" w:name="_Toc99615528"/>
      <w:bookmarkStart w:id="1" w:name="_Toc107232385"/>
      <w:bookmarkStart w:id="2" w:name="_GoBack"/>
      <w:bookmarkEnd w:id="2"/>
      <w:r>
        <w:t>NDA A</w:t>
      </w:r>
      <w:r w:rsidR="00C807DC">
        <w:t>dvice paper on Disability L</w:t>
      </w:r>
      <w:r w:rsidR="006F7FEE">
        <w:t>anguage</w:t>
      </w:r>
      <w:r w:rsidR="00C807DC">
        <w:t xml:space="preserve"> and Terminology</w:t>
      </w:r>
      <w:bookmarkEnd w:id="0"/>
      <w:bookmarkEnd w:id="1"/>
    </w:p>
    <w:p w14:paraId="3A92D18E" w14:textId="77777777" w:rsidR="009C1B4D" w:rsidRDefault="009C1B4D" w:rsidP="009C1B4D"/>
    <w:p w14:paraId="650CE050" w14:textId="382515D2" w:rsidR="009C1B4D" w:rsidRPr="009C1B4D" w:rsidRDefault="008B4E48" w:rsidP="009C1B4D">
      <w:pPr>
        <w:spacing w:after="2400"/>
      </w:pPr>
      <w:r>
        <w:t>June</w:t>
      </w:r>
      <w:r w:rsidR="009C1B4D">
        <w:t xml:space="preserve"> 2022</w:t>
      </w:r>
    </w:p>
    <w:p w14:paraId="690EB0DC" w14:textId="49BDCBCA" w:rsidR="009C1B4D" w:rsidRPr="009C1B4D" w:rsidRDefault="009C1B4D" w:rsidP="009C1B4D">
      <w:bookmarkStart w:id="3" w:name="_Hlk97370546"/>
      <w:bookmarkEnd w:id="3"/>
      <w:r>
        <w:rPr>
          <w:rFonts w:eastAsia="Gill Sans MT" w:cs="Gill Sans MT"/>
          <w:noProof/>
          <w:sz w:val="24"/>
          <w:lang w:eastAsia="en-IE"/>
        </w:rPr>
        <w:drawing>
          <wp:inline distT="0" distB="0" distL="0" distR="0" wp14:anchorId="113FE2DF" wp14:editId="5AEF3A5C">
            <wp:extent cx="2520696" cy="1801368"/>
            <wp:effectExtent l="0" t="0" r="0" b="8890"/>
            <wp:docPr id="37" name="Picture 37"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14:paraId="3031ABA6" w14:textId="77777777" w:rsidR="008913EF" w:rsidRDefault="008913EF">
      <w:pPr>
        <w:spacing w:after="0"/>
      </w:pPr>
      <w:r>
        <w:br w:type="page"/>
      </w:r>
    </w:p>
    <w:p w14:paraId="7D8B6CB2" w14:textId="77777777" w:rsidR="008913EF" w:rsidRPr="008913EF" w:rsidRDefault="008913EF" w:rsidP="008913EF">
      <w:pPr>
        <w:pStyle w:val="Heading2"/>
      </w:pPr>
      <w:bookmarkStart w:id="4" w:name="_Toc107232386"/>
      <w:r w:rsidRPr="008913EF">
        <w:lastRenderedPageBreak/>
        <w:t>Contents</w:t>
      </w:r>
      <w:bookmarkEnd w:id="4"/>
    </w:p>
    <w:p w14:paraId="74E557F2" w14:textId="0F114AB2" w:rsidR="00620AC5" w:rsidRDefault="008913EF">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07232385" w:history="1">
        <w:r w:rsidR="00620AC5" w:rsidRPr="00625A19">
          <w:rPr>
            <w:rStyle w:val="Hyperlink"/>
            <w:noProof/>
          </w:rPr>
          <w:t>NDA Advice paper on Disability Language and Terminology</w:t>
        </w:r>
        <w:r w:rsidR="00620AC5">
          <w:rPr>
            <w:noProof/>
            <w:webHidden/>
          </w:rPr>
          <w:tab/>
        </w:r>
        <w:r w:rsidR="00620AC5">
          <w:rPr>
            <w:noProof/>
            <w:webHidden/>
          </w:rPr>
          <w:fldChar w:fldCharType="begin"/>
        </w:r>
        <w:r w:rsidR="00620AC5">
          <w:rPr>
            <w:noProof/>
            <w:webHidden/>
          </w:rPr>
          <w:instrText xml:space="preserve"> PAGEREF _Toc107232385 \h </w:instrText>
        </w:r>
        <w:r w:rsidR="00620AC5">
          <w:rPr>
            <w:noProof/>
            <w:webHidden/>
          </w:rPr>
        </w:r>
        <w:r w:rsidR="00620AC5">
          <w:rPr>
            <w:noProof/>
            <w:webHidden/>
          </w:rPr>
          <w:fldChar w:fldCharType="separate"/>
        </w:r>
        <w:r w:rsidR="00620AC5">
          <w:rPr>
            <w:noProof/>
            <w:webHidden/>
          </w:rPr>
          <w:t>1</w:t>
        </w:r>
        <w:r w:rsidR="00620AC5">
          <w:rPr>
            <w:noProof/>
            <w:webHidden/>
          </w:rPr>
          <w:fldChar w:fldCharType="end"/>
        </w:r>
      </w:hyperlink>
    </w:p>
    <w:p w14:paraId="1D6BDEBF" w14:textId="415AE73F"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386" w:history="1">
        <w:r w:rsidR="00620AC5" w:rsidRPr="00625A19">
          <w:rPr>
            <w:rStyle w:val="Hyperlink"/>
            <w:noProof/>
          </w:rPr>
          <w:t>Contents</w:t>
        </w:r>
        <w:r w:rsidR="00620AC5">
          <w:rPr>
            <w:noProof/>
            <w:webHidden/>
          </w:rPr>
          <w:tab/>
        </w:r>
        <w:r w:rsidR="00620AC5">
          <w:rPr>
            <w:noProof/>
            <w:webHidden/>
          </w:rPr>
          <w:fldChar w:fldCharType="begin"/>
        </w:r>
        <w:r w:rsidR="00620AC5">
          <w:rPr>
            <w:noProof/>
            <w:webHidden/>
          </w:rPr>
          <w:instrText xml:space="preserve"> PAGEREF _Toc107232386 \h </w:instrText>
        </w:r>
        <w:r w:rsidR="00620AC5">
          <w:rPr>
            <w:noProof/>
            <w:webHidden/>
          </w:rPr>
        </w:r>
        <w:r w:rsidR="00620AC5">
          <w:rPr>
            <w:noProof/>
            <w:webHidden/>
          </w:rPr>
          <w:fldChar w:fldCharType="separate"/>
        </w:r>
        <w:r w:rsidR="00620AC5">
          <w:rPr>
            <w:noProof/>
            <w:webHidden/>
          </w:rPr>
          <w:t>2</w:t>
        </w:r>
        <w:r w:rsidR="00620AC5">
          <w:rPr>
            <w:noProof/>
            <w:webHidden/>
          </w:rPr>
          <w:fldChar w:fldCharType="end"/>
        </w:r>
      </w:hyperlink>
    </w:p>
    <w:p w14:paraId="4E4CF45E" w14:textId="17925EC8"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387" w:history="1">
        <w:r w:rsidR="00620AC5" w:rsidRPr="00625A19">
          <w:rPr>
            <w:rStyle w:val="Hyperlink"/>
            <w:noProof/>
          </w:rPr>
          <w:t>Introduction</w:t>
        </w:r>
        <w:r w:rsidR="00620AC5">
          <w:rPr>
            <w:noProof/>
            <w:webHidden/>
          </w:rPr>
          <w:tab/>
        </w:r>
        <w:r w:rsidR="00620AC5">
          <w:rPr>
            <w:noProof/>
            <w:webHidden/>
          </w:rPr>
          <w:fldChar w:fldCharType="begin"/>
        </w:r>
        <w:r w:rsidR="00620AC5">
          <w:rPr>
            <w:noProof/>
            <w:webHidden/>
          </w:rPr>
          <w:instrText xml:space="preserve"> PAGEREF _Toc107232387 \h </w:instrText>
        </w:r>
        <w:r w:rsidR="00620AC5">
          <w:rPr>
            <w:noProof/>
            <w:webHidden/>
          </w:rPr>
        </w:r>
        <w:r w:rsidR="00620AC5">
          <w:rPr>
            <w:noProof/>
            <w:webHidden/>
          </w:rPr>
          <w:fldChar w:fldCharType="separate"/>
        </w:r>
        <w:r w:rsidR="00620AC5">
          <w:rPr>
            <w:noProof/>
            <w:webHidden/>
          </w:rPr>
          <w:t>3</w:t>
        </w:r>
        <w:r w:rsidR="00620AC5">
          <w:rPr>
            <w:noProof/>
            <w:webHidden/>
          </w:rPr>
          <w:fldChar w:fldCharType="end"/>
        </w:r>
      </w:hyperlink>
    </w:p>
    <w:p w14:paraId="79478FB7" w14:textId="4BC2E072"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388" w:history="1">
        <w:r w:rsidR="00620AC5" w:rsidRPr="00625A19">
          <w:rPr>
            <w:rStyle w:val="Hyperlink"/>
            <w:noProof/>
          </w:rPr>
          <w:t>Background</w:t>
        </w:r>
        <w:r w:rsidR="00620AC5">
          <w:rPr>
            <w:noProof/>
            <w:webHidden/>
          </w:rPr>
          <w:tab/>
        </w:r>
        <w:r w:rsidR="00620AC5">
          <w:rPr>
            <w:noProof/>
            <w:webHidden/>
          </w:rPr>
          <w:fldChar w:fldCharType="begin"/>
        </w:r>
        <w:r w:rsidR="00620AC5">
          <w:rPr>
            <w:noProof/>
            <w:webHidden/>
          </w:rPr>
          <w:instrText xml:space="preserve"> PAGEREF _Toc107232388 \h </w:instrText>
        </w:r>
        <w:r w:rsidR="00620AC5">
          <w:rPr>
            <w:noProof/>
            <w:webHidden/>
          </w:rPr>
        </w:r>
        <w:r w:rsidR="00620AC5">
          <w:rPr>
            <w:noProof/>
            <w:webHidden/>
          </w:rPr>
          <w:fldChar w:fldCharType="separate"/>
        </w:r>
        <w:r w:rsidR="00620AC5">
          <w:rPr>
            <w:noProof/>
            <w:webHidden/>
          </w:rPr>
          <w:t>3</w:t>
        </w:r>
        <w:r w:rsidR="00620AC5">
          <w:rPr>
            <w:noProof/>
            <w:webHidden/>
          </w:rPr>
          <w:fldChar w:fldCharType="end"/>
        </w:r>
      </w:hyperlink>
    </w:p>
    <w:p w14:paraId="496149F4" w14:textId="4B9F4F25"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389" w:history="1">
        <w:r w:rsidR="00620AC5" w:rsidRPr="00625A19">
          <w:rPr>
            <w:rStyle w:val="Hyperlink"/>
            <w:noProof/>
          </w:rPr>
          <w:t>Models of disability</w:t>
        </w:r>
        <w:r w:rsidR="00620AC5">
          <w:rPr>
            <w:noProof/>
            <w:webHidden/>
          </w:rPr>
          <w:tab/>
        </w:r>
        <w:r w:rsidR="00620AC5">
          <w:rPr>
            <w:noProof/>
            <w:webHidden/>
          </w:rPr>
          <w:fldChar w:fldCharType="begin"/>
        </w:r>
        <w:r w:rsidR="00620AC5">
          <w:rPr>
            <w:noProof/>
            <w:webHidden/>
          </w:rPr>
          <w:instrText xml:space="preserve"> PAGEREF _Toc107232389 \h </w:instrText>
        </w:r>
        <w:r w:rsidR="00620AC5">
          <w:rPr>
            <w:noProof/>
            <w:webHidden/>
          </w:rPr>
        </w:r>
        <w:r w:rsidR="00620AC5">
          <w:rPr>
            <w:noProof/>
            <w:webHidden/>
          </w:rPr>
          <w:fldChar w:fldCharType="separate"/>
        </w:r>
        <w:r w:rsidR="00620AC5">
          <w:rPr>
            <w:noProof/>
            <w:webHidden/>
          </w:rPr>
          <w:t>3</w:t>
        </w:r>
        <w:r w:rsidR="00620AC5">
          <w:rPr>
            <w:noProof/>
            <w:webHidden/>
          </w:rPr>
          <w:fldChar w:fldCharType="end"/>
        </w:r>
      </w:hyperlink>
    </w:p>
    <w:p w14:paraId="345EF3D4" w14:textId="7CDFA48F"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390" w:history="1">
        <w:r w:rsidR="00620AC5" w:rsidRPr="00625A19">
          <w:rPr>
            <w:rStyle w:val="Hyperlink"/>
            <w:noProof/>
          </w:rPr>
          <w:t>Person-first and identity-first language</w:t>
        </w:r>
        <w:r w:rsidR="00620AC5">
          <w:rPr>
            <w:noProof/>
            <w:webHidden/>
          </w:rPr>
          <w:tab/>
        </w:r>
        <w:r w:rsidR="00620AC5">
          <w:rPr>
            <w:noProof/>
            <w:webHidden/>
          </w:rPr>
          <w:fldChar w:fldCharType="begin"/>
        </w:r>
        <w:r w:rsidR="00620AC5">
          <w:rPr>
            <w:noProof/>
            <w:webHidden/>
          </w:rPr>
          <w:instrText xml:space="preserve"> PAGEREF _Toc107232390 \h </w:instrText>
        </w:r>
        <w:r w:rsidR="00620AC5">
          <w:rPr>
            <w:noProof/>
            <w:webHidden/>
          </w:rPr>
        </w:r>
        <w:r w:rsidR="00620AC5">
          <w:rPr>
            <w:noProof/>
            <w:webHidden/>
          </w:rPr>
          <w:fldChar w:fldCharType="separate"/>
        </w:r>
        <w:r w:rsidR="00620AC5">
          <w:rPr>
            <w:noProof/>
            <w:webHidden/>
          </w:rPr>
          <w:t>4</w:t>
        </w:r>
        <w:r w:rsidR="00620AC5">
          <w:rPr>
            <w:noProof/>
            <w:webHidden/>
          </w:rPr>
          <w:fldChar w:fldCharType="end"/>
        </w:r>
      </w:hyperlink>
    </w:p>
    <w:p w14:paraId="39BCCBDB" w14:textId="63E2106F"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391" w:history="1">
        <w:r w:rsidR="00620AC5" w:rsidRPr="00625A19">
          <w:rPr>
            <w:rStyle w:val="Hyperlink"/>
            <w:noProof/>
          </w:rPr>
          <w:t>UNCRPD and language</w:t>
        </w:r>
        <w:r w:rsidR="00620AC5">
          <w:rPr>
            <w:noProof/>
            <w:webHidden/>
          </w:rPr>
          <w:tab/>
        </w:r>
        <w:r w:rsidR="00620AC5">
          <w:rPr>
            <w:noProof/>
            <w:webHidden/>
          </w:rPr>
          <w:fldChar w:fldCharType="begin"/>
        </w:r>
        <w:r w:rsidR="00620AC5">
          <w:rPr>
            <w:noProof/>
            <w:webHidden/>
          </w:rPr>
          <w:instrText xml:space="preserve"> PAGEREF _Toc107232391 \h </w:instrText>
        </w:r>
        <w:r w:rsidR="00620AC5">
          <w:rPr>
            <w:noProof/>
            <w:webHidden/>
          </w:rPr>
        </w:r>
        <w:r w:rsidR="00620AC5">
          <w:rPr>
            <w:noProof/>
            <w:webHidden/>
          </w:rPr>
          <w:fldChar w:fldCharType="separate"/>
        </w:r>
        <w:r w:rsidR="00620AC5">
          <w:rPr>
            <w:noProof/>
            <w:webHidden/>
          </w:rPr>
          <w:t>5</w:t>
        </w:r>
        <w:r w:rsidR="00620AC5">
          <w:rPr>
            <w:noProof/>
            <w:webHidden/>
          </w:rPr>
          <w:fldChar w:fldCharType="end"/>
        </w:r>
      </w:hyperlink>
    </w:p>
    <w:p w14:paraId="1AE5611C" w14:textId="498F7018"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392" w:history="1">
        <w:r w:rsidR="00620AC5" w:rsidRPr="00625A19">
          <w:rPr>
            <w:rStyle w:val="Hyperlink"/>
            <w:noProof/>
          </w:rPr>
          <w:t>Language and the Deaf community</w:t>
        </w:r>
        <w:r w:rsidR="00620AC5">
          <w:rPr>
            <w:noProof/>
            <w:webHidden/>
          </w:rPr>
          <w:tab/>
        </w:r>
        <w:r w:rsidR="00620AC5">
          <w:rPr>
            <w:noProof/>
            <w:webHidden/>
          </w:rPr>
          <w:fldChar w:fldCharType="begin"/>
        </w:r>
        <w:r w:rsidR="00620AC5">
          <w:rPr>
            <w:noProof/>
            <w:webHidden/>
          </w:rPr>
          <w:instrText xml:space="preserve"> PAGEREF _Toc107232392 \h </w:instrText>
        </w:r>
        <w:r w:rsidR="00620AC5">
          <w:rPr>
            <w:noProof/>
            <w:webHidden/>
          </w:rPr>
        </w:r>
        <w:r w:rsidR="00620AC5">
          <w:rPr>
            <w:noProof/>
            <w:webHidden/>
          </w:rPr>
          <w:fldChar w:fldCharType="separate"/>
        </w:r>
        <w:r w:rsidR="00620AC5">
          <w:rPr>
            <w:noProof/>
            <w:webHidden/>
          </w:rPr>
          <w:t>6</w:t>
        </w:r>
        <w:r w:rsidR="00620AC5">
          <w:rPr>
            <w:noProof/>
            <w:webHidden/>
          </w:rPr>
          <w:fldChar w:fldCharType="end"/>
        </w:r>
      </w:hyperlink>
    </w:p>
    <w:p w14:paraId="6CCB2CC3" w14:textId="0FBC4448"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393" w:history="1">
        <w:r w:rsidR="00620AC5" w:rsidRPr="00625A19">
          <w:rPr>
            <w:rStyle w:val="Hyperlink"/>
            <w:noProof/>
          </w:rPr>
          <w:t>Recommendations</w:t>
        </w:r>
        <w:r w:rsidR="00620AC5">
          <w:rPr>
            <w:noProof/>
            <w:webHidden/>
          </w:rPr>
          <w:tab/>
        </w:r>
        <w:r w:rsidR="00620AC5">
          <w:rPr>
            <w:noProof/>
            <w:webHidden/>
          </w:rPr>
          <w:fldChar w:fldCharType="begin"/>
        </w:r>
        <w:r w:rsidR="00620AC5">
          <w:rPr>
            <w:noProof/>
            <w:webHidden/>
          </w:rPr>
          <w:instrText xml:space="preserve"> PAGEREF _Toc107232393 \h </w:instrText>
        </w:r>
        <w:r w:rsidR="00620AC5">
          <w:rPr>
            <w:noProof/>
            <w:webHidden/>
          </w:rPr>
        </w:r>
        <w:r w:rsidR="00620AC5">
          <w:rPr>
            <w:noProof/>
            <w:webHidden/>
          </w:rPr>
          <w:fldChar w:fldCharType="separate"/>
        </w:r>
        <w:r w:rsidR="00620AC5">
          <w:rPr>
            <w:noProof/>
            <w:webHidden/>
          </w:rPr>
          <w:t>6</w:t>
        </w:r>
        <w:r w:rsidR="00620AC5">
          <w:rPr>
            <w:noProof/>
            <w:webHidden/>
          </w:rPr>
          <w:fldChar w:fldCharType="end"/>
        </w:r>
      </w:hyperlink>
    </w:p>
    <w:p w14:paraId="49811A84" w14:textId="1D3FA8F7"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4" w:history="1">
        <w:r w:rsidR="00620AC5" w:rsidRPr="00625A19">
          <w:rPr>
            <w:rStyle w:val="Hyperlink"/>
            <w:noProof/>
          </w:rPr>
          <w:t>1.</w:t>
        </w:r>
        <w:r w:rsidR="00620AC5">
          <w:rPr>
            <w:rFonts w:asciiTheme="minorHAnsi" w:eastAsiaTheme="minorEastAsia" w:hAnsiTheme="minorHAnsi" w:cstheme="minorBidi"/>
            <w:noProof/>
            <w:sz w:val="22"/>
            <w:szCs w:val="22"/>
            <w:lang w:eastAsia="en-IE"/>
          </w:rPr>
          <w:tab/>
        </w:r>
        <w:r w:rsidR="00620AC5" w:rsidRPr="00625A19">
          <w:rPr>
            <w:rStyle w:val="Hyperlink"/>
            <w:noProof/>
          </w:rPr>
          <w:t>Take a contextualised, flexible approach</w:t>
        </w:r>
        <w:r w:rsidR="00620AC5">
          <w:rPr>
            <w:noProof/>
            <w:webHidden/>
          </w:rPr>
          <w:tab/>
        </w:r>
        <w:r w:rsidR="00620AC5">
          <w:rPr>
            <w:noProof/>
            <w:webHidden/>
          </w:rPr>
          <w:fldChar w:fldCharType="begin"/>
        </w:r>
        <w:r w:rsidR="00620AC5">
          <w:rPr>
            <w:noProof/>
            <w:webHidden/>
          </w:rPr>
          <w:instrText xml:space="preserve"> PAGEREF _Toc107232394 \h </w:instrText>
        </w:r>
        <w:r w:rsidR="00620AC5">
          <w:rPr>
            <w:noProof/>
            <w:webHidden/>
          </w:rPr>
        </w:r>
        <w:r w:rsidR="00620AC5">
          <w:rPr>
            <w:noProof/>
            <w:webHidden/>
          </w:rPr>
          <w:fldChar w:fldCharType="separate"/>
        </w:r>
        <w:r w:rsidR="00620AC5">
          <w:rPr>
            <w:noProof/>
            <w:webHidden/>
          </w:rPr>
          <w:t>6</w:t>
        </w:r>
        <w:r w:rsidR="00620AC5">
          <w:rPr>
            <w:noProof/>
            <w:webHidden/>
          </w:rPr>
          <w:fldChar w:fldCharType="end"/>
        </w:r>
      </w:hyperlink>
    </w:p>
    <w:p w14:paraId="78E32685" w14:textId="02D805C0"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5" w:history="1">
        <w:r w:rsidR="00620AC5" w:rsidRPr="00625A19">
          <w:rPr>
            <w:rStyle w:val="Hyperlink"/>
            <w:noProof/>
          </w:rPr>
          <w:t>2.</w:t>
        </w:r>
        <w:r w:rsidR="00620AC5">
          <w:rPr>
            <w:rFonts w:asciiTheme="minorHAnsi" w:eastAsiaTheme="minorEastAsia" w:hAnsiTheme="minorHAnsi" w:cstheme="minorBidi"/>
            <w:noProof/>
            <w:sz w:val="22"/>
            <w:szCs w:val="22"/>
            <w:lang w:eastAsia="en-IE"/>
          </w:rPr>
          <w:tab/>
        </w:r>
        <w:r w:rsidR="00620AC5" w:rsidRPr="00625A19">
          <w:rPr>
            <w:rStyle w:val="Hyperlink"/>
            <w:noProof/>
          </w:rPr>
          <w:t>Ask people about their preferences</w:t>
        </w:r>
        <w:r w:rsidR="00620AC5">
          <w:rPr>
            <w:noProof/>
            <w:webHidden/>
          </w:rPr>
          <w:tab/>
        </w:r>
        <w:r w:rsidR="00620AC5">
          <w:rPr>
            <w:noProof/>
            <w:webHidden/>
          </w:rPr>
          <w:fldChar w:fldCharType="begin"/>
        </w:r>
        <w:r w:rsidR="00620AC5">
          <w:rPr>
            <w:noProof/>
            <w:webHidden/>
          </w:rPr>
          <w:instrText xml:space="preserve"> PAGEREF _Toc107232395 \h </w:instrText>
        </w:r>
        <w:r w:rsidR="00620AC5">
          <w:rPr>
            <w:noProof/>
            <w:webHidden/>
          </w:rPr>
        </w:r>
        <w:r w:rsidR="00620AC5">
          <w:rPr>
            <w:noProof/>
            <w:webHidden/>
          </w:rPr>
          <w:fldChar w:fldCharType="separate"/>
        </w:r>
        <w:r w:rsidR="00620AC5">
          <w:rPr>
            <w:noProof/>
            <w:webHidden/>
          </w:rPr>
          <w:t>7</w:t>
        </w:r>
        <w:r w:rsidR="00620AC5">
          <w:rPr>
            <w:noProof/>
            <w:webHidden/>
          </w:rPr>
          <w:fldChar w:fldCharType="end"/>
        </w:r>
      </w:hyperlink>
    </w:p>
    <w:p w14:paraId="3D49C416" w14:textId="294F8B02"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6" w:history="1">
        <w:r w:rsidR="00620AC5" w:rsidRPr="00625A19">
          <w:rPr>
            <w:rStyle w:val="Hyperlink"/>
            <w:noProof/>
          </w:rPr>
          <w:t>3.</w:t>
        </w:r>
        <w:r w:rsidR="00620AC5">
          <w:rPr>
            <w:rFonts w:asciiTheme="minorHAnsi" w:eastAsiaTheme="minorEastAsia" w:hAnsiTheme="minorHAnsi" w:cstheme="minorBidi"/>
            <w:noProof/>
            <w:sz w:val="22"/>
            <w:szCs w:val="22"/>
            <w:lang w:eastAsia="en-IE"/>
          </w:rPr>
          <w:tab/>
        </w:r>
        <w:r w:rsidR="00620AC5" w:rsidRPr="00625A19">
          <w:rPr>
            <w:rStyle w:val="Hyperlink"/>
            <w:noProof/>
          </w:rPr>
          <w:t>Avoid medicalised language</w:t>
        </w:r>
        <w:r w:rsidR="00620AC5">
          <w:rPr>
            <w:noProof/>
            <w:webHidden/>
          </w:rPr>
          <w:tab/>
        </w:r>
        <w:r w:rsidR="00620AC5">
          <w:rPr>
            <w:noProof/>
            <w:webHidden/>
          </w:rPr>
          <w:fldChar w:fldCharType="begin"/>
        </w:r>
        <w:r w:rsidR="00620AC5">
          <w:rPr>
            <w:noProof/>
            <w:webHidden/>
          </w:rPr>
          <w:instrText xml:space="preserve"> PAGEREF _Toc107232396 \h </w:instrText>
        </w:r>
        <w:r w:rsidR="00620AC5">
          <w:rPr>
            <w:noProof/>
            <w:webHidden/>
          </w:rPr>
        </w:r>
        <w:r w:rsidR="00620AC5">
          <w:rPr>
            <w:noProof/>
            <w:webHidden/>
          </w:rPr>
          <w:fldChar w:fldCharType="separate"/>
        </w:r>
        <w:r w:rsidR="00620AC5">
          <w:rPr>
            <w:noProof/>
            <w:webHidden/>
          </w:rPr>
          <w:t>8</w:t>
        </w:r>
        <w:r w:rsidR="00620AC5">
          <w:rPr>
            <w:noProof/>
            <w:webHidden/>
          </w:rPr>
          <w:fldChar w:fldCharType="end"/>
        </w:r>
      </w:hyperlink>
    </w:p>
    <w:p w14:paraId="51F45EED" w14:textId="7CC53D79"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7" w:history="1">
        <w:r w:rsidR="00620AC5" w:rsidRPr="00625A19">
          <w:rPr>
            <w:rStyle w:val="Hyperlink"/>
            <w:noProof/>
          </w:rPr>
          <w:t>4.</w:t>
        </w:r>
        <w:r w:rsidR="00620AC5">
          <w:rPr>
            <w:rFonts w:asciiTheme="minorHAnsi" w:eastAsiaTheme="minorEastAsia" w:hAnsiTheme="minorHAnsi" w:cstheme="minorBidi"/>
            <w:noProof/>
            <w:sz w:val="22"/>
            <w:szCs w:val="22"/>
            <w:lang w:eastAsia="en-IE"/>
          </w:rPr>
          <w:tab/>
        </w:r>
        <w:r w:rsidR="00620AC5" w:rsidRPr="00625A19">
          <w:rPr>
            <w:rStyle w:val="Hyperlink"/>
            <w:noProof/>
          </w:rPr>
          <w:t>Avoid stereotypes</w:t>
        </w:r>
        <w:r w:rsidR="00620AC5">
          <w:rPr>
            <w:noProof/>
            <w:webHidden/>
          </w:rPr>
          <w:tab/>
        </w:r>
        <w:r w:rsidR="00620AC5">
          <w:rPr>
            <w:noProof/>
            <w:webHidden/>
          </w:rPr>
          <w:fldChar w:fldCharType="begin"/>
        </w:r>
        <w:r w:rsidR="00620AC5">
          <w:rPr>
            <w:noProof/>
            <w:webHidden/>
          </w:rPr>
          <w:instrText xml:space="preserve"> PAGEREF _Toc107232397 \h </w:instrText>
        </w:r>
        <w:r w:rsidR="00620AC5">
          <w:rPr>
            <w:noProof/>
            <w:webHidden/>
          </w:rPr>
        </w:r>
        <w:r w:rsidR="00620AC5">
          <w:rPr>
            <w:noProof/>
            <w:webHidden/>
          </w:rPr>
          <w:fldChar w:fldCharType="separate"/>
        </w:r>
        <w:r w:rsidR="00620AC5">
          <w:rPr>
            <w:noProof/>
            <w:webHidden/>
          </w:rPr>
          <w:t>8</w:t>
        </w:r>
        <w:r w:rsidR="00620AC5">
          <w:rPr>
            <w:noProof/>
            <w:webHidden/>
          </w:rPr>
          <w:fldChar w:fldCharType="end"/>
        </w:r>
      </w:hyperlink>
    </w:p>
    <w:p w14:paraId="26EA8942" w14:textId="40C87924"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8" w:history="1">
        <w:r w:rsidR="00620AC5" w:rsidRPr="00625A19">
          <w:rPr>
            <w:rStyle w:val="Hyperlink"/>
            <w:noProof/>
          </w:rPr>
          <w:t>5.</w:t>
        </w:r>
        <w:r w:rsidR="00620AC5">
          <w:rPr>
            <w:rFonts w:asciiTheme="minorHAnsi" w:eastAsiaTheme="minorEastAsia" w:hAnsiTheme="minorHAnsi" w:cstheme="minorBidi"/>
            <w:noProof/>
            <w:sz w:val="22"/>
            <w:szCs w:val="22"/>
            <w:lang w:eastAsia="en-IE"/>
          </w:rPr>
          <w:tab/>
        </w:r>
        <w:r w:rsidR="00620AC5" w:rsidRPr="00625A19">
          <w:rPr>
            <w:rStyle w:val="Hyperlink"/>
            <w:noProof/>
          </w:rPr>
          <w:t>Avoid euphemisms</w:t>
        </w:r>
        <w:r w:rsidR="00620AC5">
          <w:rPr>
            <w:noProof/>
            <w:webHidden/>
          </w:rPr>
          <w:tab/>
        </w:r>
        <w:r w:rsidR="00620AC5">
          <w:rPr>
            <w:noProof/>
            <w:webHidden/>
          </w:rPr>
          <w:fldChar w:fldCharType="begin"/>
        </w:r>
        <w:r w:rsidR="00620AC5">
          <w:rPr>
            <w:noProof/>
            <w:webHidden/>
          </w:rPr>
          <w:instrText xml:space="preserve"> PAGEREF _Toc107232398 \h </w:instrText>
        </w:r>
        <w:r w:rsidR="00620AC5">
          <w:rPr>
            <w:noProof/>
            <w:webHidden/>
          </w:rPr>
        </w:r>
        <w:r w:rsidR="00620AC5">
          <w:rPr>
            <w:noProof/>
            <w:webHidden/>
          </w:rPr>
          <w:fldChar w:fldCharType="separate"/>
        </w:r>
        <w:r w:rsidR="00620AC5">
          <w:rPr>
            <w:noProof/>
            <w:webHidden/>
          </w:rPr>
          <w:t>8</w:t>
        </w:r>
        <w:r w:rsidR="00620AC5">
          <w:rPr>
            <w:noProof/>
            <w:webHidden/>
          </w:rPr>
          <w:fldChar w:fldCharType="end"/>
        </w:r>
      </w:hyperlink>
    </w:p>
    <w:p w14:paraId="0EA076AE" w14:textId="2BAAB533" w:rsidR="00620AC5" w:rsidRDefault="00E252D3">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07232399" w:history="1">
        <w:r w:rsidR="00620AC5" w:rsidRPr="00625A19">
          <w:rPr>
            <w:rStyle w:val="Hyperlink"/>
            <w:noProof/>
          </w:rPr>
          <w:t>6.</w:t>
        </w:r>
        <w:r w:rsidR="00620AC5">
          <w:rPr>
            <w:rFonts w:asciiTheme="minorHAnsi" w:eastAsiaTheme="minorEastAsia" w:hAnsiTheme="minorHAnsi" w:cstheme="minorBidi"/>
            <w:noProof/>
            <w:sz w:val="22"/>
            <w:szCs w:val="22"/>
            <w:lang w:eastAsia="en-IE"/>
          </w:rPr>
          <w:tab/>
        </w:r>
        <w:r w:rsidR="00620AC5" w:rsidRPr="00625A19">
          <w:rPr>
            <w:rStyle w:val="Hyperlink"/>
            <w:noProof/>
          </w:rPr>
          <w:t>Avoid negative language</w:t>
        </w:r>
        <w:r w:rsidR="00620AC5">
          <w:rPr>
            <w:noProof/>
            <w:webHidden/>
          </w:rPr>
          <w:tab/>
        </w:r>
        <w:r w:rsidR="00620AC5">
          <w:rPr>
            <w:noProof/>
            <w:webHidden/>
          </w:rPr>
          <w:fldChar w:fldCharType="begin"/>
        </w:r>
        <w:r w:rsidR="00620AC5">
          <w:rPr>
            <w:noProof/>
            <w:webHidden/>
          </w:rPr>
          <w:instrText xml:space="preserve"> PAGEREF _Toc107232399 \h </w:instrText>
        </w:r>
        <w:r w:rsidR="00620AC5">
          <w:rPr>
            <w:noProof/>
            <w:webHidden/>
          </w:rPr>
        </w:r>
        <w:r w:rsidR="00620AC5">
          <w:rPr>
            <w:noProof/>
            <w:webHidden/>
          </w:rPr>
          <w:fldChar w:fldCharType="separate"/>
        </w:r>
        <w:r w:rsidR="00620AC5">
          <w:rPr>
            <w:noProof/>
            <w:webHidden/>
          </w:rPr>
          <w:t>8</w:t>
        </w:r>
        <w:r w:rsidR="00620AC5">
          <w:rPr>
            <w:noProof/>
            <w:webHidden/>
          </w:rPr>
          <w:fldChar w:fldCharType="end"/>
        </w:r>
      </w:hyperlink>
    </w:p>
    <w:p w14:paraId="3CF5B28D" w14:textId="5ED2F3E1"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400" w:history="1">
        <w:r w:rsidR="00620AC5" w:rsidRPr="00625A19">
          <w:rPr>
            <w:rStyle w:val="Hyperlink"/>
            <w:noProof/>
          </w:rPr>
          <w:t>Glossary</w:t>
        </w:r>
        <w:r w:rsidR="00620AC5">
          <w:rPr>
            <w:noProof/>
            <w:webHidden/>
          </w:rPr>
          <w:tab/>
        </w:r>
        <w:r w:rsidR="00620AC5">
          <w:rPr>
            <w:noProof/>
            <w:webHidden/>
          </w:rPr>
          <w:fldChar w:fldCharType="begin"/>
        </w:r>
        <w:r w:rsidR="00620AC5">
          <w:rPr>
            <w:noProof/>
            <w:webHidden/>
          </w:rPr>
          <w:instrText xml:space="preserve"> PAGEREF _Toc107232400 \h </w:instrText>
        </w:r>
        <w:r w:rsidR="00620AC5">
          <w:rPr>
            <w:noProof/>
            <w:webHidden/>
          </w:rPr>
        </w:r>
        <w:r w:rsidR="00620AC5">
          <w:rPr>
            <w:noProof/>
            <w:webHidden/>
          </w:rPr>
          <w:fldChar w:fldCharType="separate"/>
        </w:r>
        <w:r w:rsidR="00620AC5">
          <w:rPr>
            <w:noProof/>
            <w:webHidden/>
          </w:rPr>
          <w:t>9</w:t>
        </w:r>
        <w:r w:rsidR="00620AC5">
          <w:rPr>
            <w:noProof/>
            <w:webHidden/>
          </w:rPr>
          <w:fldChar w:fldCharType="end"/>
        </w:r>
      </w:hyperlink>
    </w:p>
    <w:p w14:paraId="38CF8DAF" w14:textId="0175637B"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401" w:history="1">
        <w:r w:rsidR="00620AC5" w:rsidRPr="00625A19">
          <w:rPr>
            <w:rStyle w:val="Hyperlink"/>
            <w:noProof/>
          </w:rPr>
          <w:t>Terms not to use</w:t>
        </w:r>
        <w:r w:rsidR="00620AC5">
          <w:rPr>
            <w:noProof/>
            <w:webHidden/>
          </w:rPr>
          <w:tab/>
        </w:r>
        <w:r w:rsidR="00620AC5">
          <w:rPr>
            <w:noProof/>
            <w:webHidden/>
          </w:rPr>
          <w:fldChar w:fldCharType="begin"/>
        </w:r>
        <w:r w:rsidR="00620AC5">
          <w:rPr>
            <w:noProof/>
            <w:webHidden/>
          </w:rPr>
          <w:instrText xml:space="preserve"> PAGEREF _Toc107232401 \h </w:instrText>
        </w:r>
        <w:r w:rsidR="00620AC5">
          <w:rPr>
            <w:noProof/>
            <w:webHidden/>
          </w:rPr>
        </w:r>
        <w:r w:rsidR="00620AC5">
          <w:rPr>
            <w:noProof/>
            <w:webHidden/>
          </w:rPr>
          <w:fldChar w:fldCharType="separate"/>
        </w:r>
        <w:r w:rsidR="00620AC5">
          <w:rPr>
            <w:noProof/>
            <w:webHidden/>
          </w:rPr>
          <w:t>9</w:t>
        </w:r>
        <w:r w:rsidR="00620AC5">
          <w:rPr>
            <w:noProof/>
            <w:webHidden/>
          </w:rPr>
          <w:fldChar w:fldCharType="end"/>
        </w:r>
      </w:hyperlink>
    </w:p>
    <w:p w14:paraId="0D7B50D6" w14:textId="28DD6A79" w:rsidR="00620AC5" w:rsidRDefault="00E252D3">
      <w:pPr>
        <w:pStyle w:val="TOC2"/>
        <w:tabs>
          <w:tab w:val="right" w:leader="dot" w:pos="8630"/>
        </w:tabs>
        <w:rPr>
          <w:rFonts w:asciiTheme="minorHAnsi" w:eastAsiaTheme="minorEastAsia" w:hAnsiTheme="minorHAnsi" w:cstheme="minorBidi"/>
          <w:noProof/>
          <w:sz w:val="22"/>
          <w:szCs w:val="22"/>
          <w:lang w:eastAsia="en-IE"/>
        </w:rPr>
      </w:pPr>
      <w:hyperlink w:anchor="_Toc107232402" w:history="1">
        <w:r w:rsidR="00620AC5" w:rsidRPr="00625A19">
          <w:rPr>
            <w:rStyle w:val="Hyperlink"/>
            <w:noProof/>
          </w:rPr>
          <w:t>Meaning of common terms</w:t>
        </w:r>
        <w:r w:rsidR="00620AC5">
          <w:rPr>
            <w:noProof/>
            <w:webHidden/>
          </w:rPr>
          <w:tab/>
        </w:r>
        <w:r w:rsidR="00620AC5">
          <w:rPr>
            <w:noProof/>
            <w:webHidden/>
          </w:rPr>
          <w:fldChar w:fldCharType="begin"/>
        </w:r>
        <w:r w:rsidR="00620AC5">
          <w:rPr>
            <w:noProof/>
            <w:webHidden/>
          </w:rPr>
          <w:instrText xml:space="preserve"> PAGEREF _Toc107232402 \h </w:instrText>
        </w:r>
        <w:r w:rsidR="00620AC5">
          <w:rPr>
            <w:noProof/>
            <w:webHidden/>
          </w:rPr>
        </w:r>
        <w:r w:rsidR="00620AC5">
          <w:rPr>
            <w:noProof/>
            <w:webHidden/>
          </w:rPr>
          <w:fldChar w:fldCharType="separate"/>
        </w:r>
        <w:r w:rsidR="00620AC5">
          <w:rPr>
            <w:noProof/>
            <w:webHidden/>
          </w:rPr>
          <w:t>13</w:t>
        </w:r>
        <w:r w:rsidR="00620AC5">
          <w:rPr>
            <w:noProof/>
            <w:webHidden/>
          </w:rPr>
          <w:fldChar w:fldCharType="end"/>
        </w:r>
      </w:hyperlink>
    </w:p>
    <w:p w14:paraId="4ED8E88D" w14:textId="4CF24233"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403" w:history="1">
        <w:r w:rsidR="00620AC5" w:rsidRPr="00625A19">
          <w:rPr>
            <w:rStyle w:val="Hyperlink"/>
            <w:rFonts w:eastAsia="SimSun"/>
            <w:noProof/>
            <w:lang w:eastAsia="en-IE"/>
          </w:rPr>
          <w:t>Annex 1: Consultation details</w:t>
        </w:r>
        <w:r w:rsidR="00620AC5">
          <w:rPr>
            <w:noProof/>
            <w:webHidden/>
          </w:rPr>
          <w:tab/>
        </w:r>
        <w:r w:rsidR="00620AC5">
          <w:rPr>
            <w:noProof/>
            <w:webHidden/>
          </w:rPr>
          <w:fldChar w:fldCharType="begin"/>
        </w:r>
        <w:r w:rsidR="00620AC5">
          <w:rPr>
            <w:noProof/>
            <w:webHidden/>
          </w:rPr>
          <w:instrText xml:space="preserve"> PAGEREF _Toc107232403 \h </w:instrText>
        </w:r>
        <w:r w:rsidR="00620AC5">
          <w:rPr>
            <w:noProof/>
            <w:webHidden/>
          </w:rPr>
        </w:r>
        <w:r w:rsidR="00620AC5">
          <w:rPr>
            <w:noProof/>
            <w:webHidden/>
          </w:rPr>
          <w:fldChar w:fldCharType="separate"/>
        </w:r>
        <w:r w:rsidR="00620AC5">
          <w:rPr>
            <w:noProof/>
            <w:webHidden/>
          </w:rPr>
          <w:t>18</w:t>
        </w:r>
        <w:r w:rsidR="00620AC5">
          <w:rPr>
            <w:noProof/>
            <w:webHidden/>
          </w:rPr>
          <w:fldChar w:fldCharType="end"/>
        </w:r>
      </w:hyperlink>
    </w:p>
    <w:p w14:paraId="725E35A6" w14:textId="48E734D5" w:rsidR="00620AC5" w:rsidRDefault="00E252D3">
      <w:pPr>
        <w:pStyle w:val="TOC1"/>
        <w:tabs>
          <w:tab w:val="right" w:leader="dot" w:pos="8630"/>
        </w:tabs>
        <w:rPr>
          <w:rFonts w:asciiTheme="minorHAnsi" w:eastAsiaTheme="minorEastAsia" w:hAnsiTheme="minorHAnsi" w:cstheme="minorBidi"/>
          <w:b w:val="0"/>
          <w:noProof/>
          <w:sz w:val="22"/>
          <w:szCs w:val="22"/>
          <w:lang w:eastAsia="en-IE"/>
        </w:rPr>
      </w:pPr>
      <w:hyperlink w:anchor="_Toc107232404" w:history="1">
        <w:r w:rsidR="00620AC5" w:rsidRPr="00625A19">
          <w:rPr>
            <w:rStyle w:val="Hyperlink"/>
            <w:rFonts w:eastAsia="SimSun"/>
            <w:noProof/>
            <w:lang w:eastAsia="en-IE"/>
          </w:rPr>
          <w:t>Annex 2: DPO language resources</w:t>
        </w:r>
        <w:r w:rsidR="00620AC5">
          <w:rPr>
            <w:noProof/>
            <w:webHidden/>
          </w:rPr>
          <w:tab/>
        </w:r>
        <w:r w:rsidR="00620AC5">
          <w:rPr>
            <w:noProof/>
            <w:webHidden/>
          </w:rPr>
          <w:fldChar w:fldCharType="begin"/>
        </w:r>
        <w:r w:rsidR="00620AC5">
          <w:rPr>
            <w:noProof/>
            <w:webHidden/>
          </w:rPr>
          <w:instrText xml:space="preserve"> PAGEREF _Toc107232404 \h </w:instrText>
        </w:r>
        <w:r w:rsidR="00620AC5">
          <w:rPr>
            <w:noProof/>
            <w:webHidden/>
          </w:rPr>
        </w:r>
        <w:r w:rsidR="00620AC5">
          <w:rPr>
            <w:noProof/>
            <w:webHidden/>
          </w:rPr>
          <w:fldChar w:fldCharType="separate"/>
        </w:r>
        <w:r w:rsidR="00620AC5">
          <w:rPr>
            <w:noProof/>
            <w:webHidden/>
          </w:rPr>
          <w:t>19</w:t>
        </w:r>
        <w:r w:rsidR="00620AC5">
          <w:rPr>
            <w:noProof/>
            <w:webHidden/>
          </w:rPr>
          <w:fldChar w:fldCharType="end"/>
        </w:r>
      </w:hyperlink>
    </w:p>
    <w:p w14:paraId="00691271" w14:textId="2312BD60" w:rsidR="009C1B4D" w:rsidRDefault="008913EF">
      <w:pPr>
        <w:spacing w:after="0"/>
        <w:rPr>
          <w:rFonts w:cs="Arial"/>
          <w:b/>
          <w:bCs/>
          <w:kern w:val="28"/>
          <w:sz w:val="36"/>
          <w:szCs w:val="32"/>
        </w:rPr>
      </w:pPr>
      <w:r>
        <w:fldChar w:fldCharType="end"/>
      </w:r>
      <w:r w:rsidR="009C1B4D">
        <w:br w:type="page"/>
      </w:r>
    </w:p>
    <w:p w14:paraId="6EDDE569" w14:textId="77777777" w:rsidR="009C3BD7" w:rsidRDefault="006F7FEE" w:rsidP="009C3BD7">
      <w:pPr>
        <w:pStyle w:val="Heading1"/>
      </w:pPr>
      <w:bookmarkStart w:id="5" w:name="_Toc107232387"/>
      <w:r>
        <w:lastRenderedPageBreak/>
        <w:t>Introduction</w:t>
      </w:r>
      <w:bookmarkEnd w:id="5"/>
    </w:p>
    <w:p w14:paraId="34C4A93F" w14:textId="77777777" w:rsidR="009D35F1" w:rsidRDefault="00623ED5" w:rsidP="00623ED5">
      <w:r>
        <w:t xml:space="preserve">The purpose of this paper is to provide practical guidance for Departments and public bodies </w:t>
      </w:r>
      <w:r w:rsidR="004D07F0">
        <w:t>on the use</w:t>
      </w:r>
      <w:r>
        <w:t xml:space="preserve"> of language</w:t>
      </w:r>
      <w:r w:rsidR="00485D37">
        <w:t xml:space="preserve"> with regard to disability</w:t>
      </w:r>
      <w:r w:rsidR="00B2267D">
        <w:t xml:space="preserve"> in order to accommodate the varying preferences of persons with disabilities in a respectful manner</w:t>
      </w:r>
      <w:r w:rsidR="004D07F0">
        <w:t xml:space="preserve">. The paper outlines </w:t>
      </w:r>
      <w:r>
        <w:t xml:space="preserve">relevant background information </w:t>
      </w:r>
      <w:r w:rsidR="004D07F0">
        <w:t>before setting out our re</w:t>
      </w:r>
      <w:r w:rsidR="00DB495F">
        <w:t>commendations. The paper also includes a</w:t>
      </w:r>
      <w:r w:rsidR="00E538C3">
        <w:t xml:space="preserve"> glossary</w:t>
      </w:r>
      <w:r>
        <w:t xml:space="preserve"> summarising a list of terms</w:t>
      </w:r>
      <w:r w:rsidR="00B675BA">
        <w:t xml:space="preserve"> which are not recommended for use and their </w:t>
      </w:r>
      <w:r>
        <w:t>rec</w:t>
      </w:r>
      <w:r w:rsidR="00B675BA">
        <w:t>ommended alternatives.  It also contains a glossary of some commonly used terms</w:t>
      </w:r>
      <w:r>
        <w:t xml:space="preserve">. </w:t>
      </w:r>
    </w:p>
    <w:p w14:paraId="6EF920E4" w14:textId="53D2F810" w:rsidR="00485D37" w:rsidRDefault="00B310A1" w:rsidP="00B310A1">
      <w:r>
        <w:t xml:space="preserve">The content of this paper is based on </w:t>
      </w:r>
      <w:r w:rsidR="002823B4">
        <w:t xml:space="preserve">a </w:t>
      </w:r>
      <w:r>
        <w:t>review</w:t>
      </w:r>
      <w:r w:rsidR="00485D37">
        <w:t xml:space="preserve"> of </w:t>
      </w:r>
      <w:r w:rsidR="003C7B5F">
        <w:t xml:space="preserve">relevant </w:t>
      </w:r>
      <w:r w:rsidR="00485D37">
        <w:t>literature,</w:t>
      </w:r>
      <w:r w:rsidR="002823B4">
        <w:t xml:space="preserve"> the NDA’s</w:t>
      </w:r>
      <w:r w:rsidR="00485D37">
        <w:t xml:space="preserve"> </w:t>
      </w:r>
      <w:r>
        <w:t>consultation with Disabled Person’s Organisations</w:t>
      </w:r>
      <w:r w:rsidR="00B675BA">
        <w:t xml:space="preserve"> and other stakeholders</w:t>
      </w:r>
      <w:r w:rsidR="005946AF">
        <w:t xml:space="preserve"> (see Annex 1</w:t>
      </w:r>
      <w:r w:rsidR="004D07F0">
        <w:t>)</w:t>
      </w:r>
      <w:r w:rsidR="002823B4">
        <w:t xml:space="preserve">, and findings from the </w:t>
      </w:r>
      <w:r w:rsidR="00485D37">
        <w:t>consultation on the State Party report to the UNCRPD Committee</w:t>
      </w:r>
      <w:r w:rsidR="002823B4">
        <w:t xml:space="preserve"> coordinated by the Department of Children, Equality, Disability, Integration and Youth</w:t>
      </w:r>
      <w:r>
        <w:t xml:space="preserve">. </w:t>
      </w:r>
    </w:p>
    <w:p w14:paraId="5F835C25" w14:textId="6B841739" w:rsidR="00C74B7E" w:rsidRDefault="00C74B7E" w:rsidP="00B310A1">
      <w:r>
        <w:t>A draft version of this paper was published in April 2022. It was circulated to DPOs, other civil society stakeholders, and public officials for feedback. The revised version, published in June 2022, was developed based on the feedback received. The NDA recognises that language evolves over time. Therefore, it is intended that this paper will be reviewed periodically and updated as required.</w:t>
      </w:r>
    </w:p>
    <w:p w14:paraId="666FBB85" w14:textId="77777777" w:rsidR="00A01BF4" w:rsidRDefault="007D4B95" w:rsidP="007D4B95">
      <w:pPr>
        <w:pStyle w:val="Heading1"/>
      </w:pPr>
      <w:bookmarkStart w:id="6" w:name="_Toc107232388"/>
      <w:r>
        <w:t>Background</w:t>
      </w:r>
      <w:bookmarkEnd w:id="6"/>
    </w:p>
    <w:p w14:paraId="6779BE59" w14:textId="77777777" w:rsidR="002823B4" w:rsidRDefault="002823B4" w:rsidP="002823B4">
      <w:pPr>
        <w:pStyle w:val="Heading2"/>
      </w:pPr>
      <w:bookmarkStart w:id="7" w:name="_Toc107232389"/>
      <w:r>
        <w:t>Models of disability</w:t>
      </w:r>
      <w:bookmarkEnd w:id="7"/>
    </w:p>
    <w:p w14:paraId="44883ECA" w14:textId="329E81D1" w:rsidR="00BC6182" w:rsidRDefault="007F13F2" w:rsidP="004356BE">
      <w:r>
        <w:t>The way in which disability is understood has evolved, which has implications for the language</w:t>
      </w:r>
      <w:r w:rsidR="00E538C3">
        <w:t xml:space="preserve"> </w:t>
      </w:r>
      <w:r w:rsidR="00DB495F">
        <w:t xml:space="preserve">we use. </w:t>
      </w:r>
      <w:r>
        <w:t>The Medical M</w:t>
      </w:r>
      <w:r w:rsidR="00BC6182">
        <w:t xml:space="preserve">odel </w:t>
      </w:r>
      <w:r>
        <w:t>conceives of</w:t>
      </w:r>
      <w:r w:rsidR="00BC6182" w:rsidRPr="005721FB">
        <w:t xml:space="preserve"> disability as a medical ‘problem’ </w:t>
      </w:r>
      <w:r>
        <w:t>located within the individual. This defines</w:t>
      </w:r>
      <w:r w:rsidR="00BC6182" w:rsidRPr="005721FB">
        <w:t xml:space="preserve"> disability in terms of a person’s impairment </w:t>
      </w:r>
      <w:r w:rsidR="00D26AED">
        <w:t>which can</w:t>
      </w:r>
      <w:r w:rsidR="00BC6182" w:rsidRPr="005721FB">
        <w:t xml:space="preserve"> be ‘cured’ by the intervention o</w:t>
      </w:r>
      <w:r w:rsidR="00BC6182">
        <w:t>f medical science</w:t>
      </w:r>
      <w:r w:rsidR="00BC6182" w:rsidRPr="005721FB">
        <w:t>.</w:t>
      </w:r>
      <w:r w:rsidR="00BC6182">
        <w:rPr>
          <w:rStyle w:val="FootnoteReference"/>
        </w:rPr>
        <w:footnoteReference w:id="1"/>
      </w:r>
      <w:r w:rsidR="00D26AED">
        <w:t xml:space="preserve"> </w:t>
      </w:r>
      <w:r w:rsidR="004356BE">
        <w:t>Individuals are seen as patients or service users, rather than active agents in their own lives.</w:t>
      </w:r>
      <w:r w:rsidR="004356BE">
        <w:rPr>
          <w:rStyle w:val="FootnoteReference"/>
        </w:rPr>
        <w:footnoteReference w:id="2"/>
      </w:r>
      <w:r>
        <w:t xml:space="preserve"> </w:t>
      </w:r>
      <w:r w:rsidR="002A152F">
        <w:t>T</w:t>
      </w:r>
      <w:r w:rsidR="00404217">
        <w:t>he Social M</w:t>
      </w:r>
      <w:r w:rsidR="002A152F">
        <w:t xml:space="preserve">odel, by contrast, places an </w:t>
      </w:r>
      <w:r w:rsidR="00CD576C">
        <w:t xml:space="preserve">emphasis on </w:t>
      </w:r>
      <w:r w:rsidR="002A152F" w:rsidRPr="005721FB">
        <w:t xml:space="preserve">‘disabling barriers’ caused by economic and environmental factors and social attitudes that </w:t>
      </w:r>
      <w:r w:rsidR="00CD576C">
        <w:lastRenderedPageBreak/>
        <w:t>prevent the full participation of disabled people in society</w:t>
      </w:r>
      <w:r w:rsidR="002A152F">
        <w:t>.</w:t>
      </w:r>
      <w:r w:rsidR="002A152F" w:rsidRPr="002A152F">
        <w:rPr>
          <w:rStyle w:val="FootnoteReference"/>
        </w:rPr>
        <w:t xml:space="preserve"> </w:t>
      </w:r>
      <w:r w:rsidR="002A152F">
        <w:rPr>
          <w:rStyle w:val="FootnoteReference"/>
        </w:rPr>
        <w:footnoteReference w:id="3"/>
      </w:r>
      <w:r w:rsidR="00404217">
        <w:t xml:space="preserve"> Rooted in disability rights, t</w:t>
      </w:r>
      <w:r w:rsidR="002A152F">
        <w:t>his</w:t>
      </w:r>
      <w:r w:rsidR="00404217">
        <w:t xml:space="preserve"> approach</w:t>
      </w:r>
      <w:r w:rsidR="002A152F">
        <w:t xml:space="preserve"> locates the problem within society and its lack of inclusion</w:t>
      </w:r>
      <w:r w:rsidR="00CD576C">
        <w:t xml:space="preserve">, rather than </w:t>
      </w:r>
      <w:r w:rsidR="00E538C3">
        <w:t>on</w:t>
      </w:r>
      <w:r w:rsidR="00404217">
        <w:t xml:space="preserve"> </w:t>
      </w:r>
      <w:r w:rsidR="00CD576C">
        <w:t>what is ‘wrong’ with the individual</w:t>
      </w:r>
      <w:r w:rsidR="002A152F">
        <w:t>.</w:t>
      </w:r>
      <w:r w:rsidR="004356BE">
        <w:t xml:space="preserve"> </w:t>
      </w:r>
      <w:r w:rsidR="00BC6182" w:rsidRPr="005721FB">
        <w:t xml:space="preserve">The social model is widely acknowledged to have played a significant role in shaping the </w:t>
      </w:r>
      <w:r w:rsidR="00BC6182">
        <w:t>UN</w:t>
      </w:r>
      <w:r w:rsidR="00CD576C">
        <w:t xml:space="preserve"> Convention on the Rights of Persons with Disabilities (UNCRPD)</w:t>
      </w:r>
      <w:r w:rsidR="00BC6182" w:rsidRPr="005721FB">
        <w:t>.</w:t>
      </w:r>
      <w:r w:rsidR="00BC6182">
        <w:rPr>
          <w:rStyle w:val="FootnoteReference"/>
        </w:rPr>
        <w:footnoteReference w:id="4"/>
      </w:r>
    </w:p>
    <w:p w14:paraId="39DD98C9" w14:textId="77777777" w:rsidR="00BC6182" w:rsidRDefault="00BC6182" w:rsidP="00BC6182">
      <w:pPr>
        <w:autoSpaceDE w:val="0"/>
        <w:autoSpaceDN w:val="0"/>
        <w:adjustRightInd w:val="0"/>
        <w:spacing w:after="0"/>
      </w:pPr>
      <w:r>
        <w:t>This is reflected in the preamble of the CRPD which states:</w:t>
      </w:r>
    </w:p>
    <w:p w14:paraId="053B22DA" w14:textId="77777777" w:rsidR="00BC6182" w:rsidRDefault="00BC6182" w:rsidP="00BC6182">
      <w:pPr>
        <w:autoSpaceDE w:val="0"/>
        <w:autoSpaceDN w:val="0"/>
        <w:adjustRightInd w:val="0"/>
        <w:spacing w:after="0"/>
      </w:pPr>
    </w:p>
    <w:p w14:paraId="48B4B1C7" w14:textId="77777777" w:rsidR="00B5147D" w:rsidRPr="00B5147D" w:rsidRDefault="00BC6182" w:rsidP="00B310A1">
      <w:pPr>
        <w:pStyle w:val="BlockQuote"/>
        <w:rPr>
          <w:rFonts w:eastAsia="SimSun"/>
          <w:lang w:eastAsia="en-IE"/>
        </w:rPr>
      </w:pPr>
      <w:r w:rsidRPr="00E6598B">
        <w:rPr>
          <w:rFonts w:eastAsia="SimSun"/>
          <w:lang w:eastAsia="en-IE"/>
        </w:rPr>
        <w:t>Recognising that disability is an evolving concept and that disability results from the interaction between persons with impairments and attitudinal and environmental barriers that hinders their full and effective participation in society</w:t>
      </w:r>
      <w:r w:rsidR="00C85D0C">
        <w:rPr>
          <w:rFonts w:eastAsia="SimSun"/>
          <w:lang w:eastAsia="en-IE"/>
        </w:rPr>
        <w:t xml:space="preserve"> on an equal basis with others.</w:t>
      </w:r>
      <w:r w:rsidRPr="00E6598B">
        <w:rPr>
          <w:rStyle w:val="FootnoteReference"/>
          <w:rFonts w:ascii="Gill Sans MT" w:eastAsia="SimSun" w:hAnsi="Gill Sans MT" w:cs="Helvetica"/>
          <w:sz w:val="26"/>
          <w:szCs w:val="26"/>
          <w:lang w:eastAsia="en-IE"/>
        </w:rPr>
        <w:footnoteReference w:id="5"/>
      </w:r>
      <w:r>
        <w:rPr>
          <w:rFonts w:eastAsia="SimSun"/>
          <w:lang w:eastAsia="en-IE"/>
        </w:rPr>
        <w:t xml:space="preserve"> </w:t>
      </w:r>
    </w:p>
    <w:p w14:paraId="5714FC0E" w14:textId="77777777" w:rsidR="00C85D0C" w:rsidRPr="00C85D0C" w:rsidRDefault="00C85D0C" w:rsidP="00C85D0C">
      <w:pPr>
        <w:pStyle w:val="Heading2"/>
      </w:pPr>
      <w:bookmarkStart w:id="8" w:name="_Toc107232390"/>
      <w:r>
        <w:t>Person-first and identity-first language</w:t>
      </w:r>
      <w:bookmarkEnd w:id="8"/>
    </w:p>
    <w:p w14:paraId="5B1679FA" w14:textId="54A2FDB8" w:rsidR="00A01BF4" w:rsidRDefault="00612446" w:rsidP="00A01BF4">
      <w:r>
        <w:t>Similar evolutions h</w:t>
      </w:r>
      <w:r w:rsidR="00CD576C">
        <w:t xml:space="preserve">ave taken place with regard to language. </w:t>
      </w:r>
      <w:r w:rsidR="00A01BF4">
        <w:t>T</w:t>
      </w:r>
      <w:r w:rsidR="00B675BA">
        <w:t>here is no universally agreed</w:t>
      </w:r>
      <w:r w:rsidR="00A01BF4">
        <w:t xml:space="preserve"> consensus on</w:t>
      </w:r>
      <w:r w:rsidR="00B675BA">
        <w:t xml:space="preserve"> which</w:t>
      </w:r>
      <w:r w:rsidR="00A01BF4">
        <w:t xml:space="preserve"> terminology </w:t>
      </w:r>
      <w:r w:rsidR="00B675BA">
        <w:t xml:space="preserve">to use </w:t>
      </w:r>
      <w:r w:rsidR="007A7E13">
        <w:t>in relation to</w:t>
      </w:r>
      <w:r w:rsidR="00A01BF4">
        <w:t xml:space="preserve"> disability. </w:t>
      </w:r>
      <w:r w:rsidR="00C85D0C">
        <w:t>However, there are t</w:t>
      </w:r>
      <w:r w:rsidR="00A01BF4">
        <w:t>wo main approaches</w:t>
      </w:r>
      <w:r w:rsidR="00C85D0C">
        <w:t xml:space="preserve"> </w:t>
      </w:r>
      <w:r w:rsidR="007A7E13">
        <w:t xml:space="preserve">which </w:t>
      </w:r>
      <w:r w:rsidR="00C85D0C">
        <w:t>are commonly referenced both in the literature and in the consultation findings.</w:t>
      </w:r>
      <w:r w:rsidR="00A01BF4">
        <w:t xml:space="preserve"> </w:t>
      </w:r>
      <w:r w:rsidR="007A7E13">
        <w:t>These are often referred to as the ‘person-first’ approach and the ‘identity-first’ or ‘social model’ approach.</w:t>
      </w:r>
    </w:p>
    <w:p w14:paraId="0852644F" w14:textId="7886FEE5" w:rsidR="00053A6C" w:rsidRDefault="00404217" w:rsidP="00CD576C">
      <w:r>
        <w:t xml:space="preserve">Person-first language </w:t>
      </w:r>
      <w:r w:rsidR="00DB495F">
        <w:t>places</w:t>
      </w:r>
      <w:r>
        <w:t xml:space="preserve"> a reference to the person before the reference to the disability.</w:t>
      </w:r>
      <w:r w:rsidR="00643093" w:rsidRPr="00643093">
        <w:rPr>
          <w:lang w:eastAsia="en-IE"/>
        </w:rPr>
        <w:t xml:space="preserve"> </w:t>
      </w:r>
      <w:r w:rsidR="00DB495F">
        <w:t>Examples of person-first language include terms such as ‘people with disabilities’, ‘person</w:t>
      </w:r>
      <w:r w:rsidR="00CE70FE">
        <w:t xml:space="preserve"> with autism’ and ‘person with an intellectual disability’</w:t>
      </w:r>
      <w:r w:rsidR="00DB495F">
        <w:t xml:space="preserve">. </w:t>
      </w:r>
      <w:r w:rsidR="00643093">
        <w:rPr>
          <w:lang w:eastAsia="en-IE"/>
        </w:rPr>
        <w:t>This approach seeks to emphasise that a person is</w:t>
      </w:r>
      <w:r w:rsidR="00643093" w:rsidRPr="004118E5">
        <w:rPr>
          <w:lang w:eastAsia="en-IE"/>
        </w:rPr>
        <w:t xml:space="preserve"> first and foremost </w:t>
      </w:r>
      <w:r w:rsidR="00643093">
        <w:rPr>
          <w:lang w:eastAsia="en-IE"/>
        </w:rPr>
        <w:t>a human being</w:t>
      </w:r>
      <w:r w:rsidR="00643093" w:rsidRPr="004118E5">
        <w:rPr>
          <w:lang w:eastAsia="en-IE"/>
        </w:rPr>
        <w:t xml:space="preserve"> en</w:t>
      </w:r>
      <w:r w:rsidR="00643093" w:rsidRPr="005F4D1A">
        <w:rPr>
          <w:lang w:eastAsia="en-IE"/>
        </w:rPr>
        <w:t>titled to human rights</w:t>
      </w:r>
      <w:r w:rsidR="00643093">
        <w:rPr>
          <w:lang w:eastAsia="en-IE"/>
        </w:rPr>
        <w:t>.</w:t>
      </w:r>
      <w:r>
        <w:t xml:space="preserve"> </w:t>
      </w:r>
      <w:r w:rsidR="00DB495F">
        <w:t>Person-first language</w:t>
      </w:r>
      <w:r w:rsidR="00CD576C">
        <w:t xml:space="preserve"> is favoured by the UN</w:t>
      </w:r>
      <w:r w:rsidR="00CD576C">
        <w:rPr>
          <w:rStyle w:val="FootnoteReference"/>
        </w:rPr>
        <w:footnoteReference w:id="6"/>
      </w:r>
      <w:r w:rsidR="00CD576C">
        <w:t xml:space="preserve"> and appears within the CRPD.</w:t>
      </w:r>
      <w:r w:rsidR="009649AB">
        <w:t xml:space="preserve"> </w:t>
      </w:r>
      <w:r>
        <w:t>However, it is not</w:t>
      </w:r>
      <w:r w:rsidR="00E538C3">
        <w:t xml:space="preserve"> a</w:t>
      </w:r>
      <w:r>
        <w:t xml:space="preserve"> universally accepted</w:t>
      </w:r>
      <w:r w:rsidR="00E538C3">
        <w:t xml:space="preserve"> approach</w:t>
      </w:r>
      <w:r w:rsidR="00612446">
        <w:t>.</w:t>
      </w:r>
    </w:p>
    <w:p w14:paraId="5BDEE12C" w14:textId="288DD23E" w:rsidR="00053A6C" w:rsidRDefault="007A7E13" w:rsidP="00A01BF4">
      <w:r>
        <w:t>The second common</w:t>
      </w:r>
      <w:r w:rsidR="00DB495F">
        <w:t xml:space="preserve"> approach is </w:t>
      </w:r>
      <w:r>
        <w:t>often referred to a</w:t>
      </w:r>
      <w:r w:rsidR="00DB495F">
        <w:t>s identity-first</w:t>
      </w:r>
      <w:r>
        <w:t xml:space="preserve"> or social model</w:t>
      </w:r>
      <w:r w:rsidR="00DB495F">
        <w:t xml:space="preserve"> language</w:t>
      </w:r>
      <w:r w:rsidR="00643093">
        <w:t xml:space="preserve">. Examples of </w:t>
      </w:r>
      <w:r>
        <w:t>this</w:t>
      </w:r>
      <w:r w:rsidR="00643093">
        <w:t xml:space="preserve"> </w:t>
      </w:r>
      <w:r w:rsidR="0081285E">
        <w:t>include t</w:t>
      </w:r>
      <w:r w:rsidR="00CE70FE">
        <w:t xml:space="preserve">erms such as ‘disabled person’ or </w:t>
      </w:r>
      <w:r w:rsidR="0081285E">
        <w:t>‘auti</w:t>
      </w:r>
      <w:r w:rsidR="00CE70FE">
        <w:t>stic person’</w:t>
      </w:r>
      <w:r w:rsidR="0081285E">
        <w:t xml:space="preserve">.  Proponents of </w:t>
      </w:r>
      <w:r>
        <w:t>this approach state</w:t>
      </w:r>
      <w:r w:rsidR="003E01E4">
        <w:t xml:space="preserve"> </w:t>
      </w:r>
      <w:r w:rsidR="00D26AED">
        <w:t xml:space="preserve">that </w:t>
      </w:r>
      <w:r>
        <w:t xml:space="preserve">person-first </w:t>
      </w:r>
      <w:r w:rsidR="00516497">
        <w:t>language</w:t>
      </w:r>
      <w:r w:rsidR="00620711">
        <w:t xml:space="preserve"> reflects a me</w:t>
      </w:r>
      <w:r>
        <w:t>dical model understanding of</w:t>
      </w:r>
      <w:r w:rsidR="00620711">
        <w:t xml:space="preserve"> disability in which a person’s </w:t>
      </w:r>
      <w:r w:rsidR="004176BE">
        <w:t xml:space="preserve">impairment </w:t>
      </w:r>
      <w:r w:rsidR="003E01E4">
        <w:t xml:space="preserve">is </w:t>
      </w:r>
      <w:r w:rsidR="00516497">
        <w:t>seen</w:t>
      </w:r>
      <w:r w:rsidR="003E01E4">
        <w:t xml:space="preserve"> </w:t>
      </w:r>
      <w:r w:rsidR="0081285E">
        <w:t>as</w:t>
      </w:r>
      <w:r w:rsidR="00643093">
        <w:t xml:space="preserve"> </w:t>
      </w:r>
      <w:r w:rsidR="003E01E4">
        <w:t>separate</w:t>
      </w:r>
      <w:r w:rsidR="0081285E">
        <w:t xml:space="preserve"> from the</w:t>
      </w:r>
      <w:r w:rsidR="00643093">
        <w:t xml:space="preserve"> person,</w:t>
      </w:r>
      <w:r w:rsidR="0081285E">
        <w:t xml:space="preserve"> and </w:t>
      </w:r>
      <w:r w:rsidR="00643093">
        <w:t xml:space="preserve">therefore </w:t>
      </w:r>
      <w:r w:rsidR="0081285E">
        <w:t xml:space="preserve">something to be </w:t>
      </w:r>
      <w:r w:rsidR="0081285E">
        <w:lastRenderedPageBreak/>
        <w:t xml:space="preserve">fixed or cured. </w:t>
      </w:r>
      <w:r w:rsidR="00D40D02">
        <w:t>I</w:t>
      </w:r>
      <w:r w:rsidR="00404217">
        <w:t>dentity-first</w:t>
      </w:r>
      <w:r>
        <w:t xml:space="preserve"> or social model</w:t>
      </w:r>
      <w:r w:rsidR="00404217">
        <w:t xml:space="preserve"> language</w:t>
      </w:r>
      <w:r w:rsidR="0081285E">
        <w:t xml:space="preserve"> instead </w:t>
      </w:r>
      <w:r w:rsidR="00643093">
        <w:t>seeks to emphasise</w:t>
      </w:r>
      <w:r w:rsidR="00DB495F">
        <w:t xml:space="preserve"> that </w:t>
      </w:r>
      <w:r w:rsidR="0081285E">
        <w:t>people are disabled</w:t>
      </w:r>
      <w:r w:rsidR="00404217">
        <w:t xml:space="preserve"> </w:t>
      </w:r>
      <w:r w:rsidR="0081285E">
        <w:t>by barriers in the environment and in society</w:t>
      </w:r>
      <w:r w:rsidR="00DB495F">
        <w:t>, rather than their impairment</w:t>
      </w:r>
      <w:r w:rsidR="0081285E">
        <w:t xml:space="preserve">. </w:t>
      </w:r>
      <w:r w:rsidR="00643093">
        <w:t xml:space="preserve">This </w:t>
      </w:r>
      <w:r w:rsidR="003E01E4">
        <w:t>shifts the focus from ‘fixing’ the individual towards creating a more inclusive society through changing attitudes and improving accessibility for all</w:t>
      </w:r>
      <w:r w:rsidR="004176BE">
        <w:t>.</w:t>
      </w:r>
      <w:r w:rsidR="00D40D02">
        <w:t xml:space="preserve"> </w:t>
      </w:r>
    </w:p>
    <w:p w14:paraId="6AE35303" w14:textId="6ACAF83D" w:rsidR="0098171F" w:rsidRDefault="00672551" w:rsidP="00A01BF4">
      <w:r>
        <w:rPr>
          <w:color w:val="000000"/>
          <w:szCs w:val="26"/>
        </w:rPr>
        <w:t xml:space="preserve">The </w:t>
      </w:r>
      <w:r w:rsidR="00786851">
        <w:rPr>
          <w:color w:val="000000"/>
          <w:szCs w:val="26"/>
        </w:rPr>
        <w:t>NDA</w:t>
      </w:r>
      <w:r w:rsidR="004176BE">
        <w:rPr>
          <w:color w:val="000000"/>
          <w:szCs w:val="26"/>
        </w:rPr>
        <w:t xml:space="preserve"> recognises </w:t>
      </w:r>
      <w:r w:rsidR="00786851">
        <w:rPr>
          <w:color w:val="000000"/>
          <w:szCs w:val="26"/>
        </w:rPr>
        <w:t xml:space="preserve">both </w:t>
      </w:r>
      <w:r w:rsidR="00516497">
        <w:rPr>
          <w:color w:val="000000"/>
          <w:szCs w:val="26"/>
        </w:rPr>
        <w:t xml:space="preserve">person-first and identity-first/social model </w:t>
      </w:r>
      <w:r w:rsidR="00786851">
        <w:rPr>
          <w:color w:val="000000"/>
          <w:szCs w:val="26"/>
        </w:rPr>
        <w:t>language.</w:t>
      </w:r>
      <w:r w:rsidR="00612446">
        <w:rPr>
          <w:color w:val="000000"/>
          <w:szCs w:val="26"/>
        </w:rPr>
        <w:t xml:space="preserve"> In our</w:t>
      </w:r>
      <w:r w:rsidR="00643093">
        <w:rPr>
          <w:color w:val="000000"/>
          <w:szCs w:val="26"/>
        </w:rPr>
        <w:t xml:space="preserve"> 2021</w:t>
      </w:r>
      <w:r w:rsidR="00612446">
        <w:rPr>
          <w:color w:val="000000"/>
          <w:szCs w:val="26"/>
        </w:rPr>
        <w:t xml:space="preserve"> consultation with D</w:t>
      </w:r>
      <w:r w:rsidR="00887C81">
        <w:rPr>
          <w:color w:val="000000"/>
          <w:szCs w:val="26"/>
        </w:rPr>
        <w:t xml:space="preserve">isabled </w:t>
      </w:r>
      <w:r w:rsidR="00612446">
        <w:rPr>
          <w:color w:val="000000"/>
          <w:szCs w:val="26"/>
        </w:rPr>
        <w:t>P</w:t>
      </w:r>
      <w:r w:rsidR="00887C81">
        <w:rPr>
          <w:color w:val="000000"/>
          <w:szCs w:val="26"/>
        </w:rPr>
        <w:t xml:space="preserve">erson’s </w:t>
      </w:r>
      <w:r w:rsidR="00612446">
        <w:rPr>
          <w:color w:val="000000"/>
          <w:szCs w:val="26"/>
        </w:rPr>
        <w:t>O</w:t>
      </w:r>
      <w:r w:rsidR="00887C81">
        <w:rPr>
          <w:color w:val="000000"/>
          <w:szCs w:val="26"/>
        </w:rPr>
        <w:t>rganisation</w:t>
      </w:r>
      <w:r w:rsidR="00612446">
        <w:rPr>
          <w:color w:val="000000"/>
          <w:szCs w:val="26"/>
        </w:rPr>
        <w:t>s</w:t>
      </w:r>
      <w:r w:rsidR="00887C81">
        <w:rPr>
          <w:color w:val="000000"/>
          <w:szCs w:val="26"/>
        </w:rPr>
        <w:t xml:space="preserve"> (DPOs)</w:t>
      </w:r>
      <w:r w:rsidR="00612446">
        <w:rPr>
          <w:color w:val="000000"/>
          <w:szCs w:val="26"/>
        </w:rPr>
        <w:t>,</w:t>
      </w:r>
      <w:r w:rsidR="00612446">
        <w:rPr>
          <w:rStyle w:val="FootnoteReference"/>
          <w:color w:val="000000"/>
          <w:szCs w:val="26"/>
        </w:rPr>
        <w:footnoteReference w:id="7"/>
      </w:r>
      <w:r w:rsidR="00612446">
        <w:rPr>
          <w:color w:val="000000"/>
          <w:szCs w:val="26"/>
        </w:rPr>
        <w:t xml:space="preserve"> there was a preference for identity-first language among most, but not all, who </w:t>
      </w:r>
      <w:r w:rsidR="00746999">
        <w:rPr>
          <w:color w:val="000000"/>
          <w:szCs w:val="26"/>
        </w:rPr>
        <w:t>gave feedback</w:t>
      </w:r>
      <w:r w:rsidR="009649AB">
        <w:rPr>
          <w:color w:val="000000"/>
          <w:szCs w:val="26"/>
        </w:rPr>
        <w:t xml:space="preserve">. </w:t>
      </w:r>
      <w:r w:rsidR="009649AB">
        <w:t xml:space="preserve">In particular it is noted that stakeholders with an intellectual disability </w:t>
      </w:r>
      <w:r w:rsidR="000D4294">
        <w:t xml:space="preserve">had a preference for </w:t>
      </w:r>
      <w:r w:rsidR="009649AB">
        <w:t>person-first language. They highlighted that ‘person with an intellectual disability’, rather than ‘intellectually disabled person’ is the preferred term.</w:t>
      </w:r>
      <w:r w:rsidR="0098171F">
        <w:t xml:space="preserve"> </w:t>
      </w:r>
      <w:r w:rsidR="0098171F">
        <w:rPr>
          <w:lang w:eastAsia="en-IE"/>
        </w:rPr>
        <w:t xml:space="preserve">In addition, </w:t>
      </w:r>
      <w:r w:rsidR="004C25AF">
        <w:rPr>
          <w:lang w:eastAsia="en-IE"/>
        </w:rPr>
        <w:t xml:space="preserve">consultation findings from the Department of Housing, Local Government and Heritage found that </w:t>
      </w:r>
      <w:r w:rsidR="0098171F">
        <w:rPr>
          <w:lang w:eastAsia="en-IE"/>
        </w:rPr>
        <w:t>many people with a mental health difficulty or psycho-social disability prefer person-first language.</w:t>
      </w:r>
      <w:r w:rsidR="0098171F">
        <w:rPr>
          <w:rStyle w:val="FootnoteReference"/>
          <w:lang w:eastAsia="en-IE"/>
        </w:rPr>
        <w:footnoteReference w:id="8"/>
      </w:r>
      <w:r w:rsidR="0098171F">
        <w:rPr>
          <w:lang w:eastAsia="en-IE"/>
        </w:rPr>
        <w:t xml:space="preserve"> </w:t>
      </w:r>
      <w:r w:rsidR="009649AB">
        <w:t xml:space="preserve"> </w:t>
      </w:r>
    </w:p>
    <w:p w14:paraId="107130DA" w14:textId="5E3B4390" w:rsidR="00612446" w:rsidRPr="00391B38" w:rsidRDefault="003B342D" w:rsidP="00A01BF4">
      <w:r>
        <w:t>The R</w:t>
      </w:r>
      <w:r w:rsidR="00612446">
        <w:t>eport from Public and Stakeholder Consultations</w:t>
      </w:r>
      <w:r w:rsidR="00612446">
        <w:rPr>
          <w:rStyle w:val="FootnoteReference"/>
        </w:rPr>
        <w:footnoteReference w:id="9"/>
      </w:r>
      <w:r w:rsidR="00612446">
        <w:t xml:space="preserve"> on Ireland’s draft State Party Report on the UNCRPD outlined that t</w:t>
      </w:r>
      <w:r w:rsidR="00612446" w:rsidRPr="00BC01B1">
        <w:rPr>
          <w:szCs w:val="26"/>
        </w:rPr>
        <w:t xml:space="preserve">here was mixed feedback on the terminology used in the Draft State Report, with </w:t>
      </w:r>
      <w:r w:rsidR="00516497">
        <w:rPr>
          <w:szCs w:val="26"/>
        </w:rPr>
        <w:t>some preferring the term ‘disabled people</w:t>
      </w:r>
      <w:r w:rsidR="00612446" w:rsidRPr="00BC01B1">
        <w:rPr>
          <w:szCs w:val="26"/>
        </w:rPr>
        <w:t>’ and some preferring ‘people with disabilities.’</w:t>
      </w:r>
      <w:r w:rsidR="00391B38">
        <w:rPr>
          <w:szCs w:val="26"/>
        </w:rPr>
        <w:t xml:space="preserve"> </w:t>
      </w:r>
      <w:r w:rsidR="00391B38">
        <w:t xml:space="preserve">A summary report on the submissions received by DCEDIY on the Draft State Party Report also highlighted that there were </w:t>
      </w:r>
      <w:r w:rsidR="00516497">
        <w:t xml:space="preserve">varied </w:t>
      </w:r>
      <w:r w:rsidR="00391B38">
        <w:t xml:space="preserve">opinions on </w:t>
      </w:r>
      <w:r w:rsidR="00516497">
        <w:t xml:space="preserve">the </w:t>
      </w:r>
      <w:r w:rsidR="00391B38">
        <w:t>language use</w:t>
      </w:r>
      <w:r w:rsidR="00516497">
        <w:t>d</w:t>
      </w:r>
      <w:r w:rsidR="00391B38">
        <w:t xml:space="preserve"> in the State Report.</w:t>
      </w:r>
      <w:r>
        <w:rPr>
          <w:rStyle w:val="FootnoteReference"/>
        </w:rPr>
        <w:footnoteReference w:id="10"/>
      </w:r>
      <w:r w:rsidR="00391B38">
        <w:t xml:space="preserve"> </w:t>
      </w:r>
    </w:p>
    <w:p w14:paraId="685F23FE" w14:textId="426C79D8" w:rsidR="00A54AB7" w:rsidRPr="00A54AB7" w:rsidRDefault="00786851" w:rsidP="00A54AB7">
      <w:pPr>
        <w:rPr>
          <w:color w:val="000000"/>
          <w:szCs w:val="26"/>
        </w:rPr>
      </w:pPr>
      <w:r>
        <w:rPr>
          <w:color w:val="000000"/>
          <w:szCs w:val="26"/>
        </w:rPr>
        <w:t xml:space="preserve">The NDA also acknowledges </w:t>
      </w:r>
      <w:r w:rsidR="004176BE">
        <w:rPr>
          <w:color w:val="000000"/>
          <w:szCs w:val="26"/>
        </w:rPr>
        <w:t>that some disabled peopl</w:t>
      </w:r>
      <w:r w:rsidR="00F06522">
        <w:rPr>
          <w:color w:val="000000"/>
          <w:szCs w:val="26"/>
        </w:rPr>
        <w:t>e/people with disabilities do not</w:t>
      </w:r>
      <w:r w:rsidR="004176BE">
        <w:rPr>
          <w:color w:val="000000"/>
          <w:szCs w:val="26"/>
        </w:rPr>
        <w:t xml:space="preserve"> identify with either te</w:t>
      </w:r>
      <w:r w:rsidR="0092664F">
        <w:rPr>
          <w:color w:val="000000"/>
          <w:szCs w:val="26"/>
        </w:rPr>
        <w:t>rm. For example,</w:t>
      </w:r>
      <w:r w:rsidR="00516497">
        <w:rPr>
          <w:color w:val="000000"/>
          <w:szCs w:val="26"/>
        </w:rPr>
        <w:t xml:space="preserve"> some</w:t>
      </w:r>
      <w:r w:rsidR="0092664F">
        <w:rPr>
          <w:color w:val="000000"/>
          <w:szCs w:val="26"/>
        </w:rPr>
        <w:t xml:space="preserve"> older people</w:t>
      </w:r>
      <w:r w:rsidR="00746999">
        <w:rPr>
          <w:color w:val="000000"/>
          <w:szCs w:val="26"/>
        </w:rPr>
        <w:t xml:space="preserve"> with a disability,</w:t>
      </w:r>
      <w:r w:rsidR="00CE70FE">
        <w:rPr>
          <w:color w:val="000000"/>
          <w:szCs w:val="26"/>
        </w:rPr>
        <w:t xml:space="preserve"> </w:t>
      </w:r>
      <w:r w:rsidR="00516497">
        <w:rPr>
          <w:color w:val="000000"/>
          <w:szCs w:val="26"/>
        </w:rPr>
        <w:t>some people</w:t>
      </w:r>
      <w:r w:rsidR="00CE70FE">
        <w:rPr>
          <w:color w:val="000000"/>
          <w:szCs w:val="26"/>
        </w:rPr>
        <w:t xml:space="preserve"> with </w:t>
      </w:r>
      <w:r w:rsidR="00925390">
        <w:rPr>
          <w:color w:val="000000"/>
          <w:szCs w:val="26"/>
        </w:rPr>
        <w:t>non-visible</w:t>
      </w:r>
      <w:r w:rsidR="00CE70FE">
        <w:rPr>
          <w:color w:val="000000"/>
          <w:szCs w:val="26"/>
        </w:rPr>
        <w:t xml:space="preserve"> disabilities (including mental health difficulties), </w:t>
      </w:r>
      <w:r w:rsidR="00391B38">
        <w:rPr>
          <w:color w:val="000000"/>
          <w:szCs w:val="26"/>
        </w:rPr>
        <w:t>and members of the Deaf community</w:t>
      </w:r>
      <w:r w:rsidR="004176BE">
        <w:rPr>
          <w:color w:val="000000"/>
          <w:szCs w:val="26"/>
        </w:rPr>
        <w:t xml:space="preserve"> don’t necessarily identify as disabled.</w:t>
      </w:r>
      <w:r w:rsidR="00672551">
        <w:rPr>
          <w:color w:val="000000"/>
          <w:szCs w:val="26"/>
        </w:rPr>
        <w:t xml:space="preserve"> </w:t>
      </w:r>
    </w:p>
    <w:p w14:paraId="7E1E4296" w14:textId="77777777" w:rsidR="00D44D7A" w:rsidRDefault="00D44D7A" w:rsidP="00D44D7A">
      <w:pPr>
        <w:pStyle w:val="Heading2"/>
      </w:pPr>
      <w:bookmarkStart w:id="9" w:name="_Toc107232391"/>
      <w:r>
        <w:t>UNCRPD and language</w:t>
      </w:r>
      <w:bookmarkEnd w:id="9"/>
    </w:p>
    <w:p w14:paraId="69ED7332" w14:textId="23F08145" w:rsidR="00D44D7A" w:rsidRPr="00D44D7A" w:rsidRDefault="00D44D7A" w:rsidP="00D44D7A">
      <w:pPr>
        <w:rPr>
          <w:color w:val="000000"/>
          <w:szCs w:val="26"/>
        </w:rPr>
      </w:pPr>
      <w:r>
        <w:t xml:space="preserve">The language used in the UN Convention on the Rights of Persons with Disabilities reflects the person-first approach, with the term ‘persons with </w:t>
      </w:r>
      <w:r>
        <w:lastRenderedPageBreak/>
        <w:t xml:space="preserve">disabilities’ used throughout. </w:t>
      </w:r>
      <w:r>
        <w:rPr>
          <w:color w:val="000000"/>
          <w:szCs w:val="26"/>
        </w:rPr>
        <w:t>However, ratification of UNCRPD does not prevent countries from choosing t</w:t>
      </w:r>
      <w:r w:rsidR="003B342D">
        <w:rPr>
          <w:color w:val="000000"/>
          <w:szCs w:val="26"/>
        </w:rPr>
        <w:t>heir own approach to language. For example, a</w:t>
      </w:r>
      <w:r>
        <w:rPr>
          <w:color w:val="000000"/>
          <w:szCs w:val="26"/>
        </w:rPr>
        <w:t xml:space="preserve"> review carried out by the Department of Housing</w:t>
      </w:r>
      <w:r w:rsidR="004C25AF">
        <w:rPr>
          <w:color w:val="000000"/>
          <w:szCs w:val="26"/>
        </w:rPr>
        <w:t>, Local Government and Heritage</w:t>
      </w:r>
      <w:r>
        <w:rPr>
          <w:color w:val="000000"/>
          <w:szCs w:val="26"/>
        </w:rPr>
        <w:t xml:space="preserve"> found that the England, Wales and New Zealand use ‘identity-first’ language</w:t>
      </w:r>
      <w:r w:rsidR="00720917">
        <w:rPr>
          <w:color w:val="000000"/>
          <w:szCs w:val="26"/>
        </w:rPr>
        <w:t xml:space="preserve"> (e.g. ‘disabled person’)</w:t>
      </w:r>
      <w:r>
        <w:rPr>
          <w:color w:val="000000"/>
          <w:szCs w:val="26"/>
        </w:rPr>
        <w:t xml:space="preserve"> in their national disability strategies. The UN accepts these alternative uses of language.</w:t>
      </w:r>
      <w:r>
        <w:rPr>
          <w:rStyle w:val="FootnoteReference"/>
          <w:color w:val="000000"/>
          <w:szCs w:val="26"/>
        </w:rPr>
        <w:footnoteReference w:id="11"/>
      </w:r>
    </w:p>
    <w:p w14:paraId="556924FF" w14:textId="7EC7BE83" w:rsidR="002823B4" w:rsidRDefault="002823B4" w:rsidP="002823B4">
      <w:pPr>
        <w:pStyle w:val="Heading2"/>
      </w:pPr>
      <w:bookmarkStart w:id="10" w:name="_Toc107232392"/>
      <w:r>
        <w:t>Language and the Deaf community</w:t>
      </w:r>
      <w:bookmarkEnd w:id="10"/>
    </w:p>
    <w:p w14:paraId="3DBD30B1" w14:textId="423CB72F" w:rsidR="00107C73" w:rsidRDefault="00134FEE" w:rsidP="002823B4">
      <w:r>
        <w:t>There are particular considerations to be aware of with regard to language and the Deaf community</w:t>
      </w:r>
      <w:r w:rsidR="001B3BA0">
        <w:t xml:space="preserve"> which were highlighted in our consultation with the Irish Deaf Society</w:t>
      </w:r>
      <w:r w:rsidRPr="006A3035">
        <w:t xml:space="preserve">. </w:t>
      </w:r>
      <w:r w:rsidR="006A3035" w:rsidRPr="006A3035">
        <w:t>The Irish Sign Language Act 2017 recognised the right of ISL users to use ISL as their native language</w:t>
      </w:r>
      <w:r>
        <w:t xml:space="preserve">. </w:t>
      </w:r>
      <w:r w:rsidR="00694041">
        <w:t>Members of t</w:t>
      </w:r>
      <w:r w:rsidR="00391B38">
        <w:t>he Deaf community</w:t>
      </w:r>
      <w:r w:rsidR="003B342D">
        <w:t xml:space="preserve"> who use ISL as their preferred language</w:t>
      </w:r>
      <w:r w:rsidR="00391B38">
        <w:t xml:space="preserve"> identify as a cultural and linguistic minority group, rather than as persons with a disability. </w:t>
      </w:r>
      <w:r w:rsidR="003B342D">
        <w:t>There are also deaf and hard-of-hearing people who do not use Irish Sign Language</w:t>
      </w:r>
      <w:r w:rsidR="00694041">
        <w:t>, who may or may not identify as disabled</w:t>
      </w:r>
      <w:r w:rsidR="003B342D">
        <w:t xml:space="preserve">. </w:t>
      </w:r>
      <w:r w:rsidR="00857524">
        <w:t>Deaf is sometimes spelled with a small ‘d’ (deaf) or a capital ‘d’ (Deaf)</w:t>
      </w:r>
      <w:r w:rsidR="00107C73">
        <w:t xml:space="preserve"> to make a distinction between those who use ISL and those who do not</w:t>
      </w:r>
      <w:r w:rsidR="00857524">
        <w:t xml:space="preserve">. </w:t>
      </w:r>
    </w:p>
    <w:p w14:paraId="1E01B8EA" w14:textId="377C7217" w:rsidR="001B6F10" w:rsidRDefault="0092540F" w:rsidP="002823B4">
      <w:r>
        <w:t>Deaf with a capital</w:t>
      </w:r>
      <w:r w:rsidR="00574F32">
        <w:t xml:space="preserve"> ‘D’ </w:t>
      </w:r>
      <w:r w:rsidR="00F04534">
        <w:t>refers to all people who are D</w:t>
      </w:r>
      <w:r>
        <w:t xml:space="preserve">eaf or hard of hearing who identify culturally as Deaf, including </w:t>
      </w:r>
      <w:r w:rsidR="005E6FB6">
        <w:t xml:space="preserve">some people </w:t>
      </w:r>
      <w:r>
        <w:t>who have cochlear implants or hearing aids. This group uses Irish Sign Language as their preferred language.</w:t>
      </w:r>
      <w:r w:rsidR="00107C73">
        <w:t xml:space="preserve"> </w:t>
      </w:r>
      <w:r w:rsidR="00694041">
        <w:t>When spelled with a lower</w:t>
      </w:r>
      <w:r w:rsidR="00857524">
        <w:t xml:space="preserve">case ‘d’, this refers to those who have </w:t>
      </w:r>
      <w:r>
        <w:t xml:space="preserve">other preferences of communication including English, lip-reading, </w:t>
      </w:r>
      <w:r w:rsidR="00857524">
        <w:t xml:space="preserve">and </w:t>
      </w:r>
      <w:r>
        <w:t xml:space="preserve">writing, and may not use Irish Sign Language or be involved in the Deaf community. </w:t>
      </w:r>
      <w:r w:rsidR="00746999">
        <w:t>In some cases, the term</w:t>
      </w:r>
      <w:r>
        <w:t xml:space="preserve"> </w:t>
      </w:r>
      <w:r w:rsidR="00746999">
        <w:t>‘</w:t>
      </w:r>
      <w:r>
        <w:t>d</w:t>
      </w:r>
      <w:r w:rsidR="00857524">
        <w:t>/Deaf</w:t>
      </w:r>
      <w:r w:rsidR="00746999">
        <w:t>’ is used</w:t>
      </w:r>
      <w:r w:rsidR="00694041">
        <w:t>. The use of both the lower</w:t>
      </w:r>
      <w:r w:rsidR="00857524">
        <w:t>case</w:t>
      </w:r>
      <w:r w:rsidR="00694041">
        <w:t xml:space="preserve"> and upper</w:t>
      </w:r>
      <w:r w:rsidR="00857524">
        <w:t>case</w:t>
      </w:r>
      <w:r>
        <w:t xml:space="preserve"> ‘d’ in this instance refers to all those who identify as culturally Deaf and those who do not.</w:t>
      </w:r>
      <w:r w:rsidR="005F3771">
        <w:rPr>
          <w:rStyle w:val="FootnoteReference"/>
        </w:rPr>
        <w:footnoteReference w:id="12"/>
      </w:r>
      <w:r w:rsidR="00107C73">
        <w:t xml:space="preserve"> </w:t>
      </w:r>
      <w:r w:rsidR="00857524">
        <w:t>The NDA acknowledges that preferences vary among individuals.</w:t>
      </w:r>
      <w:r w:rsidR="00C83268">
        <w:t xml:space="preserve"> </w:t>
      </w:r>
    </w:p>
    <w:p w14:paraId="431FAED7" w14:textId="77777777" w:rsidR="0042265E" w:rsidRDefault="007D4B95" w:rsidP="00D44D7A">
      <w:pPr>
        <w:pStyle w:val="Heading1"/>
      </w:pPr>
      <w:bookmarkStart w:id="11" w:name="_Toc107232393"/>
      <w:r>
        <w:t>R</w:t>
      </w:r>
      <w:r w:rsidR="0042265E">
        <w:t>ecommendations</w:t>
      </w:r>
      <w:bookmarkEnd w:id="11"/>
    </w:p>
    <w:p w14:paraId="31835309" w14:textId="35F23D90" w:rsidR="00925441" w:rsidRDefault="00DF7D11" w:rsidP="00925012">
      <w:pPr>
        <w:pStyle w:val="Heading2"/>
        <w:numPr>
          <w:ilvl w:val="0"/>
          <w:numId w:val="25"/>
        </w:numPr>
      </w:pPr>
      <w:bookmarkStart w:id="12" w:name="_Toc107232394"/>
      <w:r>
        <w:t>Take a contextualised,</w:t>
      </w:r>
      <w:r w:rsidR="004C585F">
        <w:t xml:space="preserve"> f</w:t>
      </w:r>
      <w:r w:rsidR="00925441">
        <w:t xml:space="preserve">lexible </w:t>
      </w:r>
      <w:r w:rsidR="004C585F">
        <w:t>approach</w:t>
      </w:r>
      <w:bookmarkEnd w:id="12"/>
    </w:p>
    <w:p w14:paraId="16154D73" w14:textId="03B80B45" w:rsidR="004C585F" w:rsidRDefault="004C585F" w:rsidP="000D69D9">
      <w:r>
        <w:t>The NDA recognises both ‘person with disability’ and ‘d</w:t>
      </w:r>
      <w:r w:rsidR="000D69D9">
        <w:t>isabled person</w:t>
      </w:r>
      <w:r>
        <w:t>’ as valid and legitimate terms. In recognition of varying preferences, t</w:t>
      </w:r>
      <w:r w:rsidR="000D69D9">
        <w:t xml:space="preserve">he NDA </w:t>
      </w:r>
      <w:r w:rsidR="00920CBE">
        <w:t xml:space="preserve">intends to </w:t>
      </w:r>
      <w:r>
        <w:t>adopt a flexible approach, using</w:t>
      </w:r>
      <w:r w:rsidR="000D69D9">
        <w:t xml:space="preserve"> both </w:t>
      </w:r>
      <w:r>
        <w:t>terms interchangeably</w:t>
      </w:r>
      <w:r w:rsidR="000D69D9">
        <w:t>.</w:t>
      </w:r>
      <w:r>
        <w:t xml:space="preserve"> The NDA will continue to use the term ‘persons with disabilities’</w:t>
      </w:r>
      <w:r w:rsidR="00F17770">
        <w:t xml:space="preserve"> when</w:t>
      </w:r>
      <w:r>
        <w:t xml:space="preserve"> directly </w:t>
      </w:r>
      <w:r w:rsidR="00F17770">
        <w:t>referencing</w:t>
      </w:r>
      <w:r>
        <w:t xml:space="preserve"> the UNCRPD.</w:t>
      </w:r>
      <w:r w:rsidR="000D69D9">
        <w:t xml:space="preserve"> </w:t>
      </w:r>
    </w:p>
    <w:p w14:paraId="4A48EBB3" w14:textId="77777777" w:rsidR="00FD02A5" w:rsidRDefault="00FD02A5" w:rsidP="000D69D9">
      <w:r>
        <w:lastRenderedPageBreak/>
        <w:t>D</w:t>
      </w:r>
      <w:r w:rsidR="00F40D3A">
        <w:t>epartments and public bodies may</w:t>
      </w:r>
      <w:r>
        <w:t xml:space="preserve"> consider adding a statement to their documents explaining their </w:t>
      </w:r>
      <w:r w:rsidR="00B534BC">
        <w:t>choice of language. Below are examples of statements</w:t>
      </w:r>
      <w:r w:rsidR="00F17770">
        <w:t xml:space="preserve"> the NDA will</w:t>
      </w:r>
      <w:r w:rsidR="00694041">
        <w:t xml:space="preserve"> insert in</w:t>
      </w:r>
      <w:r w:rsidR="00B534BC">
        <w:t>to its reports:</w:t>
      </w:r>
    </w:p>
    <w:p w14:paraId="6A871155" w14:textId="7303C80A" w:rsidR="00D52258" w:rsidRPr="005F4D1A" w:rsidRDefault="00B534BC" w:rsidP="00B534BC">
      <w:pPr>
        <w:pStyle w:val="BlockQuote"/>
      </w:pPr>
      <w:r>
        <w:t xml:space="preserve">Example 1: </w:t>
      </w:r>
      <w:r w:rsidR="005F4D1A" w:rsidRPr="005F4D1A">
        <w:t xml:space="preserve">In this report, </w:t>
      </w:r>
      <w:r w:rsidR="00D52258" w:rsidRPr="005F4D1A">
        <w:t xml:space="preserve">the terms </w:t>
      </w:r>
      <w:r w:rsidR="00F17770">
        <w:t>“</w:t>
      </w:r>
      <w:r w:rsidR="00D52258" w:rsidRPr="005F4D1A">
        <w:t>people with disabilities</w:t>
      </w:r>
      <w:r w:rsidR="00F17770">
        <w:t>”</w:t>
      </w:r>
      <w:r w:rsidR="00D52258" w:rsidRPr="005F4D1A">
        <w:t xml:space="preserve"> and </w:t>
      </w:r>
      <w:r w:rsidR="00F17770">
        <w:t>“</w:t>
      </w:r>
      <w:r w:rsidR="00D52258" w:rsidRPr="005F4D1A">
        <w:t>disabled people</w:t>
      </w:r>
      <w:r w:rsidR="00F17770">
        <w:t xml:space="preserve">” </w:t>
      </w:r>
      <w:r w:rsidR="005F4D1A" w:rsidRPr="005F4D1A">
        <w:t xml:space="preserve">are used </w:t>
      </w:r>
      <w:r w:rsidR="00D52258" w:rsidRPr="005F4D1A">
        <w:t>i</w:t>
      </w:r>
      <w:r w:rsidR="005F4D1A" w:rsidRPr="005F4D1A">
        <w:t xml:space="preserve">nterchangeably. </w:t>
      </w:r>
      <w:r w:rsidR="005F4D1A" w:rsidRPr="004118E5">
        <w:rPr>
          <w:lang w:eastAsia="en-IE"/>
        </w:rPr>
        <w:t>The term ‘disabled people’ is recognised by</w:t>
      </w:r>
      <w:r>
        <w:rPr>
          <w:lang w:eastAsia="en-IE"/>
        </w:rPr>
        <w:t xml:space="preserve"> many within</w:t>
      </w:r>
      <w:r w:rsidR="005F4D1A" w:rsidRPr="004118E5">
        <w:rPr>
          <w:lang w:eastAsia="en-IE"/>
        </w:rPr>
        <w:t xml:space="preserve"> the disa</w:t>
      </w:r>
      <w:r w:rsidR="005F4D1A" w:rsidRPr="005F4D1A">
        <w:rPr>
          <w:lang w:eastAsia="en-IE"/>
        </w:rPr>
        <w:t>bility rights movement in Ireland</w:t>
      </w:r>
      <w:r w:rsidR="005F4D1A" w:rsidRPr="004118E5">
        <w:rPr>
          <w:lang w:eastAsia="en-IE"/>
        </w:rPr>
        <w:t xml:space="preserve"> to align with the social and human rights model of disability, as it is considered to acknowledge the fact that people with an impairment are disabled by barriers in the environment and society. However</w:t>
      </w:r>
      <w:r w:rsidR="00BB4AE5">
        <w:rPr>
          <w:lang w:eastAsia="en-IE"/>
        </w:rPr>
        <w:t>,</w:t>
      </w:r>
      <w:r w:rsidR="005F4D1A" w:rsidRPr="004118E5">
        <w:rPr>
          <w:lang w:eastAsia="en-IE"/>
        </w:rPr>
        <w:t xml:space="preserve"> we </w:t>
      </w:r>
      <w:r>
        <w:rPr>
          <w:lang w:eastAsia="en-IE"/>
        </w:rPr>
        <w:t xml:space="preserve">also </w:t>
      </w:r>
      <w:r w:rsidR="005F4D1A" w:rsidRPr="004118E5">
        <w:rPr>
          <w:lang w:eastAsia="en-IE"/>
        </w:rPr>
        <w:t>recognise that others prefer the term “persons with disabilities” because of the inherent understanding in the term that they are first and foremost human beings en</w:t>
      </w:r>
      <w:r w:rsidR="005F4D1A" w:rsidRPr="005F4D1A">
        <w:rPr>
          <w:lang w:eastAsia="en-IE"/>
        </w:rPr>
        <w:t>titled to human rights. This also</w:t>
      </w:r>
      <w:r>
        <w:rPr>
          <w:lang w:eastAsia="en-IE"/>
        </w:rPr>
        <w:t xml:space="preserve"> reflects</w:t>
      </w:r>
      <w:r w:rsidR="005F4D1A" w:rsidRPr="005F4D1A">
        <w:rPr>
          <w:lang w:eastAsia="en-IE"/>
        </w:rPr>
        <w:t xml:space="preserve"> </w:t>
      </w:r>
      <w:r w:rsidR="005F4D1A" w:rsidRPr="004118E5">
        <w:rPr>
          <w:lang w:eastAsia="en-IE"/>
        </w:rPr>
        <w:t xml:space="preserve">the language used in the </w:t>
      </w:r>
      <w:r>
        <w:rPr>
          <w:lang w:eastAsia="en-IE"/>
        </w:rPr>
        <w:t>UN</w:t>
      </w:r>
      <w:r w:rsidR="005F4D1A" w:rsidRPr="004118E5">
        <w:rPr>
          <w:lang w:eastAsia="en-IE"/>
        </w:rPr>
        <w:t>CRPD.</w:t>
      </w:r>
      <w:r>
        <w:rPr>
          <w:lang w:eastAsia="en-IE"/>
        </w:rPr>
        <w:t xml:space="preserve"> </w:t>
      </w:r>
      <w:r w:rsidR="0098171F">
        <w:rPr>
          <w:lang w:eastAsia="en-IE"/>
        </w:rPr>
        <w:t xml:space="preserve">We recognise that many people with an intellectual disability, people with a mental health difficulty or psycho-social disability prefer person-first language. </w:t>
      </w:r>
      <w:r w:rsidR="00BC2A5D">
        <w:rPr>
          <w:lang w:eastAsia="en-IE"/>
        </w:rPr>
        <w:t xml:space="preserve">We also recognise that some people </w:t>
      </w:r>
      <w:r w:rsidR="001418C6">
        <w:rPr>
          <w:lang w:eastAsia="en-IE"/>
        </w:rPr>
        <w:t>don’t identify with either term</w:t>
      </w:r>
      <w:r w:rsidR="00BC2A5D">
        <w:rPr>
          <w:lang w:eastAsia="en-IE"/>
        </w:rPr>
        <w:t xml:space="preserve">. </w:t>
      </w:r>
      <w:r>
        <w:rPr>
          <w:lang w:eastAsia="en-IE"/>
        </w:rPr>
        <w:t>You can find our full statement on language here [link].</w:t>
      </w:r>
    </w:p>
    <w:p w14:paraId="5AB0EBE1" w14:textId="0D098054" w:rsidR="00B534BC" w:rsidRPr="005F4D1A" w:rsidRDefault="00B534BC" w:rsidP="00DF7D11">
      <w:pPr>
        <w:pStyle w:val="BlockQuote"/>
      </w:pPr>
      <w:r>
        <w:rPr>
          <w:lang w:eastAsia="en-IE"/>
        </w:rPr>
        <w:t xml:space="preserve">Example 2: </w:t>
      </w:r>
      <w:r w:rsidR="00F17770">
        <w:rPr>
          <w:lang w:eastAsia="en-IE"/>
        </w:rPr>
        <w:t>In this report,</w:t>
      </w:r>
      <w:r w:rsidR="005F4D1A" w:rsidRPr="005F4D1A">
        <w:rPr>
          <w:lang w:eastAsia="en-IE"/>
        </w:rPr>
        <w:t xml:space="preserve"> the term ‘Deaf’ with an uppercase ‘d’ </w:t>
      </w:r>
      <w:r w:rsidR="00F17770">
        <w:rPr>
          <w:lang w:eastAsia="en-IE"/>
        </w:rPr>
        <w:t xml:space="preserve">is used </w:t>
      </w:r>
      <w:r w:rsidR="005F4D1A" w:rsidRPr="005F4D1A">
        <w:rPr>
          <w:lang w:eastAsia="en-IE"/>
        </w:rPr>
        <w:t>when referring to those who</w:t>
      </w:r>
      <w:r w:rsidR="001418C6">
        <w:rPr>
          <w:lang w:eastAsia="en-IE"/>
        </w:rPr>
        <w:t xml:space="preserve"> are Deaf or hard-of-hearing who</w:t>
      </w:r>
      <w:r w:rsidR="005F4D1A" w:rsidRPr="005F4D1A">
        <w:rPr>
          <w:lang w:eastAsia="en-IE"/>
        </w:rPr>
        <w:t xml:space="preserve"> identify culturally and linguistically as part of the Deaf community</w:t>
      </w:r>
      <w:r w:rsidR="001418C6">
        <w:rPr>
          <w:lang w:eastAsia="en-IE"/>
        </w:rPr>
        <w:t xml:space="preserve"> and who use Irish Sign Language as their first or preferred language</w:t>
      </w:r>
      <w:r w:rsidR="005F4D1A" w:rsidRPr="005F4D1A">
        <w:rPr>
          <w:lang w:eastAsia="en-IE"/>
        </w:rPr>
        <w:t xml:space="preserve">. </w:t>
      </w:r>
      <w:r w:rsidR="005F4D1A" w:rsidRPr="005F4D1A">
        <w:t xml:space="preserve"> A lower case ‘d’ is used to refe</w:t>
      </w:r>
      <w:r>
        <w:t>r to those who are deaf or hard-of-</w:t>
      </w:r>
      <w:r w:rsidR="005F4D1A" w:rsidRPr="005F4D1A">
        <w:t>hearing and who do not identify culturally and linguistically as a member of the Deaf community. The term ‘d/Deaf’ is used to refer to both groups.</w:t>
      </w:r>
      <w:r>
        <w:t xml:space="preserve"> </w:t>
      </w:r>
      <w:r>
        <w:rPr>
          <w:lang w:eastAsia="en-IE"/>
        </w:rPr>
        <w:t>You can find our full statement on language here [link].</w:t>
      </w:r>
    </w:p>
    <w:p w14:paraId="5055F632" w14:textId="027C9EB1" w:rsidR="00F17770" w:rsidRDefault="00F17770" w:rsidP="00925012">
      <w:pPr>
        <w:pStyle w:val="Heading2"/>
        <w:numPr>
          <w:ilvl w:val="0"/>
          <w:numId w:val="25"/>
        </w:numPr>
      </w:pPr>
      <w:bookmarkStart w:id="13" w:name="_Toc107232395"/>
      <w:r>
        <w:t xml:space="preserve">Ask </w:t>
      </w:r>
      <w:r w:rsidR="00925012">
        <w:t>people about their preferences</w:t>
      </w:r>
      <w:bookmarkEnd w:id="13"/>
    </w:p>
    <w:p w14:paraId="0CD2C5BE" w14:textId="647273BE" w:rsidR="00F17770" w:rsidRPr="0081101D" w:rsidRDefault="00F17770" w:rsidP="00F17770">
      <w:r>
        <w:t xml:space="preserve">Disabled people are not a homogenous group and may choose to identify in various ways. Furthermore, language changes and evolves over time. DPOs are the organisations best placed to advise with regard to the most up to date </w:t>
      </w:r>
      <w:r w:rsidR="00694041">
        <w:t>language. Many</w:t>
      </w:r>
      <w:r>
        <w:t xml:space="preserve"> national DPOs have guidelines on language on their websites which were developed collectively wi</w:t>
      </w:r>
      <w:r w:rsidR="005946AF">
        <w:t>th their members (see Annex 2</w:t>
      </w:r>
      <w:r>
        <w:t>).</w:t>
      </w:r>
      <w:r w:rsidR="007240FA">
        <w:t xml:space="preserve"> The views of some DPOs may differ from others. A flexible approach which is respectful </w:t>
      </w:r>
      <w:r w:rsidR="00152A89">
        <w:t xml:space="preserve">to all </w:t>
      </w:r>
      <w:r w:rsidR="007240FA">
        <w:t>can be adopted.</w:t>
      </w:r>
      <w:r w:rsidR="007240FA">
        <w:rPr>
          <w:rStyle w:val="FootnoteReference"/>
        </w:rPr>
        <w:footnoteReference w:id="13"/>
      </w:r>
      <w:r>
        <w:t xml:space="preserve"> If engaging with a disabled individual in a consultation or </w:t>
      </w:r>
      <w:r>
        <w:lastRenderedPageBreak/>
        <w:t xml:space="preserve">meeting, it is always best to ask a person their preference with regard how to refer to them. </w:t>
      </w:r>
    </w:p>
    <w:p w14:paraId="0CF8BAE1" w14:textId="1DCD3A63" w:rsidR="0081101D" w:rsidRPr="0012768D" w:rsidRDefault="00570CAE" w:rsidP="00925012">
      <w:pPr>
        <w:pStyle w:val="Heading2"/>
        <w:numPr>
          <w:ilvl w:val="0"/>
          <w:numId w:val="25"/>
        </w:numPr>
      </w:pPr>
      <w:bookmarkStart w:id="14" w:name="_Toc107232396"/>
      <w:r>
        <w:t>Avoid</w:t>
      </w:r>
      <w:r w:rsidR="0081101D">
        <w:t xml:space="preserve"> medicalised language</w:t>
      </w:r>
      <w:bookmarkEnd w:id="14"/>
    </w:p>
    <w:p w14:paraId="3D260DB3" w14:textId="5A2D5068" w:rsidR="0081101D" w:rsidRDefault="00454EE1" w:rsidP="00454EE1">
      <w:r>
        <w:t>D</w:t>
      </w:r>
      <w:r w:rsidR="008C65B1">
        <w:t xml:space="preserve">isability is not a health condition that needs to be fixed or cured. </w:t>
      </w:r>
      <w:r w:rsidR="0081101D">
        <w:t>Unless in a relevant setting, medical language should not be used.</w:t>
      </w:r>
      <w:r w:rsidR="00623ED5">
        <w:t xml:space="preserve"> </w:t>
      </w:r>
      <w:r>
        <w:t>For example, people with disabilities should not be described as “patients” unless under medical care. Neither should disabled people be labelled by a diagnosis. For example, the term “Autism Spectrum Disorder” is offensive to many in the autism community. Instead you can say “autistic p</w:t>
      </w:r>
      <w:r w:rsidR="002E62EE">
        <w:t>erson”.</w:t>
      </w:r>
    </w:p>
    <w:p w14:paraId="49E6ED8A" w14:textId="5C77DE72" w:rsidR="001D0363" w:rsidRDefault="001D0363" w:rsidP="00454EE1">
      <w:r>
        <w:t>There are some settings in which medical language may be appropriate. For example, in a clinical setting or in reference to specific leg</w:t>
      </w:r>
      <w:r w:rsidR="002F3A24">
        <w:t>islation</w:t>
      </w:r>
      <w:r>
        <w:t xml:space="preserve">. </w:t>
      </w:r>
      <w:r w:rsidR="002F3A24">
        <w:t>However</w:t>
      </w:r>
      <w:r w:rsidR="00D871B1">
        <w:t>,</w:t>
      </w:r>
      <w:r w:rsidR="002F3A24">
        <w:t xml:space="preserve"> the use of medical language should be limited to those contexts in which it serves a specific</w:t>
      </w:r>
      <w:r w:rsidR="002A2F17">
        <w:t xml:space="preserve"> and relevant</w:t>
      </w:r>
      <w:r w:rsidR="002F3A24">
        <w:t xml:space="preserve"> purpose. </w:t>
      </w:r>
    </w:p>
    <w:p w14:paraId="77E85C33" w14:textId="330AE2D8" w:rsidR="00570CAE" w:rsidRDefault="00570CAE" w:rsidP="00925012">
      <w:pPr>
        <w:pStyle w:val="Heading2"/>
        <w:numPr>
          <w:ilvl w:val="0"/>
          <w:numId w:val="25"/>
        </w:numPr>
      </w:pPr>
      <w:bookmarkStart w:id="15" w:name="_Toc107232397"/>
      <w:r>
        <w:t>Avoid stereotypes</w:t>
      </w:r>
      <w:bookmarkEnd w:id="15"/>
    </w:p>
    <w:p w14:paraId="2825F801" w14:textId="4CC07315" w:rsidR="00487FD1" w:rsidRDefault="001924A9" w:rsidP="00570CAE">
      <w:r>
        <w:t>The NDA is aware that for many disabled people, u</w:t>
      </w:r>
      <w:r w:rsidR="00487FD1">
        <w:t>sing words such as “inspirational” or “courageous” to describe a disabled person</w:t>
      </w:r>
      <w:r w:rsidR="004E6C7B">
        <w:t xml:space="preserve"> doing day-to-day activities</w:t>
      </w:r>
      <w:r w:rsidR="00487FD1">
        <w:t>, while well-meaning, can imply that it is unusual for people with disabilities to be successful or live a fulfilling life. Similarly, describing someone as having “overcome” their disability can be patronising.</w:t>
      </w:r>
      <w:r w:rsidR="00481FB9">
        <w:t xml:space="preserve"> Disabled </w:t>
      </w:r>
      <w:r w:rsidR="00F00297">
        <w:t>people can and do have the same interests, abilities and achievements as non-disabled people.</w:t>
      </w:r>
    </w:p>
    <w:p w14:paraId="53A8125B" w14:textId="4C8652D8" w:rsidR="00F00297" w:rsidRDefault="00F00297" w:rsidP="001B0818">
      <w:r>
        <w:t>Disabled people are often included in the category of “vulnerable groups” in policy frameworks</w:t>
      </w:r>
      <w:r w:rsidR="004E6C7B">
        <w:t xml:space="preserve"> and strategies</w:t>
      </w:r>
      <w:r>
        <w:t xml:space="preserve"> both i</w:t>
      </w:r>
      <w:r w:rsidR="004E6C7B">
        <w:t>nternationally and nationally. However, i</w:t>
      </w:r>
      <w:r>
        <w:t>t is important not to depict disabled people as inherently vulnerable. People with</w:t>
      </w:r>
      <w:r w:rsidR="008C65B1">
        <w:t xml:space="preserve"> disabilities become</w:t>
      </w:r>
      <w:r w:rsidR="00481FB9">
        <w:t xml:space="preserve"> </w:t>
      </w:r>
      <w:r>
        <w:t>vulnerable because of the disabling barriers in soc</w:t>
      </w:r>
      <w:r w:rsidR="004E6C7B">
        <w:t>iety, rather than because of an</w:t>
      </w:r>
      <w:r>
        <w:t xml:space="preserve"> individual</w:t>
      </w:r>
      <w:r w:rsidR="004E6C7B">
        <w:t>’s</w:t>
      </w:r>
      <w:r>
        <w:t xml:space="preserve"> ‘impairment’. This approach shifts</w:t>
      </w:r>
      <w:r w:rsidR="008C65B1">
        <w:t xml:space="preserve"> the perspective from paternalism and protection</w:t>
      </w:r>
      <w:r>
        <w:t xml:space="preserve"> towards </w:t>
      </w:r>
      <w:r w:rsidR="000A36D6">
        <w:t>empowerment and the</w:t>
      </w:r>
      <w:r w:rsidR="008C65B1">
        <w:t xml:space="preserve"> rec</w:t>
      </w:r>
      <w:r w:rsidR="000A36D6">
        <w:t>ognition of</w:t>
      </w:r>
      <w:r w:rsidR="008C65B1">
        <w:t xml:space="preserve"> disabled people as rights-holders</w:t>
      </w:r>
      <w:r w:rsidR="000A36D6">
        <w:t>.</w:t>
      </w:r>
    </w:p>
    <w:p w14:paraId="71D51EA6" w14:textId="16CCF29B" w:rsidR="0081101D" w:rsidRDefault="00570CAE" w:rsidP="00925012">
      <w:pPr>
        <w:pStyle w:val="Heading2"/>
        <w:numPr>
          <w:ilvl w:val="0"/>
          <w:numId w:val="25"/>
        </w:numPr>
      </w:pPr>
      <w:bookmarkStart w:id="16" w:name="_Toc107232398"/>
      <w:r>
        <w:t>Avoid</w:t>
      </w:r>
      <w:r w:rsidR="0081101D">
        <w:t xml:space="preserve"> euphemisms</w:t>
      </w:r>
      <w:bookmarkEnd w:id="16"/>
    </w:p>
    <w:p w14:paraId="0D89B85B" w14:textId="5F14C560" w:rsidR="00481FB9" w:rsidRDefault="0081101D" w:rsidP="0081101D">
      <w:r>
        <w:t>E</w:t>
      </w:r>
      <w:r w:rsidR="00487FD1">
        <w:t>uphemisms</w:t>
      </w:r>
      <w:r w:rsidR="00150F3F">
        <w:t xml:space="preserve"> such as </w:t>
      </w:r>
      <w:r w:rsidR="008F76A0">
        <w:t>“differently abled” and</w:t>
      </w:r>
      <w:r w:rsidR="00150F3F">
        <w:t xml:space="preserve"> “dis</w:t>
      </w:r>
      <w:r w:rsidR="00E17CA0">
        <w:t>-</w:t>
      </w:r>
      <w:r w:rsidR="00150F3F">
        <w:t>ABILITY”</w:t>
      </w:r>
      <w:r w:rsidR="00487FD1">
        <w:t xml:space="preserve"> </w:t>
      </w:r>
      <w:r w:rsidR="00A749EC">
        <w:t xml:space="preserve">(with ‘ability’ emphasised in capital letters or bold text) </w:t>
      </w:r>
      <w:r w:rsidR="00487FD1">
        <w:t>can be</w:t>
      </w:r>
      <w:r w:rsidR="001924A9">
        <w:t xml:space="preserve"> seen as</w:t>
      </w:r>
      <w:r w:rsidR="00487FD1">
        <w:t xml:space="preserve"> condes</w:t>
      </w:r>
      <w:r w:rsidR="00F06522">
        <w:t>cending</w:t>
      </w:r>
      <w:r w:rsidR="001924A9">
        <w:t xml:space="preserve"> by some disabled people</w:t>
      </w:r>
      <w:r w:rsidR="001656DE">
        <w:t xml:space="preserve">. </w:t>
      </w:r>
      <w:r w:rsidR="00481FB9">
        <w:t>While the intention may be to focus on an individual’s strengths, i</w:t>
      </w:r>
      <w:r w:rsidR="00F31902">
        <w:t>t</w:t>
      </w:r>
      <w:r w:rsidR="001656DE">
        <w:t xml:space="preserve"> can</w:t>
      </w:r>
      <w:r w:rsidR="00F31902">
        <w:t xml:space="preserve"> </w:t>
      </w:r>
      <w:r w:rsidR="00512016">
        <w:t>result in</w:t>
      </w:r>
      <w:r w:rsidR="00481FB9">
        <w:t xml:space="preserve"> taking the</w:t>
      </w:r>
      <w:r w:rsidR="001656DE">
        <w:t xml:space="preserve"> focus away from the social and environmental barriers that create a disabling environment for an individual.</w:t>
      </w:r>
      <w:r w:rsidR="00F06522">
        <w:t xml:space="preserve"> </w:t>
      </w:r>
      <w:r w:rsidR="00611490">
        <w:t xml:space="preserve"> </w:t>
      </w:r>
    </w:p>
    <w:p w14:paraId="09CE3E3E" w14:textId="4B86E4BF" w:rsidR="00575B1B" w:rsidRDefault="00575B1B" w:rsidP="00925012">
      <w:pPr>
        <w:pStyle w:val="Heading2"/>
        <w:numPr>
          <w:ilvl w:val="0"/>
          <w:numId w:val="25"/>
        </w:numPr>
      </w:pPr>
      <w:bookmarkStart w:id="17" w:name="_Toc107232399"/>
      <w:r>
        <w:t>Avoid negative language</w:t>
      </w:r>
      <w:bookmarkEnd w:id="17"/>
    </w:p>
    <w:p w14:paraId="48369455" w14:textId="099D5042" w:rsidR="00897DEF" w:rsidRDefault="00150F3F" w:rsidP="00575B1B">
      <w:r>
        <w:t>It is important not to depict people with disabilities as objects of pity. Terms such as “suffers from”</w:t>
      </w:r>
      <w:r w:rsidR="00BC2A5D">
        <w:t>, “afflicted with” or “wheelchair bound” are inappropriate.</w:t>
      </w:r>
      <w:r>
        <w:t xml:space="preserve"> </w:t>
      </w:r>
      <w:r w:rsidR="00BC2A5D">
        <w:t xml:space="preserve">They depict disabled </w:t>
      </w:r>
      <w:r w:rsidR="00F31902">
        <w:t>people as powerless and suggest</w:t>
      </w:r>
      <w:r w:rsidR="00BC2A5D">
        <w:t xml:space="preserve"> a poor quality of life. </w:t>
      </w:r>
      <w:r w:rsidR="008F76A0">
        <w:t xml:space="preserve">It also </w:t>
      </w:r>
      <w:r w:rsidR="008F76A0">
        <w:lastRenderedPageBreak/>
        <w:t xml:space="preserve">directs the focus towards the individual’s impairment instead of highlighting the lack of inclusion or accessibility within the environment or society. </w:t>
      </w:r>
      <w:r w:rsidR="00BC2A5D">
        <w:t>Instead</w:t>
      </w:r>
      <w:r w:rsidR="00D871B1">
        <w:t>,</w:t>
      </w:r>
      <w:r w:rsidR="00BC2A5D">
        <w:t xml:space="preserve"> you can say that a person </w:t>
      </w:r>
      <w:r w:rsidR="00E17CA0">
        <w:t xml:space="preserve">“is disabled”, “has a disability” </w:t>
      </w:r>
      <w:r w:rsidR="00BC2A5D">
        <w:t xml:space="preserve">or “uses a wheelchair”. </w:t>
      </w:r>
      <w:r>
        <w:t>Similarly, describing a per</w:t>
      </w:r>
      <w:r w:rsidR="00F31902">
        <w:t>son’s disability in terms of a “disorder”</w:t>
      </w:r>
      <w:r>
        <w:t xml:space="preserve"> has negative</w:t>
      </w:r>
      <w:r w:rsidR="00F17770">
        <w:t xml:space="preserve"> and stigmatising</w:t>
      </w:r>
      <w:r>
        <w:t xml:space="preserve"> connotations and should be avoided.</w:t>
      </w:r>
    </w:p>
    <w:p w14:paraId="70E5697A" w14:textId="77777777" w:rsidR="0091486E" w:rsidRDefault="00925441" w:rsidP="00913D59">
      <w:pPr>
        <w:pStyle w:val="Heading1"/>
      </w:pPr>
      <w:bookmarkStart w:id="18" w:name="_Toc107232400"/>
      <w:r>
        <w:t>Glossary</w:t>
      </w:r>
      <w:bookmarkEnd w:id="18"/>
    </w:p>
    <w:p w14:paraId="2C0C5D0A" w14:textId="208370B4" w:rsidR="00913D59" w:rsidRDefault="008F76A0" w:rsidP="00913D59">
      <w:pPr>
        <w:pStyle w:val="Heading2"/>
      </w:pPr>
      <w:bookmarkStart w:id="19" w:name="_Toc107232401"/>
      <w:r>
        <w:t>Terms no</w:t>
      </w:r>
      <w:r w:rsidR="00692C55">
        <w:t>t to use</w:t>
      </w:r>
      <w:bookmarkEnd w:id="19"/>
    </w:p>
    <w:p w14:paraId="715A1BE0" w14:textId="1CF60DE1" w:rsidR="00925441" w:rsidRDefault="00925441" w:rsidP="00925441">
      <w:r>
        <w:t>While there</w:t>
      </w:r>
      <w:r w:rsidR="00483D1D">
        <w:t xml:space="preserve"> are varying preferences regarding disability terminology, there</w:t>
      </w:r>
      <w:r w:rsidR="008F76A0">
        <w:t xml:space="preserve"> are some terms which </w:t>
      </w:r>
      <w:r w:rsidR="00316CDD">
        <w:t>are not recommended</w:t>
      </w:r>
      <w:r w:rsidR="00E04123">
        <w:t xml:space="preserve"> as they are not respectful of </w:t>
      </w:r>
      <w:r w:rsidR="00DF3D5D">
        <w:t xml:space="preserve">disabled people. </w:t>
      </w:r>
      <w:r w:rsidR="00483D1D">
        <w:t>The below is not an exhaustive list, but is meant to provide some practical guidan</w:t>
      </w:r>
      <w:r w:rsidR="00AF3538">
        <w:t xml:space="preserve">ce and explanation for terms not to use </w:t>
      </w:r>
      <w:r w:rsidR="00483D1D">
        <w:t xml:space="preserve">and </w:t>
      </w:r>
      <w:r w:rsidR="00AF3538">
        <w:t>a</w:t>
      </w:r>
      <w:r w:rsidR="00483D1D">
        <w:t xml:space="preserve"> recommended alternative</w:t>
      </w:r>
      <w:r w:rsidR="004F315F">
        <w:t xml:space="preserve"> (Table 1)</w:t>
      </w:r>
      <w:r w:rsidR="00483D1D">
        <w:t>.</w:t>
      </w:r>
    </w:p>
    <w:p w14:paraId="552A61EF" w14:textId="31A637F5" w:rsidR="00692C55" w:rsidRDefault="00071C1D" w:rsidP="00925441">
      <w:r>
        <w:t>Please be advised</w:t>
      </w:r>
      <w:r w:rsidR="00AF3538">
        <w:t xml:space="preserve"> that the below table contains stigmatising and potentially triggering language.</w:t>
      </w:r>
    </w:p>
    <w:p w14:paraId="0FCF53C6" w14:textId="2BBA0994" w:rsidR="002E3C62" w:rsidRDefault="00692C55" w:rsidP="002E3C62">
      <w:pPr>
        <w:pStyle w:val="TableTitle"/>
      </w:pPr>
      <w:r>
        <w:t xml:space="preserve">Table 1: Terms not to </w:t>
      </w:r>
      <w:r w:rsidR="002E3C62">
        <w:t>use and suggested alternative terms</w:t>
      </w:r>
    </w:p>
    <w:tbl>
      <w:tblPr>
        <w:tblStyle w:val="TableGrid"/>
        <w:tblpPr w:leftFromText="180" w:rightFromText="180" w:vertAnchor="text" w:tblpX="-3" w:tblpY="1"/>
        <w:tblOverlap w:val="never"/>
        <w:tblW w:w="8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1: Terms no longer in use and suggested alternative terms"/>
        <w:tblDescription w:val="A list of terms no longer in use and recommended alternative terms."/>
      </w:tblPr>
      <w:tblGrid>
        <w:gridCol w:w="2876"/>
        <w:gridCol w:w="2877"/>
        <w:gridCol w:w="2877"/>
      </w:tblGrid>
      <w:tr w:rsidR="002E3C62" w:rsidRPr="002E3C62" w14:paraId="46B1229F" w14:textId="77777777" w:rsidTr="002009AB">
        <w:trPr>
          <w:tblHeader/>
        </w:trPr>
        <w:tc>
          <w:tcPr>
            <w:tcW w:w="2876" w:type="dxa"/>
            <w:shd w:val="clear" w:color="auto" w:fill="auto"/>
          </w:tcPr>
          <w:p w14:paraId="5C93941F" w14:textId="68CBB58A" w:rsidR="002E3C62" w:rsidRPr="002E3C62" w:rsidRDefault="00692C55" w:rsidP="002009AB">
            <w:pPr>
              <w:pStyle w:val="TableHead"/>
            </w:pPr>
            <w:r>
              <w:t>Term not to use</w:t>
            </w:r>
          </w:p>
        </w:tc>
        <w:tc>
          <w:tcPr>
            <w:tcW w:w="2877" w:type="dxa"/>
            <w:shd w:val="clear" w:color="auto" w:fill="auto"/>
          </w:tcPr>
          <w:p w14:paraId="24A64C78" w14:textId="02610723" w:rsidR="002E3C62" w:rsidRPr="002E3C62" w:rsidRDefault="002E3C62" w:rsidP="002009AB">
            <w:pPr>
              <w:pStyle w:val="TableHead"/>
            </w:pPr>
            <w:r>
              <w:t>Why</w:t>
            </w:r>
          </w:p>
        </w:tc>
        <w:tc>
          <w:tcPr>
            <w:tcW w:w="2877" w:type="dxa"/>
            <w:shd w:val="clear" w:color="auto" w:fill="auto"/>
          </w:tcPr>
          <w:p w14:paraId="1AD05DF4" w14:textId="3D9E1EA6" w:rsidR="002E3C62" w:rsidRPr="002E3C62" w:rsidRDefault="002E3C62" w:rsidP="002009AB">
            <w:pPr>
              <w:pStyle w:val="TableHead"/>
            </w:pPr>
            <w:r>
              <w:t>Recommended alternative term</w:t>
            </w:r>
          </w:p>
        </w:tc>
      </w:tr>
      <w:tr w:rsidR="002E3C62" w:rsidRPr="002E3C62" w14:paraId="04388919" w14:textId="77777777" w:rsidTr="002009AB">
        <w:tc>
          <w:tcPr>
            <w:tcW w:w="2876" w:type="dxa"/>
            <w:shd w:val="clear" w:color="auto" w:fill="auto"/>
          </w:tcPr>
          <w:p w14:paraId="148A0475" w14:textId="69A4EC8E" w:rsidR="002E3C62" w:rsidRPr="00B242A0" w:rsidRDefault="00B242A0" w:rsidP="002009AB">
            <w:pPr>
              <w:pStyle w:val="TableCellLeft"/>
              <w:rPr>
                <w:b/>
              </w:rPr>
            </w:pPr>
            <w:r w:rsidRPr="00B242A0">
              <w:rPr>
                <w:b/>
              </w:rPr>
              <w:t>The disabled</w:t>
            </w:r>
          </w:p>
        </w:tc>
        <w:tc>
          <w:tcPr>
            <w:tcW w:w="2877" w:type="dxa"/>
            <w:shd w:val="clear" w:color="auto" w:fill="auto"/>
          </w:tcPr>
          <w:p w14:paraId="0DD9B60D" w14:textId="6C70276C" w:rsidR="002E3C62" w:rsidRPr="002E3C62" w:rsidRDefault="00B242A0" w:rsidP="002009AB">
            <w:pPr>
              <w:pStyle w:val="TableCellLeft"/>
            </w:pPr>
            <w:r w:rsidRPr="00BF5BA9">
              <w:t>Catch-all phrases such as 'the blind', 'the deaf' or 'the disabled</w:t>
            </w:r>
            <w:r w:rsidR="00925390">
              <w:t>’</w:t>
            </w:r>
            <w:r w:rsidRPr="00BF5BA9">
              <w:t>, do not reflect the individuality, equality or dignity of people with disabilities.</w:t>
            </w:r>
          </w:p>
        </w:tc>
        <w:tc>
          <w:tcPr>
            <w:tcW w:w="2877" w:type="dxa"/>
            <w:shd w:val="clear" w:color="auto" w:fill="auto"/>
          </w:tcPr>
          <w:p w14:paraId="7429D761" w14:textId="47AAC78C" w:rsidR="002E3C62" w:rsidRPr="002E3C62" w:rsidRDefault="00614BD3" w:rsidP="002009AB">
            <w:pPr>
              <w:pStyle w:val="TableCellLeft"/>
            </w:pPr>
            <w:r>
              <w:t xml:space="preserve">Disabled people; </w:t>
            </w:r>
            <w:r w:rsidR="00B242A0">
              <w:t>people with disabilities</w:t>
            </w:r>
          </w:p>
        </w:tc>
      </w:tr>
      <w:tr w:rsidR="001B68B4" w:rsidRPr="002E3C62" w14:paraId="5B98541D" w14:textId="77777777" w:rsidTr="002009AB">
        <w:tc>
          <w:tcPr>
            <w:tcW w:w="2876" w:type="dxa"/>
            <w:shd w:val="clear" w:color="auto" w:fill="auto"/>
          </w:tcPr>
          <w:p w14:paraId="4E5AE26F" w14:textId="63A774B4" w:rsidR="001B68B4" w:rsidRPr="00B242A0" w:rsidRDefault="001B68B4" w:rsidP="001B68B4">
            <w:pPr>
              <w:pStyle w:val="TableCellLeft"/>
              <w:rPr>
                <w:b/>
              </w:rPr>
            </w:pPr>
            <w:r>
              <w:rPr>
                <w:b/>
              </w:rPr>
              <w:t>H</w:t>
            </w:r>
            <w:r w:rsidRPr="00B242A0">
              <w:rPr>
                <w:b/>
              </w:rPr>
              <w:t>andicapped</w:t>
            </w:r>
          </w:p>
        </w:tc>
        <w:tc>
          <w:tcPr>
            <w:tcW w:w="2877" w:type="dxa"/>
            <w:shd w:val="clear" w:color="auto" w:fill="auto"/>
          </w:tcPr>
          <w:p w14:paraId="0FAD933F" w14:textId="2A350F6F" w:rsidR="001B68B4" w:rsidRDefault="001B68B4" w:rsidP="001B68B4">
            <w:pPr>
              <w:pStyle w:val="TableCellLeft"/>
            </w:pPr>
            <w:r>
              <w:t>This is a stigmatising term.</w:t>
            </w:r>
          </w:p>
        </w:tc>
        <w:tc>
          <w:tcPr>
            <w:tcW w:w="2877" w:type="dxa"/>
            <w:shd w:val="clear" w:color="auto" w:fill="auto"/>
          </w:tcPr>
          <w:p w14:paraId="10F67FFA" w14:textId="55271DE5" w:rsidR="001B68B4" w:rsidRDefault="001B68B4" w:rsidP="001B68B4">
            <w:pPr>
              <w:pStyle w:val="TableCellLeft"/>
            </w:pPr>
            <w:r>
              <w:t>D</w:t>
            </w:r>
            <w:r w:rsidR="00614BD3">
              <w:t>isabled person;</w:t>
            </w:r>
            <w:r w:rsidRPr="00971412">
              <w:t xml:space="preserve"> person with a disability</w:t>
            </w:r>
          </w:p>
        </w:tc>
      </w:tr>
      <w:tr w:rsidR="001B68B4" w:rsidRPr="002E3C62" w14:paraId="4EA194AC" w14:textId="77777777" w:rsidTr="002009AB">
        <w:tc>
          <w:tcPr>
            <w:tcW w:w="2876" w:type="dxa"/>
            <w:shd w:val="clear" w:color="auto" w:fill="auto"/>
          </w:tcPr>
          <w:p w14:paraId="07F02415" w14:textId="737D19D2" w:rsidR="001B68B4" w:rsidRPr="00B242A0" w:rsidRDefault="001B68B4" w:rsidP="001B68B4">
            <w:pPr>
              <w:pStyle w:val="TableCellLeft"/>
              <w:rPr>
                <w:b/>
              </w:rPr>
            </w:pPr>
            <w:r w:rsidRPr="00B242A0">
              <w:rPr>
                <w:b/>
              </w:rPr>
              <w:t>Wheelchair-bound; confined to a wheelchair</w:t>
            </w:r>
          </w:p>
        </w:tc>
        <w:tc>
          <w:tcPr>
            <w:tcW w:w="2877" w:type="dxa"/>
            <w:shd w:val="clear" w:color="auto" w:fill="auto"/>
          </w:tcPr>
          <w:p w14:paraId="22A4DC3F" w14:textId="5472601D" w:rsidR="001B68B4" w:rsidRPr="002E3C62" w:rsidRDefault="001B68B4" w:rsidP="001B68B4">
            <w:pPr>
              <w:pStyle w:val="TableCellLeft"/>
            </w:pPr>
            <w:r>
              <w:t>Wheelchairs offer mobility, freedom and independence. Using negative language perpetuates harmful negative stereotypes.</w:t>
            </w:r>
          </w:p>
        </w:tc>
        <w:tc>
          <w:tcPr>
            <w:tcW w:w="2877" w:type="dxa"/>
            <w:shd w:val="clear" w:color="auto" w:fill="auto"/>
          </w:tcPr>
          <w:p w14:paraId="29A23395" w14:textId="4976EE31" w:rsidR="001B68B4" w:rsidRPr="002E3C62" w:rsidRDefault="00614BD3" w:rsidP="001B68B4">
            <w:pPr>
              <w:pStyle w:val="TableCellLeft"/>
            </w:pPr>
            <w:r>
              <w:t xml:space="preserve">Wheelchair user; </w:t>
            </w:r>
            <w:r w:rsidR="001B68B4">
              <w:t>person who uses a wheelchair</w:t>
            </w:r>
          </w:p>
        </w:tc>
      </w:tr>
      <w:tr w:rsidR="001B68B4" w:rsidRPr="002E3C62" w14:paraId="145E3D22" w14:textId="77777777" w:rsidTr="002009AB">
        <w:tc>
          <w:tcPr>
            <w:tcW w:w="2876" w:type="dxa"/>
            <w:shd w:val="clear" w:color="auto" w:fill="auto"/>
          </w:tcPr>
          <w:p w14:paraId="27D17782" w14:textId="2CD5DB1F" w:rsidR="001B68B4" w:rsidRPr="00B242A0" w:rsidRDefault="001B68B4" w:rsidP="001B68B4">
            <w:pPr>
              <w:pStyle w:val="TableCellLeft"/>
              <w:rPr>
                <w:b/>
              </w:rPr>
            </w:pPr>
            <w:r w:rsidRPr="008843DA">
              <w:rPr>
                <w:b/>
              </w:rPr>
              <w:t>Suffers from (e.g. asthma)</w:t>
            </w:r>
          </w:p>
        </w:tc>
        <w:tc>
          <w:tcPr>
            <w:tcW w:w="2877" w:type="dxa"/>
            <w:shd w:val="clear" w:color="auto" w:fill="auto"/>
          </w:tcPr>
          <w:p w14:paraId="29E274B8" w14:textId="2344009E" w:rsidR="001B68B4" w:rsidRPr="002E3C62" w:rsidRDefault="001B68B4" w:rsidP="001B68B4">
            <w:pPr>
              <w:pStyle w:val="TableCellLeft"/>
            </w:pPr>
            <w:r>
              <w:t>This is a negative term.</w:t>
            </w:r>
          </w:p>
        </w:tc>
        <w:tc>
          <w:tcPr>
            <w:tcW w:w="2877" w:type="dxa"/>
            <w:shd w:val="clear" w:color="auto" w:fill="auto"/>
          </w:tcPr>
          <w:p w14:paraId="6FA47D0D" w14:textId="02D86466" w:rsidR="001B68B4" w:rsidRPr="002E3C62" w:rsidRDefault="001B68B4" w:rsidP="001B68B4">
            <w:pPr>
              <w:pStyle w:val="TableCellLeft"/>
            </w:pPr>
            <w:r>
              <w:t>Has (e.g. asthma)</w:t>
            </w:r>
          </w:p>
        </w:tc>
      </w:tr>
      <w:tr w:rsidR="001B68B4" w:rsidRPr="002E3C62" w14:paraId="76FF2361" w14:textId="77777777" w:rsidTr="002009AB">
        <w:tc>
          <w:tcPr>
            <w:tcW w:w="2876" w:type="dxa"/>
            <w:shd w:val="clear" w:color="auto" w:fill="auto"/>
          </w:tcPr>
          <w:p w14:paraId="4CAE84A6" w14:textId="291B55DE" w:rsidR="001B68B4" w:rsidRPr="00B242A0" w:rsidRDefault="001B68B4" w:rsidP="001B68B4">
            <w:pPr>
              <w:pStyle w:val="TableCellLeft"/>
              <w:rPr>
                <w:b/>
              </w:rPr>
            </w:pPr>
            <w:r w:rsidRPr="008843DA">
              <w:rPr>
                <w:b/>
              </w:rPr>
              <w:t>Victim</w:t>
            </w:r>
            <w:r>
              <w:rPr>
                <w:b/>
              </w:rPr>
              <w:t xml:space="preserve"> of…</w:t>
            </w:r>
          </w:p>
        </w:tc>
        <w:tc>
          <w:tcPr>
            <w:tcW w:w="2877" w:type="dxa"/>
            <w:shd w:val="clear" w:color="auto" w:fill="auto"/>
          </w:tcPr>
          <w:p w14:paraId="5E23B350" w14:textId="18B9F201" w:rsidR="001B68B4" w:rsidRPr="002E3C62" w:rsidRDefault="001B68B4" w:rsidP="001B68B4">
            <w:pPr>
              <w:pStyle w:val="TableCellLeft"/>
            </w:pPr>
            <w:r>
              <w:t>This is stigmatising language which places an individual in a passive role as an object of pity.</w:t>
            </w:r>
          </w:p>
        </w:tc>
        <w:tc>
          <w:tcPr>
            <w:tcW w:w="2877" w:type="dxa"/>
            <w:shd w:val="clear" w:color="auto" w:fill="auto"/>
          </w:tcPr>
          <w:p w14:paraId="1AA2EA31" w14:textId="3FD71A7E" w:rsidR="001B68B4" w:rsidRPr="002E3C62" w:rsidRDefault="00614BD3" w:rsidP="001B68B4">
            <w:pPr>
              <w:pStyle w:val="TableCellLeft"/>
            </w:pPr>
            <w:r>
              <w:t>Disabled person;</w:t>
            </w:r>
            <w:r w:rsidR="001B68B4">
              <w:t xml:space="preserve"> person with a disability</w:t>
            </w:r>
          </w:p>
        </w:tc>
      </w:tr>
      <w:tr w:rsidR="001B68B4" w:rsidRPr="002E3C62" w14:paraId="6AE44E68" w14:textId="77777777" w:rsidTr="002009AB">
        <w:tc>
          <w:tcPr>
            <w:tcW w:w="2876" w:type="dxa"/>
            <w:shd w:val="clear" w:color="auto" w:fill="auto"/>
          </w:tcPr>
          <w:p w14:paraId="34FD2851" w14:textId="73407178" w:rsidR="001B68B4" w:rsidRPr="00B242A0" w:rsidRDefault="00614BD3" w:rsidP="001B68B4">
            <w:pPr>
              <w:pStyle w:val="TableCellLeft"/>
              <w:rPr>
                <w:b/>
              </w:rPr>
            </w:pPr>
            <w:r>
              <w:rPr>
                <w:b/>
              </w:rPr>
              <w:lastRenderedPageBreak/>
              <w:t>Normal;</w:t>
            </w:r>
            <w:r w:rsidR="001B68B4" w:rsidRPr="00B242A0">
              <w:rPr>
                <w:b/>
              </w:rPr>
              <w:t xml:space="preserve"> normally developing</w:t>
            </w:r>
          </w:p>
        </w:tc>
        <w:tc>
          <w:tcPr>
            <w:tcW w:w="2877" w:type="dxa"/>
            <w:shd w:val="clear" w:color="auto" w:fill="auto"/>
          </w:tcPr>
          <w:p w14:paraId="6F006A70" w14:textId="7E5041C9" w:rsidR="001B68B4" w:rsidRPr="002E3C62" w:rsidRDefault="001B68B4" w:rsidP="001B68B4">
            <w:pPr>
              <w:pStyle w:val="TableCellLeft"/>
            </w:pPr>
            <w:r>
              <w:t>Using this term to refer to non-disabled people implies that being disabled is abnormal which is stigmatising.</w:t>
            </w:r>
          </w:p>
        </w:tc>
        <w:tc>
          <w:tcPr>
            <w:tcW w:w="2877" w:type="dxa"/>
            <w:shd w:val="clear" w:color="auto" w:fill="auto"/>
          </w:tcPr>
          <w:p w14:paraId="7E0041AC" w14:textId="0A6776F2" w:rsidR="001B68B4" w:rsidRPr="002E3C62" w:rsidRDefault="001B68B4" w:rsidP="001B68B4">
            <w:pPr>
              <w:pStyle w:val="TableCellLeft"/>
            </w:pPr>
            <w:r>
              <w:t>Non-disabled person.</w:t>
            </w:r>
          </w:p>
        </w:tc>
      </w:tr>
      <w:tr w:rsidR="00614BD3" w:rsidRPr="002E3C62" w14:paraId="02CA0F72" w14:textId="77777777" w:rsidTr="002009AB">
        <w:tc>
          <w:tcPr>
            <w:tcW w:w="2876" w:type="dxa"/>
            <w:shd w:val="clear" w:color="auto" w:fill="auto"/>
          </w:tcPr>
          <w:p w14:paraId="34DD4987" w14:textId="343FF846" w:rsidR="00614BD3" w:rsidRPr="008843DA" w:rsidRDefault="00614BD3" w:rsidP="001B68B4">
            <w:pPr>
              <w:pStyle w:val="TableCellLeft"/>
              <w:rPr>
                <w:b/>
              </w:rPr>
            </w:pPr>
            <w:r>
              <w:rPr>
                <w:b/>
              </w:rPr>
              <w:t>Able-bodied</w:t>
            </w:r>
            <w:r w:rsidR="0058771A">
              <w:rPr>
                <w:b/>
              </w:rPr>
              <w:t xml:space="preserve"> person</w:t>
            </w:r>
            <w:r>
              <w:rPr>
                <w:b/>
              </w:rPr>
              <w:t xml:space="preserve"> </w:t>
            </w:r>
          </w:p>
        </w:tc>
        <w:tc>
          <w:tcPr>
            <w:tcW w:w="2877" w:type="dxa"/>
            <w:shd w:val="clear" w:color="auto" w:fill="auto"/>
          </w:tcPr>
          <w:p w14:paraId="31631B49" w14:textId="77777777" w:rsidR="0097181A" w:rsidRDefault="0097181A" w:rsidP="0097181A">
            <w:pPr>
              <w:pStyle w:val="TableCellLeft"/>
            </w:pPr>
            <w:r>
              <w:t xml:space="preserve">This term suggests that every disabled person does not have an ‘able body’. </w:t>
            </w:r>
          </w:p>
          <w:p w14:paraId="14C3967F" w14:textId="77777777" w:rsidR="0097181A" w:rsidRDefault="0097181A" w:rsidP="0097181A">
            <w:pPr>
              <w:pStyle w:val="TableCellLeft"/>
            </w:pPr>
          </w:p>
          <w:p w14:paraId="4086C3CF" w14:textId="62DBFBC6" w:rsidR="0097181A" w:rsidRDefault="0097181A" w:rsidP="0097181A">
            <w:pPr>
              <w:pStyle w:val="TableCellLeft"/>
            </w:pPr>
            <w:r>
              <w:t>It places the focus on an individual’s ‘impairment’, rather than society’s lack of inclusion for disabled people.</w:t>
            </w:r>
          </w:p>
          <w:p w14:paraId="0D12AD5A" w14:textId="77777777" w:rsidR="0097181A" w:rsidRDefault="0097181A" w:rsidP="0097181A">
            <w:pPr>
              <w:pStyle w:val="TableCellLeft"/>
            </w:pPr>
          </w:p>
          <w:p w14:paraId="285A95B0" w14:textId="0B0B8B52" w:rsidR="00614BD3" w:rsidRDefault="0097181A" w:rsidP="0097181A">
            <w:pPr>
              <w:pStyle w:val="TableCellLeft"/>
            </w:pPr>
            <w:r>
              <w:t>It can erase the experience of disabled people who don’t have a physical impairment.</w:t>
            </w:r>
          </w:p>
        </w:tc>
        <w:tc>
          <w:tcPr>
            <w:tcW w:w="2877" w:type="dxa"/>
            <w:shd w:val="clear" w:color="auto" w:fill="auto"/>
          </w:tcPr>
          <w:p w14:paraId="362D4C04" w14:textId="6930DAEA" w:rsidR="00614BD3" w:rsidRDefault="00614BD3" w:rsidP="001B68B4">
            <w:pPr>
              <w:pStyle w:val="TableCellLeft"/>
            </w:pPr>
            <w:r>
              <w:t>Non-disabled person</w:t>
            </w:r>
          </w:p>
        </w:tc>
      </w:tr>
      <w:tr w:rsidR="001B68B4" w:rsidRPr="002E3C62" w14:paraId="0F775D2B" w14:textId="77777777" w:rsidTr="002009AB">
        <w:tc>
          <w:tcPr>
            <w:tcW w:w="2876" w:type="dxa"/>
            <w:shd w:val="clear" w:color="auto" w:fill="auto"/>
          </w:tcPr>
          <w:p w14:paraId="4900BED9" w14:textId="4B208AF8" w:rsidR="001B68B4" w:rsidRPr="00B242A0" w:rsidRDefault="001B68B4" w:rsidP="001B68B4">
            <w:pPr>
              <w:pStyle w:val="TableCellLeft"/>
              <w:rPr>
                <w:b/>
              </w:rPr>
            </w:pPr>
            <w:r w:rsidRPr="008843DA">
              <w:rPr>
                <w:b/>
              </w:rPr>
              <w:t>Special</w:t>
            </w:r>
          </w:p>
        </w:tc>
        <w:tc>
          <w:tcPr>
            <w:tcW w:w="2877" w:type="dxa"/>
            <w:shd w:val="clear" w:color="auto" w:fill="auto"/>
          </w:tcPr>
          <w:p w14:paraId="3CA67861" w14:textId="3A8031C6" w:rsidR="001B68B4" w:rsidRDefault="001B68B4" w:rsidP="001B68B4">
            <w:pPr>
              <w:pStyle w:val="TableCellLeft"/>
            </w:pPr>
            <w:r>
              <w:t>This is a euphemistic term and can be patronising.</w:t>
            </w:r>
          </w:p>
        </w:tc>
        <w:tc>
          <w:tcPr>
            <w:tcW w:w="2877" w:type="dxa"/>
            <w:shd w:val="clear" w:color="auto" w:fill="auto"/>
          </w:tcPr>
          <w:p w14:paraId="5964EA24" w14:textId="1E06FEC8" w:rsidR="001B68B4" w:rsidRDefault="00614BD3" w:rsidP="001B68B4">
            <w:pPr>
              <w:pStyle w:val="TableCellLeft"/>
            </w:pPr>
            <w:r>
              <w:t>Disabled person;</w:t>
            </w:r>
            <w:r w:rsidR="001B68B4">
              <w:t xml:space="preserve"> person with a disability</w:t>
            </w:r>
          </w:p>
        </w:tc>
      </w:tr>
      <w:tr w:rsidR="001B68B4" w:rsidRPr="002E3C62" w14:paraId="6026EB43" w14:textId="77777777" w:rsidTr="002009AB">
        <w:tc>
          <w:tcPr>
            <w:tcW w:w="2876" w:type="dxa"/>
            <w:shd w:val="clear" w:color="auto" w:fill="auto"/>
          </w:tcPr>
          <w:p w14:paraId="515256AB" w14:textId="1CBBA537" w:rsidR="001B68B4" w:rsidRPr="00B242A0" w:rsidRDefault="001B68B4" w:rsidP="001B68B4">
            <w:pPr>
              <w:pStyle w:val="TableCellLeft"/>
              <w:rPr>
                <w:b/>
              </w:rPr>
            </w:pPr>
            <w:r>
              <w:rPr>
                <w:b/>
              </w:rPr>
              <w:t>‘S</w:t>
            </w:r>
            <w:r w:rsidRPr="008843DA">
              <w:rPr>
                <w:b/>
              </w:rPr>
              <w:t>pecial</w:t>
            </w:r>
            <w:r>
              <w:rPr>
                <w:b/>
              </w:rPr>
              <w:t>’</w:t>
            </w:r>
            <w:r w:rsidRPr="008843DA">
              <w:rPr>
                <w:b/>
              </w:rPr>
              <w:t xml:space="preserve"> in an education context e.g. special school, special class</w:t>
            </w:r>
            <w:r w:rsidR="00FD5926">
              <w:rPr>
                <w:b/>
              </w:rPr>
              <w:t>, SEN (Special Educational Needs) student</w:t>
            </w:r>
          </w:p>
        </w:tc>
        <w:tc>
          <w:tcPr>
            <w:tcW w:w="2877" w:type="dxa"/>
            <w:shd w:val="clear" w:color="auto" w:fill="auto"/>
          </w:tcPr>
          <w:p w14:paraId="01670715" w14:textId="77777777" w:rsidR="001B68B4" w:rsidRDefault="001B68B4" w:rsidP="001B68B4">
            <w:r>
              <w:t xml:space="preserve">This term can be patronising towards disabled children and students and can have the effect of ‘othering’ them. </w:t>
            </w:r>
          </w:p>
          <w:p w14:paraId="6887532B" w14:textId="77777777" w:rsidR="001B68B4" w:rsidRDefault="001B68B4" w:rsidP="001B68B4">
            <w:r>
              <w:t xml:space="preserve">Language which ‘others’ disabled children and students can perpetuate ideas of separate or segregated education systems instead of supporting the progression towards </w:t>
            </w:r>
            <w:r>
              <w:lastRenderedPageBreak/>
              <w:t>inclusive education as envisaged by UNCRPD.</w:t>
            </w:r>
            <w:r>
              <w:rPr>
                <w:rStyle w:val="FootnoteReference"/>
              </w:rPr>
              <w:footnoteReference w:id="14"/>
            </w:r>
          </w:p>
          <w:p w14:paraId="5ED3C6DF" w14:textId="2A8E8EB6" w:rsidR="001B68B4" w:rsidRDefault="001B68B4" w:rsidP="001B68B4">
            <w:pPr>
              <w:pStyle w:val="TableCellLeft"/>
            </w:pPr>
            <w:r>
              <w:t>However, we recognise that this term is used in legislation e.g. the EPSEN Act 2004</w:t>
            </w:r>
            <w:r>
              <w:rPr>
                <w:rStyle w:val="FootnoteReference"/>
              </w:rPr>
              <w:footnoteReference w:id="15"/>
            </w:r>
            <w:r>
              <w:t xml:space="preserve"> which means its use is unavoidable in some circumstances at present.</w:t>
            </w:r>
          </w:p>
        </w:tc>
        <w:tc>
          <w:tcPr>
            <w:tcW w:w="2877" w:type="dxa"/>
            <w:shd w:val="clear" w:color="auto" w:fill="auto"/>
          </w:tcPr>
          <w:p w14:paraId="171B0D9F" w14:textId="77777777" w:rsidR="001B68B4" w:rsidRDefault="001B68B4" w:rsidP="001B68B4">
            <w:pPr>
              <w:pStyle w:val="TableCellLeft"/>
            </w:pPr>
            <w:r>
              <w:lastRenderedPageBreak/>
              <w:t xml:space="preserve">There is currently no consensus regarding an alternative for the word 'special’ in an education context. Some people use the word ‘additional’ e.g. ‘additional educational needs’. However, it is not fully satisfactory from an inclusive education perspective, as all children and students have individualised needs and no one’s needs are ‘additional’. </w:t>
            </w:r>
          </w:p>
          <w:p w14:paraId="03E6542C" w14:textId="77777777" w:rsidR="001B68B4" w:rsidRDefault="001B68B4" w:rsidP="001B68B4">
            <w:pPr>
              <w:pStyle w:val="TableCellLeft"/>
            </w:pPr>
          </w:p>
          <w:p w14:paraId="7D81304D" w14:textId="3637D36F" w:rsidR="001B68B4" w:rsidRDefault="001B68B4" w:rsidP="001B68B4">
            <w:pPr>
              <w:pStyle w:val="TableCellLeft"/>
            </w:pPr>
            <w:r>
              <w:t xml:space="preserve">Further consultation is needed in order to </w:t>
            </w:r>
            <w:r>
              <w:lastRenderedPageBreak/>
              <w:t>establish acceptable alternative terminology. The NDA is aware</w:t>
            </w:r>
            <w:r w:rsidRPr="002E3C62">
              <w:t xml:space="preserve"> </w:t>
            </w:r>
            <w:r>
              <w:t>that this language</w:t>
            </w:r>
            <w:r w:rsidRPr="002E3C62">
              <w:t xml:space="preserve"> </w:t>
            </w:r>
            <w:r>
              <w:t>may</w:t>
            </w:r>
            <w:r w:rsidRPr="002E3C62">
              <w:t xml:space="preserve"> be examine</w:t>
            </w:r>
            <w:r>
              <w:t xml:space="preserve">d as part of the review of the EPSEN </w:t>
            </w:r>
            <w:r w:rsidRPr="002E3C62">
              <w:t>Act.</w:t>
            </w:r>
          </w:p>
        </w:tc>
      </w:tr>
      <w:tr w:rsidR="00FD5926" w:rsidRPr="002E3C62" w14:paraId="3B969816" w14:textId="77777777" w:rsidTr="002009AB">
        <w:tc>
          <w:tcPr>
            <w:tcW w:w="2876" w:type="dxa"/>
            <w:shd w:val="clear" w:color="auto" w:fill="auto"/>
          </w:tcPr>
          <w:p w14:paraId="65C86B1E" w14:textId="4A6AD48A" w:rsidR="00FD5926" w:rsidRDefault="00FD5926" w:rsidP="001B68B4">
            <w:pPr>
              <w:pStyle w:val="TableCellLeft"/>
              <w:rPr>
                <w:b/>
              </w:rPr>
            </w:pPr>
            <w:r>
              <w:rPr>
                <w:b/>
              </w:rPr>
              <w:lastRenderedPageBreak/>
              <w:t>Service user</w:t>
            </w:r>
          </w:p>
        </w:tc>
        <w:tc>
          <w:tcPr>
            <w:tcW w:w="2877" w:type="dxa"/>
            <w:shd w:val="clear" w:color="auto" w:fill="auto"/>
          </w:tcPr>
          <w:p w14:paraId="54C23E08" w14:textId="37DBE47F" w:rsidR="00FD5926" w:rsidRDefault="00E43716" w:rsidP="001B68B4">
            <w:pPr>
              <w:pStyle w:val="TableCellLeft"/>
            </w:pPr>
            <w:r>
              <w:t>This</w:t>
            </w:r>
            <w:r w:rsidR="00E43005">
              <w:t xml:space="preserve"> term can be dehumanising and</w:t>
            </w:r>
            <w:r>
              <w:t xml:space="preserve"> can frame people as passive recipients of services</w:t>
            </w:r>
            <w:r w:rsidR="00E43005">
              <w:t xml:space="preserve">. </w:t>
            </w:r>
          </w:p>
        </w:tc>
        <w:tc>
          <w:tcPr>
            <w:tcW w:w="2877" w:type="dxa"/>
            <w:shd w:val="clear" w:color="auto" w:fill="auto"/>
          </w:tcPr>
          <w:p w14:paraId="3AD29478" w14:textId="0E96CC67" w:rsidR="00FD5926" w:rsidRDefault="00E43716" w:rsidP="001B68B4">
            <w:pPr>
              <w:pStyle w:val="TableCellLeft"/>
            </w:pPr>
            <w:r>
              <w:t>Client</w:t>
            </w:r>
            <w:r w:rsidR="000D6CC2">
              <w:t>; person who uses our services</w:t>
            </w:r>
          </w:p>
        </w:tc>
      </w:tr>
      <w:tr w:rsidR="001B68B4" w:rsidRPr="002E3C62" w14:paraId="2E094EAF" w14:textId="77777777" w:rsidTr="002009AB">
        <w:tc>
          <w:tcPr>
            <w:tcW w:w="2876" w:type="dxa"/>
            <w:shd w:val="clear" w:color="auto" w:fill="auto"/>
          </w:tcPr>
          <w:p w14:paraId="52143CCB" w14:textId="2F054942" w:rsidR="001B68B4" w:rsidRDefault="00614BD3" w:rsidP="001B68B4">
            <w:pPr>
              <w:pStyle w:val="TableCellLeft"/>
              <w:rPr>
                <w:b/>
              </w:rPr>
            </w:pPr>
            <w:r>
              <w:rPr>
                <w:b/>
              </w:rPr>
              <w:t>High functioning;</w:t>
            </w:r>
            <w:r w:rsidR="001B68B4" w:rsidRPr="00B242A0">
              <w:rPr>
                <w:b/>
              </w:rPr>
              <w:t xml:space="preserve"> low functioning</w:t>
            </w:r>
          </w:p>
          <w:p w14:paraId="3D1ED78B" w14:textId="77777777" w:rsidR="001B68B4" w:rsidRDefault="001B68B4" w:rsidP="001B68B4">
            <w:pPr>
              <w:pStyle w:val="TableCellLeft"/>
              <w:rPr>
                <w:b/>
              </w:rPr>
            </w:pPr>
          </w:p>
          <w:p w14:paraId="53A0CD69" w14:textId="0C4BBDAA" w:rsidR="001B68B4" w:rsidRPr="00B242A0" w:rsidRDefault="001B68B4" w:rsidP="001B68B4">
            <w:pPr>
              <w:pStyle w:val="TableCellLeft"/>
              <w:rPr>
                <w:b/>
              </w:rPr>
            </w:pPr>
            <w:r>
              <w:rPr>
                <w:b/>
              </w:rPr>
              <w:t>Mild</w:t>
            </w:r>
            <w:r w:rsidR="00614BD3">
              <w:rPr>
                <w:b/>
              </w:rPr>
              <w:t>;</w:t>
            </w:r>
            <w:r>
              <w:rPr>
                <w:b/>
              </w:rPr>
              <w:t xml:space="preserve"> Moderate</w:t>
            </w:r>
            <w:r w:rsidR="00614BD3">
              <w:rPr>
                <w:b/>
              </w:rPr>
              <w:t>;</w:t>
            </w:r>
            <w:r>
              <w:rPr>
                <w:b/>
              </w:rPr>
              <w:t xml:space="preserve"> Severe</w:t>
            </w:r>
            <w:r w:rsidR="00614BD3">
              <w:rPr>
                <w:b/>
              </w:rPr>
              <w:t>;</w:t>
            </w:r>
            <w:r>
              <w:rPr>
                <w:b/>
              </w:rPr>
              <w:t xml:space="preserve"> Profound</w:t>
            </w:r>
          </w:p>
        </w:tc>
        <w:tc>
          <w:tcPr>
            <w:tcW w:w="2877" w:type="dxa"/>
            <w:shd w:val="clear" w:color="auto" w:fill="auto"/>
          </w:tcPr>
          <w:p w14:paraId="7968B2E8" w14:textId="2DDEAD0C" w:rsidR="001B68B4" w:rsidRDefault="001B68B4" w:rsidP="001B68B4">
            <w:pPr>
              <w:pStyle w:val="TableCellLeft"/>
            </w:pPr>
            <w:r>
              <w:t>These terms are often used with regard to autism. Simplifying autism into categories can perpetuate negative and untrue stereotypes.</w:t>
            </w:r>
          </w:p>
          <w:p w14:paraId="0DDC63DD" w14:textId="0C8B84C6" w:rsidR="001B68B4" w:rsidRPr="00FD5926" w:rsidRDefault="001B68B4" w:rsidP="001B68B4">
            <w:pPr>
              <w:pStyle w:val="NormalWeb"/>
              <w:spacing w:before="0" w:beforeAutospacing="0" w:after="0" w:afterAutospacing="0"/>
              <w:rPr>
                <w:rFonts w:ascii="Gill Sans MT" w:hAnsi="Gill Sans MT"/>
                <w:sz w:val="26"/>
                <w:szCs w:val="26"/>
              </w:rPr>
            </w:pPr>
            <w:r w:rsidRPr="00FD5926">
              <w:rPr>
                <w:rFonts w:ascii="Gill Sans MT" w:hAnsi="Gill Sans MT" w:cs="Arial"/>
                <w:color w:val="000000"/>
                <w:sz w:val="26"/>
                <w:szCs w:val="26"/>
              </w:rPr>
              <w:t>Autism is such a diverse spectrum of traits and differences that no two people will experience being autistic the same way, or have exactly the same access needs. </w:t>
            </w:r>
          </w:p>
          <w:p w14:paraId="5AF5290F" w14:textId="2D1428A9" w:rsidR="001B68B4" w:rsidRPr="002E3C62" w:rsidRDefault="001B68B4" w:rsidP="001B68B4">
            <w:pPr>
              <w:pStyle w:val="TableCellLeft"/>
            </w:pPr>
          </w:p>
        </w:tc>
        <w:tc>
          <w:tcPr>
            <w:tcW w:w="2877" w:type="dxa"/>
            <w:shd w:val="clear" w:color="auto" w:fill="auto"/>
          </w:tcPr>
          <w:p w14:paraId="0A34FE38" w14:textId="7A207093" w:rsidR="001B68B4" w:rsidRPr="002E3C62" w:rsidRDefault="001B68B4" w:rsidP="001B68B4">
            <w:pPr>
              <w:pStyle w:val="TableCellLeft"/>
            </w:pPr>
            <w:r>
              <w:t>Autistic people each have their own strengths and weaknesses and autism is considered as a spectrum. Some may require more support in some areas of their development than others.</w:t>
            </w:r>
            <w:r>
              <w:rPr>
                <w:rStyle w:val="FootnoteReference"/>
              </w:rPr>
              <w:footnoteReference w:id="16"/>
            </w:r>
          </w:p>
        </w:tc>
      </w:tr>
      <w:tr w:rsidR="001B68B4" w:rsidRPr="002E3C62" w14:paraId="130F74C2" w14:textId="77777777" w:rsidTr="002009AB">
        <w:tc>
          <w:tcPr>
            <w:tcW w:w="2876" w:type="dxa"/>
            <w:shd w:val="clear" w:color="auto" w:fill="auto"/>
          </w:tcPr>
          <w:p w14:paraId="361C6D16" w14:textId="25649F6B" w:rsidR="001B68B4" w:rsidRPr="00B242A0" w:rsidRDefault="001B68B4" w:rsidP="001B68B4">
            <w:pPr>
              <w:pStyle w:val="TableCellLeft"/>
              <w:rPr>
                <w:b/>
              </w:rPr>
            </w:pPr>
            <w:r w:rsidRPr="00B242A0">
              <w:rPr>
                <w:b/>
              </w:rPr>
              <w:t>Autism Spectrum Disorder</w:t>
            </w:r>
          </w:p>
        </w:tc>
        <w:tc>
          <w:tcPr>
            <w:tcW w:w="2877" w:type="dxa"/>
            <w:shd w:val="clear" w:color="auto" w:fill="auto"/>
          </w:tcPr>
          <w:p w14:paraId="7B91B2D7" w14:textId="0D3FAF25" w:rsidR="001B68B4" w:rsidRPr="002E3C62" w:rsidRDefault="001B68B4" w:rsidP="001B68B4">
            <w:pPr>
              <w:pStyle w:val="TableCellLeft"/>
            </w:pPr>
            <w:r>
              <w:t xml:space="preserve">‘Autism Spectrum Disorder’ is offensive to many in the autism community as it implies there is something wrong with autistic people, rather than </w:t>
            </w:r>
            <w:r>
              <w:lastRenderedPageBreak/>
              <w:t>recognising neurodevelopmental differences as part of human diversity. See term “Neurodiversity” in table 2 below.</w:t>
            </w:r>
          </w:p>
        </w:tc>
        <w:tc>
          <w:tcPr>
            <w:tcW w:w="2877" w:type="dxa"/>
            <w:shd w:val="clear" w:color="auto" w:fill="auto"/>
          </w:tcPr>
          <w:p w14:paraId="1F86D7BF" w14:textId="6F9EFF53" w:rsidR="001B68B4" w:rsidRPr="002E3C62" w:rsidRDefault="001B68B4" w:rsidP="001B68B4">
            <w:pPr>
              <w:pStyle w:val="TableCellLeft"/>
            </w:pPr>
            <w:r>
              <w:lastRenderedPageBreak/>
              <w:t>Autism; Autism spectrum</w:t>
            </w:r>
          </w:p>
        </w:tc>
      </w:tr>
      <w:tr w:rsidR="001B68B4" w:rsidRPr="002E3C62" w14:paraId="290E5113" w14:textId="77777777" w:rsidTr="002009AB">
        <w:tc>
          <w:tcPr>
            <w:tcW w:w="2876" w:type="dxa"/>
            <w:shd w:val="clear" w:color="auto" w:fill="auto"/>
          </w:tcPr>
          <w:p w14:paraId="52FEFD0F" w14:textId="008AC848" w:rsidR="001B68B4" w:rsidRPr="008843DA" w:rsidRDefault="001B68B4" w:rsidP="001B68B4">
            <w:pPr>
              <w:pStyle w:val="TableCellLeft"/>
              <w:rPr>
                <w:b/>
              </w:rPr>
            </w:pPr>
            <w:r w:rsidRPr="008843DA">
              <w:rPr>
                <w:b/>
              </w:rPr>
              <w:t>Autism Spectrum Disorder (ASD) Unit (as used in education settings)</w:t>
            </w:r>
          </w:p>
        </w:tc>
        <w:tc>
          <w:tcPr>
            <w:tcW w:w="2877" w:type="dxa"/>
            <w:shd w:val="clear" w:color="auto" w:fill="auto"/>
          </w:tcPr>
          <w:p w14:paraId="1B3F0656" w14:textId="7828A0FF" w:rsidR="001B68B4" w:rsidRPr="002E3C62" w:rsidRDefault="001B68B4" w:rsidP="001B68B4">
            <w:r>
              <w:t>“Unit” is a medical term which should not be applied to a classroom setting.</w:t>
            </w:r>
          </w:p>
        </w:tc>
        <w:tc>
          <w:tcPr>
            <w:tcW w:w="2877" w:type="dxa"/>
            <w:shd w:val="clear" w:color="auto" w:fill="auto"/>
          </w:tcPr>
          <w:p w14:paraId="5BE2DB92" w14:textId="0DD8F54F" w:rsidR="001B68B4" w:rsidRPr="002E3C62" w:rsidRDefault="001B68B4" w:rsidP="001B68B4">
            <w:pPr>
              <w:pStyle w:val="TableCellLeft"/>
            </w:pPr>
            <w:r>
              <w:t>Autism class</w:t>
            </w:r>
          </w:p>
        </w:tc>
      </w:tr>
      <w:tr w:rsidR="001B68B4" w:rsidRPr="002E3C62" w14:paraId="0A3B9768" w14:textId="77777777" w:rsidTr="002009AB">
        <w:tc>
          <w:tcPr>
            <w:tcW w:w="2876" w:type="dxa"/>
            <w:shd w:val="clear" w:color="auto" w:fill="auto"/>
          </w:tcPr>
          <w:p w14:paraId="53A4B240" w14:textId="6AD9EA15" w:rsidR="001B68B4" w:rsidRPr="008843DA" w:rsidRDefault="001B68B4" w:rsidP="001B68B4">
            <w:pPr>
              <w:pStyle w:val="TableCellLeft"/>
              <w:rPr>
                <w:b/>
              </w:rPr>
            </w:pPr>
            <w:r>
              <w:rPr>
                <w:b/>
              </w:rPr>
              <w:t>Cripple; spastic</w:t>
            </w:r>
          </w:p>
        </w:tc>
        <w:tc>
          <w:tcPr>
            <w:tcW w:w="2877" w:type="dxa"/>
            <w:shd w:val="clear" w:color="auto" w:fill="auto"/>
          </w:tcPr>
          <w:p w14:paraId="70571C23" w14:textId="44F62702" w:rsidR="001B68B4" w:rsidRDefault="001B68B4" w:rsidP="001B68B4">
            <w:r>
              <w:t>These terms are stigmatising.</w:t>
            </w:r>
          </w:p>
        </w:tc>
        <w:tc>
          <w:tcPr>
            <w:tcW w:w="2877" w:type="dxa"/>
            <w:shd w:val="clear" w:color="auto" w:fill="auto"/>
          </w:tcPr>
          <w:p w14:paraId="58DF5137" w14:textId="2D3E2422" w:rsidR="001B68B4" w:rsidRDefault="00614BD3" w:rsidP="001B68B4">
            <w:pPr>
              <w:pStyle w:val="TableCellLeft"/>
            </w:pPr>
            <w:r>
              <w:t xml:space="preserve">Disabled person; </w:t>
            </w:r>
            <w:r w:rsidR="001B68B4">
              <w:t>person with a disability</w:t>
            </w:r>
          </w:p>
        </w:tc>
      </w:tr>
      <w:tr w:rsidR="001B68B4" w:rsidRPr="002E3C62" w14:paraId="7A14015A" w14:textId="77777777" w:rsidTr="002009AB">
        <w:tc>
          <w:tcPr>
            <w:tcW w:w="2876" w:type="dxa"/>
            <w:shd w:val="clear" w:color="auto" w:fill="auto"/>
          </w:tcPr>
          <w:p w14:paraId="27AB7200" w14:textId="343C16FF" w:rsidR="001B68B4" w:rsidRDefault="001B68B4" w:rsidP="001B68B4">
            <w:pPr>
              <w:pStyle w:val="TableCellLeft"/>
              <w:rPr>
                <w:b/>
              </w:rPr>
            </w:pPr>
            <w:r w:rsidRPr="008843DA">
              <w:rPr>
                <w:b/>
              </w:rPr>
              <w:t>Epileptic</w:t>
            </w:r>
          </w:p>
        </w:tc>
        <w:tc>
          <w:tcPr>
            <w:tcW w:w="2877" w:type="dxa"/>
            <w:shd w:val="clear" w:color="auto" w:fill="auto"/>
          </w:tcPr>
          <w:p w14:paraId="77412E2F" w14:textId="004B0125" w:rsidR="001B68B4" w:rsidRDefault="001B68B4" w:rsidP="001B68B4">
            <w:r>
              <w:t>This identifies someone in terms of their medical diagnosis.</w:t>
            </w:r>
          </w:p>
        </w:tc>
        <w:tc>
          <w:tcPr>
            <w:tcW w:w="2877" w:type="dxa"/>
            <w:shd w:val="clear" w:color="auto" w:fill="auto"/>
          </w:tcPr>
          <w:p w14:paraId="1A95A628" w14:textId="58778703" w:rsidR="001B68B4" w:rsidRDefault="001B68B4" w:rsidP="001B68B4">
            <w:pPr>
              <w:pStyle w:val="TableCellLeft"/>
            </w:pPr>
            <w:r>
              <w:t>Has epilepsy</w:t>
            </w:r>
          </w:p>
        </w:tc>
      </w:tr>
      <w:tr w:rsidR="001B68B4" w:rsidRPr="002E3C62" w14:paraId="0063EDFF" w14:textId="77777777" w:rsidTr="002009AB">
        <w:tc>
          <w:tcPr>
            <w:tcW w:w="2876" w:type="dxa"/>
            <w:shd w:val="clear" w:color="auto" w:fill="auto"/>
          </w:tcPr>
          <w:p w14:paraId="59501941" w14:textId="2CABC508" w:rsidR="001B68B4" w:rsidRPr="008843DA" w:rsidRDefault="001B68B4" w:rsidP="001B68B4">
            <w:pPr>
              <w:pStyle w:val="TableCellLeft"/>
              <w:rPr>
                <w:b/>
              </w:rPr>
            </w:pPr>
            <w:r>
              <w:rPr>
                <w:b/>
              </w:rPr>
              <w:t>Midget</w:t>
            </w:r>
          </w:p>
        </w:tc>
        <w:tc>
          <w:tcPr>
            <w:tcW w:w="2877" w:type="dxa"/>
            <w:shd w:val="clear" w:color="auto" w:fill="auto"/>
          </w:tcPr>
          <w:p w14:paraId="70E5C0FB" w14:textId="06C4CC8E" w:rsidR="001B68B4" w:rsidRDefault="001B68B4" w:rsidP="001B68B4">
            <w:pPr>
              <w:pStyle w:val="TableCellLeft"/>
            </w:pPr>
            <w:r>
              <w:t>This is a derogatory term for a person with dwarfism.</w:t>
            </w:r>
          </w:p>
        </w:tc>
        <w:tc>
          <w:tcPr>
            <w:tcW w:w="2877" w:type="dxa"/>
            <w:shd w:val="clear" w:color="auto" w:fill="auto"/>
          </w:tcPr>
          <w:p w14:paraId="39294C61" w14:textId="723C422F" w:rsidR="001B68B4" w:rsidRDefault="001B68B4" w:rsidP="001B68B4">
            <w:pPr>
              <w:pStyle w:val="TableCellLeft"/>
            </w:pPr>
            <w:r>
              <w:t>Little person; person of short stature</w:t>
            </w:r>
          </w:p>
        </w:tc>
      </w:tr>
      <w:tr w:rsidR="001B68B4" w:rsidRPr="002E3C62" w14:paraId="11E744C6" w14:textId="77777777" w:rsidTr="002009AB">
        <w:tc>
          <w:tcPr>
            <w:tcW w:w="2876" w:type="dxa"/>
            <w:shd w:val="clear" w:color="auto" w:fill="auto"/>
          </w:tcPr>
          <w:p w14:paraId="27550CD2" w14:textId="20EF8CEA" w:rsidR="001B68B4" w:rsidRPr="008843DA" w:rsidRDefault="001B68B4" w:rsidP="001B68B4">
            <w:pPr>
              <w:pStyle w:val="TableCellLeft"/>
              <w:rPr>
                <w:b/>
              </w:rPr>
            </w:pPr>
            <w:r w:rsidRPr="00B242A0">
              <w:rPr>
                <w:b/>
              </w:rPr>
              <w:t>Mental handicap</w:t>
            </w:r>
          </w:p>
        </w:tc>
        <w:tc>
          <w:tcPr>
            <w:tcW w:w="2877" w:type="dxa"/>
            <w:shd w:val="clear" w:color="auto" w:fill="auto"/>
          </w:tcPr>
          <w:p w14:paraId="04D99628" w14:textId="20FDB7B7" w:rsidR="001B68B4" w:rsidRDefault="001B68B4" w:rsidP="001B68B4">
            <w:pPr>
              <w:pStyle w:val="TableCellLeft"/>
            </w:pPr>
            <w:r>
              <w:t>This is a stigmatising term.</w:t>
            </w:r>
          </w:p>
        </w:tc>
        <w:tc>
          <w:tcPr>
            <w:tcW w:w="2877" w:type="dxa"/>
            <w:shd w:val="clear" w:color="auto" w:fill="auto"/>
          </w:tcPr>
          <w:p w14:paraId="407D9EA1" w14:textId="2DDB9561" w:rsidR="001B68B4" w:rsidRDefault="001B68B4" w:rsidP="001B68B4">
            <w:r>
              <w:t>I</w:t>
            </w:r>
            <w:r w:rsidRPr="00971412">
              <w:t>ntellectual disability</w:t>
            </w:r>
          </w:p>
          <w:p w14:paraId="2A62230C" w14:textId="2E3B5457" w:rsidR="001B68B4" w:rsidRDefault="001B68B4" w:rsidP="001B68B4">
            <w:pPr>
              <w:pStyle w:val="TableCellLeft"/>
            </w:pPr>
            <w:r>
              <w:t>In the UK, the term ‘learning disability’ is commonly used.</w:t>
            </w:r>
          </w:p>
        </w:tc>
      </w:tr>
      <w:tr w:rsidR="001B68B4" w:rsidRPr="002E3C62" w14:paraId="25A8E9D1" w14:textId="77777777" w:rsidTr="002009AB">
        <w:tc>
          <w:tcPr>
            <w:tcW w:w="2876" w:type="dxa"/>
            <w:shd w:val="clear" w:color="auto" w:fill="auto"/>
          </w:tcPr>
          <w:p w14:paraId="254901FF" w14:textId="6C5167FC" w:rsidR="001B68B4" w:rsidRPr="008843DA" w:rsidRDefault="001B68B4" w:rsidP="001B68B4">
            <w:pPr>
              <w:pStyle w:val="TableCellLeft"/>
              <w:rPr>
                <w:b/>
              </w:rPr>
            </w:pPr>
            <w:r w:rsidRPr="008843DA">
              <w:rPr>
                <w:b/>
              </w:rPr>
              <w:t>Schizo; mad</w:t>
            </w:r>
          </w:p>
        </w:tc>
        <w:tc>
          <w:tcPr>
            <w:tcW w:w="2877" w:type="dxa"/>
            <w:shd w:val="clear" w:color="auto" w:fill="auto"/>
          </w:tcPr>
          <w:p w14:paraId="7CDE6109" w14:textId="3443554A" w:rsidR="001B68B4" w:rsidRPr="002E3C62" w:rsidRDefault="001B68B4" w:rsidP="001B68B4">
            <w:pPr>
              <w:pStyle w:val="TableCellLeft"/>
            </w:pPr>
            <w:r>
              <w:t>These are stigmatising terms.</w:t>
            </w:r>
          </w:p>
        </w:tc>
        <w:tc>
          <w:tcPr>
            <w:tcW w:w="2877" w:type="dxa"/>
            <w:shd w:val="clear" w:color="auto" w:fill="auto"/>
          </w:tcPr>
          <w:p w14:paraId="7A3D8875" w14:textId="687CDB2A" w:rsidR="001B68B4" w:rsidRPr="002E3C62" w:rsidRDefault="001B68B4" w:rsidP="001B68B4">
            <w:pPr>
              <w:pStyle w:val="TableCellLeft"/>
            </w:pPr>
            <w:r>
              <w:t>P</w:t>
            </w:r>
            <w:r w:rsidRPr="00971412">
              <w:t xml:space="preserve">erson with a mental health </w:t>
            </w:r>
            <w:r>
              <w:t>difficulty</w:t>
            </w:r>
            <w:r w:rsidR="00614BD3">
              <w:t>;</w:t>
            </w:r>
            <w:r>
              <w:t xml:space="preserve"> person </w:t>
            </w:r>
            <w:r w:rsidR="006C33C4">
              <w:t>with a psycho-social disability</w:t>
            </w:r>
          </w:p>
        </w:tc>
      </w:tr>
      <w:tr w:rsidR="001B68B4" w:rsidRPr="002E3C62" w14:paraId="7D062F57" w14:textId="77777777" w:rsidTr="002009AB">
        <w:tc>
          <w:tcPr>
            <w:tcW w:w="2876" w:type="dxa"/>
            <w:shd w:val="clear" w:color="auto" w:fill="auto"/>
          </w:tcPr>
          <w:p w14:paraId="45B23723" w14:textId="47FB2403" w:rsidR="001B68B4" w:rsidRPr="008843DA" w:rsidRDefault="001B68B4" w:rsidP="001B68B4">
            <w:pPr>
              <w:pStyle w:val="TableCellLeft"/>
              <w:rPr>
                <w:b/>
              </w:rPr>
            </w:pPr>
            <w:r>
              <w:rPr>
                <w:b/>
              </w:rPr>
              <w:t>Hearing impaired</w:t>
            </w:r>
          </w:p>
        </w:tc>
        <w:tc>
          <w:tcPr>
            <w:tcW w:w="2877" w:type="dxa"/>
            <w:shd w:val="clear" w:color="auto" w:fill="auto"/>
          </w:tcPr>
          <w:p w14:paraId="60FA2563" w14:textId="7E4E724A" w:rsidR="001B68B4" w:rsidRDefault="001B68B4" w:rsidP="001B68B4">
            <w:pPr>
              <w:pStyle w:val="TableCellLeft"/>
            </w:pPr>
            <w:r>
              <w:t>Deaf people are proud of their identity as a cultural and linguistic group and do not see it as an impairment.</w:t>
            </w:r>
          </w:p>
        </w:tc>
        <w:tc>
          <w:tcPr>
            <w:tcW w:w="2877" w:type="dxa"/>
            <w:shd w:val="clear" w:color="auto" w:fill="auto"/>
          </w:tcPr>
          <w:p w14:paraId="7779217A" w14:textId="023A8F65" w:rsidR="001B68B4" w:rsidRDefault="00614BD3" w:rsidP="001B68B4">
            <w:pPr>
              <w:pStyle w:val="TableCellLeft"/>
            </w:pPr>
            <w:r>
              <w:t>Deaf;</w:t>
            </w:r>
            <w:r w:rsidR="001B68B4">
              <w:t xml:space="preserve"> hard of hearing</w:t>
            </w:r>
          </w:p>
        </w:tc>
      </w:tr>
      <w:tr w:rsidR="001B68B4" w:rsidRPr="002E3C62" w14:paraId="4DD8086F" w14:textId="77777777" w:rsidTr="002009AB">
        <w:tc>
          <w:tcPr>
            <w:tcW w:w="2876" w:type="dxa"/>
            <w:shd w:val="clear" w:color="auto" w:fill="auto"/>
          </w:tcPr>
          <w:p w14:paraId="3914918B" w14:textId="4AED0C9C" w:rsidR="001B68B4" w:rsidRPr="008843DA" w:rsidRDefault="001B68B4" w:rsidP="001B68B4">
            <w:pPr>
              <w:pStyle w:val="TableCellLeft"/>
              <w:rPr>
                <w:b/>
              </w:rPr>
            </w:pPr>
            <w:r>
              <w:rPr>
                <w:b/>
              </w:rPr>
              <w:t>Partially Deaf / partially hearing</w:t>
            </w:r>
          </w:p>
        </w:tc>
        <w:tc>
          <w:tcPr>
            <w:tcW w:w="2877" w:type="dxa"/>
            <w:shd w:val="clear" w:color="auto" w:fill="auto"/>
          </w:tcPr>
          <w:p w14:paraId="65204A2D" w14:textId="635758EE" w:rsidR="001B68B4" w:rsidRDefault="001B68B4" w:rsidP="001B68B4">
            <w:pPr>
              <w:pStyle w:val="TableCellLeft"/>
            </w:pPr>
            <w:r>
              <w:t>The terms deaf/Deaf can include people with some or no hearing.</w:t>
            </w:r>
          </w:p>
        </w:tc>
        <w:tc>
          <w:tcPr>
            <w:tcW w:w="2877" w:type="dxa"/>
            <w:shd w:val="clear" w:color="auto" w:fill="auto"/>
          </w:tcPr>
          <w:p w14:paraId="22CA8188" w14:textId="4B2883ED" w:rsidR="001B68B4" w:rsidRDefault="00614BD3" w:rsidP="001B68B4">
            <w:pPr>
              <w:pStyle w:val="TableCellLeft"/>
            </w:pPr>
            <w:r>
              <w:t>Deaf;</w:t>
            </w:r>
            <w:r w:rsidR="001B68B4">
              <w:t xml:space="preserve"> hard of hearing</w:t>
            </w:r>
          </w:p>
        </w:tc>
      </w:tr>
      <w:tr w:rsidR="001B68B4" w:rsidRPr="002E3C62" w14:paraId="41B115CF" w14:textId="77777777" w:rsidTr="002009AB">
        <w:tc>
          <w:tcPr>
            <w:tcW w:w="2876" w:type="dxa"/>
            <w:shd w:val="clear" w:color="auto" w:fill="auto"/>
          </w:tcPr>
          <w:p w14:paraId="46E4BF26" w14:textId="322348DD" w:rsidR="001B68B4" w:rsidRPr="00E0277E" w:rsidRDefault="001B68B4" w:rsidP="001B68B4">
            <w:pPr>
              <w:pStyle w:val="TableCellLeft"/>
              <w:rPr>
                <w:b/>
              </w:rPr>
            </w:pPr>
            <w:r w:rsidRPr="00E0277E">
              <w:rPr>
                <w:b/>
              </w:rPr>
              <w:t>Shortening Irish Sign Language to “sign language”</w:t>
            </w:r>
          </w:p>
        </w:tc>
        <w:tc>
          <w:tcPr>
            <w:tcW w:w="2877" w:type="dxa"/>
            <w:shd w:val="clear" w:color="auto" w:fill="auto"/>
          </w:tcPr>
          <w:p w14:paraId="5085FED4" w14:textId="192BC33B" w:rsidR="001B68B4" w:rsidRDefault="001B68B4" w:rsidP="001B68B4">
            <w:pPr>
              <w:pStyle w:val="TableCellLeft"/>
            </w:pPr>
            <w:r>
              <w:t xml:space="preserve">There are many different sign languages around the world which are distinct from each other. If referring to Irish Sign </w:t>
            </w:r>
            <w:r>
              <w:lastRenderedPageBreak/>
              <w:t>Language, it’s important to name it in full.</w:t>
            </w:r>
          </w:p>
        </w:tc>
        <w:tc>
          <w:tcPr>
            <w:tcW w:w="2877" w:type="dxa"/>
            <w:shd w:val="clear" w:color="auto" w:fill="auto"/>
          </w:tcPr>
          <w:p w14:paraId="3F8DE5AE" w14:textId="4FEDE5D4" w:rsidR="001B68B4" w:rsidRDefault="001B68B4" w:rsidP="001B68B4">
            <w:pPr>
              <w:pStyle w:val="TableCellLeft"/>
            </w:pPr>
            <w:r>
              <w:lastRenderedPageBreak/>
              <w:t xml:space="preserve">Refer to </w:t>
            </w:r>
            <w:r w:rsidRPr="001B6F10">
              <w:t>Irish Sign Language in full</w:t>
            </w:r>
            <w:r w:rsidR="006C33C4">
              <w:t xml:space="preserve"> or abbreviate to ISL</w:t>
            </w:r>
          </w:p>
        </w:tc>
      </w:tr>
      <w:tr w:rsidR="001B68B4" w:rsidRPr="002E3C62" w14:paraId="404F5AF0" w14:textId="77777777" w:rsidTr="002009AB">
        <w:tc>
          <w:tcPr>
            <w:tcW w:w="2876" w:type="dxa"/>
            <w:shd w:val="clear" w:color="auto" w:fill="auto"/>
          </w:tcPr>
          <w:p w14:paraId="0C73BEBE" w14:textId="50A1E38E" w:rsidR="001B68B4" w:rsidRPr="00E0277E" w:rsidRDefault="001B68B4" w:rsidP="001B68B4">
            <w:pPr>
              <w:pStyle w:val="TableCellLeft"/>
              <w:rPr>
                <w:b/>
              </w:rPr>
            </w:pPr>
            <w:r>
              <w:rPr>
                <w:b/>
              </w:rPr>
              <w:t>Helper</w:t>
            </w:r>
          </w:p>
        </w:tc>
        <w:tc>
          <w:tcPr>
            <w:tcW w:w="2877" w:type="dxa"/>
            <w:shd w:val="clear" w:color="auto" w:fill="auto"/>
          </w:tcPr>
          <w:p w14:paraId="4F6932CC" w14:textId="2D42CAD4" w:rsidR="001B68B4" w:rsidRDefault="001B68B4" w:rsidP="001B68B4">
            <w:pPr>
              <w:pStyle w:val="TableCellLeft"/>
            </w:pPr>
            <w:r>
              <w:t>Some disabled people hire a Personal Assistant to assist them to live independently. Using terms such as ‘helper’ places the disabled person in a passive role and also devalues the work of Personal Assistants.</w:t>
            </w:r>
          </w:p>
        </w:tc>
        <w:tc>
          <w:tcPr>
            <w:tcW w:w="2877" w:type="dxa"/>
            <w:shd w:val="clear" w:color="auto" w:fill="auto"/>
          </w:tcPr>
          <w:p w14:paraId="11CEA9A8" w14:textId="5B78BC13" w:rsidR="001B68B4" w:rsidRDefault="001B68B4" w:rsidP="001B68B4">
            <w:pPr>
              <w:pStyle w:val="TableCellLeft"/>
            </w:pPr>
            <w:r>
              <w:t>Personal Assistant</w:t>
            </w:r>
          </w:p>
        </w:tc>
      </w:tr>
    </w:tbl>
    <w:p w14:paraId="231F97EF" w14:textId="39220666" w:rsidR="00704870" w:rsidRDefault="002009AB" w:rsidP="002E3C62">
      <w:pPr>
        <w:pStyle w:val="TableTitle"/>
        <w:jc w:val="left"/>
      </w:pPr>
      <w:r>
        <w:br w:type="textWrapping" w:clear="all"/>
      </w:r>
    </w:p>
    <w:p w14:paraId="68482C1D" w14:textId="3A031B6A" w:rsidR="0081101D" w:rsidRDefault="00704870" w:rsidP="00704870">
      <w:pPr>
        <w:pStyle w:val="TableNote"/>
      </w:pPr>
      <w:r>
        <w:t>Source</w:t>
      </w:r>
      <w:r w:rsidR="00B91201">
        <w:t>s</w:t>
      </w:r>
      <w:r>
        <w:t xml:space="preserve">: </w:t>
      </w:r>
      <w:r w:rsidR="00FD60CD">
        <w:t>NDA consultation (see Annex 1), DPO language resources (see Annex 2)</w:t>
      </w:r>
    </w:p>
    <w:p w14:paraId="33D14AA0" w14:textId="77777777" w:rsidR="00CF371D" w:rsidRDefault="00925441" w:rsidP="00EF7334">
      <w:pPr>
        <w:pStyle w:val="Heading2"/>
      </w:pPr>
      <w:bookmarkStart w:id="20" w:name="_Toc107232402"/>
      <w:r>
        <w:t>Meaning of c</w:t>
      </w:r>
      <w:r w:rsidR="00913D59">
        <w:t>ommon terms</w:t>
      </w:r>
      <w:bookmarkEnd w:id="20"/>
    </w:p>
    <w:p w14:paraId="7F2899CA" w14:textId="10F64C3E" w:rsidR="00483D1D" w:rsidRDefault="00483D1D" w:rsidP="00483D1D">
      <w:r>
        <w:t>Below are some commonly used terms which are in use but which may require explanation</w:t>
      </w:r>
      <w:r w:rsidR="004F315F">
        <w:t xml:space="preserve"> (Table 2)</w:t>
      </w:r>
      <w:r>
        <w:t>.</w:t>
      </w:r>
    </w:p>
    <w:p w14:paraId="53D7AA8F" w14:textId="26C6BAF4" w:rsidR="00241B6B" w:rsidRDefault="00241B6B" w:rsidP="00241B6B">
      <w:pPr>
        <w:pStyle w:val="TableTitle"/>
      </w:pPr>
      <w:r>
        <w:t>Table 2: Meaning of common terms</w:t>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Caption w:val="Table 2: Meaning of common terms"/>
        <w:tblDescription w:val="A list of common terms which are in use and some further explanation about their meaning."/>
      </w:tblPr>
      <w:tblGrid>
        <w:gridCol w:w="4315"/>
        <w:gridCol w:w="4315"/>
      </w:tblGrid>
      <w:tr w:rsidR="00E0277E" w:rsidRPr="00E0277E" w14:paraId="533DDF08" w14:textId="77777777" w:rsidTr="00E0277E">
        <w:trPr>
          <w:tblHeader/>
        </w:trPr>
        <w:tc>
          <w:tcPr>
            <w:tcW w:w="4315" w:type="dxa"/>
            <w:shd w:val="clear" w:color="auto" w:fill="auto"/>
          </w:tcPr>
          <w:p w14:paraId="20220FC5" w14:textId="0D2597EB" w:rsidR="00E0277E" w:rsidRPr="00E0277E" w:rsidRDefault="00E0277E" w:rsidP="00E0277E">
            <w:pPr>
              <w:pStyle w:val="TableHead"/>
            </w:pPr>
            <w:r>
              <w:t>Term</w:t>
            </w:r>
          </w:p>
        </w:tc>
        <w:tc>
          <w:tcPr>
            <w:tcW w:w="4315" w:type="dxa"/>
            <w:shd w:val="clear" w:color="auto" w:fill="auto"/>
          </w:tcPr>
          <w:p w14:paraId="55C3CA89" w14:textId="229052EB" w:rsidR="00E0277E" w:rsidRPr="00E0277E" w:rsidRDefault="00E0277E" w:rsidP="00E0277E">
            <w:pPr>
              <w:pStyle w:val="TableHead"/>
            </w:pPr>
            <w:r>
              <w:t>Meaning / use</w:t>
            </w:r>
          </w:p>
        </w:tc>
      </w:tr>
      <w:tr w:rsidR="00E0277E" w:rsidRPr="00E0277E" w14:paraId="77E297DB" w14:textId="77777777" w:rsidTr="00E0277E">
        <w:tc>
          <w:tcPr>
            <w:tcW w:w="4315" w:type="dxa"/>
            <w:shd w:val="clear" w:color="auto" w:fill="auto"/>
          </w:tcPr>
          <w:p w14:paraId="07A21A04" w14:textId="4B8621BB" w:rsidR="00E0277E" w:rsidRPr="00712715" w:rsidRDefault="00E0277E" w:rsidP="00E0277E">
            <w:pPr>
              <w:pStyle w:val="TableCellLeft"/>
              <w:rPr>
                <w:b/>
              </w:rPr>
            </w:pPr>
            <w:r w:rsidRPr="00712715">
              <w:rPr>
                <w:b/>
              </w:rPr>
              <w:t>Impairment</w:t>
            </w:r>
          </w:p>
        </w:tc>
        <w:tc>
          <w:tcPr>
            <w:tcW w:w="4315" w:type="dxa"/>
            <w:shd w:val="clear" w:color="auto" w:fill="auto"/>
          </w:tcPr>
          <w:p w14:paraId="1DEE45D1" w14:textId="62C85927" w:rsidR="00E0277E" w:rsidRDefault="00E0277E" w:rsidP="00E0277E">
            <w:r>
              <w:t>The term impairment is appropriate in some contexts</w:t>
            </w:r>
            <w:r w:rsidR="0069368C">
              <w:t>,</w:t>
            </w:r>
            <w:r>
              <w:t xml:space="preserve"> but not in others. It is use</w:t>
            </w:r>
            <w:r w:rsidR="007E07F9">
              <w:t>d by some to describe a di</w:t>
            </w:r>
            <w:r w:rsidR="002009AB">
              <w:t>a</w:t>
            </w:r>
            <w:r w:rsidR="00F61D30">
              <w:t>gnosis or level of functioning. For example, a person may say they have a vision impairment, speech impairment, or physical impairment. T</w:t>
            </w:r>
            <w:r w:rsidR="00691E28">
              <w:t>he term</w:t>
            </w:r>
            <w:r>
              <w:t xml:space="preserve"> ‘disability’ </w:t>
            </w:r>
            <w:r w:rsidR="00F61D30">
              <w:t xml:space="preserve">is </w:t>
            </w:r>
            <w:r w:rsidR="00512016">
              <w:t xml:space="preserve">then </w:t>
            </w:r>
            <w:r w:rsidR="00F61D30">
              <w:t>used to describe</w:t>
            </w:r>
            <w:r>
              <w:t xml:space="preserve"> the social experience of having an impairment</w:t>
            </w:r>
            <w:r w:rsidR="00F61D30">
              <w:t>. For example, the social, environmental and attitudinal barriers which result in discrimination against a person with an impairment</w:t>
            </w:r>
            <w:r>
              <w:t xml:space="preserve">. </w:t>
            </w:r>
          </w:p>
          <w:p w14:paraId="70CCB257" w14:textId="4ACDC0D0" w:rsidR="00E0277E" w:rsidRPr="00E0277E" w:rsidRDefault="00E0277E" w:rsidP="007E07F9">
            <w:pPr>
              <w:pStyle w:val="TableCellLeft"/>
            </w:pPr>
            <w:r>
              <w:t>The Deaf community</w:t>
            </w:r>
            <w:r w:rsidR="007E07F9">
              <w:t>, which identifies as a cultural and linguistic group,</w:t>
            </w:r>
            <w:r>
              <w:t xml:space="preserve"> do</w:t>
            </w:r>
            <w:r w:rsidR="00691E28">
              <w:t>es</w:t>
            </w:r>
            <w:r>
              <w:t xml:space="preserve"> not use th</w:t>
            </w:r>
            <w:r w:rsidR="00691E28">
              <w:t>e term ‘impairment’. Therefore, the term ‘hearing impairment’ is not recommended</w:t>
            </w:r>
            <w:r w:rsidR="00E407A2">
              <w:t xml:space="preserve"> in reference to this community</w:t>
            </w:r>
            <w:r w:rsidR="00691E28">
              <w:t>.</w:t>
            </w:r>
            <w:r w:rsidR="00A54AB7">
              <w:t xml:space="preserve"> </w:t>
            </w:r>
            <w:r w:rsidR="00EA1928">
              <w:lastRenderedPageBreak/>
              <w:t>However, it may be acceptable to</w:t>
            </w:r>
            <w:r w:rsidR="007F6C4E">
              <w:t xml:space="preserve"> some</w:t>
            </w:r>
            <w:r w:rsidR="00512016">
              <w:t xml:space="preserve"> deaf or hard-of-</w:t>
            </w:r>
            <w:r w:rsidR="00EA1928">
              <w:t>hearing people who do not identify culturally as Deaf.</w:t>
            </w:r>
          </w:p>
        </w:tc>
      </w:tr>
      <w:tr w:rsidR="00F04534" w:rsidRPr="00E0277E" w14:paraId="34E14D3D" w14:textId="77777777" w:rsidTr="00E0277E">
        <w:tc>
          <w:tcPr>
            <w:tcW w:w="4315" w:type="dxa"/>
            <w:shd w:val="clear" w:color="auto" w:fill="auto"/>
          </w:tcPr>
          <w:p w14:paraId="45C078F4" w14:textId="48F978B4" w:rsidR="00F04534" w:rsidRPr="00712715" w:rsidRDefault="00F04534" w:rsidP="00E0277E">
            <w:pPr>
              <w:pStyle w:val="TableCellLeft"/>
              <w:rPr>
                <w:b/>
              </w:rPr>
            </w:pPr>
            <w:r>
              <w:rPr>
                <w:b/>
              </w:rPr>
              <w:lastRenderedPageBreak/>
              <w:t>Non-visible disability / hidden disability</w:t>
            </w:r>
          </w:p>
        </w:tc>
        <w:tc>
          <w:tcPr>
            <w:tcW w:w="4315" w:type="dxa"/>
            <w:shd w:val="clear" w:color="auto" w:fill="auto"/>
          </w:tcPr>
          <w:p w14:paraId="38268060" w14:textId="72C6DEB9" w:rsidR="00294C45" w:rsidRDefault="00512016" w:rsidP="00294C45">
            <w:pPr>
              <w:pStyle w:val="TableCellLeft"/>
            </w:pPr>
            <w:r>
              <w:t>Non-visible or hidden disability refers to a disability which is</w:t>
            </w:r>
            <w:r w:rsidR="00DA1E05">
              <w:t xml:space="preserve"> not immediately obv</w:t>
            </w:r>
            <w:r w:rsidR="00EF0689">
              <w:t>ious or visible to others. This can include, for example,</w:t>
            </w:r>
            <w:r w:rsidR="00294C45">
              <w:t xml:space="preserve"> epilepsy,</w:t>
            </w:r>
            <w:r w:rsidR="00EF0689">
              <w:t xml:space="preserve"> some</w:t>
            </w:r>
            <w:r w:rsidR="00294C45">
              <w:t xml:space="preserve"> chronic illnesses, neurodiversity, and</w:t>
            </w:r>
            <w:r w:rsidR="00E604FA">
              <w:t xml:space="preserve"> </w:t>
            </w:r>
            <w:r w:rsidR="00294C45">
              <w:t>others. It is important to emphasise that although the disability isn’t visible, it does not mean it doesn’t exist.</w:t>
            </w:r>
          </w:p>
          <w:p w14:paraId="4F8885CC" w14:textId="77777777" w:rsidR="00294C45" w:rsidRDefault="00294C45" w:rsidP="00294C45">
            <w:pPr>
              <w:pStyle w:val="TableCellLeft"/>
            </w:pPr>
          </w:p>
          <w:p w14:paraId="03ECF78B" w14:textId="07AA681B" w:rsidR="00294C45" w:rsidRPr="00D10A97" w:rsidRDefault="00294C45" w:rsidP="00E604FA">
            <w:pPr>
              <w:pStyle w:val="TableCellLeft"/>
            </w:pPr>
            <w:r>
              <w:t xml:space="preserve">Some people don’t like </w:t>
            </w:r>
            <w:r w:rsidR="00EF0689">
              <w:t xml:space="preserve">to use </w:t>
            </w:r>
            <w:r>
              <w:t>the term ‘hidden disability’ as it may imply that a disabled person is hiding their disability on purpose. Non-visible</w:t>
            </w:r>
            <w:r w:rsidR="00DA1E05">
              <w:t xml:space="preserve"> disability </w:t>
            </w:r>
            <w:r w:rsidR="00E604FA">
              <w:t>can be used as an alternative.</w:t>
            </w:r>
          </w:p>
        </w:tc>
      </w:tr>
      <w:tr w:rsidR="00C34AB2" w:rsidRPr="00E0277E" w14:paraId="26B8644A" w14:textId="77777777" w:rsidTr="00E0277E">
        <w:tc>
          <w:tcPr>
            <w:tcW w:w="4315" w:type="dxa"/>
            <w:shd w:val="clear" w:color="auto" w:fill="auto"/>
          </w:tcPr>
          <w:p w14:paraId="5FFD3514" w14:textId="3D4F561A" w:rsidR="00C34AB2" w:rsidRPr="00712715" w:rsidRDefault="00C34AB2" w:rsidP="00614BD3">
            <w:pPr>
              <w:pStyle w:val="TableCellLeft"/>
              <w:rPr>
                <w:b/>
              </w:rPr>
            </w:pPr>
            <w:r>
              <w:rPr>
                <w:b/>
              </w:rPr>
              <w:t xml:space="preserve">Disclose or share </w:t>
            </w:r>
          </w:p>
        </w:tc>
        <w:tc>
          <w:tcPr>
            <w:tcW w:w="4315" w:type="dxa"/>
            <w:shd w:val="clear" w:color="auto" w:fill="auto"/>
          </w:tcPr>
          <w:p w14:paraId="65901A35" w14:textId="5A584CDC" w:rsidR="00C34AB2" w:rsidRDefault="00C34AB2" w:rsidP="00C34AB2">
            <w:pPr>
              <w:pStyle w:val="TableCellLeft"/>
            </w:pPr>
            <w:r>
              <w:t xml:space="preserve">‘Disclose’ is a term often used </w:t>
            </w:r>
            <w:r w:rsidR="00EA474B">
              <w:t xml:space="preserve">in the context of an individual </w:t>
            </w:r>
            <w:r>
              <w:t>telling an employer or educational provider</w:t>
            </w:r>
            <w:r w:rsidR="00EA474B">
              <w:t xml:space="preserve"> about their</w:t>
            </w:r>
            <w:r>
              <w:t xml:space="preserve"> disability. </w:t>
            </w:r>
          </w:p>
          <w:p w14:paraId="0D478F1C" w14:textId="77777777" w:rsidR="00C34AB2" w:rsidRDefault="00C34AB2" w:rsidP="00C34AB2">
            <w:pPr>
              <w:pStyle w:val="TableCellLeft"/>
            </w:pPr>
          </w:p>
          <w:p w14:paraId="0FEA3322" w14:textId="33EF4808" w:rsidR="00C34AB2" w:rsidRPr="00D10A97" w:rsidRDefault="00C34AB2" w:rsidP="00EA474B">
            <w:pPr>
              <w:pStyle w:val="TableCellLeft"/>
            </w:pPr>
            <w:r>
              <w:t xml:space="preserve">For some people, this term can suggest a person is revealing something secret or shameful. </w:t>
            </w:r>
            <w:r w:rsidR="00826447">
              <w:t>‘</w:t>
            </w:r>
            <w:r w:rsidR="00EA474B">
              <w:t>S</w:t>
            </w:r>
            <w:r w:rsidR="00826447">
              <w:t>hare’</w:t>
            </w:r>
            <w:r w:rsidR="00EA474B">
              <w:t xml:space="preserve"> is an alternative term that could be used which does not carry these potentially negative connotations.</w:t>
            </w:r>
          </w:p>
        </w:tc>
      </w:tr>
      <w:tr w:rsidR="00E0277E" w:rsidRPr="00E0277E" w14:paraId="40104EAA" w14:textId="77777777" w:rsidTr="00E0277E">
        <w:tc>
          <w:tcPr>
            <w:tcW w:w="4315" w:type="dxa"/>
            <w:shd w:val="clear" w:color="auto" w:fill="auto"/>
          </w:tcPr>
          <w:p w14:paraId="4AE8AE42" w14:textId="621EC5BC" w:rsidR="00E0277E" w:rsidRPr="00712715" w:rsidRDefault="00C5059C" w:rsidP="00E0277E">
            <w:pPr>
              <w:pStyle w:val="TableCellLeft"/>
              <w:rPr>
                <w:b/>
              </w:rPr>
            </w:pPr>
            <w:r w:rsidRPr="00712715">
              <w:rPr>
                <w:b/>
              </w:rPr>
              <w:t>Neurodiversity</w:t>
            </w:r>
          </w:p>
        </w:tc>
        <w:tc>
          <w:tcPr>
            <w:tcW w:w="4315" w:type="dxa"/>
            <w:shd w:val="clear" w:color="auto" w:fill="auto"/>
          </w:tcPr>
          <w:p w14:paraId="5B720400" w14:textId="432FC541" w:rsidR="00E0277E" w:rsidRPr="00E0277E" w:rsidRDefault="00C5059C" w:rsidP="00691E28">
            <w:pPr>
              <w:pStyle w:val="TableCellLeft"/>
            </w:pPr>
            <w:r w:rsidRPr="00D10A97">
              <w:t>Neurodiversity</w:t>
            </w:r>
            <w:r w:rsidR="00D10A97" w:rsidRPr="00D10A97">
              <w:t xml:space="preserve"> is a t</w:t>
            </w:r>
            <w:r w:rsidR="00D10A97">
              <w:t>erm which</w:t>
            </w:r>
            <w:r w:rsidR="00D10A97" w:rsidRPr="00D10A97">
              <w:t xml:space="preserve"> recognise</w:t>
            </w:r>
            <w:r w:rsidR="00D10A97">
              <w:t>s</w:t>
            </w:r>
            <w:r w:rsidR="00D10A97" w:rsidRPr="00D10A97">
              <w:t xml:space="preserve"> neurodevelopmental differences as a natural part of human diversity. </w:t>
            </w:r>
            <w:r w:rsidR="00D10A97">
              <w:t>A</w:t>
            </w:r>
            <w:r>
              <w:t xml:space="preserve">utism </w:t>
            </w:r>
            <w:r w:rsidR="00D10A97">
              <w:t xml:space="preserve">as well as </w:t>
            </w:r>
            <w:r w:rsidR="00C02B3C">
              <w:t>Attention Deficit Hyperactivity Disorder (</w:t>
            </w:r>
            <w:r w:rsidR="00D10A97">
              <w:t>ADHD</w:t>
            </w:r>
            <w:r w:rsidR="00C02B3C">
              <w:t>)</w:t>
            </w:r>
            <w:r w:rsidR="00D10A97">
              <w:t xml:space="preserve">, </w:t>
            </w:r>
            <w:r w:rsidRPr="00EF7334">
              <w:rPr>
                <w:szCs w:val="26"/>
              </w:rPr>
              <w:t>Dyspraxia,</w:t>
            </w:r>
            <w:r w:rsidR="007E07F9">
              <w:rPr>
                <w:szCs w:val="26"/>
              </w:rPr>
              <w:t xml:space="preserve"> Dyslexia,</w:t>
            </w:r>
            <w:r w:rsidR="00D10A97">
              <w:rPr>
                <w:szCs w:val="26"/>
              </w:rPr>
              <w:t xml:space="preserve"> </w:t>
            </w:r>
            <w:r w:rsidR="00D10A97" w:rsidRPr="00D10A97">
              <w:t>Dyscalculia</w:t>
            </w:r>
            <w:r w:rsidR="00D10A97">
              <w:t>,</w:t>
            </w:r>
            <w:r w:rsidR="007E07F9">
              <w:t xml:space="preserve"> and Tourette’s Syndrome</w:t>
            </w:r>
            <w:r w:rsidR="00E604FA">
              <w:t>,</w:t>
            </w:r>
            <w:r w:rsidR="00D10A97">
              <w:rPr>
                <w:szCs w:val="26"/>
              </w:rPr>
              <w:t xml:space="preserve"> among oth</w:t>
            </w:r>
            <w:r w:rsidR="00E604FA">
              <w:rPr>
                <w:szCs w:val="26"/>
              </w:rPr>
              <w:t>er differences or disabilities, are examples of neurodiversity.</w:t>
            </w:r>
          </w:p>
        </w:tc>
      </w:tr>
      <w:tr w:rsidR="006B1C9F" w:rsidRPr="00E0277E" w14:paraId="314AED4C" w14:textId="77777777" w:rsidTr="00E0277E">
        <w:tc>
          <w:tcPr>
            <w:tcW w:w="4315" w:type="dxa"/>
            <w:shd w:val="clear" w:color="auto" w:fill="auto"/>
          </w:tcPr>
          <w:p w14:paraId="5C03A8CB" w14:textId="64A80D58" w:rsidR="006B1C9F" w:rsidRPr="00712715" w:rsidRDefault="006B1C9F" w:rsidP="00E0277E">
            <w:pPr>
              <w:pStyle w:val="TableCellLeft"/>
              <w:rPr>
                <w:b/>
              </w:rPr>
            </w:pPr>
            <w:r>
              <w:rPr>
                <w:b/>
              </w:rPr>
              <w:t>Neurotypical</w:t>
            </w:r>
          </w:p>
        </w:tc>
        <w:tc>
          <w:tcPr>
            <w:tcW w:w="4315" w:type="dxa"/>
            <w:shd w:val="clear" w:color="auto" w:fill="auto"/>
          </w:tcPr>
          <w:p w14:paraId="136F5635" w14:textId="73E8F4B1" w:rsidR="006B1C9F" w:rsidRPr="00503578" w:rsidRDefault="00503578" w:rsidP="00E0277E">
            <w:pPr>
              <w:pStyle w:val="TableCellLeft"/>
            </w:pPr>
            <w:r w:rsidRPr="00503578">
              <w:t>Neurotypical is a term used to describe a person who thinks and experiences the world in ways that society considers to be typical.</w:t>
            </w:r>
          </w:p>
        </w:tc>
      </w:tr>
      <w:tr w:rsidR="00E0277E" w:rsidRPr="00E0277E" w14:paraId="33CB2B08" w14:textId="77777777" w:rsidTr="00E0277E">
        <w:tc>
          <w:tcPr>
            <w:tcW w:w="4315" w:type="dxa"/>
            <w:shd w:val="clear" w:color="auto" w:fill="auto"/>
          </w:tcPr>
          <w:p w14:paraId="4CA6A15B" w14:textId="259F67CE" w:rsidR="00E0277E" w:rsidRPr="00712715" w:rsidRDefault="00C5059C" w:rsidP="00E0277E">
            <w:pPr>
              <w:pStyle w:val="TableCellLeft"/>
              <w:rPr>
                <w:b/>
              </w:rPr>
            </w:pPr>
            <w:r w:rsidRPr="00712715">
              <w:rPr>
                <w:b/>
              </w:rPr>
              <w:lastRenderedPageBreak/>
              <w:t>Deafblind</w:t>
            </w:r>
          </w:p>
        </w:tc>
        <w:tc>
          <w:tcPr>
            <w:tcW w:w="4315" w:type="dxa"/>
            <w:shd w:val="clear" w:color="auto" w:fill="auto"/>
          </w:tcPr>
          <w:p w14:paraId="2F88F27B" w14:textId="400B45E5" w:rsidR="00E0277E" w:rsidRPr="00E0277E" w:rsidRDefault="00C5059C" w:rsidP="00071C1D">
            <w:pPr>
              <w:pStyle w:val="TableCellLeft"/>
            </w:pPr>
            <w:r>
              <w:rPr>
                <w:rFonts w:cs="Calibri"/>
                <w:szCs w:val="26"/>
                <w:lang w:val="en"/>
              </w:rPr>
              <w:t>D</w:t>
            </w:r>
            <w:r w:rsidR="00A54AB7">
              <w:rPr>
                <w:rFonts w:cs="Calibri"/>
                <w:szCs w:val="26"/>
                <w:lang w:val="en"/>
              </w:rPr>
              <w:t>eafblindness</w:t>
            </w:r>
            <w:r w:rsidRPr="00603498">
              <w:rPr>
                <w:rFonts w:cs="Calibri"/>
                <w:szCs w:val="26"/>
                <w:lang w:val="en"/>
              </w:rPr>
              <w:t xml:space="preserve"> is a combin</w:t>
            </w:r>
            <w:r w:rsidR="00071C1D">
              <w:rPr>
                <w:rFonts w:cs="Calibri"/>
                <w:szCs w:val="26"/>
                <w:lang w:val="en"/>
              </w:rPr>
              <w:t>ed vision and hearing impairment. T</w:t>
            </w:r>
            <w:r w:rsidRPr="00603498">
              <w:rPr>
                <w:rFonts w:cs="Calibri"/>
                <w:szCs w:val="26"/>
                <w:lang w:val="en"/>
              </w:rPr>
              <w:t xml:space="preserve">he term </w:t>
            </w:r>
            <w:r w:rsidR="00071C1D">
              <w:rPr>
                <w:rFonts w:cs="Calibri"/>
                <w:szCs w:val="26"/>
                <w:lang w:val="en"/>
              </w:rPr>
              <w:t>can refer to</w:t>
            </w:r>
            <w:r w:rsidRPr="00603498">
              <w:rPr>
                <w:rFonts w:cs="Calibri"/>
                <w:szCs w:val="26"/>
                <w:lang w:val="en"/>
              </w:rPr>
              <w:t xml:space="preserve"> people who may have some residual vision and/or hearing</w:t>
            </w:r>
            <w:r>
              <w:rPr>
                <w:rFonts w:cs="Calibri"/>
                <w:szCs w:val="26"/>
                <w:lang w:val="en"/>
              </w:rPr>
              <w:t>.</w:t>
            </w:r>
          </w:p>
        </w:tc>
      </w:tr>
      <w:tr w:rsidR="0069368C" w:rsidRPr="00E0277E" w14:paraId="5914EF0E" w14:textId="77777777" w:rsidTr="00E0277E">
        <w:tc>
          <w:tcPr>
            <w:tcW w:w="4315" w:type="dxa"/>
            <w:shd w:val="clear" w:color="auto" w:fill="auto"/>
          </w:tcPr>
          <w:p w14:paraId="2D0DBEE9" w14:textId="0761B427" w:rsidR="0069368C" w:rsidRDefault="0069368C" w:rsidP="00E0277E">
            <w:pPr>
              <w:pStyle w:val="TableCellLeft"/>
              <w:rPr>
                <w:b/>
              </w:rPr>
            </w:pPr>
            <w:r>
              <w:rPr>
                <w:b/>
              </w:rPr>
              <w:t>Irish Sign Language</w:t>
            </w:r>
          </w:p>
        </w:tc>
        <w:tc>
          <w:tcPr>
            <w:tcW w:w="4315" w:type="dxa"/>
            <w:shd w:val="clear" w:color="auto" w:fill="auto"/>
          </w:tcPr>
          <w:p w14:paraId="0361C6D1" w14:textId="2C8DFCBF" w:rsidR="0069368C" w:rsidRDefault="00D200ED" w:rsidP="00C5059C">
            <w:pPr>
              <w:pStyle w:val="TableCellLeft"/>
            </w:pPr>
            <w:r>
              <w:t>Irish Sign Language is a visual and spatial language native to Ireland with its own linguistic and grammatical structure.</w:t>
            </w:r>
            <w:r w:rsidR="00A54AB7">
              <w:t xml:space="preserve"> It is not a signed version of English</w:t>
            </w:r>
            <w:r w:rsidR="00E3354C">
              <w:t xml:space="preserve"> or Irish</w:t>
            </w:r>
            <w:r w:rsidR="00A54AB7">
              <w:t>, but a separate language in its own right.</w:t>
            </w:r>
          </w:p>
        </w:tc>
      </w:tr>
      <w:tr w:rsidR="002009AB" w:rsidRPr="00E0277E" w14:paraId="02252580" w14:textId="77777777" w:rsidTr="00E0277E">
        <w:tc>
          <w:tcPr>
            <w:tcW w:w="4315" w:type="dxa"/>
            <w:shd w:val="clear" w:color="auto" w:fill="auto"/>
          </w:tcPr>
          <w:p w14:paraId="3FE25F17" w14:textId="4711BEBC" w:rsidR="002009AB" w:rsidRDefault="002009AB" w:rsidP="00E0277E">
            <w:pPr>
              <w:pStyle w:val="TableCellLeft"/>
              <w:rPr>
                <w:b/>
              </w:rPr>
            </w:pPr>
            <w:r>
              <w:rPr>
                <w:b/>
              </w:rPr>
              <w:t>Signed English</w:t>
            </w:r>
          </w:p>
        </w:tc>
        <w:tc>
          <w:tcPr>
            <w:tcW w:w="4315" w:type="dxa"/>
            <w:shd w:val="clear" w:color="auto" w:fill="auto"/>
          </w:tcPr>
          <w:p w14:paraId="6A66BB1D" w14:textId="0C9A2875" w:rsidR="002009AB" w:rsidRPr="002009AB" w:rsidRDefault="002009AB" w:rsidP="002009AB">
            <w:pPr>
              <w:pStyle w:val="TableCellLeft"/>
              <w:rPr>
                <w:rFonts w:cs="Arial"/>
                <w:shd w:val="clear" w:color="auto" w:fill="FFFFFF"/>
              </w:rPr>
            </w:pPr>
            <w:r>
              <w:t xml:space="preserve">Signed English is </w:t>
            </w:r>
            <w:r>
              <w:rPr>
                <w:rFonts w:cs="Arial"/>
                <w:shd w:val="clear" w:color="auto" w:fill="FFFFFF"/>
              </w:rPr>
              <w:t xml:space="preserve">a language support system which </w:t>
            </w:r>
            <w:r w:rsidRPr="00CE7EE6">
              <w:rPr>
                <w:rFonts w:cs="Arial"/>
                <w:shd w:val="clear" w:color="auto" w:fill="FFFFFF"/>
              </w:rPr>
              <w:t xml:space="preserve">uses English language </w:t>
            </w:r>
            <w:r>
              <w:rPr>
                <w:rFonts w:cs="Arial"/>
                <w:shd w:val="clear" w:color="auto" w:fill="FFFFFF"/>
              </w:rPr>
              <w:t>grammar and not the grammar of D</w:t>
            </w:r>
            <w:r w:rsidRPr="00CE7EE6">
              <w:rPr>
                <w:rFonts w:cs="Arial"/>
                <w:shd w:val="clear" w:color="auto" w:fill="FFFFFF"/>
              </w:rPr>
              <w:t xml:space="preserve">eaf sign languages. It is </w:t>
            </w:r>
            <w:r>
              <w:rPr>
                <w:rFonts w:cs="Arial"/>
                <w:shd w:val="clear" w:color="auto" w:fill="FFFFFF"/>
              </w:rPr>
              <w:t xml:space="preserve">comprised </w:t>
            </w:r>
            <w:r w:rsidRPr="00CE7EE6">
              <w:rPr>
                <w:rFonts w:cs="Arial"/>
                <w:shd w:val="clear" w:color="auto" w:fill="FFFFFF"/>
              </w:rPr>
              <w:t xml:space="preserve">of </w:t>
            </w:r>
            <w:r w:rsidR="001A1087">
              <w:rPr>
                <w:rFonts w:cs="Arial"/>
                <w:shd w:val="clear" w:color="auto" w:fill="FFFFFF"/>
              </w:rPr>
              <w:t>hand</w:t>
            </w:r>
            <w:r w:rsidRPr="00CE7EE6">
              <w:rPr>
                <w:rFonts w:cs="Arial"/>
                <w:shd w:val="clear" w:color="auto" w:fill="FFFFFF"/>
              </w:rPr>
              <w:t>signs and fingerspelling.</w:t>
            </w:r>
            <w:r>
              <w:rPr>
                <w:rFonts w:cs="Arial"/>
                <w:shd w:val="clear" w:color="auto" w:fill="FFFFFF"/>
              </w:rPr>
              <w:t xml:space="preserve"> It is not the same as Irish Sign Language</w:t>
            </w:r>
            <w:r w:rsidRPr="002009AB">
              <w:rPr>
                <w:rFonts w:cs="Arial"/>
                <w:shd w:val="clear" w:color="auto" w:fill="FFFFFF"/>
              </w:rPr>
              <w:t xml:space="preserve"> an</w:t>
            </w:r>
            <w:r>
              <w:rPr>
                <w:rFonts w:cs="Arial"/>
                <w:shd w:val="clear" w:color="auto" w:fill="FFFFFF"/>
              </w:rPr>
              <w:t xml:space="preserve">d </w:t>
            </w:r>
            <w:r w:rsidR="006D6698">
              <w:rPr>
                <w:rFonts w:cs="Arial"/>
                <w:shd w:val="clear" w:color="auto" w:fill="FFFFFF"/>
              </w:rPr>
              <w:t xml:space="preserve">is not preferred by, and </w:t>
            </w:r>
            <w:r>
              <w:rPr>
                <w:rFonts w:cs="Arial"/>
                <w:shd w:val="clear" w:color="auto" w:fill="FFFFFF"/>
              </w:rPr>
              <w:t>may not be understood by</w:t>
            </w:r>
            <w:r w:rsidR="006D6698">
              <w:rPr>
                <w:rFonts w:cs="Arial"/>
                <w:shd w:val="clear" w:color="auto" w:fill="FFFFFF"/>
              </w:rPr>
              <w:t>,</w:t>
            </w:r>
            <w:r>
              <w:rPr>
                <w:rFonts w:cs="Arial"/>
                <w:shd w:val="clear" w:color="auto" w:fill="FFFFFF"/>
              </w:rPr>
              <w:t xml:space="preserve"> </w:t>
            </w:r>
            <w:r w:rsidRPr="002009AB">
              <w:rPr>
                <w:rFonts w:cs="Arial"/>
                <w:shd w:val="clear" w:color="auto" w:fill="FFFFFF"/>
              </w:rPr>
              <w:t>members of the Deaf community.</w:t>
            </w:r>
          </w:p>
        </w:tc>
      </w:tr>
      <w:tr w:rsidR="0069368C" w:rsidRPr="00E0277E" w14:paraId="3CE6A61A" w14:textId="77777777" w:rsidTr="00E0277E">
        <w:tc>
          <w:tcPr>
            <w:tcW w:w="4315" w:type="dxa"/>
            <w:shd w:val="clear" w:color="auto" w:fill="auto"/>
          </w:tcPr>
          <w:p w14:paraId="5533A200" w14:textId="2293AD34" w:rsidR="0069368C" w:rsidRDefault="0069368C" w:rsidP="00E0277E">
            <w:pPr>
              <w:pStyle w:val="TableCellLeft"/>
              <w:rPr>
                <w:b/>
              </w:rPr>
            </w:pPr>
            <w:r>
              <w:rPr>
                <w:b/>
              </w:rPr>
              <w:t>Lámh</w:t>
            </w:r>
          </w:p>
        </w:tc>
        <w:tc>
          <w:tcPr>
            <w:tcW w:w="4315" w:type="dxa"/>
            <w:shd w:val="clear" w:color="auto" w:fill="auto"/>
          </w:tcPr>
          <w:p w14:paraId="38DACC91" w14:textId="4491713D" w:rsidR="0069368C" w:rsidRPr="00BB6F2F" w:rsidRDefault="00BB6F2F" w:rsidP="00AF3538">
            <w:pPr>
              <w:pStyle w:val="TableCellLeft"/>
              <w:rPr>
                <w:szCs w:val="26"/>
              </w:rPr>
            </w:pPr>
            <w:r>
              <w:t xml:space="preserve">Lámh is a manual sign system used by children and adults with intellectual disability and communication needs in Ireland. Lámh uses speech with signs </w:t>
            </w:r>
            <w:r w:rsidR="00AF3538">
              <w:t>in which</w:t>
            </w:r>
            <w:r>
              <w:t xml:space="preserve"> key words in a sentence are signed.</w:t>
            </w:r>
          </w:p>
        </w:tc>
      </w:tr>
      <w:tr w:rsidR="00691E28" w:rsidRPr="00E0277E" w14:paraId="40F06B2E" w14:textId="77777777" w:rsidTr="00E0277E">
        <w:tc>
          <w:tcPr>
            <w:tcW w:w="4315" w:type="dxa"/>
            <w:shd w:val="clear" w:color="auto" w:fill="auto"/>
          </w:tcPr>
          <w:p w14:paraId="556BDA72" w14:textId="2A4B0165" w:rsidR="00691E28" w:rsidRPr="00712715" w:rsidRDefault="00691E28" w:rsidP="00E0277E">
            <w:pPr>
              <w:pStyle w:val="TableCellLeft"/>
              <w:rPr>
                <w:b/>
              </w:rPr>
            </w:pPr>
            <w:r>
              <w:rPr>
                <w:b/>
              </w:rPr>
              <w:t>Irish Sign Language interpreter</w:t>
            </w:r>
          </w:p>
        </w:tc>
        <w:tc>
          <w:tcPr>
            <w:tcW w:w="4315" w:type="dxa"/>
            <w:shd w:val="clear" w:color="auto" w:fill="auto"/>
          </w:tcPr>
          <w:p w14:paraId="25A83470" w14:textId="77A8F882" w:rsidR="00691E28" w:rsidRDefault="00DF162E" w:rsidP="00C5059C">
            <w:pPr>
              <w:pStyle w:val="TableCellLeft"/>
            </w:pPr>
            <w:r>
              <w:t xml:space="preserve">An Irish Sign Language interpreter is a hearing person who translates </w:t>
            </w:r>
            <w:r w:rsidR="001A1087">
              <w:t xml:space="preserve">spoken or written information </w:t>
            </w:r>
            <w:r>
              <w:t>from English to ISL. The Sign Language Interpreting Service (SLIS) keeps a register of accredited ISL interpreters</w:t>
            </w:r>
            <w:r w:rsidR="001A1087">
              <w:t xml:space="preserve"> in Ireland</w:t>
            </w:r>
            <w:r>
              <w:t>.</w:t>
            </w:r>
          </w:p>
        </w:tc>
      </w:tr>
      <w:tr w:rsidR="00691E28" w:rsidRPr="00E0277E" w14:paraId="1F724917" w14:textId="77777777" w:rsidTr="00E0277E">
        <w:tc>
          <w:tcPr>
            <w:tcW w:w="4315" w:type="dxa"/>
            <w:shd w:val="clear" w:color="auto" w:fill="auto"/>
          </w:tcPr>
          <w:p w14:paraId="1F6DEDFB" w14:textId="48D26ABF" w:rsidR="00691E28" w:rsidRPr="00712715" w:rsidRDefault="00691E28" w:rsidP="00E0277E">
            <w:pPr>
              <w:pStyle w:val="TableCellLeft"/>
              <w:rPr>
                <w:b/>
              </w:rPr>
            </w:pPr>
            <w:r>
              <w:rPr>
                <w:b/>
              </w:rPr>
              <w:t>Deaf interpreter</w:t>
            </w:r>
          </w:p>
        </w:tc>
        <w:tc>
          <w:tcPr>
            <w:tcW w:w="4315" w:type="dxa"/>
            <w:shd w:val="clear" w:color="auto" w:fill="auto"/>
          </w:tcPr>
          <w:p w14:paraId="574F7CC4" w14:textId="635E077B" w:rsidR="002B079D" w:rsidRDefault="00691E28" w:rsidP="001A1087">
            <w:pPr>
              <w:pStyle w:val="TableCellLeft"/>
            </w:pPr>
            <w:r>
              <w:t xml:space="preserve">A Deaf </w:t>
            </w:r>
            <w:r w:rsidRPr="00BB6F2F">
              <w:t>interpreter</w:t>
            </w:r>
            <w:r w:rsidR="00DF162E">
              <w:t xml:space="preserve"> (Deaf person) </w:t>
            </w:r>
            <w:r>
              <w:t>works in tandem with an ISL interpreter (hearing person).</w:t>
            </w:r>
            <w:r w:rsidR="00DF162E">
              <w:t xml:space="preserve"> </w:t>
            </w:r>
            <w:r w:rsidR="001A1087">
              <w:t xml:space="preserve">They have native proficiency in ISL and </w:t>
            </w:r>
            <w:r w:rsidR="002B079D">
              <w:t>provide an</w:t>
            </w:r>
            <w:r w:rsidR="002B079D" w:rsidRPr="002B079D">
              <w:t xml:space="preserve"> in-depth knowledge of Deaf culture and the Deaf community </w:t>
            </w:r>
            <w:r w:rsidR="002B079D">
              <w:t>which supports</w:t>
            </w:r>
            <w:r w:rsidR="002B079D" w:rsidRPr="002B079D">
              <w:t xml:space="preserve"> a hearing ISL interpreter</w:t>
            </w:r>
            <w:r w:rsidR="001A1087">
              <w:t xml:space="preserve"> to translate</w:t>
            </w:r>
            <w:r w:rsidR="002B079D" w:rsidRPr="002B079D">
              <w:t>.</w:t>
            </w:r>
            <w:r w:rsidR="002B079D">
              <w:t xml:space="preserve"> For example, t</w:t>
            </w:r>
            <w:r w:rsidR="005479E9">
              <w:t xml:space="preserve">he skills of a Deaf interpreter may be required </w:t>
            </w:r>
            <w:r w:rsidR="002B079D">
              <w:t>when</w:t>
            </w:r>
            <w:r w:rsidR="002B079D" w:rsidRPr="002B079D">
              <w:t xml:space="preserve"> working with Deaf </w:t>
            </w:r>
            <w:r w:rsidR="002B079D" w:rsidRPr="002B079D">
              <w:lastRenderedPageBreak/>
              <w:t>foreign nationals or Deaf individuals who may not be familiar o</w:t>
            </w:r>
            <w:r w:rsidR="006C33C4">
              <w:t>r comfortable working with ISL i</w:t>
            </w:r>
            <w:r w:rsidR="002B079D" w:rsidRPr="002B079D">
              <w:t>nterpreters.</w:t>
            </w:r>
          </w:p>
        </w:tc>
      </w:tr>
      <w:tr w:rsidR="00920FF5" w:rsidRPr="00E0277E" w14:paraId="06D90791" w14:textId="77777777" w:rsidTr="00E0277E">
        <w:tc>
          <w:tcPr>
            <w:tcW w:w="4315" w:type="dxa"/>
            <w:shd w:val="clear" w:color="auto" w:fill="auto"/>
          </w:tcPr>
          <w:p w14:paraId="0CB46B4C" w14:textId="42F24023" w:rsidR="00920FF5" w:rsidRPr="00712715" w:rsidRDefault="00920FF5" w:rsidP="00313175">
            <w:pPr>
              <w:pStyle w:val="TableCellLeft"/>
              <w:rPr>
                <w:b/>
              </w:rPr>
            </w:pPr>
            <w:r>
              <w:rPr>
                <w:b/>
              </w:rPr>
              <w:lastRenderedPageBreak/>
              <w:t xml:space="preserve">Blind </w:t>
            </w:r>
            <w:r w:rsidR="000B1EC1">
              <w:rPr>
                <w:b/>
              </w:rPr>
              <w:t xml:space="preserve">person </w:t>
            </w:r>
            <w:r>
              <w:rPr>
                <w:b/>
              </w:rPr>
              <w:t xml:space="preserve">/ </w:t>
            </w:r>
            <w:r w:rsidR="00313175">
              <w:rPr>
                <w:b/>
              </w:rPr>
              <w:t>person with a</w:t>
            </w:r>
            <w:r>
              <w:rPr>
                <w:b/>
              </w:rPr>
              <w:t xml:space="preserve"> vision impairment</w:t>
            </w:r>
            <w:r w:rsidR="00313175">
              <w:rPr>
                <w:b/>
              </w:rPr>
              <w:t xml:space="preserve"> / partially sighted person</w:t>
            </w:r>
          </w:p>
        </w:tc>
        <w:tc>
          <w:tcPr>
            <w:tcW w:w="4315" w:type="dxa"/>
            <w:shd w:val="clear" w:color="auto" w:fill="auto"/>
          </w:tcPr>
          <w:p w14:paraId="5CA98C9A" w14:textId="77777777" w:rsidR="00920FF5" w:rsidRDefault="00920FF5" w:rsidP="00920FF5">
            <w:pPr>
              <w:pStyle w:val="TableCellLeft"/>
            </w:pPr>
            <w:r>
              <w:t xml:space="preserve">The term ‘blind’ can refer to a person with no vision or with some vision. The term ‘person with a vision impairment’ can also refer to someone with no vision or with some vision. </w:t>
            </w:r>
          </w:p>
          <w:p w14:paraId="55427BB6" w14:textId="77777777" w:rsidR="00920FF5" w:rsidRDefault="00920FF5" w:rsidP="00920FF5">
            <w:pPr>
              <w:pStyle w:val="TableCellLeft"/>
            </w:pPr>
          </w:p>
          <w:p w14:paraId="48EED73A" w14:textId="57939550" w:rsidR="00920FF5" w:rsidRDefault="00920FF5" w:rsidP="00920FF5">
            <w:pPr>
              <w:pStyle w:val="TableCellLeft"/>
            </w:pPr>
            <w:r>
              <w:t>The term ‘partially sighted’ refer</w:t>
            </w:r>
            <w:r w:rsidR="006D6698">
              <w:t>s</w:t>
            </w:r>
            <w:r>
              <w:t xml:space="preserve"> to a person who has some vision. </w:t>
            </w:r>
          </w:p>
          <w:p w14:paraId="34DDAE6D" w14:textId="77777777" w:rsidR="00920FF5" w:rsidRDefault="00920FF5" w:rsidP="00920FF5">
            <w:pPr>
              <w:pStyle w:val="TableCellLeft"/>
            </w:pPr>
          </w:p>
          <w:p w14:paraId="0084EF32" w14:textId="7CCF4CC5" w:rsidR="00920FF5" w:rsidRDefault="00920FF5" w:rsidP="00920FF5">
            <w:pPr>
              <w:pStyle w:val="TableCellLeft"/>
            </w:pPr>
            <w:r>
              <w:t>Therefore the phrase ‘blind or partially s</w:t>
            </w:r>
            <w:r w:rsidR="007B0CDD">
              <w:t>ighted’ is recommended instead of</w:t>
            </w:r>
            <w:r>
              <w:t xml:space="preserve"> ‘</w:t>
            </w:r>
            <w:r w:rsidR="006B1453">
              <w:t>blind or</w:t>
            </w:r>
            <w:r w:rsidR="00446820">
              <w:t xml:space="preserve"> </w:t>
            </w:r>
            <w:r>
              <w:t>visually impaired’ as the terms ‘blind’ and ‘visually impaired’ are synonymous.</w:t>
            </w:r>
          </w:p>
        </w:tc>
      </w:tr>
      <w:tr w:rsidR="00E0277E" w:rsidRPr="00E0277E" w14:paraId="3B4093F1" w14:textId="77777777" w:rsidTr="00E0277E">
        <w:tc>
          <w:tcPr>
            <w:tcW w:w="4315" w:type="dxa"/>
            <w:shd w:val="clear" w:color="auto" w:fill="auto"/>
          </w:tcPr>
          <w:p w14:paraId="143E9D4A" w14:textId="09690CC3" w:rsidR="00E0277E" w:rsidRPr="00712715" w:rsidRDefault="00C5059C" w:rsidP="00E0277E">
            <w:pPr>
              <w:pStyle w:val="TableCellLeft"/>
              <w:rPr>
                <w:b/>
              </w:rPr>
            </w:pPr>
            <w:r w:rsidRPr="00712715">
              <w:rPr>
                <w:b/>
              </w:rPr>
              <w:t>Disabled Persons Organisation (DPO)</w:t>
            </w:r>
          </w:p>
        </w:tc>
        <w:tc>
          <w:tcPr>
            <w:tcW w:w="4315" w:type="dxa"/>
            <w:shd w:val="clear" w:color="auto" w:fill="auto"/>
          </w:tcPr>
          <w:p w14:paraId="4124C905" w14:textId="6D14F722" w:rsidR="00E0277E" w:rsidRPr="00E0277E" w:rsidRDefault="00C5059C" w:rsidP="00C5059C">
            <w:pPr>
              <w:pStyle w:val="TableCellLeft"/>
            </w:pPr>
            <w:r>
              <w:t>A Disabled Persons Organisation (DPO) is a particular kind of civil society organisation which is distinct from a Non-Governmental Organisation (NGO) or a disability service provider. UNCRPD outlines specific criteria in order for an organisation to be considered a DPO. DPOs are organisations led by disabled people themselves, and with a clear majority of their membership made up of disabled people, and which are underpinned by a human rights approach to disability. Organisations which work on disability issues or provide disability services which are not led by persons with disabilities are not considered a DPO.</w:t>
            </w:r>
            <w:r w:rsidR="00BC4657">
              <w:rPr>
                <w:rStyle w:val="FootnoteReference"/>
              </w:rPr>
              <w:footnoteReference w:id="17"/>
            </w:r>
          </w:p>
        </w:tc>
      </w:tr>
      <w:tr w:rsidR="00E0277E" w:rsidRPr="00E0277E" w14:paraId="473AC7E3" w14:textId="77777777" w:rsidTr="00E0277E">
        <w:tc>
          <w:tcPr>
            <w:tcW w:w="4315" w:type="dxa"/>
            <w:shd w:val="clear" w:color="auto" w:fill="auto"/>
          </w:tcPr>
          <w:p w14:paraId="37785733" w14:textId="32EAF34E" w:rsidR="00E0277E" w:rsidRPr="00712715" w:rsidRDefault="00241B6B" w:rsidP="00E0277E">
            <w:pPr>
              <w:pStyle w:val="TableCellLeft"/>
              <w:rPr>
                <w:b/>
              </w:rPr>
            </w:pPr>
            <w:r w:rsidRPr="00712715">
              <w:rPr>
                <w:b/>
              </w:rPr>
              <w:lastRenderedPageBreak/>
              <w:t>Representative organisation</w:t>
            </w:r>
          </w:p>
        </w:tc>
        <w:tc>
          <w:tcPr>
            <w:tcW w:w="4315" w:type="dxa"/>
            <w:shd w:val="clear" w:color="auto" w:fill="auto"/>
          </w:tcPr>
          <w:p w14:paraId="1EB6006B" w14:textId="536D7D23" w:rsidR="00E0277E" w:rsidRPr="00E0277E" w:rsidRDefault="00241B6B" w:rsidP="00E0277E">
            <w:pPr>
              <w:pStyle w:val="TableCellLeft"/>
            </w:pPr>
            <w:r>
              <w:t xml:space="preserve">When the term “representative organisation” is used in </w:t>
            </w:r>
            <w:r w:rsidR="00A57D3F">
              <w:t>the UN</w:t>
            </w:r>
            <w:r>
              <w:t xml:space="preserve">CRPD it is used to refer to a DPO only, </w:t>
            </w:r>
            <w:r>
              <w:rPr>
                <w:lang w:val="en-GB"/>
              </w:rPr>
              <w:t>rather than an organisation providing services, or an organisation comprising a majority of non-disabled persons advocating for people with disabilities.</w:t>
            </w:r>
            <w:r w:rsidR="00E573E3">
              <w:rPr>
                <w:rStyle w:val="FootnoteReference"/>
                <w:lang w:val="en-GB"/>
              </w:rPr>
              <w:footnoteReference w:id="18"/>
            </w:r>
          </w:p>
        </w:tc>
      </w:tr>
    </w:tbl>
    <w:p w14:paraId="7E4DBAD7" w14:textId="4A84C155" w:rsidR="00D2505F" w:rsidRDefault="00D2505F">
      <w:pPr>
        <w:spacing w:after="0"/>
        <w:rPr>
          <w:rFonts w:cs="Calibri"/>
          <w:szCs w:val="26"/>
          <w:lang w:val="en"/>
        </w:rPr>
      </w:pPr>
      <w:r>
        <w:rPr>
          <w:rFonts w:cs="Calibri"/>
          <w:szCs w:val="26"/>
          <w:lang w:val="en"/>
        </w:rPr>
        <w:br w:type="page"/>
      </w:r>
    </w:p>
    <w:p w14:paraId="0705C837" w14:textId="32D8E9B5" w:rsidR="007D5EEE" w:rsidRDefault="005946AF" w:rsidP="007D5EEE">
      <w:pPr>
        <w:pStyle w:val="Heading1"/>
        <w:rPr>
          <w:rFonts w:eastAsia="SimSun"/>
          <w:lang w:eastAsia="en-IE"/>
        </w:rPr>
      </w:pPr>
      <w:bookmarkStart w:id="21" w:name="_Toc107232403"/>
      <w:r>
        <w:rPr>
          <w:rFonts w:eastAsia="SimSun"/>
          <w:lang w:eastAsia="en-IE"/>
        </w:rPr>
        <w:lastRenderedPageBreak/>
        <w:t>Annex 1</w:t>
      </w:r>
      <w:r w:rsidR="006815C9">
        <w:rPr>
          <w:rFonts w:eastAsia="SimSun"/>
          <w:lang w:eastAsia="en-IE"/>
        </w:rPr>
        <w:t>: C</w:t>
      </w:r>
      <w:r w:rsidR="007D5EEE">
        <w:rPr>
          <w:rFonts w:eastAsia="SimSun"/>
          <w:lang w:eastAsia="en-IE"/>
        </w:rPr>
        <w:t>onsultation</w:t>
      </w:r>
      <w:r w:rsidR="006815C9">
        <w:rPr>
          <w:rFonts w:eastAsia="SimSun"/>
          <w:lang w:eastAsia="en-IE"/>
        </w:rPr>
        <w:t xml:space="preserve"> details</w:t>
      </w:r>
      <w:bookmarkEnd w:id="21"/>
    </w:p>
    <w:p w14:paraId="03DE8E12" w14:textId="0D7B7E75" w:rsidR="007D5EEE" w:rsidRDefault="007D5EEE" w:rsidP="007D5EEE">
      <w:r>
        <w:t xml:space="preserve">The NDA carried </w:t>
      </w:r>
      <w:r w:rsidR="004C25AF">
        <w:t>out</w:t>
      </w:r>
      <w:r>
        <w:t xml:space="preserve"> meetings with five national Disabled Persons Organisations between June 14</w:t>
      </w:r>
      <w:r w:rsidRPr="00BB6749">
        <w:rPr>
          <w:vertAlign w:val="superscript"/>
        </w:rPr>
        <w:t>th</w:t>
      </w:r>
      <w:r>
        <w:t xml:space="preserve"> and June 25</w:t>
      </w:r>
      <w:r w:rsidRPr="00BB6749">
        <w:rPr>
          <w:vertAlign w:val="superscript"/>
        </w:rPr>
        <w:t>th</w:t>
      </w:r>
      <w:r>
        <w:t xml:space="preserve"> 2021</w:t>
      </w:r>
      <w:r w:rsidR="00AF087E">
        <w:t xml:space="preserve"> to inform the update of our publication “Ask Me: Guidelines for Effective Consultation with People with Disabilities”</w:t>
      </w:r>
      <w:r>
        <w:t>. The DPOs who took part in the consultation meetings included As I Am, Irish Deaf Society, Voice of Vision Impairment, Independent Living Movement Ireland, and the National Platform of Self Advocates.</w:t>
      </w:r>
      <w:r w:rsidR="00AF087E">
        <w:t xml:space="preserve"> </w:t>
      </w:r>
    </w:p>
    <w:p w14:paraId="0BFD02D6" w14:textId="0F381E25" w:rsidR="00AF087E" w:rsidRDefault="00AF087E" w:rsidP="007D5EEE">
      <w:r>
        <w:t>Language was one of the themes on which DPOs provided feedback. Three DPOs outlined their preference for ‘identity-first’ language (e.g. ‘disabled person’) as opposed ‘person-first’ language (e.g. people with disabilities). One DPO had mixed views amongst its members in this regard with some members preferring either ‘disabled person’ or ‘people with disabilities’ and some preferring ‘people with disabilities’ only. One DPO offered feedback on language regarding the Deaf community. The consultation report and updated guidelines will be published later in 2022.</w:t>
      </w:r>
    </w:p>
    <w:p w14:paraId="04628B5C" w14:textId="0657BB7E" w:rsidR="00D2505F" w:rsidRDefault="00D2505F">
      <w:pPr>
        <w:spacing w:after="0"/>
        <w:rPr>
          <w:rFonts w:eastAsia="SimSun"/>
          <w:lang w:eastAsia="en-IE"/>
        </w:rPr>
      </w:pPr>
      <w:r>
        <w:rPr>
          <w:rFonts w:eastAsia="SimSun"/>
          <w:lang w:eastAsia="en-IE"/>
        </w:rPr>
        <w:br w:type="page"/>
      </w:r>
    </w:p>
    <w:p w14:paraId="53890410" w14:textId="77777777" w:rsidR="005946AF" w:rsidRDefault="005946AF" w:rsidP="005946AF">
      <w:pPr>
        <w:pStyle w:val="Heading1"/>
        <w:rPr>
          <w:rFonts w:eastAsia="SimSun"/>
          <w:lang w:eastAsia="en-IE"/>
        </w:rPr>
      </w:pPr>
      <w:bookmarkStart w:id="22" w:name="_Toc107232404"/>
      <w:r>
        <w:rPr>
          <w:rFonts w:eastAsia="SimSun"/>
          <w:lang w:eastAsia="en-IE"/>
        </w:rPr>
        <w:lastRenderedPageBreak/>
        <w:t>Annex 2: DPO language resources</w:t>
      </w:r>
      <w:bookmarkEnd w:id="22"/>
    </w:p>
    <w:p w14:paraId="4A6DCA21" w14:textId="77777777" w:rsidR="005946AF" w:rsidRPr="00E5190E" w:rsidRDefault="005946AF" w:rsidP="005946AF">
      <w:pPr>
        <w:rPr>
          <w:rFonts w:eastAsia="SimSun"/>
          <w:lang w:eastAsia="en-IE"/>
        </w:rPr>
      </w:pPr>
      <w:r>
        <w:rPr>
          <w:rFonts w:eastAsia="SimSun"/>
          <w:lang w:eastAsia="en-IE"/>
        </w:rPr>
        <w:t xml:space="preserve">Some national DPOs have resources on their website which outlines their approach to language. The below list was current at time of writing. </w:t>
      </w:r>
    </w:p>
    <w:tbl>
      <w:tblPr>
        <w:tblStyle w:val="TableGrid"/>
        <w:tblW w:w="0" w:type="auto"/>
        <w:tblLayout w:type="fixed"/>
        <w:tblLook w:val="04A0" w:firstRow="1" w:lastRow="0" w:firstColumn="1" w:lastColumn="0" w:noHBand="0" w:noVBand="1"/>
        <w:tblCaption w:val="Table, Annex 2: DPO language resources"/>
        <w:tblDescription w:val="Some national DPO's have resources on their website which outline their approach to language.  List in table was current at time of writing."/>
      </w:tblPr>
      <w:tblGrid>
        <w:gridCol w:w="2122"/>
        <w:gridCol w:w="6508"/>
      </w:tblGrid>
      <w:tr w:rsidR="005946AF" w14:paraId="42BF32C4" w14:textId="77777777" w:rsidTr="004B63A4">
        <w:trPr>
          <w:tblHeader/>
        </w:trPr>
        <w:tc>
          <w:tcPr>
            <w:tcW w:w="2122" w:type="dxa"/>
          </w:tcPr>
          <w:p w14:paraId="70F0388A" w14:textId="77777777" w:rsidR="005946AF" w:rsidRPr="00A04D2C" w:rsidRDefault="005946AF" w:rsidP="00B675BA">
            <w:pPr>
              <w:rPr>
                <w:rFonts w:eastAsia="SimSun"/>
                <w:b/>
                <w:lang w:eastAsia="en-IE"/>
              </w:rPr>
            </w:pPr>
            <w:r w:rsidRPr="00A04D2C">
              <w:rPr>
                <w:rFonts w:eastAsia="SimSun"/>
                <w:b/>
                <w:lang w:eastAsia="en-IE"/>
              </w:rPr>
              <w:t>DPO name</w:t>
            </w:r>
          </w:p>
        </w:tc>
        <w:tc>
          <w:tcPr>
            <w:tcW w:w="6508" w:type="dxa"/>
          </w:tcPr>
          <w:p w14:paraId="4AB5FD32" w14:textId="77777777" w:rsidR="005946AF" w:rsidRPr="00A04D2C" w:rsidRDefault="005946AF" w:rsidP="00B675BA">
            <w:pPr>
              <w:rPr>
                <w:rFonts w:eastAsia="SimSun"/>
                <w:b/>
                <w:lang w:eastAsia="en-IE"/>
              </w:rPr>
            </w:pPr>
            <w:r w:rsidRPr="00A04D2C">
              <w:rPr>
                <w:rFonts w:eastAsia="SimSun"/>
                <w:b/>
                <w:lang w:eastAsia="en-IE"/>
              </w:rPr>
              <w:t>Link to resource</w:t>
            </w:r>
          </w:p>
        </w:tc>
      </w:tr>
      <w:tr w:rsidR="005946AF" w14:paraId="3BE1C218" w14:textId="77777777" w:rsidTr="00B675BA">
        <w:tc>
          <w:tcPr>
            <w:tcW w:w="2122" w:type="dxa"/>
          </w:tcPr>
          <w:p w14:paraId="3C0B6D9C" w14:textId="77777777" w:rsidR="005946AF" w:rsidRDefault="005946AF" w:rsidP="00B675BA">
            <w:pPr>
              <w:rPr>
                <w:rFonts w:eastAsia="SimSun"/>
                <w:lang w:eastAsia="en-IE"/>
              </w:rPr>
            </w:pPr>
            <w:r>
              <w:rPr>
                <w:rFonts w:eastAsia="SimSun"/>
                <w:lang w:eastAsia="en-IE"/>
              </w:rPr>
              <w:t>As I Am</w:t>
            </w:r>
          </w:p>
        </w:tc>
        <w:tc>
          <w:tcPr>
            <w:tcW w:w="6508" w:type="dxa"/>
          </w:tcPr>
          <w:p w14:paraId="1D78BC6F" w14:textId="565E8943" w:rsidR="005946AF" w:rsidRDefault="00E252D3" w:rsidP="00B675BA">
            <w:pPr>
              <w:rPr>
                <w:rFonts w:eastAsia="SimSun"/>
                <w:lang w:eastAsia="en-IE"/>
              </w:rPr>
            </w:pPr>
            <w:hyperlink r:id="rId9" w:history="1">
              <w:r w:rsidR="009C6506" w:rsidRPr="000A656E">
                <w:rPr>
                  <w:rStyle w:val="Hyperlink"/>
                  <w:rFonts w:eastAsia="SimSun"/>
                  <w:lang w:eastAsia="en-IE"/>
                </w:rPr>
                <w:t>https://asiam.ie/wp-content/uploads/2019/04/Autism-Language.pdf</w:t>
              </w:r>
            </w:hyperlink>
          </w:p>
        </w:tc>
      </w:tr>
      <w:tr w:rsidR="005946AF" w14:paraId="4D6F93FF" w14:textId="77777777" w:rsidTr="00B675BA">
        <w:tc>
          <w:tcPr>
            <w:tcW w:w="2122" w:type="dxa"/>
          </w:tcPr>
          <w:p w14:paraId="5EDFEF67" w14:textId="77777777" w:rsidR="005946AF" w:rsidRDefault="005946AF" w:rsidP="00B675BA">
            <w:pPr>
              <w:rPr>
                <w:rFonts w:eastAsia="SimSun"/>
                <w:lang w:eastAsia="en-IE"/>
              </w:rPr>
            </w:pPr>
            <w:r>
              <w:rPr>
                <w:rFonts w:eastAsia="SimSun"/>
                <w:lang w:eastAsia="en-IE"/>
              </w:rPr>
              <w:t>Disabled Women Ireland</w:t>
            </w:r>
          </w:p>
        </w:tc>
        <w:tc>
          <w:tcPr>
            <w:tcW w:w="6508" w:type="dxa"/>
          </w:tcPr>
          <w:p w14:paraId="4FF036B5" w14:textId="77777777" w:rsidR="005946AF" w:rsidRDefault="00E252D3" w:rsidP="00B675BA">
            <w:pPr>
              <w:rPr>
                <w:rFonts w:eastAsia="SimSun"/>
                <w:lang w:eastAsia="en-IE"/>
              </w:rPr>
            </w:pPr>
            <w:hyperlink r:id="rId10" w:history="1">
              <w:r w:rsidR="00F06522" w:rsidRPr="00A3786F">
                <w:rPr>
                  <w:rStyle w:val="Hyperlink"/>
                  <w:rFonts w:eastAsia="SimSun"/>
                  <w:lang w:eastAsia="en-IE"/>
                </w:rPr>
                <w:t>https://www.disabledwomenireland.org/disabilityisntadirtyword</w:t>
              </w:r>
            </w:hyperlink>
          </w:p>
        </w:tc>
      </w:tr>
      <w:tr w:rsidR="005946AF" w14:paraId="7BC2E7D5" w14:textId="77777777" w:rsidTr="00B675BA">
        <w:tc>
          <w:tcPr>
            <w:tcW w:w="2122" w:type="dxa"/>
          </w:tcPr>
          <w:p w14:paraId="4C8D7A19" w14:textId="77777777" w:rsidR="005946AF" w:rsidRDefault="005946AF" w:rsidP="00B675BA">
            <w:pPr>
              <w:rPr>
                <w:rFonts w:eastAsia="SimSun"/>
                <w:lang w:eastAsia="en-IE"/>
              </w:rPr>
            </w:pPr>
            <w:r>
              <w:rPr>
                <w:rFonts w:eastAsia="SimSun"/>
                <w:lang w:eastAsia="en-IE"/>
              </w:rPr>
              <w:t>Independent Living Movement Ireland</w:t>
            </w:r>
          </w:p>
        </w:tc>
        <w:tc>
          <w:tcPr>
            <w:tcW w:w="6508" w:type="dxa"/>
          </w:tcPr>
          <w:p w14:paraId="30DF782A" w14:textId="01620855" w:rsidR="005946AF" w:rsidRDefault="00E252D3" w:rsidP="00B675BA">
            <w:pPr>
              <w:rPr>
                <w:rFonts w:eastAsia="SimSun"/>
                <w:lang w:eastAsia="en-IE"/>
              </w:rPr>
            </w:pPr>
            <w:hyperlink r:id="rId11" w:history="1">
              <w:r w:rsidR="009D35F1" w:rsidRPr="001B09D5">
                <w:rPr>
                  <w:rStyle w:val="Hyperlink"/>
                  <w:rFonts w:eastAsia="SimSun"/>
                  <w:lang w:eastAsia="en-IE"/>
                </w:rPr>
                <w:t>https://ilmi.ie/our-vision-mission-and-values/</w:t>
              </w:r>
            </w:hyperlink>
          </w:p>
          <w:p w14:paraId="6A91F077" w14:textId="1DF73CAD" w:rsidR="009D35F1" w:rsidRDefault="009D35F1" w:rsidP="00B675BA">
            <w:pPr>
              <w:rPr>
                <w:rFonts w:eastAsia="SimSun"/>
                <w:lang w:eastAsia="en-IE"/>
              </w:rPr>
            </w:pPr>
          </w:p>
        </w:tc>
      </w:tr>
      <w:tr w:rsidR="005946AF" w14:paraId="4520FED1" w14:textId="77777777" w:rsidTr="00B675BA">
        <w:tc>
          <w:tcPr>
            <w:tcW w:w="2122" w:type="dxa"/>
          </w:tcPr>
          <w:p w14:paraId="7F44D814" w14:textId="77777777" w:rsidR="005946AF" w:rsidRDefault="005946AF" w:rsidP="00B675BA">
            <w:pPr>
              <w:rPr>
                <w:rFonts w:eastAsia="SimSun"/>
                <w:lang w:eastAsia="en-IE"/>
              </w:rPr>
            </w:pPr>
            <w:r>
              <w:rPr>
                <w:rFonts w:eastAsia="SimSun"/>
                <w:lang w:eastAsia="en-IE"/>
              </w:rPr>
              <w:t>Irish Deaf Society</w:t>
            </w:r>
          </w:p>
        </w:tc>
        <w:tc>
          <w:tcPr>
            <w:tcW w:w="6508" w:type="dxa"/>
          </w:tcPr>
          <w:p w14:paraId="0F22614B" w14:textId="77777777" w:rsidR="005946AF" w:rsidRDefault="00E252D3" w:rsidP="00B675BA">
            <w:pPr>
              <w:rPr>
                <w:rFonts w:eastAsia="SimSun"/>
                <w:lang w:eastAsia="en-IE"/>
              </w:rPr>
            </w:pPr>
            <w:hyperlink r:id="rId12" w:history="1">
              <w:r w:rsidR="005946AF" w:rsidRPr="00A3786F">
                <w:rPr>
                  <w:rStyle w:val="Hyperlink"/>
                  <w:rFonts w:eastAsia="SimSun"/>
                  <w:lang w:eastAsia="en-IE"/>
                </w:rPr>
                <w:t>https://www.irishdeafsociety.ie/about/press-information/?cn-reloaded=1</w:t>
              </w:r>
            </w:hyperlink>
          </w:p>
          <w:p w14:paraId="34FB2E9F" w14:textId="77777777" w:rsidR="005946AF" w:rsidRDefault="00E252D3" w:rsidP="00B675BA">
            <w:pPr>
              <w:rPr>
                <w:rFonts w:eastAsia="SimSun"/>
                <w:lang w:eastAsia="en-IE"/>
              </w:rPr>
            </w:pPr>
            <w:hyperlink r:id="rId13" w:history="1">
              <w:r w:rsidR="005946AF" w:rsidRPr="00A3786F">
                <w:rPr>
                  <w:rStyle w:val="Hyperlink"/>
                  <w:rFonts w:eastAsia="SimSun"/>
                  <w:lang w:eastAsia="en-IE"/>
                </w:rPr>
                <w:t>https://www.citizensinformationboard.ie/en/services/accessibility/deaf-awareness-training.html</w:t>
              </w:r>
            </w:hyperlink>
          </w:p>
          <w:p w14:paraId="23386254" w14:textId="77777777" w:rsidR="005946AF" w:rsidRDefault="005946AF" w:rsidP="00B675BA">
            <w:pPr>
              <w:rPr>
                <w:rFonts w:eastAsia="SimSun"/>
                <w:lang w:eastAsia="en-IE"/>
              </w:rPr>
            </w:pPr>
          </w:p>
        </w:tc>
      </w:tr>
      <w:tr w:rsidR="005946AF" w14:paraId="51024827" w14:textId="77777777" w:rsidTr="00B675BA">
        <w:tc>
          <w:tcPr>
            <w:tcW w:w="2122" w:type="dxa"/>
          </w:tcPr>
          <w:p w14:paraId="1DDC6AA6" w14:textId="77777777" w:rsidR="005946AF" w:rsidRDefault="005946AF" w:rsidP="00B675BA">
            <w:pPr>
              <w:rPr>
                <w:rFonts w:eastAsia="SimSun"/>
                <w:lang w:eastAsia="en-IE"/>
              </w:rPr>
            </w:pPr>
            <w:r>
              <w:rPr>
                <w:rFonts w:eastAsia="SimSun"/>
                <w:lang w:eastAsia="en-IE"/>
              </w:rPr>
              <w:t>Voice of Vision Impairment</w:t>
            </w:r>
          </w:p>
        </w:tc>
        <w:tc>
          <w:tcPr>
            <w:tcW w:w="6508" w:type="dxa"/>
          </w:tcPr>
          <w:p w14:paraId="7A01F410" w14:textId="181F23DC" w:rsidR="005946AF" w:rsidRDefault="00E252D3" w:rsidP="00B675BA">
            <w:pPr>
              <w:rPr>
                <w:rFonts w:eastAsia="SimSun"/>
                <w:lang w:eastAsia="en-IE"/>
              </w:rPr>
            </w:pPr>
            <w:hyperlink r:id="rId14" w:history="1">
              <w:r w:rsidR="009D35F1" w:rsidRPr="001B09D5">
                <w:rPr>
                  <w:rStyle w:val="Hyperlink"/>
                  <w:rFonts w:eastAsia="SimSun"/>
                  <w:lang w:eastAsia="en-IE"/>
                </w:rPr>
                <w:t>https://vvi.ie/category/disability/</w:t>
              </w:r>
            </w:hyperlink>
          </w:p>
          <w:p w14:paraId="2BF42A2A" w14:textId="5D21F006" w:rsidR="009D35F1" w:rsidRDefault="009D35F1" w:rsidP="00B675BA">
            <w:pPr>
              <w:rPr>
                <w:rFonts w:eastAsia="SimSun"/>
                <w:lang w:eastAsia="en-IE"/>
              </w:rPr>
            </w:pPr>
          </w:p>
        </w:tc>
      </w:tr>
    </w:tbl>
    <w:p w14:paraId="55A61284" w14:textId="41A633A6" w:rsidR="0081070E" w:rsidRPr="007B0CDD" w:rsidRDefault="0081070E" w:rsidP="007B0CDD">
      <w:pPr>
        <w:rPr>
          <w:color w:val="1F497D"/>
        </w:rPr>
      </w:pPr>
    </w:p>
    <w:sectPr w:rsidR="0081070E" w:rsidRPr="007B0CDD" w:rsidSect="002E3C62">
      <w:footerReference w:type="default" r:id="rId15"/>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A3A3" w14:textId="77777777" w:rsidR="00B675BA" w:rsidRDefault="00B675BA">
      <w:r>
        <w:separator/>
      </w:r>
    </w:p>
  </w:endnote>
  <w:endnote w:type="continuationSeparator" w:id="0">
    <w:p w14:paraId="5B8A1A83" w14:textId="77777777" w:rsidR="00B675BA" w:rsidRDefault="00B6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84C1" w14:textId="700A130D" w:rsidR="00B675BA" w:rsidRDefault="00B675BA">
    <w:pPr>
      <w:pStyle w:val="Footer"/>
    </w:pPr>
    <w:r>
      <w:tab/>
    </w:r>
    <w:r>
      <w:tab/>
    </w:r>
    <w:r>
      <w:fldChar w:fldCharType="begin"/>
    </w:r>
    <w:r>
      <w:instrText xml:space="preserve"> PAGE  \* Arabic  \* MERGEFORMAT </w:instrText>
    </w:r>
    <w:r>
      <w:fldChar w:fldCharType="separate"/>
    </w:r>
    <w:r w:rsidR="00E252D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98065" w14:textId="77777777" w:rsidR="00B675BA" w:rsidRDefault="00B675BA">
      <w:r>
        <w:separator/>
      </w:r>
    </w:p>
  </w:footnote>
  <w:footnote w:type="continuationSeparator" w:id="0">
    <w:p w14:paraId="6A37AABB" w14:textId="77777777" w:rsidR="00B675BA" w:rsidRDefault="00B675BA">
      <w:r>
        <w:continuationSeparator/>
      </w:r>
    </w:p>
  </w:footnote>
  <w:footnote w:id="1">
    <w:p w14:paraId="6AD0D22D" w14:textId="77777777" w:rsidR="00B675BA" w:rsidRDefault="00B675BA" w:rsidP="00BC6182">
      <w:pPr>
        <w:pStyle w:val="FootnoteText"/>
      </w:pPr>
      <w:r>
        <w:rPr>
          <w:rStyle w:val="FootnoteReference"/>
        </w:rPr>
        <w:footnoteRef/>
      </w:r>
      <w:r>
        <w:t xml:space="preserve"> </w:t>
      </w:r>
      <w:r w:rsidRPr="005721FB">
        <w:t>NDA (2016) http://nda.ie/Publications/Disability-Supports/Disability-Services/Research-on-engagement-and-participation-of-people-with-disabilities-in-developing-services-policy-and-practice-1.pdf</w:t>
      </w:r>
    </w:p>
  </w:footnote>
  <w:footnote w:id="2">
    <w:p w14:paraId="681C0553" w14:textId="77777777" w:rsidR="00B675BA" w:rsidRDefault="00B675BA">
      <w:pPr>
        <w:pStyle w:val="FootnoteText"/>
      </w:pPr>
      <w:r>
        <w:rPr>
          <w:rStyle w:val="FootnoteReference"/>
        </w:rPr>
        <w:footnoteRef/>
      </w:r>
      <w:r>
        <w:t xml:space="preserve"> HSE Transforming Lives Working Group 3, </w:t>
      </w:r>
      <w:r w:rsidRPr="004356BE">
        <w:t>https://www.hse.ie/eng/services/publications/effective-participation-in-decision-making-final.pdf</w:t>
      </w:r>
    </w:p>
  </w:footnote>
  <w:footnote w:id="3">
    <w:p w14:paraId="16054075" w14:textId="77777777" w:rsidR="00B675BA" w:rsidRDefault="00B675BA" w:rsidP="002A152F">
      <w:pPr>
        <w:pStyle w:val="FootnoteText"/>
      </w:pPr>
      <w:r>
        <w:rPr>
          <w:rStyle w:val="FootnoteReference"/>
        </w:rPr>
        <w:footnoteRef/>
      </w:r>
      <w:r>
        <w:t xml:space="preserve"> </w:t>
      </w:r>
      <w:r w:rsidRPr="005721FB">
        <w:t>NDA (2016) http://nda.ie/Publications/Disability-Supports/Disability-Services/Research-on-engagement-and-participation-of-people-with-disabilities-in-developing-services-policy-and-practice-1.pdf</w:t>
      </w:r>
    </w:p>
  </w:footnote>
  <w:footnote w:id="4">
    <w:p w14:paraId="62869348" w14:textId="77777777" w:rsidR="00B675BA" w:rsidRDefault="00B675BA" w:rsidP="00BC6182">
      <w:pPr>
        <w:pStyle w:val="FootnoteText"/>
      </w:pPr>
      <w:r>
        <w:rPr>
          <w:rStyle w:val="FootnoteReference"/>
        </w:rPr>
        <w:footnoteRef/>
      </w:r>
      <w:r>
        <w:t xml:space="preserve"> </w:t>
      </w:r>
      <w:r w:rsidRPr="005721FB">
        <w:t>Anna Lawson &amp; Angharad E. Beckett (2021) The social and human rights models of disability: towards a complementarity thesis, The International Journal of Human Rights, 25:2, 348-379, DOI: 10.1080/13642987.2020.1783533</w:t>
      </w:r>
    </w:p>
  </w:footnote>
  <w:footnote w:id="5">
    <w:p w14:paraId="5FCD15A2" w14:textId="77777777" w:rsidR="00B675BA" w:rsidRDefault="00B675BA" w:rsidP="00BC6182">
      <w:pPr>
        <w:pStyle w:val="FootnoteText"/>
      </w:pPr>
      <w:r>
        <w:rPr>
          <w:rStyle w:val="FootnoteReference"/>
        </w:rPr>
        <w:footnoteRef/>
      </w:r>
      <w:r>
        <w:t xml:space="preserve"> UN (2006) UNCRPD</w:t>
      </w:r>
    </w:p>
  </w:footnote>
  <w:footnote w:id="6">
    <w:p w14:paraId="59C3D7F1" w14:textId="77777777" w:rsidR="00B675BA" w:rsidRDefault="00B675BA">
      <w:pPr>
        <w:pStyle w:val="FootnoteText"/>
      </w:pPr>
      <w:r>
        <w:rPr>
          <w:rStyle w:val="FootnoteReference"/>
        </w:rPr>
        <w:footnoteRef/>
      </w:r>
      <w:r>
        <w:t xml:space="preserve"> UN </w:t>
      </w:r>
      <w:r w:rsidRPr="00CD576C">
        <w:t>https://www.ungeneva.org/sites/default/files/2021-01/Disability-Inclusive-Language-Guidelines.pdf</w:t>
      </w:r>
    </w:p>
  </w:footnote>
  <w:footnote w:id="7">
    <w:p w14:paraId="49402E90" w14:textId="577E5428" w:rsidR="00B675BA" w:rsidRDefault="00B675BA">
      <w:pPr>
        <w:pStyle w:val="FootnoteText"/>
      </w:pPr>
      <w:r>
        <w:rPr>
          <w:rStyle w:val="FootnoteReference"/>
        </w:rPr>
        <w:footnoteRef/>
      </w:r>
      <w:r>
        <w:t xml:space="preserve"> See page 10 for an explanation of the term ‘DPO’. See Annex 1 for details of the consultation.</w:t>
      </w:r>
    </w:p>
  </w:footnote>
  <w:footnote w:id="8">
    <w:p w14:paraId="4878DBD0" w14:textId="70817D65" w:rsidR="00B675BA" w:rsidRDefault="00B675BA">
      <w:pPr>
        <w:pStyle w:val="FootnoteText"/>
      </w:pPr>
      <w:r>
        <w:rPr>
          <w:rStyle w:val="FootnoteReference"/>
        </w:rPr>
        <w:footnoteRef/>
      </w:r>
      <w:r>
        <w:t xml:space="preserve"> See: National Housing Strategy for Disabled People pg. 1 ‘Disability Terminology’. </w:t>
      </w:r>
      <w:r w:rsidRPr="00152A89">
        <w:t>https://www.gov.ie/en/publication/60d76-national-housing-strategy-for-disabled-people-2022-2027/</w:t>
      </w:r>
    </w:p>
  </w:footnote>
  <w:footnote w:id="9">
    <w:p w14:paraId="3E472760" w14:textId="77777777" w:rsidR="00B675BA" w:rsidRDefault="00B675BA" w:rsidP="00612446">
      <w:pPr>
        <w:pStyle w:val="FootnoteText"/>
      </w:pPr>
      <w:r>
        <w:rPr>
          <w:rStyle w:val="FootnoteReference"/>
        </w:rPr>
        <w:footnoteRef/>
      </w:r>
      <w:r>
        <w:t xml:space="preserve"> CES (May, 2021) Ireland’s Draft State Report under the UNCRPD: Report from Public and Stakeholder Consultations. </w:t>
      </w:r>
      <w:r w:rsidRPr="008F7083">
        <w:t>https://www.gov.ie/en/publication/75e45-irelands-first-report-to-the-united-nations-committee-on-the-rights-of-persons-with-disabilities/</w:t>
      </w:r>
    </w:p>
  </w:footnote>
  <w:footnote w:id="10">
    <w:p w14:paraId="4ABE5847" w14:textId="77777777" w:rsidR="00B675BA" w:rsidRDefault="00B675BA">
      <w:pPr>
        <w:pStyle w:val="FootnoteText"/>
      </w:pPr>
      <w:r>
        <w:rPr>
          <w:rStyle w:val="FootnoteReference"/>
        </w:rPr>
        <w:footnoteRef/>
      </w:r>
      <w:r>
        <w:t xml:space="preserve"> ACE Communications report</w:t>
      </w:r>
    </w:p>
  </w:footnote>
  <w:footnote w:id="11">
    <w:p w14:paraId="034D83CC" w14:textId="77777777" w:rsidR="00B675BA" w:rsidRDefault="00B675BA" w:rsidP="00D44D7A">
      <w:pPr>
        <w:pStyle w:val="FootnoteText"/>
      </w:pPr>
      <w:r>
        <w:rPr>
          <w:rStyle w:val="FootnoteReference"/>
        </w:rPr>
        <w:footnoteRef/>
      </w:r>
      <w:r>
        <w:t xml:space="preserve"> See the UN’s </w:t>
      </w:r>
      <w:r w:rsidRPr="00D44D7A">
        <w:t>examination of the UK’s compliance with the Convention in 2017</w:t>
      </w:r>
      <w:r>
        <w:t>.</w:t>
      </w:r>
    </w:p>
  </w:footnote>
  <w:footnote w:id="12">
    <w:p w14:paraId="5E9F3722" w14:textId="30C3C43C" w:rsidR="00B675BA" w:rsidRDefault="00B675BA">
      <w:pPr>
        <w:pStyle w:val="FootnoteText"/>
      </w:pPr>
      <w:r>
        <w:rPr>
          <w:rStyle w:val="FootnoteReference"/>
        </w:rPr>
        <w:footnoteRef/>
      </w:r>
      <w:r>
        <w:t xml:space="preserve"> Source: Irish Deaf Society consultation. See also: </w:t>
      </w:r>
      <w:r w:rsidRPr="005F3771">
        <w:t>https://www.citizensinformationboard.ie/en/services/accessibility/deaf-awareness-training.html</w:t>
      </w:r>
    </w:p>
  </w:footnote>
  <w:footnote w:id="13">
    <w:p w14:paraId="346D148E" w14:textId="454D520A" w:rsidR="00B675BA" w:rsidRDefault="00B675BA">
      <w:pPr>
        <w:pStyle w:val="FootnoteText"/>
      </w:pPr>
      <w:r>
        <w:rPr>
          <w:rStyle w:val="FootnoteReference"/>
        </w:rPr>
        <w:footnoteRef/>
      </w:r>
      <w:r>
        <w:t xml:space="preserve"> See: National Housing Strategy for Disabled People pg. 1 ‘Disability Terminology’. </w:t>
      </w:r>
      <w:r w:rsidRPr="00152A89">
        <w:t>https://www.gov.ie/en/publication/60d76-national-housing-strategy-for-disabled-people-2022-2027/</w:t>
      </w:r>
    </w:p>
  </w:footnote>
  <w:footnote w:id="14">
    <w:p w14:paraId="3A05A53F" w14:textId="77777777" w:rsidR="001B68B4" w:rsidRDefault="001B68B4">
      <w:pPr>
        <w:pStyle w:val="FootnoteText"/>
      </w:pPr>
      <w:r>
        <w:rPr>
          <w:rStyle w:val="FootnoteReference"/>
        </w:rPr>
        <w:footnoteRef/>
      </w:r>
      <w:r>
        <w:t xml:space="preserve"> See UNCRPD Article 24 ‘Inclusive Education’; See also UNCRPD ‘General Comment 4 (2016) on the right to inclusive education.’</w:t>
      </w:r>
    </w:p>
  </w:footnote>
  <w:footnote w:id="15">
    <w:p w14:paraId="05A14685" w14:textId="77777777" w:rsidR="001B68B4" w:rsidRDefault="001B68B4">
      <w:pPr>
        <w:pStyle w:val="FootnoteText"/>
      </w:pPr>
      <w:r>
        <w:rPr>
          <w:rStyle w:val="FootnoteReference"/>
        </w:rPr>
        <w:footnoteRef/>
      </w:r>
      <w:r>
        <w:t xml:space="preserve"> Education for Persons with Special Educational Needs Act 2004: </w:t>
      </w:r>
      <w:r w:rsidRPr="00AF7BC1">
        <w:t>https://www.irishstatutebook.ie/eli/2004/act/30/enacted/en/html</w:t>
      </w:r>
    </w:p>
  </w:footnote>
  <w:footnote w:id="16">
    <w:p w14:paraId="22829409" w14:textId="77777777" w:rsidR="001B68B4" w:rsidRDefault="001B68B4" w:rsidP="00B242A0">
      <w:pPr>
        <w:pStyle w:val="FootnoteText"/>
      </w:pPr>
      <w:r>
        <w:rPr>
          <w:rStyle w:val="FootnoteReference"/>
        </w:rPr>
        <w:footnoteRef/>
      </w:r>
      <w:r>
        <w:t xml:space="preserve"> As I Am language guidelines</w:t>
      </w:r>
    </w:p>
  </w:footnote>
  <w:footnote w:id="17">
    <w:p w14:paraId="5859C4DE" w14:textId="2C21DD3B" w:rsidR="00B675BA" w:rsidRDefault="00B675BA">
      <w:pPr>
        <w:pStyle w:val="FootnoteText"/>
      </w:pPr>
      <w:r>
        <w:rPr>
          <w:rStyle w:val="FootnoteReference"/>
        </w:rPr>
        <w:footnoteRef/>
      </w:r>
      <w:r>
        <w:t xml:space="preserve"> See UNCRPD General Comment 7, Part II (A). “Definition of ‘representative organisations’”</w:t>
      </w:r>
    </w:p>
  </w:footnote>
  <w:footnote w:id="18">
    <w:p w14:paraId="3817005A" w14:textId="5573CEC9" w:rsidR="00B675BA" w:rsidRDefault="00B675BA">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06A69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075435D"/>
    <w:multiLevelType w:val="hybridMultilevel"/>
    <w:tmpl w:val="0106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0C11F6F"/>
    <w:multiLevelType w:val="hybridMultilevel"/>
    <w:tmpl w:val="28F6B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DC56A1"/>
    <w:multiLevelType w:val="hybridMultilevel"/>
    <w:tmpl w:val="6A48D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30466E"/>
    <w:multiLevelType w:val="hybridMultilevel"/>
    <w:tmpl w:val="FD5EAA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962EF2"/>
    <w:multiLevelType w:val="hybridMultilevel"/>
    <w:tmpl w:val="8334D508"/>
    <w:lvl w:ilvl="0" w:tplc="F7CAC5B0">
      <w:numFmt w:val="bullet"/>
      <w:lvlText w:val="-"/>
      <w:lvlJc w:val="left"/>
      <w:pPr>
        <w:ind w:left="720" w:hanging="360"/>
      </w:pPr>
      <w:rPr>
        <w:rFonts w:ascii="Gill Sans MT" w:eastAsia="Calibri"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CBF37F1"/>
    <w:multiLevelType w:val="hybridMultilevel"/>
    <w:tmpl w:val="CAA0C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8E0F0C"/>
    <w:multiLevelType w:val="hybridMultilevel"/>
    <w:tmpl w:val="9056A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511BF8"/>
    <w:multiLevelType w:val="hybridMultilevel"/>
    <w:tmpl w:val="610A3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A9B5C59"/>
    <w:multiLevelType w:val="hybridMultilevel"/>
    <w:tmpl w:val="12189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7"/>
  </w:num>
  <w:num w:numId="18">
    <w:abstractNumId w:val="11"/>
  </w:num>
  <w:num w:numId="19">
    <w:abstractNumId w:val="16"/>
  </w:num>
  <w:num w:numId="20">
    <w:abstractNumId w:val="10"/>
  </w:num>
  <w:num w:numId="21">
    <w:abstractNumId w:val="12"/>
  </w:num>
  <w:num w:numId="22">
    <w:abstractNumId w:val="15"/>
  </w:num>
  <w:num w:numId="23">
    <w:abstractNumId w:val="18"/>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EE"/>
    <w:rsid w:val="00034EFF"/>
    <w:rsid w:val="00053A6C"/>
    <w:rsid w:val="0006301A"/>
    <w:rsid w:val="00071C1D"/>
    <w:rsid w:val="00096767"/>
    <w:rsid w:val="000A0E7D"/>
    <w:rsid w:val="000A36D6"/>
    <w:rsid w:val="000A38D7"/>
    <w:rsid w:val="000B1EC1"/>
    <w:rsid w:val="000B23BE"/>
    <w:rsid w:val="000D4294"/>
    <w:rsid w:val="000D69D9"/>
    <w:rsid w:val="000D6CC2"/>
    <w:rsid w:val="00107C73"/>
    <w:rsid w:val="001100CB"/>
    <w:rsid w:val="001153A6"/>
    <w:rsid w:val="0012768D"/>
    <w:rsid w:val="001341F8"/>
    <w:rsid w:val="00134FEE"/>
    <w:rsid w:val="001418C6"/>
    <w:rsid w:val="00150F3F"/>
    <w:rsid w:val="00152A89"/>
    <w:rsid w:val="00156324"/>
    <w:rsid w:val="00164E5E"/>
    <w:rsid w:val="001656DE"/>
    <w:rsid w:val="0017245D"/>
    <w:rsid w:val="00181FE6"/>
    <w:rsid w:val="00186C19"/>
    <w:rsid w:val="0019064E"/>
    <w:rsid w:val="001924A9"/>
    <w:rsid w:val="001A1087"/>
    <w:rsid w:val="001B0007"/>
    <w:rsid w:val="001B0818"/>
    <w:rsid w:val="001B3BA0"/>
    <w:rsid w:val="001B68B4"/>
    <w:rsid w:val="001B6F10"/>
    <w:rsid w:val="001D0363"/>
    <w:rsid w:val="001D1D84"/>
    <w:rsid w:val="001D4A0B"/>
    <w:rsid w:val="002009AB"/>
    <w:rsid w:val="00205A9B"/>
    <w:rsid w:val="00236FCB"/>
    <w:rsid w:val="00241B6B"/>
    <w:rsid w:val="0024706E"/>
    <w:rsid w:val="002549EB"/>
    <w:rsid w:val="00270B18"/>
    <w:rsid w:val="002823B4"/>
    <w:rsid w:val="00287B8E"/>
    <w:rsid w:val="00294C45"/>
    <w:rsid w:val="002A152F"/>
    <w:rsid w:val="002A2F17"/>
    <w:rsid w:val="002B079D"/>
    <w:rsid w:val="002C1273"/>
    <w:rsid w:val="002E3C62"/>
    <w:rsid w:val="002E62EE"/>
    <w:rsid w:val="002F3A24"/>
    <w:rsid w:val="00313175"/>
    <w:rsid w:val="003165BF"/>
    <w:rsid w:val="00316CDD"/>
    <w:rsid w:val="00334555"/>
    <w:rsid w:val="00343A4C"/>
    <w:rsid w:val="003502E9"/>
    <w:rsid w:val="00384DEC"/>
    <w:rsid w:val="003852E0"/>
    <w:rsid w:val="00391B38"/>
    <w:rsid w:val="00391F73"/>
    <w:rsid w:val="003A0AD8"/>
    <w:rsid w:val="003A44C8"/>
    <w:rsid w:val="003A72F5"/>
    <w:rsid w:val="003B10EC"/>
    <w:rsid w:val="003B342D"/>
    <w:rsid w:val="003C7B5F"/>
    <w:rsid w:val="003D780A"/>
    <w:rsid w:val="003E01E4"/>
    <w:rsid w:val="003E410E"/>
    <w:rsid w:val="00404217"/>
    <w:rsid w:val="004118E5"/>
    <w:rsid w:val="004176BE"/>
    <w:rsid w:val="0042265E"/>
    <w:rsid w:val="00426720"/>
    <w:rsid w:val="004356BE"/>
    <w:rsid w:val="00446820"/>
    <w:rsid w:val="004541CA"/>
    <w:rsid w:val="00454EE1"/>
    <w:rsid w:val="00473777"/>
    <w:rsid w:val="00474BF9"/>
    <w:rsid w:val="004750FE"/>
    <w:rsid w:val="00481FB9"/>
    <w:rsid w:val="00483D1D"/>
    <w:rsid w:val="00485C34"/>
    <w:rsid w:val="00485D37"/>
    <w:rsid w:val="00487FD1"/>
    <w:rsid w:val="004934C9"/>
    <w:rsid w:val="0049762C"/>
    <w:rsid w:val="004B63A4"/>
    <w:rsid w:val="004C25AF"/>
    <w:rsid w:val="004C5836"/>
    <w:rsid w:val="004C585F"/>
    <w:rsid w:val="004D07F0"/>
    <w:rsid w:val="004E27D1"/>
    <w:rsid w:val="004E6C7B"/>
    <w:rsid w:val="004E76CF"/>
    <w:rsid w:val="004F315F"/>
    <w:rsid w:val="00503578"/>
    <w:rsid w:val="00503CE2"/>
    <w:rsid w:val="0050521F"/>
    <w:rsid w:val="00512016"/>
    <w:rsid w:val="00516497"/>
    <w:rsid w:val="005311F7"/>
    <w:rsid w:val="00544720"/>
    <w:rsid w:val="005479E9"/>
    <w:rsid w:val="00570CAE"/>
    <w:rsid w:val="00574F32"/>
    <w:rsid w:val="00575B1B"/>
    <w:rsid w:val="00576C40"/>
    <w:rsid w:val="00585918"/>
    <w:rsid w:val="0058771A"/>
    <w:rsid w:val="005946AF"/>
    <w:rsid w:val="005E6FB6"/>
    <w:rsid w:val="005F3771"/>
    <w:rsid w:val="005F4D1A"/>
    <w:rsid w:val="005F7A29"/>
    <w:rsid w:val="00603498"/>
    <w:rsid w:val="00611490"/>
    <w:rsid w:val="00612446"/>
    <w:rsid w:val="00614BD3"/>
    <w:rsid w:val="00620711"/>
    <w:rsid w:val="00620AC5"/>
    <w:rsid w:val="00623ED5"/>
    <w:rsid w:val="006349ED"/>
    <w:rsid w:val="00643093"/>
    <w:rsid w:val="00647580"/>
    <w:rsid w:val="00655F65"/>
    <w:rsid w:val="00672551"/>
    <w:rsid w:val="006815C9"/>
    <w:rsid w:val="00690ED7"/>
    <w:rsid w:val="00691E28"/>
    <w:rsid w:val="00692C55"/>
    <w:rsid w:val="0069368C"/>
    <w:rsid w:val="00694041"/>
    <w:rsid w:val="006A3035"/>
    <w:rsid w:val="006B1453"/>
    <w:rsid w:val="006B1C9F"/>
    <w:rsid w:val="006C33C4"/>
    <w:rsid w:val="006D6698"/>
    <w:rsid w:val="006E6F78"/>
    <w:rsid w:val="006F2E22"/>
    <w:rsid w:val="006F7FEE"/>
    <w:rsid w:val="0070151C"/>
    <w:rsid w:val="00704870"/>
    <w:rsid w:val="00710F44"/>
    <w:rsid w:val="00712715"/>
    <w:rsid w:val="0071351E"/>
    <w:rsid w:val="00717793"/>
    <w:rsid w:val="00720917"/>
    <w:rsid w:val="007240FA"/>
    <w:rsid w:val="00727AAC"/>
    <w:rsid w:val="0073649D"/>
    <w:rsid w:val="00740137"/>
    <w:rsid w:val="00746999"/>
    <w:rsid w:val="00757CAC"/>
    <w:rsid w:val="00762795"/>
    <w:rsid w:val="00771DD8"/>
    <w:rsid w:val="00786851"/>
    <w:rsid w:val="007A0EEF"/>
    <w:rsid w:val="007A2886"/>
    <w:rsid w:val="007A7E13"/>
    <w:rsid w:val="007B0CDD"/>
    <w:rsid w:val="007B4B06"/>
    <w:rsid w:val="007C1D90"/>
    <w:rsid w:val="007C7B8B"/>
    <w:rsid w:val="007D4B95"/>
    <w:rsid w:val="007D5EEE"/>
    <w:rsid w:val="007E07F9"/>
    <w:rsid w:val="007E3591"/>
    <w:rsid w:val="007F13F2"/>
    <w:rsid w:val="007F15B5"/>
    <w:rsid w:val="007F6C4E"/>
    <w:rsid w:val="00806564"/>
    <w:rsid w:val="0081070E"/>
    <w:rsid w:val="0081101D"/>
    <w:rsid w:val="0081285E"/>
    <w:rsid w:val="00826447"/>
    <w:rsid w:val="00831FA1"/>
    <w:rsid w:val="00857524"/>
    <w:rsid w:val="00861687"/>
    <w:rsid w:val="008843DA"/>
    <w:rsid w:val="00887002"/>
    <w:rsid w:val="00887C81"/>
    <w:rsid w:val="008913EF"/>
    <w:rsid w:val="00894A34"/>
    <w:rsid w:val="00896868"/>
    <w:rsid w:val="00897DEF"/>
    <w:rsid w:val="008A112B"/>
    <w:rsid w:val="008A3674"/>
    <w:rsid w:val="008B4E48"/>
    <w:rsid w:val="008C53DC"/>
    <w:rsid w:val="008C65B1"/>
    <w:rsid w:val="008F29EC"/>
    <w:rsid w:val="008F7083"/>
    <w:rsid w:val="008F76A0"/>
    <w:rsid w:val="0090667B"/>
    <w:rsid w:val="00913D59"/>
    <w:rsid w:val="0091486E"/>
    <w:rsid w:val="00920CBE"/>
    <w:rsid w:val="00920FF5"/>
    <w:rsid w:val="00925012"/>
    <w:rsid w:val="00925390"/>
    <w:rsid w:val="0092540F"/>
    <w:rsid w:val="00925441"/>
    <w:rsid w:val="0092664F"/>
    <w:rsid w:val="00957A72"/>
    <w:rsid w:val="009649AB"/>
    <w:rsid w:val="00971412"/>
    <w:rsid w:val="0097181A"/>
    <w:rsid w:val="00980E78"/>
    <w:rsid w:val="0098171F"/>
    <w:rsid w:val="009C1B4D"/>
    <w:rsid w:val="009C3BD7"/>
    <w:rsid w:val="009C4D62"/>
    <w:rsid w:val="009C6506"/>
    <w:rsid w:val="009C7CAE"/>
    <w:rsid w:val="009D35F1"/>
    <w:rsid w:val="009E123C"/>
    <w:rsid w:val="009E64DA"/>
    <w:rsid w:val="009E6782"/>
    <w:rsid w:val="009F549A"/>
    <w:rsid w:val="00A01BF4"/>
    <w:rsid w:val="00A04D2C"/>
    <w:rsid w:val="00A05270"/>
    <w:rsid w:val="00A15D56"/>
    <w:rsid w:val="00A25185"/>
    <w:rsid w:val="00A268FD"/>
    <w:rsid w:val="00A2790A"/>
    <w:rsid w:val="00A44C6A"/>
    <w:rsid w:val="00A54AB7"/>
    <w:rsid w:val="00A57D3F"/>
    <w:rsid w:val="00A749EC"/>
    <w:rsid w:val="00A849AE"/>
    <w:rsid w:val="00AC01F6"/>
    <w:rsid w:val="00AC0F82"/>
    <w:rsid w:val="00AC15F9"/>
    <w:rsid w:val="00AD4835"/>
    <w:rsid w:val="00AF087E"/>
    <w:rsid w:val="00AF3538"/>
    <w:rsid w:val="00AF7BC1"/>
    <w:rsid w:val="00B10735"/>
    <w:rsid w:val="00B14618"/>
    <w:rsid w:val="00B15863"/>
    <w:rsid w:val="00B179DA"/>
    <w:rsid w:val="00B2267D"/>
    <w:rsid w:val="00B242A0"/>
    <w:rsid w:val="00B310A1"/>
    <w:rsid w:val="00B5147D"/>
    <w:rsid w:val="00B534BC"/>
    <w:rsid w:val="00B675BA"/>
    <w:rsid w:val="00B74534"/>
    <w:rsid w:val="00B76547"/>
    <w:rsid w:val="00B846DC"/>
    <w:rsid w:val="00B91201"/>
    <w:rsid w:val="00B92E4B"/>
    <w:rsid w:val="00B95DE1"/>
    <w:rsid w:val="00BA2579"/>
    <w:rsid w:val="00BA261C"/>
    <w:rsid w:val="00BA2BC1"/>
    <w:rsid w:val="00BB4AE5"/>
    <w:rsid w:val="00BB6F2F"/>
    <w:rsid w:val="00BB76DC"/>
    <w:rsid w:val="00BC01B1"/>
    <w:rsid w:val="00BC26E4"/>
    <w:rsid w:val="00BC2A5D"/>
    <w:rsid w:val="00BC4657"/>
    <w:rsid w:val="00BC6182"/>
    <w:rsid w:val="00BC74C2"/>
    <w:rsid w:val="00BD5D96"/>
    <w:rsid w:val="00BE3DCC"/>
    <w:rsid w:val="00BF5BA9"/>
    <w:rsid w:val="00C02B3C"/>
    <w:rsid w:val="00C123DF"/>
    <w:rsid w:val="00C154AE"/>
    <w:rsid w:val="00C25844"/>
    <w:rsid w:val="00C266E9"/>
    <w:rsid w:val="00C30F6E"/>
    <w:rsid w:val="00C34AB2"/>
    <w:rsid w:val="00C5059C"/>
    <w:rsid w:val="00C74B7E"/>
    <w:rsid w:val="00C807DC"/>
    <w:rsid w:val="00C83268"/>
    <w:rsid w:val="00C85D0C"/>
    <w:rsid w:val="00C867C9"/>
    <w:rsid w:val="00CA4775"/>
    <w:rsid w:val="00CB08F3"/>
    <w:rsid w:val="00CC6F8D"/>
    <w:rsid w:val="00CD576C"/>
    <w:rsid w:val="00CE70FE"/>
    <w:rsid w:val="00CE7EE6"/>
    <w:rsid w:val="00CF311D"/>
    <w:rsid w:val="00CF371D"/>
    <w:rsid w:val="00D10A97"/>
    <w:rsid w:val="00D200ED"/>
    <w:rsid w:val="00D2505F"/>
    <w:rsid w:val="00D26AED"/>
    <w:rsid w:val="00D3044C"/>
    <w:rsid w:val="00D40D02"/>
    <w:rsid w:val="00D44D7A"/>
    <w:rsid w:val="00D52258"/>
    <w:rsid w:val="00D70522"/>
    <w:rsid w:val="00D72151"/>
    <w:rsid w:val="00D766B1"/>
    <w:rsid w:val="00D871B1"/>
    <w:rsid w:val="00D96ECA"/>
    <w:rsid w:val="00DA1E05"/>
    <w:rsid w:val="00DB495F"/>
    <w:rsid w:val="00DF00F3"/>
    <w:rsid w:val="00DF162E"/>
    <w:rsid w:val="00DF3D5D"/>
    <w:rsid w:val="00DF7D11"/>
    <w:rsid w:val="00E0277E"/>
    <w:rsid w:val="00E04123"/>
    <w:rsid w:val="00E10296"/>
    <w:rsid w:val="00E111F8"/>
    <w:rsid w:val="00E17CA0"/>
    <w:rsid w:val="00E252D3"/>
    <w:rsid w:val="00E3354C"/>
    <w:rsid w:val="00E407A2"/>
    <w:rsid w:val="00E43005"/>
    <w:rsid w:val="00E43716"/>
    <w:rsid w:val="00E5097D"/>
    <w:rsid w:val="00E5190E"/>
    <w:rsid w:val="00E538C3"/>
    <w:rsid w:val="00E573E3"/>
    <w:rsid w:val="00E604FA"/>
    <w:rsid w:val="00E61C13"/>
    <w:rsid w:val="00E622C2"/>
    <w:rsid w:val="00E70947"/>
    <w:rsid w:val="00E70CFF"/>
    <w:rsid w:val="00E914CC"/>
    <w:rsid w:val="00E924EB"/>
    <w:rsid w:val="00EA1928"/>
    <w:rsid w:val="00EA474B"/>
    <w:rsid w:val="00EC61F9"/>
    <w:rsid w:val="00EE139F"/>
    <w:rsid w:val="00EE30A3"/>
    <w:rsid w:val="00EE70ED"/>
    <w:rsid w:val="00EF0689"/>
    <w:rsid w:val="00EF6573"/>
    <w:rsid w:val="00EF7334"/>
    <w:rsid w:val="00F00297"/>
    <w:rsid w:val="00F04534"/>
    <w:rsid w:val="00F06522"/>
    <w:rsid w:val="00F17770"/>
    <w:rsid w:val="00F238B6"/>
    <w:rsid w:val="00F25C6E"/>
    <w:rsid w:val="00F31902"/>
    <w:rsid w:val="00F351D6"/>
    <w:rsid w:val="00F40D3A"/>
    <w:rsid w:val="00F55667"/>
    <w:rsid w:val="00F61D30"/>
    <w:rsid w:val="00F84724"/>
    <w:rsid w:val="00FA31B5"/>
    <w:rsid w:val="00FB42BF"/>
    <w:rsid w:val="00FB6C68"/>
    <w:rsid w:val="00FD02A5"/>
    <w:rsid w:val="00FD55EE"/>
    <w:rsid w:val="00FD5926"/>
    <w:rsid w:val="00FD60CD"/>
    <w:rsid w:val="00FF2C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6FEFF"/>
  <w15:chartTrackingRefBased/>
  <w15:docId w15:val="{E68FB7C4-75FE-42B0-873F-D974F16E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basedOn w:val="DefaultParagraphFont"/>
    <w:link w:val="FootnoteText"/>
    <w:uiPriority w:val="99"/>
    <w:semiHidden/>
    <w:rsid w:val="00A01BF4"/>
    <w:rPr>
      <w:rFonts w:ascii="Gill Sans MT" w:eastAsia="Times New Roman" w:hAnsi="Gill Sans MT"/>
      <w:sz w:val="22"/>
      <w:lang w:eastAsia="en-US"/>
    </w:rPr>
  </w:style>
  <w:style w:type="paragraph" w:styleId="ListParagraph">
    <w:name w:val="List Paragraph"/>
    <w:basedOn w:val="Normal"/>
    <w:uiPriority w:val="34"/>
    <w:qFormat/>
    <w:rsid w:val="00980E78"/>
    <w:pPr>
      <w:spacing w:before="160" w:after="0" w:line="320" w:lineRule="exact"/>
      <w:ind w:left="720"/>
      <w:contextualSpacing/>
    </w:pPr>
    <w:rPr>
      <w:rFonts w:ascii="Arial" w:eastAsiaTheme="minorHAnsi" w:hAnsi="Arial" w:cstheme="minorBidi"/>
      <w:sz w:val="22"/>
      <w:szCs w:val="22"/>
    </w:rPr>
  </w:style>
  <w:style w:type="table" w:styleId="TableGrid">
    <w:name w:val="Table Grid"/>
    <w:basedOn w:val="TableNormal"/>
    <w:rsid w:val="00A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C7B5F"/>
    <w:rPr>
      <w:sz w:val="16"/>
      <w:szCs w:val="16"/>
    </w:rPr>
  </w:style>
  <w:style w:type="paragraph" w:styleId="CommentSubject">
    <w:name w:val="annotation subject"/>
    <w:basedOn w:val="CommentText"/>
    <w:next w:val="CommentText"/>
    <w:link w:val="CommentSubjectChar"/>
    <w:rsid w:val="003C7B5F"/>
    <w:rPr>
      <w:rFonts w:ascii="Gill Sans MT" w:hAnsi="Gill Sans MT"/>
      <w:b/>
      <w:bCs/>
      <w:szCs w:val="20"/>
      <w:lang w:val="en-IE"/>
    </w:rPr>
  </w:style>
  <w:style w:type="character" w:customStyle="1" w:styleId="CommentSubjectChar">
    <w:name w:val="Comment Subject Char"/>
    <w:basedOn w:val="CommentTextChar"/>
    <w:link w:val="CommentSubject"/>
    <w:rsid w:val="003C7B5F"/>
    <w:rPr>
      <w:rFonts w:ascii="Gill Sans MT" w:eastAsia="Times New Roman" w:hAnsi="Gill Sans MT"/>
      <w:b/>
      <w:bCs/>
      <w:szCs w:val="24"/>
      <w:lang w:eastAsia="en-US"/>
    </w:rPr>
  </w:style>
  <w:style w:type="paragraph" w:styleId="BalloonText">
    <w:name w:val="Balloon Text"/>
    <w:basedOn w:val="Normal"/>
    <w:link w:val="BalloonTextChar"/>
    <w:rsid w:val="003C7B5F"/>
    <w:pPr>
      <w:spacing w:after="0"/>
    </w:pPr>
    <w:rPr>
      <w:rFonts w:ascii="Segoe UI" w:hAnsi="Segoe UI" w:cs="Segoe UI"/>
      <w:sz w:val="18"/>
      <w:szCs w:val="18"/>
    </w:rPr>
  </w:style>
  <w:style w:type="character" w:customStyle="1" w:styleId="BalloonTextChar">
    <w:name w:val="Balloon Text Char"/>
    <w:basedOn w:val="DefaultParagraphFont"/>
    <w:link w:val="BalloonText"/>
    <w:rsid w:val="003C7B5F"/>
    <w:rPr>
      <w:rFonts w:ascii="Segoe UI" w:eastAsia="Times New Roman" w:hAnsi="Segoe UI" w:cs="Segoe UI"/>
      <w:sz w:val="18"/>
      <w:szCs w:val="18"/>
      <w:lang w:eastAsia="en-US"/>
    </w:rPr>
  </w:style>
  <w:style w:type="paragraph" w:styleId="NormalWeb">
    <w:name w:val="Normal (Web)"/>
    <w:basedOn w:val="Normal"/>
    <w:uiPriority w:val="99"/>
    <w:unhideWhenUsed/>
    <w:rsid w:val="00B15863"/>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0802">
      <w:bodyDiv w:val="1"/>
      <w:marLeft w:val="0"/>
      <w:marRight w:val="0"/>
      <w:marTop w:val="0"/>
      <w:marBottom w:val="0"/>
      <w:divBdr>
        <w:top w:val="none" w:sz="0" w:space="0" w:color="auto"/>
        <w:left w:val="none" w:sz="0" w:space="0" w:color="auto"/>
        <w:bottom w:val="none" w:sz="0" w:space="0" w:color="auto"/>
        <w:right w:val="none" w:sz="0" w:space="0" w:color="auto"/>
      </w:divBdr>
    </w:div>
    <w:div w:id="1450660531">
      <w:bodyDiv w:val="1"/>
      <w:marLeft w:val="0"/>
      <w:marRight w:val="0"/>
      <w:marTop w:val="0"/>
      <w:marBottom w:val="0"/>
      <w:divBdr>
        <w:top w:val="none" w:sz="0" w:space="0" w:color="auto"/>
        <w:left w:val="none" w:sz="0" w:space="0" w:color="auto"/>
        <w:bottom w:val="none" w:sz="0" w:space="0" w:color="auto"/>
        <w:right w:val="none" w:sz="0" w:space="0" w:color="auto"/>
      </w:divBdr>
    </w:div>
    <w:div w:id="1459763703">
      <w:bodyDiv w:val="1"/>
      <w:marLeft w:val="0"/>
      <w:marRight w:val="0"/>
      <w:marTop w:val="0"/>
      <w:marBottom w:val="0"/>
      <w:divBdr>
        <w:top w:val="none" w:sz="0" w:space="0" w:color="auto"/>
        <w:left w:val="none" w:sz="0" w:space="0" w:color="auto"/>
        <w:bottom w:val="none" w:sz="0" w:space="0" w:color="auto"/>
        <w:right w:val="none" w:sz="0" w:space="0" w:color="auto"/>
      </w:divBdr>
      <w:divsChild>
        <w:div w:id="43988478">
          <w:marLeft w:val="0"/>
          <w:marRight w:val="0"/>
          <w:marTop w:val="0"/>
          <w:marBottom w:val="0"/>
          <w:divBdr>
            <w:top w:val="none" w:sz="0" w:space="0" w:color="auto"/>
            <w:left w:val="none" w:sz="0" w:space="0" w:color="auto"/>
            <w:bottom w:val="none" w:sz="0" w:space="0" w:color="auto"/>
            <w:right w:val="none" w:sz="0" w:space="0" w:color="auto"/>
          </w:divBdr>
          <w:divsChild>
            <w:div w:id="1222906241">
              <w:marLeft w:val="0"/>
              <w:marRight w:val="0"/>
              <w:marTop w:val="0"/>
              <w:marBottom w:val="0"/>
              <w:divBdr>
                <w:top w:val="none" w:sz="0" w:space="0" w:color="auto"/>
                <w:left w:val="none" w:sz="0" w:space="0" w:color="auto"/>
                <w:bottom w:val="none" w:sz="0" w:space="0" w:color="auto"/>
                <w:right w:val="none" w:sz="0" w:space="0" w:color="auto"/>
              </w:divBdr>
              <w:divsChild>
                <w:div w:id="1921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izensinformationboard.ie/en/services/accessibility/deaf-awareness-traini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ishdeafsociety.ie/about/press-information/?cn-reloade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lmi.ie/our-vision-mission-and-valu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isabledwomenireland.org/disabilityisntadirtyword" TargetMode="External"/><Relationship Id="rId4" Type="http://schemas.openxmlformats.org/officeDocument/2006/relationships/settings" Target="settings.xml"/><Relationship Id="rId9" Type="http://schemas.openxmlformats.org/officeDocument/2006/relationships/hyperlink" Target="https://asiam.ie/wp-content/uploads/2019/04/Autism-Language.pdf" TargetMode="External"/><Relationship Id="rId14" Type="http://schemas.openxmlformats.org/officeDocument/2006/relationships/hyperlink" Target="https://vvi.ie/category/disa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8736-D7DC-4156-8F82-983DD415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19</Pages>
  <Words>4036</Words>
  <Characters>24312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B. O'Reilly</dc:creator>
  <cp:keywords/>
  <cp:lastModifiedBy>tammingre</cp:lastModifiedBy>
  <cp:revision>2</cp:revision>
  <dcterms:created xsi:type="dcterms:W3CDTF">2022-07-15T16:31:00Z</dcterms:created>
  <dcterms:modified xsi:type="dcterms:W3CDTF">2022-07-15T16:31:00Z</dcterms:modified>
</cp:coreProperties>
</file>