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91BD" w14:textId="77777777" w:rsidR="00E54C88" w:rsidRDefault="00E54C88" w:rsidP="00620EC8">
      <w:pPr>
        <w:pStyle w:val="Title"/>
      </w:pPr>
      <w:bookmarkStart w:id="0" w:name="_Toc367449240"/>
      <w:bookmarkStart w:id="1" w:name="_Toc367449728"/>
      <w:bookmarkStart w:id="2" w:name="_Toc367888625"/>
      <w:bookmarkStart w:id="3" w:name="_Toc368056828"/>
      <w:bookmarkStart w:id="4" w:name="_Toc368058743"/>
      <w:bookmarkStart w:id="5" w:name="_Toc383612194"/>
      <w:bookmarkStart w:id="6" w:name="_Toc418004200"/>
      <w:bookmarkStart w:id="7" w:name="_Toc418085711"/>
      <w:bookmarkStart w:id="8" w:name="_Toc419211819"/>
      <w:bookmarkStart w:id="9" w:name="_Toc419989654"/>
      <w:bookmarkStart w:id="10" w:name="_Toc429053904"/>
      <w:bookmarkStart w:id="11" w:name="_Toc429054114"/>
      <w:bookmarkStart w:id="12" w:name="_Toc431218791"/>
      <w:r>
        <w:t xml:space="preserve">Annual </w:t>
      </w:r>
      <w:r w:rsidRPr="007166FD">
        <w:t>Report</w:t>
      </w:r>
      <w:bookmarkEnd w:id="0"/>
      <w:bookmarkEnd w:id="1"/>
      <w:bookmarkEnd w:id="2"/>
      <w:bookmarkEnd w:id="3"/>
      <w:bookmarkEnd w:id="4"/>
      <w:r>
        <w:br/>
        <w:t>201</w:t>
      </w:r>
      <w:bookmarkEnd w:id="5"/>
      <w:r w:rsidR="00192C94">
        <w:t>4</w:t>
      </w:r>
      <w:bookmarkEnd w:id="6"/>
      <w:bookmarkEnd w:id="7"/>
      <w:bookmarkEnd w:id="8"/>
      <w:bookmarkEnd w:id="9"/>
      <w:bookmarkEnd w:id="10"/>
      <w:bookmarkEnd w:id="11"/>
      <w:bookmarkEnd w:id="12"/>
    </w:p>
    <w:p w14:paraId="33C2C665" w14:textId="77777777" w:rsidR="00E54C88" w:rsidRDefault="009938C4" w:rsidP="00620EC8">
      <w:pPr>
        <w:pStyle w:val="StyleBefore288pt"/>
      </w:pPr>
      <w:r>
        <w:rPr>
          <w:noProof/>
          <w:lang w:eastAsia="en-IE"/>
        </w:rPr>
        <w:drawing>
          <wp:inline distT="0" distB="0" distL="0" distR="0" wp14:anchorId="476FB0F5" wp14:editId="22E4833E">
            <wp:extent cx="2295525" cy="1638300"/>
            <wp:effectExtent l="19050" t="0" r="9525" b="0"/>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srcRect/>
                    <a:stretch>
                      <a:fillRect/>
                    </a:stretch>
                  </pic:blipFill>
                  <pic:spPr bwMode="auto">
                    <a:xfrm>
                      <a:off x="0" y="0"/>
                      <a:ext cx="2295525" cy="1638300"/>
                    </a:xfrm>
                    <a:prstGeom prst="rect">
                      <a:avLst/>
                    </a:prstGeom>
                    <a:noFill/>
                    <a:ln w="9525">
                      <a:noFill/>
                      <a:miter lim="800000"/>
                      <a:headEnd/>
                      <a:tailEnd/>
                    </a:ln>
                  </pic:spPr>
                </pic:pic>
              </a:graphicData>
            </a:graphic>
          </wp:inline>
        </w:drawing>
      </w:r>
    </w:p>
    <w:p w14:paraId="5241D626" w14:textId="77777777" w:rsidR="002248B9" w:rsidRDefault="00C949A3">
      <w:pPr>
        <w:pStyle w:val="TOC1"/>
        <w:rPr>
          <w:rFonts w:asciiTheme="minorHAnsi" w:eastAsiaTheme="minorEastAsia" w:hAnsiTheme="minorHAnsi" w:cstheme="minorBidi"/>
          <w:b w:val="0"/>
          <w:noProof/>
          <w:sz w:val="22"/>
          <w:szCs w:val="22"/>
          <w:lang w:eastAsia="en-IE"/>
        </w:rPr>
      </w:pPr>
      <w:r>
        <w:lastRenderedPageBreak/>
        <w:fldChar w:fldCharType="begin"/>
      </w:r>
      <w:r w:rsidR="000E07C7">
        <w:instrText xml:space="preserve"> TOC \o "1-1" \h \z \u </w:instrText>
      </w:r>
      <w:r>
        <w:fldChar w:fldCharType="separate"/>
      </w:r>
      <w:hyperlink w:anchor="_Toc431218791" w:history="1">
        <w:r w:rsidR="002248B9" w:rsidRPr="001709D4">
          <w:rPr>
            <w:rStyle w:val="Hyperlink"/>
            <w:noProof/>
          </w:rPr>
          <w:t>Annual Report 2014</w:t>
        </w:r>
        <w:r w:rsidR="002248B9">
          <w:rPr>
            <w:noProof/>
            <w:webHidden/>
          </w:rPr>
          <w:tab/>
        </w:r>
        <w:r w:rsidR="002248B9">
          <w:rPr>
            <w:noProof/>
            <w:webHidden/>
          </w:rPr>
          <w:fldChar w:fldCharType="begin"/>
        </w:r>
        <w:r w:rsidR="002248B9">
          <w:rPr>
            <w:noProof/>
            <w:webHidden/>
          </w:rPr>
          <w:instrText xml:space="preserve"> PAGEREF _Toc431218791 \h </w:instrText>
        </w:r>
        <w:r w:rsidR="002248B9">
          <w:rPr>
            <w:noProof/>
            <w:webHidden/>
          </w:rPr>
        </w:r>
        <w:r w:rsidR="002248B9">
          <w:rPr>
            <w:noProof/>
            <w:webHidden/>
          </w:rPr>
          <w:fldChar w:fldCharType="separate"/>
        </w:r>
        <w:r w:rsidR="00B06B43">
          <w:rPr>
            <w:noProof/>
            <w:webHidden/>
          </w:rPr>
          <w:t>1</w:t>
        </w:r>
        <w:r w:rsidR="002248B9">
          <w:rPr>
            <w:noProof/>
            <w:webHidden/>
          </w:rPr>
          <w:fldChar w:fldCharType="end"/>
        </w:r>
      </w:hyperlink>
    </w:p>
    <w:p w14:paraId="42C15841"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2" w:history="1">
        <w:r w:rsidR="002248B9" w:rsidRPr="001709D4">
          <w:rPr>
            <w:rStyle w:val="Hyperlink"/>
            <w:noProof/>
          </w:rPr>
          <w:t>Chairperson’s statement</w:t>
        </w:r>
        <w:r w:rsidR="002248B9">
          <w:rPr>
            <w:noProof/>
            <w:webHidden/>
          </w:rPr>
          <w:tab/>
        </w:r>
        <w:r w:rsidR="002248B9">
          <w:rPr>
            <w:noProof/>
            <w:webHidden/>
          </w:rPr>
          <w:fldChar w:fldCharType="begin"/>
        </w:r>
        <w:r w:rsidR="002248B9">
          <w:rPr>
            <w:noProof/>
            <w:webHidden/>
          </w:rPr>
          <w:instrText xml:space="preserve"> PAGEREF _Toc431218792 \h </w:instrText>
        </w:r>
        <w:r w:rsidR="002248B9">
          <w:rPr>
            <w:noProof/>
            <w:webHidden/>
          </w:rPr>
        </w:r>
        <w:r w:rsidR="002248B9">
          <w:rPr>
            <w:noProof/>
            <w:webHidden/>
          </w:rPr>
          <w:fldChar w:fldCharType="separate"/>
        </w:r>
        <w:r w:rsidR="00B06B43">
          <w:rPr>
            <w:noProof/>
            <w:webHidden/>
          </w:rPr>
          <w:t>4</w:t>
        </w:r>
        <w:r w:rsidR="002248B9">
          <w:rPr>
            <w:noProof/>
            <w:webHidden/>
          </w:rPr>
          <w:fldChar w:fldCharType="end"/>
        </w:r>
      </w:hyperlink>
    </w:p>
    <w:p w14:paraId="0E639766"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3" w:history="1">
        <w:r w:rsidR="002248B9" w:rsidRPr="001709D4">
          <w:rPr>
            <w:rStyle w:val="Hyperlink"/>
            <w:noProof/>
          </w:rPr>
          <w:t>Overview of 2014</w:t>
        </w:r>
        <w:r w:rsidR="002248B9">
          <w:rPr>
            <w:noProof/>
            <w:webHidden/>
          </w:rPr>
          <w:tab/>
        </w:r>
        <w:r w:rsidR="002248B9">
          <w:rPr>
            <w:noProof/>
            <w:webHidden/>
          </w:rPr>
          <w:fldChar w:fldCharType="begin"/>
        </w:r>
        <w:r w:rsidR="002248B9">
          <w:rPr>
            <w:noProof/>
            <w:webHidden/>
          </w:rPr>
          <w:instrText xml:space="preserve"> PAGEREF _Toc431218793 \h </w:instrText>
        </w:r>
        <w:r w:rsidR="002248B9">
          <w:rPr>
            <w:noProof/>
            <w:webHidden/>
          </w:rPr>
        </w:r>
        <w:r w:rsidR="002248B9">
          <w:rPr>
            <w:noProof/>
            <w:webHidden/>
          </w:rPr>
          <w:fldChar w:fldCharType="separate"/>
        </w:r>
        <w:r w:rsidR="00B06B43">
          <w:rPr>
            <w:noProof/>
            <w:webHidden/>
          </w:rPr>
          <w:t>7</w:t>
        </w:r>
        <w:r w:rsidR="002248B9">
          <w:rPr>
            <w:noProof/>
            <w:webHidden/>
          </w:rPr>
          <w:fldChar w:fldCharType="end"/>
        </w:r>
      </w:hyperlink>
    </w:p>
    <w:p w14:paraId="1DB3D91B"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4" w:history="1">
        <w:r w:rsidR="002248B9" w:rsidRPr="001709D4">
          <w:rPr>
            <w:rStyle w:val="Hyperlink"/>
            <w:noProof/>
          </w:rPr>
          <w:t>Strategic priority 1: National Disability Strategy</w:t>
        </w:r>
        <w:r w:rsidR="002248B9">
          <w:rPr>
            <w:noProof/>
            <w:webHidden/>
          </w:rPr>
          <w:tab/>
        </w:r>
        <w:r w:rsidR="002248B9">
          <w:rPr>
            <w:noProof/>
            <w:webHidden/>
          </w:rPr>
          <w:fldChar w:fldCharType="begin"/>
        </w:r>
        <w:r w:rsidR="002248B9">
          <w:rPr>
            <w:noProof/>
            <w:webHidden/>
          </w:rPr>
          <w:instrText xml:space="preserve"> PAGEREF _Toc431218794 \h </w:instrText>
        </w:r>
        <w:r w:rsidR="002248B9">
          <w:rPr>
            <w:noProof/>
            <w:webHidden/>
          </w:rPr>
        </w:r>
        <w:r w:rsidR="002248B9">
          <w:rPr>
            <w:noProof/>
            <w:webHidden/>
          </w:rPr>
          <w:fldChar w:fldCharType="separate"/>
        </w:r>
        <w:r w:rsidR="00B06B43">
          <w:rPr>
            <w:noProof/>
            <w:webHidden/>
          </w:rPr>
          <w:t>11</w:t>
        </w:r>
        <w:r w:rsidR="002248B9">
          <w:rPr>
            <w:noProof/>
            <w:webHidden/>
          </w:rPr>
          <w:fldChar w:fldCharType="end"/>
        </w:r>
      </w:hyperlink>
    </w:p>
    <w:p w14:paraId="179CAB5D"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5" w:history="1">
        <w:r w:rsidR="002248B9" w:rsidRPr="001709D4">
          <w:rPr>
            <w:rStyle w:val="Hyperlink"/>
            <w:noProof/>
          </w:rPr>
          <w:t>Strategic priority 2: Living independently in the community</w:t>
        </w:r>
        <w:r w:rsidR="002248B9">
          <w:rPr>
            <w:noProof/>
            <w:webHidden/>
          </w:rPr>
          <w:tab/>
        </w:r>
        <w:r w:rsidR="002248B9">
          <w:rPr>
            <w:noProof/>
            <w:webHidden/>
          </w:rPr>
          <w:fldChar w:fldCharType="begin"/>
        </w:r>
        <w:r w:rsidR="002248B9">
          <w:rPr>
            <w:noProof/>
            <w:webHidden/>
          </w:rPr>
          <w:instrText xml:space="preserve"> PAGEREF _Toc431218795 \h </w:instrText>
        </w:r>
        <w:r w:rsidR="002248B9">
          <w:rPr>
            <w:noProof/>
            <w:webHidden/>
          </w:rPr>
        </w:r>
        <w:r w:rsidR="002248B9">
          <w:rPr>
            <w:noProof/>
            <w:webHidden/>
          </w:rPr>
          <w:fldChar w:fldCharType="separate"/>
        </w:r>
        <w:r w:rsidR="00B06B43">
          <w:rPr>
            <w:noProof/>
            <w:webHidden/>
          </w:rPr>
          <w:t>17</w:t>
        </w:r>
        <w:r w:rsidR="002248B9">
          <w:rPr>
            <w:noProof/>
            <w:webHidden/>
          </w:rPr>
          <w:fldChar w:fldCharType="end"/>
        </w:r>
      </w:hyperlink>
    </w:p>
    <w:p w14:paraId="7066DE5B"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6" w:history="1">
        <w:r w:rsidR="002248B9" w:rsidRPr="001709D4">
          <w:rPr>
            <w:rStyle w:val="Hyperlink"/>
            <w:noProof/>
          </w:rPr>
          <w:t>Strategic priority 3: Universal Design of the environment</w:t>
        </w:r>
        <w:r w:rsidR="002248B9">
          <w:rPr>
            <w:noProof/>
            <w:webHidden/>
          </w:rPr>
          <w:tab/>
        </w:r>
        <w:r w:rsidR="002248B9">
          <w:rPr>
            <w:noProof/>
            <w:webHidden/>
          </w:rPr>
          <w:fldChar w:fldCharType="begin"/>
        </w:r>
        <w:r w:rsidR="002248B9">
          <w:rPr>
            <w:noProof/>
            <w:webHidden/>
          </w:rPr>
          <w:instrText xml:space="preserve"> PAGEREF _Toc431218796 \h </w:instrText>
        </w:r>
        <w:r w:rsidR="002248B9">
          <w:rPr>
            <w:noProof/>
            <w:webHidden/>
          </w:rPr>
        </w:r>
        <w:r w:rsidR="002248B9">
          <w:rPr>
            <w:noProof/>
            <w:webHidden/>
          </w:rPr>
          <w:fldChar w:fldCharType="separate"/>
        </w:r>
        <w:r w:rsidR="00B06B43">
          <w:rPr>
            <w:noProof/>
            <w:webHidden/>
          </w:rPr>
          <w:t>23</w:t>
        </w:r>
        <w:r w:rsidR="002248B9">
          <w:rPr>
            <w:noProof/>
            <w:webHidden/>
          </w:rPr>
          <w:fldChar w:fldCharType="end"/>
        </w:r>
      </w:hyperlink>
    </w:p>
    <w:p w14:paraId="356D4584"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7" w:history="1">
        <w:r w:rsidR="002248B9" w:rsidRPr="001709D4">
          <w:rPr>
            <w:rStyle w:val="Hyperlink"/>
            <w:noProof/>
          </w:rPr>
          <w:t>Strategic priority 4: Effective and efficient organisation</w:t>
        </w:r>
        <w:r w:rsidR="002248B9">
          <w:rPr>
            <w:noProof/>
            <w:webHidden/>
          </w:rPr>
          <w:tab/>
        </w:r>
        <w:r w:rsidR="002248B9">
          <w:rPr>
            <w:noProof/>
            <w:webHidden/>
          </w:rPr>
          <w:fldChar w:fldCharType="begin"/>
        </w:r>
        <w:r w:rsidR="002248B9">
          <w:rPr>
            <w:noProof/>
            <w:webHidden/>
          </w:rPr>
          <w:instrText xml:space="preserve"> PAGEREF _Toc431218797 \h </w:instrText>
        </w:r>
        <w:r w:rsidR="002248B9">
          <w:rPr>
            <w:noProof/>
            <w:webHidden/>
          </w:rPr>
        </w:r>
        <w:r w:rsidR="002248B9">
          <w:rPr>
            <w:noProof/>
            <w:webHidden/>
          </w:rPr>
          <w:fldChar w:fldCharType="separate"/>
        </w:r>
        <w:r w:rsidR="00B06B43">
          <w:rPr>
            <w:noProof/>
            <w:webHidden/>
          </w:rPr>
          <w:t>30</w:t>
        </w:r>
        <w:r w:rsidR="002248B9">
          <w:rPr>
            <w:noProof/>
            <w:webHidden/>
          </w:rPr>
          <w:fldChar w:fldCharType="end"/>
        </w:r>
      </w:hyperlink>
    </w:p>
    <w:p w14:paraId="3C10A78E"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8" w:history="1">
        <w:r w:rsidR="002248B9" w:rsidRPr="001709D4">
          <w:rPr>
            <w:rStyle w:val="Hyperlink"/>
            <w:noProof/>
          </w:rPr>
          <w:t>Financial Statements, 31st December 2014</w:t>
        </w:r>
        <w:r w:rsidR="002248B9">
          <w:rPr>
            <w:noProof/>
            <w:webHidden/>
          </w:rPr>
          <w:tab/>
        </w:r>
        <w:r w:rsidR="002248B9">
          <w:rPr>
            <w:noProof/>
            <w:webHidden/>
          </w:rPr>
          <w:fldChar w:fldCharType="begin"/>
        </w:r>
        <w:r w:rsidR="002248B9">
          <w:rPr>
            <w:noProof/>
            <w:webHidden/>
          </w:rPr>
          <w:instrText xml:space="preserve"> PAGEREF _Toc431218798 \h </w:instrText>
        </w:r>
        <w:r w:rsidR="002248B9">
          <w:rPr>
            <w:noProof/>
            <w:webHidden/>
          </w:rPr>
        </w:r>
        <w:r w:rsidR="002248B9">
          <w:rPr>
            <w:noProof/>
            <w:webHidden/>
          </w:rPr>
          <w:fldChar w:fldCharType="separate"/>
        </w:r>
        <w:r w:rsidR="00B06B43">
          <w:rPr>
            <w:noProof/>
            <w:webHidden/>
          </w:rPr>
          <w:t>35</w:t>
        </w:r>
        <w:r w:rsidR="002248B9">
          <w:rPr>
            <w:noProof/>
            <w:webHidden/>
          </w:rPr>
          <w:fldChar w:fldCharType="end"/>
        </w:r>
      </w:hyperlink>
    </w:p>
    <w:p w14:paraId="65F8BAD1"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799" w:history="1">
        <w:r w:rsidR="002248B9" w:rsidRPr="001709D4">
          <w:rPr>
            <w:rStyle w:val="Hyperlink"/>
            <w:noProof/>
          </w:rPr>
          <w:t>Appendix 1: Authority and other committees in 2014</w:t>
        </w:r>
        <w:r w:rsidR="002248B9">
          <w:rPr>
            <w:noProof/>
            <w:webHidden/>
          </w:rPr>
          <w:tab/>
        </w:r>
        <w:r w:rsidR="002248B9">
          <w:rPr>
            <w:noProof/>
            <w:webHidden/>
          </w:rPr>
          <w:fldChar w:fldCharType="begin"/>
        </w:r>
        <w:r w:rsidR="002248B9">
          <w:rPr>
            <w:noProof/>
            <w:webHidden/>
          </w:rPr>
          <w:instrText xml:space="preserve"> PAGEREF _Toc431218799 \h </w:instrText>
        </w:r>
        <w:r w:rsidR="002248B9">
          <w:rPr>
            <w:noProof/>
            <w:webHidden/>
          </w:rPr>
        </w:r>
        <w:r w:rsidR="002248B9">
          <w:rPr>
            <w:noProof/>
            <w:webHidden/>
          </w:rPr>
          <w:fldChar w:fldCharType="separate"/>
        </w:r>
        <w:r w:rsidR="00B06B43">
          <w:rPr>
            <w:noProof/>
            <w:webHidden/>
          </w:rPr>
          <w:t>59</w:t>
        </w:r>
        <w:r w:rsidR="002248B9">
          <w:rPr>
            <w:noProof/>
            <w:webHidden/>
          </w:rPr>
          <w:fldChar w:fldCharType="end"/>
        </w:r>
      </w:hyperlink>
    </w:p>
    <w:p w14:paraId="1223C1AA"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0" w:history="1">
        <w:r w:rsidR="002248B9" w:rsidRPr="001709D4">
          <w:rPr>
            <w:rStyle w:val="Hyperlink"/>
            <w:noProof/>
          </w:rPr>
          <w:t>Appendix 2: Representation on external bodies in 2014</w:t>
        </w:r>
        <w:r w:rsidR="002248B9">
          <w:rPr>
            <w:noProof/>
            <w:webHidden/>
          </w:rPr>
          <w:tab/>
        </w:r>
        <w:r w:rsidR="002248B9">
          <w:rPr>
            <w:noProof/>
            <w:webHidden/>
          </w:rPr>
          <w:fldChar w:fldCharType="begin"/>
        </w:r>
        <w:r w:rsidR="002248B9">
          <w:rPr>
            <w:noProof/>
            <w:webHidden/>
          </w:rPr>
          <w:instrText xml:space="preserve"> PAGEREF _Toc431218800 \h </w:instrText>
        </w:r>
        <w:r w:rsidR="002248B9">
          <w:rPr>
            <w:noProof/>
            <w:webHidden/>
          </w:rPr>
        </w:r>
        <w:r w:rsidR="002248B9">
          <w:rPr>
            <w:noProof/>
            <w:webHidden/>
          </w:rPr>
          <w:fldChar w:fldCharType="separate"/>
        </w:r>
        <w:r w:rsidR="00B06B43">
          <w:rPr>
            <w:noProof/>
            <w:webHidden/>
          </w:rPr>
          <w:t>61</w:t>
        </w:r>
        <w:r w:rsidR="002248B9">
          <w:rPr>
            <w:noProof/>
            <w:webHidden/>
          </w:rPr>
          <w:fldChar w:fldCharType="end"/>
        </w:r>
      </w:hyperlink>
    </w:p>
    <w:p w14:paraId="00C95327"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1" w:history="1">
        <w:r w:rsidR="002248B9" w:rsidRPr="001709D4">
          <w:rPr>
            <w:rStyle w:val="Hyperlink"/>
            <w:noProof/>
          </w:rPr>
          <w:t>Appendix 3: Publications in 2014</w:t>
        </w:r>
        <w:r w:rsidR="002248B9">
          <w:rPr>
            <w:noProof/>
            <w:webHidden/>
          </w:rPr>
          <w:tab/>
        </w:r>
        <w:r w:rsidR="002248B9">
          <w:rPr>
            <w:noProof/>
            <w:webHidden/>
          </w:rPr>
          <w:fldChar w:fldCharType="begin"/>
        </w:r>
        <w:r w:rsidR="002248B9">
          <w:rPr>
            <w:noProof/>
            <w:webHidden/>
          </w:rPr>
          <w:instrText xml:space="preserve"> PAGEREF _Toc431218801 \h </w:instrText>
        </w:r>
        <w:r w:rsidR="002248B9">
          <w:rPr>
            <w:noProof/>
            <w:webHidden/>
          </w:rPr>
        </w:r>
        <w:r w:rsidR="002248B9">
          <w:rPr>
            <w:noProof/>
            <w:webHidden/>
          </w:rPr>
          <w:fldChar w:fldCharType="separate"/>
        </w:r>
        <w:r w:rsidR="00B06B43">
          <w:rPr>
            <w:noProof/>
            <w:webHidden/>
          </w:rPr>
          <w:t>63</w:t>
        </w:r>
        <w:r w:rsidR="002248B9">
          <w:rPr>
            <w:noProof/>
            <w:webHidden/>
          </w:rPr>
          <w:fldChar w:fldCharType="end"/>
        </w:r>
      </w:hyperlink>
    </w:p>
    <w:p w14:paraId="4687C214"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2" w:history="1">
        <w:r w:rsidR="002248B9" w:rsidRPr="001709D4">
          <w:rPr>
            <w:rStyle w:val="Hyperlink"/>
            <w:noProof/>
          </w:rPr>
          <w:t>Appendix 4: Policy advice papers in 2014</w:t>
        </w:r>
        <w:r w:rsidR="002248B9">
          <w:rPr>
            <w:noProof/>
            <w:webHidden/>
          </w:rPr>
          <w:tab/>
        </w:r>
        <w:r w:rsidR="002248B9">
          <w:rPr>
            <w:noProof/>
            <w:webHidden/>
          </w:rPr>
          <w:fldChar w:fldCharType="begin"/>
        </w:r>
        <w:r w:rsidR="002248B9">
          <w:rPr>
            <w:noProof/>
            <w:webHidden/>
          </w:rPr>
          <w:instrText xml:space="preserve"> PAGEREF _Toc431218802 \h </w:instrText>
        </w:r>
        <w:r w:rsidR="002248B9">
          <w:rPr>
            <w:noProof/>
            <w:webHidden/>
          </w:rPr>
        </w:r>
        <w:r w:rsidR="002248B9">
          <w:rPr>
            <w:noProof/>
            <w:webHidden/>
          </w:rPr>
          <w:fldChar w:fldCharType="separate"/>
        </w:r>
        <w:r w:rsidR="00B06B43">
          <w:rPr>
            <w:noProof/>
            <w:webHidden/>
          </w:rPr>
          <w:t>64</w:t>
        </w:r>
        <w:r w:rsidR="002248B9">
          <w:rPr>
            <w:noProof/>
            <w:webHidden/>
          </w:rPr>
          <w:fldChar w:fldCharType="end"/>
        </w:r>
      </w:hyperlink>
    </w:p>
    <w:p w14:paraId="612D5AF9"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3" w:history="1">
        <w:r w:rsidR="002248B9" w:rsidRPr="001709D4">
          <w:rPr>
            <w:rStyle w:val="Hyperlink"/>
            <w:noProof/>
            <w:lang w:val="ga-IE"/>
          </w:rPr>
          <w:t>Tuarascáil Bhliantúil 2014</w:t>
        </w:r>
        <w:r w:rsidR="002248B9">
          <w:rPr>
            <w:noProof/>
            <w:webHidden/>
          </w:rPr>
          <w:tab/>
        </w:r>
        <w:r w:rsidR="002248B9">
          <w:rPr>
            <w:noProof/>
            <w:webHidden/>
          </w:rPr>
          <w:fldChar w:fldCharType="begin"/>
        </w:r>
        <w:r w:rsidR="002248B9">
          <w:rPr>
            <w:noProof/>
            <w:webHidden/>
          </w:rPr>
          <w:instrText xml:space="preserve"> PAGEREF _Toc431218803 \h </w:instrText>
        </w:r>
        <w:r w:rsidR="002248B9">
          <w:rPr>
            <w:noProof/>
            <w:webHidden/>
          </w:rPr>
        </w:r>
        <w:r w:rsidR="002248B9">
          <w:rPr>
            <w:noProof/>
            <w:webHidden/>
          </w:rPr>
          <w:fldChar w:fldCharType="separate"/>
        </w:r>
        <w:r w:rsidR="00B06B43">
          <w:rPr>
            <w:noProof/>
            <w:webHidden/>
          </w:rPr>
          <w:t>67</w:t>
        </w:r>
        <w:r w:rsidR="002248B9">
          <w:rPr>
            <w:noProof/>
            <w:webHidden/>
          </w:rPr>
          <w:fldChar w:fldCharType="end"/>
        </w:r>
      </w:hyperlink>
    </w:p>
    <w:p w14:paraId="2407E25E"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4" w:history="1">
        <w:r w:rsidR="002248B9" w:rsidRPr="001709D4">
          <w:rPr>
            <w:rStyle w:val="Hyperlink"/>
            <w:noProof/>
            <w:lang w:val="ga-IE"/>
          </w:rPr>
          <w:t>Ráiteas an Chathaoirligh</w:t>
        </w:r>
        <w:r w:rsidR="002248B9">
          <w:rPr>
            <w:noProof/>
            <w:webHidden/>
          </w:rPr>
          <w:tab/>
        </w:r>
        <w:r w:rsidR="002248B9">
          <w:rPr>
            <w:noProof/>
            <w:webHidden/>
          </w:rPr>
          <w:fldChar w:fldCharType="begin"/>
        </w:r>
        <w:r w:rsidR="002248B9">
          <w:rPr>
            <w:noProof/>
            <w:webHidden/>
          </w:rPr>
          <w:instrText xml:space="preserve"> PAGEREF _Toc431218804 \h </w:instrText>
        </w:r>
        <w:r w:rsidR="002248B9">
          <w:rPr>
            <w:noProof/>
            <w:webHidden/>
          </w:rPr>
        </w:r>
        <w:r w:rsidR="002248B9">
          <w:rPr>
            <w:noProof/>
            <w:webHidden/>
          </w:rPr>
          <w:fldChar w:fldCharType="separate"/>
        </w:r>
        <w:r w:rsidR="00B06B43">
          <w:rPr>
            <w:noProof/>
            <w:webHidden/>
          </w:rPr>
          <w:t>69</w:t>
        </w:r>
        <w:r w:rsidR="002248B9">
          <w:rPr>
            <w:noProof/>
            <w:webHidden/>
          </w:rPr>
          <w:fldChar w:fldCharType="end"/>
        </w:r>
      </w:hyperlink>
    </w:p>
    <w:p w14:paraId="5D83F6CE"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5" w:history="1">
        <w:r w:rsidR="002248B9" w:rsidRPr="001709D4">
          <w:rPr>
            <w:rStyle w:val="Hyperlink"/>
            <w:noProof/>
            <w:lang w:val="ga-IE"/>
          </w:rPr>
          <w:t>Forbhreathnú ar 2014</w:t>
        </w:r>
        <w:r w:rsidR="002248B9">
          <w:rPr>
            <w:noProof/>
            <w:webHidden/>
          </w:rPr>
          <w:tab/>
        </w:r>
        <w:r w:rsidR="002248B9">
          <w:rPr>
            <w:noProof/>
            <w:webHidden/>
          </w:rPr>
          <w:fldChar w:fldCharType="begin"/>
        </w:r>
        <w:r w:rsidR="002248B9">
          <w:rPr>
            <w:noProof/>
            <w:webHidden/>
          </w:rPr>
          <w:instrText xml:space="preserve"> PAGEREF _Toc431218805 \h </w:instrText>
        </w:r>
        <w:r w:rsidR="002248B9">
          <w:rPr>
            <w:noProof/>
            <w:webHidden/>
          </w:rPr>
        </w:r>
        <w:r w:rsidR="002248B9">
          <w:rPr>
            <w:noProof/>
            <w:webHidden/>
          </w:rPr>
          <w:fldChar w:fldCharType="separate"/>
        </w:r>
        <w:r w:rsidR="00B06B43">
          <w:rPr>
            <w:noProof/>
            <w:webHidden/>
          </w:rPr>
          <w:t>72</w:t>
        </w:r>
        <w:r w:rsidR="002248B9">
          <w:rPr>
            <w:noProof/>
            <w:webHidden/>
          </w:rPr>
          <w:fldChar w:fldCharType="end"/>
        </w:r>
      </w:hyperlink>
    </w:p>
    <w:p w14:paraId="2AA021B1"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6" w:history="1">
        <w:r w:rsidR="002248B9" w:rsidRPr="001709D4">
          <w:rPr>
            <w:rStyle w:val="Hyperlink"/>
            <w:noProof/>
            <w:lang w:val="ga-IE"/>
          </w:rPr>
          <w:t>Tosaíocht straitéiseach 1: An Straitéis Náisiúnta Míchumais</w:t>
        </w:r>
        <w:r w:rsidR="002248B9">
          <w:rPr>
            <w:noProof/>
            <w:webHidden/>
          </w:rPr>
          <w:tab/>
        </w:r>
        <w:r w:rsidR="002248B9">
          <w:rPr>
            <w:noProof/>
            <w:webHidden/>
          </w:rPr>
          <w:fldChar w:fldCharType="begin"/>
        </w:r>
        <w:r w:rsidR="002248B9">
          <w:rPr>
            <w:noProof/>
            <w:webHidden/>
          </w:rPr>
          <w:instrText xml:space="preserve"> PAGEREF _Toc431218806 \h </w:instrText>
        </w:r>
        <w:r w:rsidR="002248B9">
          <w:rPr>
            <w:noProof/>
            <w:webHidden/>
          </w:rPr>
        </w:r>
        <w:r w:rsidR="002248B9">
          <w:rPr>
            <w:noProof/>
            <w:webHidden/>
          </w:rPr>
          <w:fldChar w:fldCharType="separate"/>
        </w:r>
        <w:r w:rsidR="00B06B43">
          <w:rPr>
            <w:noProof/>
            <w:webHidden/>
          </w:rPr>
          <w:t>76</w:t>
        </w:r>
        <w:r w:rsidR="002248B9">
          <w:rPr>
            <w:noProof/>
            <w:webHidden/>
          </w:rPr>
          <w:fldChar w:fldCharType="end"/>
        </w:r>
      </w:hyperlink>
    </w:p>
    <w:p w14:paraId="5C394982"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7" w:history="1">
        <w:r w:rsidR="002248B9" w:rsidRPr="001709D4">
          <w:rPr>
            <w:rStyle w:val="Hyperlink"/>
            <w:noProof/>
            <w:lang w:val="ga-IE"/>
          </w:rPr>
          <w:t>Tosaíocht straitéiseach 2: Ag maireachtáil go neamhspleách sa phobal</w:t>
        </w:r>
        <w:r w:rsidR="002248B9">
          <w:rPr>
            <w:noProof/>
            <w:webHidden/>
          </w:rPr>
          <w:tab/>
        </w:r>
        <w:r w:rsidR="002248B9">
          <w:rPr>
            <w:noProof/>
            <w:webHidden/>
          </w:rPr>
          <w:fldChar w:fldCharType="begin"/>
        </w:r>
        <w:r w:rsidR="002248B9">
          <w:rPr>
            <w:noProof/>
            <w:webHidden/>
          </w:rPr>
          <w:instrText xml:space="preserve"> PAGEREF _Toc431218807 \h </w:instrText>
        </w:r>
        <w:r w:rsidR="002248B9">
          <w:rPr>
            <w:noProof/>
            <w:webHidden/>
          </w:rPr>
        </w:r>
        <w:r w:rsidR="002248B9">
          <w:rPr>
            <w:noProof/>
            <w:webHidden/>
          </w:rPr>
          <w:fldChar w:fldCharType="separate"/>
        </w:r>
        <w:r w:rsidR="00B06B43">
          <w:rPr>
            <w:noProof/>
            <w:webHidden/>
          </w:rPr>
          <w:t>83</w:t>
        </w:r>
        <w:r w:rsidR="002248B9">
          <w:rPr>
            <w:noProof/>
            <w:webHidden/>
          </w:rPr>
          <w:fldChar w:fldCharType="end"/>
        </w:r>
      </w:hyperlink>
    </w:p>
    <w:p w14:paraId="1CC5E1A3"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8" w:history="1">
        <w:r w:rsidR="002248B9" w:rsidRPr="001709D4">
          <w:rPr>
            <w:rStyle w:val="Hyperlink"/>
            <w:noProof/>
            <w:lang w:val="ga-IE"/>
          </w:rPr>
          <w:t>Tosaíocht straitéiseach 3: Dearadh uirbeach na timpeallachta</w:t>
        </w:r>
        <w:r w:rsidR="002248B9">
          <w:rPr>
            <w:noProof/>
            <w:webHidden/>
          </w:rPr>
          <w:tab/>
        </w:r>
        <w:r w:rsidR="002248B9">
          <w:rPr>
            <w:noProof/>
            <w:webHidden/>
          </w:rPr>
          <w:fldChar w:fldCharType="begin"/>
        </w:r>
        <w:r w:rsidR="002248B9">
          <w:rPr>
            <w:noProof/>
            <w:webHidden/>
          </w:rPr>
          <w:instrText xml:space="preserve"> PAGEREF _Toc431218808 \h </w:instrText>
        </w:r>
        <w:r w:rsidR="002248B9">
          <w:rPr>
            <w:noProof/>
            <w:webHidden/>
          </w:rPr>
        </w:r>
        <w:r w:rsidR="002248B9">
          <w:rPr>
            <w:noProof/>
            <w:webHidden/>
          </w:rPr>
          <w:fldChar w:fldCharType="separate"/>
        </w:r>
        <w:r w:rsidR="00B06B43">
          <w:rPr>
            <w:noProof/>
            <w:webHidden/>
          </w:rPr>
          <w:t>89</w:t>
        </w:r>
        <w:r w:rsidR="002248B9">
          <w:rPr>
            <w:noProof/>
            <w:webHidden/>
          </w:rPr>
          <w:fldChar w:fldCharType="end"/>
        </w:r>
      </w:hyperlink>
    </w:p>
    <w:p w14:paraId="6E6DE2C8"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09" w:history="1">
        <w:r w:rsidR="002248B9" w:rsidRPr="001709D4">
          <w:rPr>
            <w:rStyle w:val="Hyperlink"/>
            <w:noProof/>
            <w:lang w:val="ga-IE"/>
          </w:rPr>
          <w:t>Tosaíocht straitéiseach 4: Eagraíocht éifeachtach agus éifeachtúil</w:t>
        </w:r>
        <w:r w:rsidR="002248B9">
          <w:rPr>
            <w:noProof/>
            <w:webHidden/>
          </w:rPr>
          <w:tab/>
        </w:r>
        <w:r w:rsidR="002248B9">
          <w:rPr>
            <w:noProof/>
            <w:webHidden/>
          </w:rPr>
          <w:fldChar w:fldCharType="begin"/>
        </w:r>
        <w:r w:rsidR="002248B9">
          <w:rPr>
            <w:noProof/>
            <w:webHidden/>
          </w:rPr>
          <w:instrText xml:space="preserve"> PAGEREF _Toc431218809 \h </w:instrText>
        </w:r>
        <w:r w:rsidR="002248B9">
          <w:rPr>
            <w:noProof/>
            <w:webHidden/>
          </w:rPr>
        </w:r>
        <w:r w:rsidR="002248B9">
          <w:rPr>
            <w:noProof/>
            <w:webHidden/>
          </w:rPr>
          <w:fldChar w:fldCharType="separate"/>
        </w:r>
        <w:r w:rsidR="00B06B43">
          <w:rPr>
            <w:noProof/>
            <w:webHidden/>
          </w:rPr>
          <w:t>97</w:t>
        </w:r>
        <w:r w:rsidR="002248B9">
          <w:rPr>
            <w:noProof/>
            <w:webHidden/>
          </w:rPr>
          <w:fldChar w:fldCharType="end"/>
        </w:r>
      </w:hyperlink>
    </w:p>
    <w:p w14:paraId="08A2182F"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10" w:history="1">
        <w:r w:rsidR="002248B9" w:rsidRPr="001709D4">
          <w:rPr>
            <w:rStyle w:val="Hyperlink"/>
            <w:noProof/>
            <w:lang w:val="ga-IE"/>
          </w:rPr>
          <w:t>Ráitis Airgeadais, an 31 Nollaig 2014</w:t>
        </w:r>
        <w:r w:rsidR="002248B9">
          <w:rPr>
            <w:noProof/>
            <w:webHidden/>
          </w:rPr>
          <w:tab/>
        </w:r>
        <w:r w:rsidR="002248B9">
          <w:rPr>
            <w:noProof/>
            <w:webHidden/>
          </w:rPr>
          <w:fldChar w:fldCharType="begin"/>
        </w:r>
        <w:r w:rsidR="002248B9">
          <w:rPr>
            <w:noProof/>
            <w:webHidden/>
          </w:rPr>
          <w:instrText xml:space="preserve"> PAGEREF _Toc431218810 \h </w:instrText>
        </w:r>
        <w:r w:rsidR="002248B9">
          <w:rPr>
            <w:noProof/>
            <w:webHidden/>
          </w:rPr>
        </w:r>
        <w:r w:rsidR="002248B9">
          <w:rPr>
            <w:noProof/>
            <w:webHidden/>
          </w:rPr>
          <w:fldChar w:fldCharType="separate"/>
        </w:r>
        <w:r w:rsidR="00B06B43">
          <w:rPr>
            <w:noProof/>
            <w:webHidden/>
          </w:rPr>
          <w:t>102</w:t>
        </w:r>
        <w:r w:rsidR="002248B9">
          <w:rPr>
            <w:noProof/>
            <w:webHidden/>
          </w:rPr>
          <w:fldChar w:fldCharType="end"/>
        </w:r>
      </w:hyperlink>
    </w:p>
    <w:p w14:paraId="4D866A90"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11" w:history="1">
        <w:r w:rsidR="002248B9" w:rsidRPr="001709D4">
          <w:rPr>
            <w:rStyle w:val="Hyperlink"/>
            <w:noProof/>
            <w:lang w:val="ga-IE"/>
          </w:rPr>
          <w:t>Aguisín 1: An tÚdarás agus coistí eile in 2014</w:t>
        </w:r>
        <w:r w:rsidR="002248B9">
          <w:rPr>
            <w:noProof/>
            <w:webHidden/>
          </w:rPr>
          <w:tab/>
        </w:r>
        <w:r w:rsidR="002248B9">
          <w:rPr>
            <w:noProof/>
            <w:webHidden/>
          </w:rPr>
          <w:fldChar w:fldCharType="begin"/>
        </w:r>
        <w:r w:rsidR="002248B9">
          <w:rPr>
            <w:noProof/>
            <w:webHidden/>
          </w:rPr>
          <w:instrText xml:space="preserve"> PAGEREF _Toc431218811 \h </w:instrText>
        </w:r>
        <w:r w:rsidR="002248B9">
          <w:rPr>
            <w:noProof/>
            <w:webHidden/>
          </w:rPr>
        </w:r>
        <w:r w:rsidR="002248B9">
          <w:rPr>
            <w:noProof/>
            <w:webHidden/>
          </w:rPr>
          <w:fldChar w:fldCharType="separate"/>
        </w:r>
        <w:r w:rsidR="00B06B43">
          <w:rPr>
            <w:noProof/>
            <w:webHidden/>
          </w:rPr>
          <w:t>125</w:t>
        </w:r>
        <w:r w:rsidR="002248B9">
          <w:rPr>
            <w:noProof/>
            <w:webHidden/>
          </w:rPr>
          <w:fldChar w:fldCharType="end"/>
        </w:r>
      </w:hyperlink>
    </w:p>
    <w:p w14:paraId="38B2E596"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12" w:history="1">
        <w:r w:rsidR="002248B9" w:rsidRPr="001709D4">
          <w:rPr>
            <w:rStyle w:val="Hyperlink"/>
            <w:noProof/>
            <w:lang w:val="ga-IE"/>
          </w:rPr>
          <w:t>Aguisín 2: Ionadaíocht ar chomhlachtaí seachtracha in 2014</w:t>
        </w:r>
        <w:r w:rsidR="002248B9">
          <w:rPr>
            <w:noProof/>
            <w:webHidden/>
          </w:rPr>
          <w:tab/>
        </w:r>
        <w:r w:rsidR="002248B9">
          <w:rPr>
            <w:noProof/>
            <w:webHidden/>
          </w:rPr>
          <w:fldChar w:fldCharType="begin"/>
        </w:r>
        <w:r w:rsidR="002248B9">
          <w:rPr>
            <w:noProof/>
            <w:webHidden/>
          </w:rPr>
          <w:instrText xml:space="preserve"> PAGEREF _Toc431218812 \h </w:instrText>
        </w:r>
        <w:r w:rsidR="002248B9">
          <w:rPr>
            <w:noProof/>
            <w:webHidden/>
          </w:rPr>
        </w:r>
        <w:r w:rsidR="002248B9">
          <w:rPr>
            <w:noProof/>
            <w:webHidden/>
          </w:rPr>
          <w:fldChar w:fldCharType="separate"/>
        </w:r>
        <w:r w:rsidR="00B06B43">
          <w:rPr>
            <w:noProof/>
            <w:webHidden/>
          </w:rPr>
          <w:t>127</w:t>
        </w:r>
        <w:r w:rsidR="002248B9">
          <w:rPr>
            <w:noProof/>
            <w:webHidden/>
          </w:rPr>
          <w:fldChar w:fldCharType="end"/>
        </w:r>
      </w:hyperlink>
    </w:p>
    <w:p w14:paraId="421E8C13"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13" w:history="1">
        <w:r w:rsidR="002248B9" w:rsidRPr="001709D4">
          <w:rPr>
            <w:rStyle w:val="Hyperlink"/>
            <w:noProof/>
            <w:lang w:val="ga-IE"/>
          </w:rPr>
          <w:t>Aguisín 3: Foilseacháin in 2014</w:t>
        </w:r>
        <w:r w:rsidR="002248B9">
          <w:rPr>
            <w:noProof/>
            <w:webHidden/>
          </w:rPr>
          <w:tab/>
        </w:r>
        <w:r w:rsidR="002248B9">
          <w:rPr>
            <w:noProof/>
            <w:webHidden/>
          </w:rPr>
          <w:fldChar w:fldCharType="begin"/>
        </w:r>
        <w:r w:rsidR="002248B9">
          <w:rPr>
            <w:noProof/>
            <w:webHidden/>
          </w:rPr>
          <w:instrText xml:space="preserve"> PAGEREF _Toc431218813 \h </w:instrText>
        </w:r>
        <w:r w:rsidR="002248B9">
          <w:rPr>
            <w:noProof/>
            <w:webHidden/>
          </w:rPr>
        </w:r>
        <w:r w:rsidR="002248B9">
          <w:rPr>
            <w:noProof/>
            <w:webHidden/>
          </w:rPr>
          <w:fldChar w:fldCharType="separate"/>
        </w:r>
        <w:r w:rsidR="00B06B43">
          <w:rPr>
            <w:noProof/>
            <w:webHidden/>
          </w:rPr>
          <w:t>129</w:t>
        </w:r>
        <w:r w:rsidR="002248B9">
          <w:rPr>
            <w:noProof/>
            <w:webHidden/>
          </w:rPr>
          <w:fldChar w:fldCharType="end"/>
        </w:r>
      </w:hyperlink>
    </w:p>
    <w:p w14:paraId="28F093EA" w14:textId="77777777" w:rsidR="002248B9" w:rsidRDefault="006B0151">
      <w:pPr>
        <w:pStyle w:val="TOC1"/>
        <w:rPr>
          <w:rFonts w:asciiTheme="minorHAnsi" w:eastAsiaTheme="minorEastAsia" w:hAnsiTheme="minorHAnsi" w:cstheme="minorBidi"/>
          <w:b w:val="0"/>
          <w:noProof/>
          <w:sz w:val="22"/>
          <w:szCs w:val="22"/>
          <w:lang w:eastAsia="en-IE"/>
        </w:rPr>
      </w:pPr>
      <w:hyperlink w:anchor="_Toc431218814" w:history="1">
        <w:r w:rsidR="002248B9" w:rsidRPr="001709D4">
          <w:rPr>
            <w:rStyle w:val="Hyperlink"/>
            <w:noProof/>
            <w:lang w:val="ga-IE"/>
          </w:rPr>
          <w:t>Aguisín 4: Páipéir chomhairle beartais in 2014</w:t>
        </w:r>
        <w:r w:rsidR="002248B9">
          <w:rPr>
            <w:noProof/>
            <w:webHidden/>
          </w:rPr>
          <w:tab/>
        </w:r>
        <w:r w:rsidR="002248B9">
          <w:rPr>
            <w:noProof/>
            <w:webHidden/>
          </w:rPr>
          <w:fldChar w:fldCharType="begin"/>
        </w:r>
        <w:r w:rsidR="002248B9">
          <w:rPr>
            <w:noProof/>
            <w:webHidden/>
          </w:rPr>
          <w:instrText xml:space="preserve"> PAGEREF _Toc431218814 \h </w:instrText>
        </w:r>
        <w:r w:rsidR="002248B9">
          <w:rPr>
            <w:noProof/>
            <w:webHidden/>
          </w:rPr>
        </w:r>
        <w:r w:rsidR="002248B9">
          <w:rPr>
            <w:noProof/>
            <w:webHidden/>
          </w:rPr>
          <w:fldChar w:fldCharType="separate"/>
        </w:r>
        <w:r w:rsidR="00B06B43">
          <w:rPr>
            <w:noProof/>
            <w:webHidden/>
          </w:rPr>
          <w:t>130</w:t>
        </w:r>
        <w:r w:rsidR="002248B9">
          <w:rPr>
            <w:noProof/>
            <w:webHidden/>
          </w:rPr>
          <w:fldChar w:fldCharType="end"/>
        </w:r>
      </w:hyperlink>
    </w:p>
    <w:p w14:paraId="306737C6" w14:textId="77777777" w:rsidR="00E54C88" w:rsidRDefault="00C949A3" w:rsidP="000E07C7">
      <w:r>
        <w:fldChar w:fldCharType="end"/>
      </w:r>
    </w:p>
    <w:p w14:paraId="02D37083" w14:textId="77777777" w:rsidR="00E54C88" w:rsidRPr="00ED077E" w:rsidRDefault="00E54C88" w:rsidP="006D595B">
      <w:pPr>
        <w:pStyle w:val="Heading1"/>
      </w:pPr>
      <w:bookmarkStart w:id="13" w:name="_Toc429053905"/>
      <w:bookmarkStart w:id="14" w:name="_Toc429054115"/>
      <w:bookmarkStart w:id="15" w:name="_Toc431218792"/>
      <w:r w:rsidRPr="00ED077E">
        <w:lastRenderedPageBreak/>
        <w:t>Chairperson</w:t>
      </w:r>
      <w:r w:rsidR="00320EA8">
        <w:t>’</w:t>
      </w:r>
      <w:r w:rsidRPr="00ED077E">
        <w:t xml:space="preserve">s </w:t>
      </w:r>
      <w:r w:rsidRPr="006D595B">
        <w:t>statement</w:t>
      </w:r>
      <w:bookmarkEnd w:id="13"/>
      <w:bookmarkEnd w:id="14"/>
      <w:bookmarkEnd w:id="15"/>
    </w:p>
    <w:p w14:paraId="0490134E" w14:textId="77777777" w:rsidR="002A3A36" w:rsidRPr="002A3A36" w:rsidRDefault="002A3A36" w:rsidP="002A3A36">
      <w:pPr>
        <w:rPr>
          <w:lang w:eastAsia="en-GB"/>
        </w:rPr>
      </w:pPr>
      <w:r w:rsidRPr="002A3A36">
        <w:rPr>
          <w:lang w:eastAsia="en-GB"/>
        </w:rPr>
        <w:t>I am pleased to present this Annual Report of the National Disability Authority for 2014 to the Minister for Justice and Equality.</w:t>
      </w:r>
    </w:p>
    <w:p w14:paraId="26415648" w14:textId="77777777" w:rsidR="002A3A36" w:rsidRPr="002A3A36" w:rsidRDefault="002A3A36" w:rsidP="002A3A36">
      <w:pPr>
        <w:rPr>
          <w:lang w:eastAsia="en-GB"/>
        </w:rPr>
      </w:pPr>
      <w:r w:rsidRPr="002A3A36">
        <w:rPr>
          <w:lang w:eastAsia="en-GB"/>
        </w:rPr>
        <w:t xml:space="preserve">As the chairperson appointed to the new Authority which took office in July 2014, I am particularly pleased to report on how the National Disability Authority has performed in that year delivering on committed strategic objectives and our statutory role as the independent, national body with responsibility to bring evidence-informed advice to the Minister on disability issues and universal design. </w:t>
      </w:r>
    </w:p>
    <w:p w14:paraId="3397C271" w14:textId="77777777" w:rsidR="002A3A36" w:rsidRPr="002A3A36" w:rsidRDefault="002A3A36" w:rsidP="002A3A36">
      <w:pPr>
        <w:rPr>
          <w:lang w:eastAsia="en-GB"/>
        </w:rPr>
      </w:pPr>
      <w:r w:rsidRPr="002A3A36">
        <w:rPr>
          <w:lang w:eastAsia="en-GB"/>
        </w:rPr>
        <w:t xml:space="preserve">The report sets out how, over the course of the year, the National Disability Authority continued to play its part to guide the effective implementation of key strategies and policies that have been adopted by the Government for implementation over </w:t>
      </w:r>
      <w:proofErr w:type="gramStart"/>
      <w:r w:rsidRPr="002A3A36">
        <w:rPr>
          <w:lang w:eastAsia="en-GB"/>
        </w:rPr>
        <w:t>a number of</w:t>
      </w:r>
      <w:proofErr w:type="gramEnd"/>
      <w:r w:rsidRPr="002A3A36">
        <w:rPr>
          <w:lang w:eastAsia="en-GB"/>
        </w:rPr>
        <w:t xml:space="preserve"> years in order to achieve an Irish society that values people with disabilities as equal citizens.</w:t>
      </w:r>
      <w:r w:rsidR="000A53D0">
        <w:rPr>
          <w:lang w:eastAsia="en-GB"/>
        </w:rPr>
        <w:t xml:space="preserve"> </w:t>
      </w:r>
      <w:r w:rsidRPr="002A3A36">
        <w:rPr>
          <w:lang w:eastAsia="en-GB"/>
        </w:rPr>
        <w:t xml:space="preserve">We also continued in our drive to promote improved understanding and adoption of universal </w:t>
      </w:r>
      <w:proofErr w:type="gramStart"/>
      <w:r w:rsidRPr="002A3A36">
        <w:rPr>
          <w:lang w:eastAsia="en-GB"/>
        </w:rPr>
        <w:t>design, and</w:t>
      </w:r>
      <w:proofErr w:type="gramEnd"/>
      <w:r w:rsidRPr="002A3A36">
        <w:rPr>
          <w:lang w:eastAsia="en-GB"/>
        </w:rPr>
        <w:t xml:space="preserve"> developed further resources to support designers </w:t>
      </w:r>
      <w:r>
        <w:rPr>
          <w:lang w:eastAsia="en-GB"/>
        </w:rPr>
        <w:t xml:space="preserve">to </w:t>
      </w:r>
      <w:r w:rsidRPr="002A3A36">
        <w:rPr>
          <w:lang w:eastAsia="en-GB"/>
        </w:rPr>
        <w:t>achieve that.</w:t>
      </w:r>
      <w:r w:rsidR="000A53D0">
        <w:rPr>
          <w:lang w:eastAsia="en-GB"/>
        </w:rPr>
        <w:t xml:space="preserve"> </w:t>
      </w:r>
    </w:p>
    <w:p w14:paraId="600B3FC7" w14:textId="77777777" w:rsidR="002A3A36" w:rsidRPr="002A3A36" w:rsidRDefault="002A3A36" w:rsidP="002A3A36">
      <w:pPr>
        <w:rPr>
          <w:lang w:eastAsia="en-GB"/>
        </w:rPr>
      </w:pPr>
      <w:r w:rsidRPr="002A3A36">
        <w:rPr>
          <w:lang w:eastAsia="en-GB"/>
        </w:rPr>
        <w:t>Standards and regulations for residential disability centres were introduced from November 2013, and the process of registration and inspection of services by the Health Information and Quality Authority began from that date.</w:t>
      </w:r>
      <w:r w:rsidR="000A53D0">
        <w:rPr>
          <w:lang w:eastAsia="en-GB"/>
        </w:rPr>
        <w:t xml:space="preserve"> </w:t>
      </w:r>
      <w:r w:rsidRPr="002A3A36">
        <w:rPr>
          <w:lang w:eastAsia="en-GB"/>
        </w:rPr>
        <w:t xml:space="preserve">In August 2014, we were requested by the Minister for Social and Primary Care, Kathleen Lynch TD, to review the experience and learning from this, one year on. Work began on this project in 2014 and will be completed in 2015. This will provide valuable learning for policy and practice. Our work is being guided by consultation with a wide range of stakeholders including residents, their families, service providers and HIQA. </w:t>
      </w:r>
    </w:p>
    <w:p w14:paraId="2A9AABDE" w14:textId="77777777" w:rsidR="002A3A36" w:rsidRPr="002A3A36" w:rsidRDefault="002A3A36" w:rsidP="002A3A36">
      <w:pPr>
        <w:rPr>
          <w:lang w:eastAsia="en-GB"/>
        </w:rPr>
      </w:pPr>
      <w:r w:rsidRPr="002A3A36">
        <w:rPr>
          <w:lang w:eastAsia="en-GB"/>
        </w:rPr>
        <w:t>A major transformation programme for disability services and supports is underway. The policy direction agreed by Government is to support people with disabilities to live ordinary lives in ordinary places. The National Disability Authority is playing an important role in guiding this, for example though our work on an outcomes framework for disability services, on standards to underpin a new model for day services, and on resource allocation systems. However, we are conscious that service transformation is still at the start of a journey, and that many people still live in large resid</w:t>
      </w:r>
      <w:r>
        <w:rPr>
          <w:lang w:eastAsia="en-GB"/>
        </w:rPr>
        <w:t>ential institutions or centres.</w:t>
      </w:r>
    </w:p>
    <w:p w14:paraId="0AC03B78" w14:textId="77777777" w:rsidR="002A3A36" w:rsidRPr="002A3A36" w:rsidRDefault="002A3A36" w:rsidP="002A3A36">
      <w:pPr>
        <w:rPr>
          <w:lang w:eastAsia="en-GB"/>
        </w:rPr>
      </w:pPr>
      <w:r w:rsidRPr="002A3A36">
        <w:rPr>
          <w:lang w:eastAsia="en-GB"/>
        </w:rPr>
        <w:lastRenderedPageBreak/>
        <w:t>Like many others, the NDA was appalled at the evidence of abuse which has emerged in some residential services, now under investigation, which has resulted in a major action programme led by the HSE on safeguarding residents in all residential centres and to advance quality improvement.</w:t>
      </w:r>
      <w:r w:rsidR="000A53D0">
        <w:rPr>
          <w:lang w:eastAsia="en-GB"/>
        </w:rPr>
        <w:t xml:space="preserve"> </w:t>
      </w:r>
      <w:r w:rsidRPr="002A3A36">
        <w:rPr>
          <w:lang w:eastAsia="en-GB"/>
        </w:rPr>
        <w:t>The NDA was appointed to the Taskforce chaired by the HSE which had its inaugural meeting on 16</w:t>
      </w:r>
      <w:r>
        <w:rPr>
          <w:lang w:eastAsia="en-GB"/>
        </w:rPr>
        <w:t>th</w:t>
      </w:r>
      <w:r w:rsidRPr="002A3A36">
        <w:rPr>
          <w:lang w:eastAsia="en-GB"/>
        </w:rPr>
        <w:t xml:space="preserve"> December 2014 with a view to overseeing the implementation of the programme of action.</w:t>
      </w:r>
    </w:p>
    <w:p w14:paraId="0BB61994" w14:textId="77777777" w:rsidR="002A3A36" w:rsidRPr="002A3A36" w:rsidRDefault="002A3A36" w:rsidP="002A3A36">
      <w:pPr>
        <w:pStyle w:val="NormalBeforeList"/>
        <w:rPr>
          <w:lang w:eastAsia="en-GB"/>
        </w:rPr>
      </w:pPr>
      <w:r w:rsidRPr="002A3A36">
        <w:rPr>
          <w:lang w:eastAsia="en-GB"/>
        </w:rPr>
        <w:t>In 2014, the work of the National Disability Authority has included:</w:t>
      </w:r>
    </w:p>
    <w:p w14:paraId="63FFF1F8" w14:textId="77777777" w:rsidR="002A3A36" w:rsidRPr="002A3A36" w:rsidRDefault="002A3A36" w:rsidP="002A3A36">
      <w:pPr>
        <w:pStyle w:val="ListBullet"/>
        <w:rPr>
          <w:lang w:eastAsia="en-GB"/>
        </w:rPr>
      </w:pPr>
      <w:r w:rsidRPr="002A3A36">
        <w:rPr>
          <w:lang w:eastAsia="en-GB"/>
        </w:rPr>
        <w:t xml:space="preserve">Work to review Part 4 of the Disability Act 2005 in relation to use of genetic testing information for access to insurance, </w:t>
      </w:r>
      <w:proofErr w:type="gramStart"/>
      <w:r w:rsidRPr="002A3A36">
        <w:rPr>
          <w:lang w:eastAsia="en-GB"/>
        </w:rPr>
        <w:t>mortgages</w:t>
      </w:r>
      <w:proofErr w:type="gramEnd"/>
      <w:r w:rsidRPr="002A3A36">
        <w:rPr>
          <w:lang w:eastAsia="en-GB"/>
        </w:rPr>
        <w:t xml:space="preserve"> and employment.</w:t>
      </w:r>
      <w:r w:rsidR="000A53D0">
        <w:rPr>
          <w:lang w:eastAsia="en-GB"/>
        </w:rPr>
        <w:t xml:space="preserve"> </w:t>
      </w:r>
    </w:p>
    <w:p w14:paraId="6CF2A190" w14:textId="77777777" w:rsidR="002A3A36" w:rsidRPr="002A3A36" w:rsidRDefault="002A3A36" w:rsidP="002A3A36">
      <w:pPr>
        <w:pStyle w:val="ListBullet"/>
        <w:rPr>
          <w:lang w:eastAsia="en-GB"/>
        </w:rPr>
      </w:pPr>
      <w:r w:rsidRPr="002A3A36">
        <w:rPr>
          <w:lang w:eastAsia="en-GB"/>
        </w:rPr>
        <w:t xml:space="preserve">Research and guidance to assist in the development of a cross-government comprehensive employment strategy for persons with disabilities </w:t>
      </w:r>
    </w:p>
    <w:p w14:paraId="332D15C9" w14:textId="77777777" w:rsidR="002A3A36" w:rsidRPr="002A3A36" w:rsidRDefault="002A3A36" w:rsidP="002A3A36">
      <w:pPr>
        <w:pStyle w:val="ListBullet"/>
        <w:rPr>
          <w:lang w:eastAsia="en-GB"/>
        </w:rPr>
      </w:pPr>
      <w:r w:rsidRPr="002A3A36">
        <w:rPr>
          <w:lang w:eastAsia="en-GB"/>
        </w:rPr>
        <w:t xml:space="preserve">Research and consultation to inform policy and practice in relation to public services for people with autism </w:t>
      </w:r>
    </w:p>
    <w:p w14:paraId="63A99F40" w14:textId="77777777" w:rsidR="002A3A36" w:rsidRPr="002A3A36" w:rsidRDefault="002A3A36" w:rsidP="002A3A36">
      <w:pPr>
        <w:pStyle w:val="ListBullet"/>
        <w:rPr>
          <w:lang w:eastAsia="en-GB"/>
        </w:rPr>
      </w:pPr>
      <w:r w:rsidRPr="002A3A36">
        <w:rPr>
          <w:lang w:eastAsia="en-GB"/>
        </w:rPr>
        <w:t>Completed European and International standards work in the areas of ICT procurement and guidelines for standards developers in applying universal design and accessibility</w:t>
      </w:r>
    </w:p>
    <w:p w14:paraId="7D4F5547" w14:textId="77777777" w:rsidR="002A3A36" w:rsidRPr="002A3A36" w:rsidRDefault="002A3A36" w:rsidP="002A3A36">
      <w:pPr>
        <w:pStyle w:val="ListBullet"/>
        <w:rPr>
          <w:lang w:eastAsia="en-GB"/>
        </w:rPr>
      </w:pPr>
      <w:r w:rsidRPr="002A3A36">
        <w:rPr>
          <w:lang w:eastAsia="en-GB"/>
        </w:rPr>
        <w:t xml:space="preserve">A Universal Design Grand Challenge which involved students developing innovative universal design ideas for products, </w:t>
      </w:r>
      <w:proofErr w:type="gramStart"/>
      <w:r w:rsidRPr="002A3A36">
        <w:rPr>
          <w:lang w:eastAsia="en-GB"/>
        </w:rPr>
        <w:t>facilities</w:t>
      </w:r>
      <w:proofErr w:type="gramEnd"/>
      <w:r w:rsidRPr="002A3A36">
        <w:rPr>
          <w:lang w:eastAsia="en-GB"/>
        </w:rPr>
        <w:t xml:space="preserve"> and technologies.</w:t>
      </w:r>
    </w:p>
    <w:p w14:paraId="67878EBC" w14:textId="77777777" w:rsidR="002A3A36" w:rsidRPr="002A3A36" w:rsidRDefault="002A3A36" w:rsidP="002A3A36">
      <w:pPr>
        <w:rPr>
          <w:lang w:eastAsia="en-GB"/>
        </w:rPr>
      </w:pPr>
      <w:r w:rsidRPr="002A3A36">
        <w:rPr>
          <w:lang w:eastAsia="en-GB"/>
        </w:rPr>
        <w:t>I would also like to thank all of those who engaged with the NDA during 2014 including through consultation and by participating in our workshops and seminars.</w:t>
      </w:r>
      <w:r w:rsidR="000A53D0">
        <w:rPr>
          <w:lang w:eastAsia="en-GB"/>
        </w:rPr>
        <w:t xml:space="preserve"> </w:t>
      </w:r>
      <w:r w:rsidRPr="002A3A36">
        <w:rPr>
          <w:lang w:eastAsia="en-GB"/>
        </w:rPr>
        <w:t xml:space="preserve">We value the engagement with </w:t>
      </w:r>
      <w:proofErr w:type="gramStart"/>
      <w:r w:rsidRPr="002A3A36">
        <w:rPr>
          <w:lang w:eastAsia="en-GB"/>
        </w:rPr>
        <w:t>all of</w:t>
      </w:r>
      <w:proofErr w:type="gramEnd"/>
      <w:r w:rsidRPr="002A3A36">
        <w:rPr>
          <w:lang w:eastAsia="en-GB"/>
        </w:rPr>
        <w:t xml:space="preserve"> our stakeholders in government departments, public bodies, disability sector bodies, persons with disabilities and families as well as our universal design stakeholders – professional, standards and educational bodies as well as industry and the public sector.</w:t>
      </w:r>
      <w:r w:rsidR="000A53D0">
        <w:rPr>
          <w:lang w:eastAsia="en-GB"/>
        </w:rPr>
        <w:t xml:space="preserve"> </w:t>
      </w:r>
    </w:p>
    <w:p w14:paraId="567BAB92" w14:textId="77777777" w:rsidR="002A3A36" w:rsidRPr="002A3A36" w:rsidRDefault="002A3A36" w:rsidP="002A3A36">
      <w:pPr>
        <w:rPr>
          <w:lang w:eastAsia="en-GB"/>
        </w:rPr>
      </w:pPr>
      <w:r w:rsidRPr="002A3A36">
        <w:rPr>
          <w:lang w:eastAsia="en-GB"/>
        </w:rPr>
        <w:t>I would like to thank the staff of the Disability Policy unit in the Department of Justice and Equality, as well as the staff from the Financial Shared Services unit and the shared IT services.</w:t>
      </w:r>
      <w:r w:rsidR="000A53D0">
        <w:rPr>
          <w:lang w:eastAsia="en-GB"/>
        </w:rPr>
        <w:t xml:space="preserve"> </w:t>
      </w:r>
    </w:p>
    <w:p w14:paraId="6171E1BE" w14:textId="77777777" w:rsidR="002A3A36" w:rsidRPr="002A3A36" w:rsidRDefault="002A3A36" w:rsidP="002A3A36">
      <w:pPr>
        <w:rPr>
          <w:lang w:eastAsia="en-GB"/>
        </w:rPr>
      </w:pPr>
      <w:r w:rsidRPr="002A3A36">
        <w:rPr>
          <w:lang w:eastAsia="en-GB"/>
        </w:rPr>
        <w:t>I would like to thank the members who, since their appointment to the Authority, have demonstrated energy and enthusiasm and a wide range of experience, which will enable us to work together in ensuring that the NDA is making a positive difference.</w:t>
      </w:r>
    </w:p>
    <w:p w14:paraId="68EE30D4" w14:textId="77777777" w:rsidR="002A3A36" w:rsidRPr="002A3A36" w:rsidRDefault="002A3A36" w:rsidP="002A3A36">
      <w:pPr>
        <w:rPr>
          <w:lang w:eastAsia="en-GB"/>
        </w:rPr>
      </w:pPr>
      <w:r w:rsidRPr="002A3A36">
        <w:rPr>
          <w:lang w:eastAsia="en-GB"/>
        </w:rPr>
        <w:lastRenderedPageBreak/>
        <w:t>I would like to recognise the dedication, high standard of work and expertise of the National Disability Authority staff who have delivered a very full programme of work.</w:t>
      </w:r>
      <w:r w:rsidR="000A53D0">
        <w:rPr>
          <w:lang w:eastAsia="en-GB"/>
        </w:rPr>
        <w:t xml:space="preserve"> </w:t>
      </w:r>
    </w:p>
    <w:p w14:paraId="14D42A0E" w14:textId="77777777" w:rsidR="00E54C88" w:rsidRPr="002248B9" w:rsidRDefault="003975CF" w:rsidP="00804BF1">
      <w:pPr>
        <w:rPr>
          <w:lang w:eastAsia="en-GB"/>
        </w:rPr>
      </w:pPr>
      <w:r>
        <w:rPr>
          <w:lang w:eastAsia="en-GB"/>
        </w:rPr>
        <w:t>Y</w:t>
      </w:r>
      <w:r w:rsidR="002A3A36" w:rsidRPr="002A3A36">
        <w:rPr>
          <w:lang w:eastAsia="en-GB"/>
        </w:rPr>
        <w:t>ours sincerel</w:t>
      </w:r>
      <w:r w:rsidR="002248B9">
        <w:rPr>
          <w:lang w:eastAsia="en-GB"/>
        </w:rPr>
        <w:t xml:space="preserve">y, </w:t>
      </w:r>
      <w:r w:rsidR="002248B9">
        <w:rPr>
          <w:lang w:eastAsia="en-GB"/>
        </w:rPr>
        <w:br/>
      </w:r>
      <w:r w:rsidR="002A3A36" w:rsidRPr="002A3A36">
        <w:rPr>
          <w:lang w:eastAsia="en-GB"/>
        </w:rPr>
        <w:t>Helen Guinan</w:t>
      </w:r>
      <w:r>
        <w:rPr>
          <w:lang w:eastAsia="en-GB"/>
        </w:rPr>
        <w:br/>
      </w:r>
      <w:r w:rsidR="002A3A36" w:rsidRPr="002A3A36">
        <w:rPr>
          <w:lang w:eastAsia="en-GB"/>
        </w:rPr>
        <w:t>Chairperson</w:t>
      </w:r>
      <w:r>
        <w:rPr>
          <w:lang w:eastAsia="en-GB"/>
        </w:rPr>
        <w:t>.</w:t>
      </w:r>
    </w:p>
    <w:p w14:paraId="2A5E2A49" w14:textId="77777777" w:rsidR="00E54C88" w:rsidRDefault="00E54C88" w:rsidP="007A3B86">
      <w:pPr>
        <w:pStyle w:val="Heading1"/>
      </w:pPr>
      <w:bookmarkStart w:id="16" w:name="_Toc429053906"/>
      <w:bookmarkStart w:id="17" w:name="_Toc429054116"/>
      <w:bookmarkStart w:id="18" w:name="_Toc431218793"/>
      <w:r>
        <w:lastRenderedPageBreak/>
        <w:t xml:space="preserve">Overview </w:t>
      </w:r>
      <w:r w:rsidR="003975CF">
        <w:t>of 2014</w:t>
      </w:r>
      <w:bookmarkEnd w:id="16"/>
      <w:bookmarkEnd w:id="17"/>
      <w:bookmarkEnd w:id="18"/>
    </w:p>
    <w:p w14:paraId="79890C21" w14:textId="77777777" w:rsidR="003975CF" w:rsidRDefault="003975CF" w:rsidP="003975CF">
      <w:r>
        <w:t>The National Disability Authority</w:t>
      </w:r>
      <w:r w:rsidR="00320EA8">
        <w:t>’</w:t>
      </w:r>
      <w:r>
        <w:t>s work in 2014 was guided by its Strategic Plan and opportunities to influence national policy and practice to deliver equality and better quality of lives for persons with disabilities and to promote universal design.</w:t>
      </w:r>
    </w:p>
    <w:p w14:paraId="19A3577C" w14:textId="77777777" w:rsidR="003975CF" w:rsidRDefault="003975CF" w:rsidP="003975CF">
      <w:r>
        <w:t xml:space="preserve">During 2014 a new Minister was appointed at the Department of Justice and Equality and Arts, </w:t>
      </w:r>
      <w:proofErr w:type="gramStart"/>
      <w:r>
        <w:t>Heritage</w:t>
      </w:r>
      <w:proofErr w:type="gramEnd"/>
      <w:r>
        <w:t xml:space="preserve"> and the </w:t>
      </w:r>
      <w:r w:rsidRPr="003975CF">
        <w:rPr>
          <w:lang w:val="ga-IE"/>
        </w:rPr>
        <w:t>Gaeltacht</w:t>
      </w:r>
      <w:r>
        <w:t xml:space="preserve"> with special responsibility for Equality, New Communities and Culture.</w:t>
      </w:r>
      <w:r w:rsidR="000A53D0">
        <w:t xml:space="preserve"> </w:t>
      </w:r>
      <w:r>
        <w:t>The Minister also took on the role of chairperson of the National Disability Strategy Implementation Group.</w:t>
      </w:r>
      <w:r w:rsidR="000A53D0">
        <w:t xml:space="preserve"> </w:t>
      </w:r>
      <w:r>
        <w:t xml:space="preserve">This steering group monitors implementation of the National Disability Strategy Implementation Plan 2013–2015. Membership includes senior officials from a wide range of government departments, the local authorities, the National </w:t>
      </w:r>
      <w:proofErr w:type="gramStart"/>
      <w:r>
        <w:t>Disability</w:t>
      </w:r>
      <w:proofErr w:type="gramEnd"/>
      <w:r>
        <w:t xml:space="preserve"> and the Disability Stakeholder group. </w:t>
      </w:r>
    </w:p>
    <w:p w14:paraId="2A5FEF83" w14:textId="77777777" w:rsidR="003975CF" w:rsidRDefault="003975CF" w:rsidP="00CA7C1D">
      <w:pPr>
        <w:pStyle w:val="NormalBeforeList"/>
      </w:pPr>
      <w:r>
        <w:t xml:space="preserve">The National Disability Strategy Implementation Plan covers all persons with disabilities. It sets out actions for delivery by all government departments and agencies under the following </w:t>
      </w:r>
      <w:proofErr w:type="gramStart"/>
      <w:r>
        <w:t>high level</w:t>
      </w:r>
      <w:proofErr w:type="gramEnd"/>
      <w:r>
        <w:t xml:space="preserve"> goals:</w:t>
      </w:r>
    </w:p>
    <w:p w14:paraId="3D7448A9" w14:textId="77777777" w:rsidR="003975CF" w:rsidRDefault="003975CF" w:rsidP="003975CF">
      <w:pPr>
        <w:pStyle w:val="ListNumber"/>
      </w:pPr>
      <w:r>
        <w:t>1.</w:t>
      </w:r>
      <w:r>
        <w:tab/>
        <w:t>Equal Citizens – People with disabilities are free from discrimination. They are treated as equal citizens by their fellow citizens. They are included as equals by public services which welcome and accommodate diversity.</w:t>
      </w:r>
    </w:p>
    <w:p w14:paraId="31144D98" w14:textId="77777777" w:rsidR="003975CF" w:rsidRDefault="003975CF" w:rsidP="003975CF">
      <w:pPr>
        <w:pStyle w:val="ListNumber"/>
      </w:pPr>
      <w:r>
        <w:t>2.</w:t>
      </w:r>
      <w:r>
        <w:tab/>
        <w:t>Independence and Choice – people with disabilities are supported to live the life they choose.</w:t>
      </w:r>
    </w:p>
    <w:p w14:paraId="72F17DA8" w14:textId="77777777" w:rsidR="003975CF" w:rsidRDefault="003975CF" w:rsidP="003975CF">
      <w:pPr>
        <w:pStyle w:val="ListNumber"/>
      </w:pPr>
      <w:r>
        <w:t>3.</w:t>
      </w:r>
      <w:r>
        <w:tab/>
        <w:t>Participation – people with disabilities live ordinary lives in ordinary places, participating in the life of the community.</w:t>
      </w:r>
    </w:p>
    <w:p w14:paraId="356E9423" w14:textId="77777777" w:rsidR="003975CF" w:rsidRDefault="003975CF" w:rsidP="00CA7C1D">
      <w:pPr>
        <w:pStyle w:val="ListNumber"/>
        <w:spacing w:after="240"/>
        <w:ind w:left="357" w:hanging="357"/>
      </w:pPr>
      <w:r>
        <w:t>4.</w:t>
      </w:r>
      <w:r>
        <w:tab/>
        <w:t xml:space="preserve">Maximise potential – people with disabilities are enabled to reach their full potential. </w:t>
      </w:r>
    </w:p>
    <w:p w14:paraId="6E35D12A" w14:textId="77777777" w:rsidR="003975CF" w:rsidRDefault="003975CF" w:rsidP="003975CF">
      <w:pPr>
        <w:pStyle w:val="NormalAfterList"/>
      </w:pPr>
      <w:r>
        <w:t xml:space="preserve">The NDA continued to work bi-laterally with Departments and agencies to guide on implementation including participating in relevant committees. A </w:t>
      </w:r>
      <w:proofErr w:type="spellStart"/>
      <w:r>
        <w:t>mid term</w:t>
      </w:r>
      <w:proofErr w:type="spellEnd"/>
      <w:r>
        <w:t xml:space="preserve"> review of progress in implementing the plan was undertaken and evaluated by the National Disability Authority.</w:t>
      </w:r>
      <w:r w:rsidR="000A53D0">
        <w:t xml:space="preserve"> </w:t>
      </w:r>
      <w:r>
        <w:t xml:space="preserve">The NDA also chaired and provided secretariat support to the Disability Stakeholder Group who also input its views and recommendations to the national steering group on the Plan. The NDA also undertook work to guide on how the Plan could more effectively meet the needs of those with autism. This included consultation with stakeholders, a workshop, </w:t>
      </w:r>
      <w:proofErr w:type="gramStart"/>
      <w:r>
        <w:t>research</w:t>
      </w:r>
      <w:proofErr w:type="gramEnd"/>
      <w:r>
        <w:t xml:space="preserve"> and </w:t>
      </w:r>
      <w:r>
        <w:lastRenderedPageBreak/>
        <w:t>recommendations which would inform a specific action programme to be finalised in 2015.</w:t>
      </w:r>
    </w:p>
    <w:p w14:paraId="21A618EB" w14:textId="77777777" w:rsidR="003975CF" w:rsidRDefault="003975CF" w:rsidP="003975CF">
      <w:r>
        <w:t xml:space="preserve">The NDA continued to work with Departments in developing a 10-year comprehensive employment strategy, incorporating an action plan for the first 3 years. Since 2014 the commitment to produce this Strategy is an integral part of the National Action Plan for Jobs which is published annually by the Department of Jobs, </w:t>
      </w:r>
      <w:proofErr w:type="gramStart"/>
      <w:r>
        <w:t>Enterprise</w:t>
      </w:r>
      <w:proofErr w:type="gramEnd"/>
      <w:r>
        <w:t xml:space="preserve"> and Innovation. The NDA also conducted research to guide on the strategy and commissioned research on vocational rehabilitation systems which will inform further actions under the strategy. The NDA</w:t>
      </w:r>
      <w:r w:rsidR="00320EA8">
        <w:t>’</w:t>
      </w:r>
      <w:r>
        <w:t>s Annual Conference was dedicated to the theme of employment with shared learning to guide an effective strategy.</w:t>
      </w:r>
    </w:p>
    <w:p w14:paraId="7C16AF22" w14:textId="77777777" w:rsidR="003975CF" w:rsidRDefault="003975CF" w:rsidP="003975CF">
      <w:r>
        <w:t>The moratorium on recruitment to the public sector continued to operate with very few recruitment opportunities. In line with its statutory function the NDA reported to the Minister on compliance by government departments and public bodies with obligations to achieve a 3% target level of employment of persons with disabilities. While the overall the 3% target had been met in the previous year some individual bodies had yet to demonstrate compliance.</w:t>
      </w:r>
    </w:p>
    <w:p w14:paraId="0D499B4C" w14:textId="77777777" w:rsidR="003975CF" w:rsidRDefault="003975CF" w:rsidP="003975CF">
      <w:r>
        <w:t xml:space="preserve">While the UN Convention on the Rights of Persons with Disabilities has yet to be ratified by the Irish Government, many of the provisions of the Convention are being implemented through the National Disability Strategy. This includes the continued development of Assisted </w:t>
      </w:r>
      <w:proofErr w:type="gramStart"/>
      <w:r>
        <w:t>Decision Making</w:t>
      </w:r>
      <w:proofErr w:type="gramEnd"/>
      <w:r>
        <w:t xml:space="preserve"> legislation. It is expected that this will be enacted next year when the NDA will continue to guide on its implementation.</w:t>
      </w:r>
    </w:p>
    <w:p w14:paraId="5BD77478" w14:textId="77777777" w:rsidR="003975CF" w:rsidRDefault="003975CF" w:rsidP="003975CF">
      <w:r>
        <w:t>The National Implementation Group for the Value for Money and Disability Policy Review, on which the NDA is represented, continued to advance implementation of the agreed Action Programme. The new policies involved are in line with Article 19 of the UN Convention. The NDA continued to work on a range of projects to guide the delivering specific elements of the programme including a more effective resource allocation system; an appropriate outcomes framework; and standards for new directions alternatives to traditional adult day services. This work will continue into 2015.</w:t>
      </w:r>
    </w:p>
    <w:p w14:paraId="739C12D5" w14:textId="77777777" w:rsidR="003975CF" w:rsidRDefault="003975CF" w:rsidP="003975CF">
      <w:r>
        <w:t xml:space="preserve">Access to voting is basic right of all Irish citizens, and the NDA has been working with the </w:t>
      </w:r>
      <w:r w:rsidRPr="003975CF">
        <w:t xml:space="preserve">Department of the Environment, Community and Local Government </w:t>
      </w:r>
      <w:r>
        <w:t xml:space="preserve">in relation to the specific challenges for those who are blind or have visual impairments. In 2014, this included a pilot of alternative </w:t>
      </w:r>
      <w:r>
        <w:lastRenderedPageBreak/>
        <w:t xml:space="preserve">methods for voting to explore options for future voting opportunities in relation to referenda and general elections. </w:t>
      </w:r>
    </w:p>
    <w:p w14:paraId="458B5D28" w14:textId="77777777" w:rsidR="003975CF" w:rsidRDefault="003975CF" w:rsidP="003975CF">
      <w:r>
        <w:t>During 2014, the NDA also continued its work further to a request from the Minister for Justice and Equality to review the operation of the Disability Act in relation to use of information on genetic testing, which would guide on whether Regulations are required. Standards and regulations for residential disability centres were introduced from November 2013, and the process of registration and inspection of services by the Health Information and Quality Authority began from that date.</w:t>
      </w:r>
      <w:r w:rsidR="000A53D0">
        <w:t xml:space="preserve"> </w:t>
      </w:r>
      <w:r>
        <w:t>The NDA also commenced work to review experience and learning from regulations and standards process in disability services further to a request form the Minister for Social and Primary Care.</w:t>
      </w:r>
      <w:r w:rsidR="000A53D0">
        <w:t xml:space="preserve"> </w:t>
      </w:r>
      <w:r>
        <w:t>The NDA was also invited to join the HSE</w:t>
      </w:r>
      <w:r w:rsidR="00320EA8">
        <w:t>’</w:t>
      </w:r>
      <w:r>
        <w:t>s Task Force on Safety of Vulnerable Persons to lead and oversee the implementation of an action programme to ensure safe and quality residential services for persons with disabilities.</w:t>
      </w:r>
    </w:p>
    <w:p w14:paraId="0E81910A" w14:textId="77777777" w:rsidR="003975CF" w:rsidRDefault="003975CF" w:rsidP="003975CF">
      <w:r>
        <w:t>The NDA</w:t>
      </w:r>
      <w:r w:rsidR="00320EA8">
        <w:t>’</w:t>
      </w:r>
      <w:r>
        <w:t xml:space="preserve">s Centre for Excellence in Universal Design has statutory functions to promote design of the built environment, services, </w:t>
      </w:r>
      <w:proofErr w:type="gramStart"/>
      <w:r>
        <w:t>products</w:t>
      </w:r>
      <w:proofErr w:type="gramEnd"/>
      <w:r>
        <w:t xml:space="preserve"> and ICT so that they can be accessed, used and understood by all persons regardless of their age, size, ability, or disability. The Centre has been working with stakeholders in the relevant sectors including professional bodies, standards bodies, education bodies and industry general.</w:t>
      </w:r>
      <w:r w:rsidR="000A53D0">
        <w:t xml:space="preserve"> </w:t>
      </w:r>
    </w:p>
    <w:p w14:paraId="1BA5E761" w14:textId="77777777" w:rsidR="003975CF" w:rsidRDefault="003975CF" w:rsidP="003975CF">
      <w:r>
        <w:t>Through its work with European and international standards bodies the Centre has ensured a focus on universal design in new standards covering procurement in ICT and culmination of 4 years</w:t>
      </w:r>
      <w:r w:rsidR="00320EA8">
        <w:t>’</w:t>
      </w:r>
      <w:r>
        <w:t xml:space="preserve"> work on new guidelines applying universal design across all new standards being developed at European and international level. New work in 2014 included a role in chairing a committee on a standard covering the design, </w:t>
      </w:r>
      <w:proofErr w:type="gramStart"/>
      <w:r>
        <w:t>development</w:t>
      </w:r>
      <w:proofErr w:type="gramEnd"/>
      <w:r>
        <w:t xml:space="preserve"> and production process of manufacturing goods. The focus of all this work supports the NDA vision of a future where we will all have better services, products and built environments. </w:t>
      </w:r>
    </w:p>
    <w:p w14:paraId="46AA374D" w14:textId="77777777" w:rsidR="003975CF" w:rsidRDefault="003975CF" w:rsidP="003975CF">
      <w:r>
        <w:t xml:space="preserve">Work </w:t>
      </w:r>
      <w:proofErr w:type="gramStart"/>
      <w:r>
        <w:t>continued on</w:t>
      </w:r>
      <w:proofErr w:type="gramEnd"/>
      <w:r>
        <w:t xml:space="preserve"> the research and development of guidelines for universal design dwellings which will be launched in early 2015. These will support the work on the implementation of the national disability housing strategy.</w:t>
      </w:r>
    </w:p>
    <w:p w14:paraId="0B184E42" w14:textId="77777777" w:rsidR="003975CF" w:rsidRDefault="003975CF" w:rsidP="003975CF">
      <w:r>
        <w:t xml:space="preserve">Given its statutory functions to promote the incorporation of universal design in education and training for the professions, the NDA continued to build on research and guidance to inform third level curricula for delivery in future years. It also initiated work on the development of a universal </w:t>
      </w:r>
      <w:r>
        <w:lastRenderedPageBreak/>
        <w:t>design curriculum for a second level involving short course for those who may consider pursuing design at third level.</w:t>
      </w:r>
    </w:p>
    <w:p w14:paraId="3E7EDFD1" w14:textId="77777777" w:rsidR="003975CF" w:rsidRDefault="003975CF" w:rsidP="003975CF">
      <w:r>
        <w:t>Increasing awareness of universal design was evident through the standard of entries to the NDA</w:t>
      </w:r>
      <w:r w:rsidR="00320EA8">
        <w:t>’</w:t>
      </w:r>
      <w:r>
        <w:t>s Universal Design Grand Challenge and the level of interest in this. This was focused on students – designers for tomorrow and the winner went on to present their design in other fora. The success of this annual programme will be built upon in future years. Awareness was also enhanced through continued work with the tourism sector and promotion of toolkits to other service areas and through engagement with a policy makers and industry general as the network of universal design champions is expanded.</w:t>
      </w:r>
    </w:p>
    <w:p w14:paraId="245D245A" w14:textId="77777777" w:rsidR="003975CF" w:rsidRDefault="003975CF" w:rsidP="003975CF">
      <w:r>
        <w:t xml:space="preserve">As the public sector seeks to enhance citizen access to public services and developments at EU level on a Directive, work to ensure the accessibility and usability of public sector websites will be key. The NDA continued to deliver on a partnership project with the Department of CENR to research and explore accessibility of public sector websites in Ireland and other European countries to provide learning for the Irish public service. The report was published in 2014. </w:t>
      </w:r>
    </w:p>
    <w:p w14:paraId="244858DA" w14:textId="77777777" w:rsidR="00027ADC" w:rsidRDefault="003975CF" w:rsidP="00027ADC">
      <w:r>
        <w:t>The report details the above projects and many more in a year in which a new Authority and Chairperson was appointed to the NDA for a 4-year term. The NDA will continue to build on this work programme into 2015.</w:t>
      </w:r>
      <w:r w:rsidR="009938C4">
        <w:t xml:space="preserve"> </w:t>
      </w:r>
    </w:p>
    <w:p w14:paraId="068579F7" w14:textId="77777777" w:rsidR="00E54C88" w:rsidRDefault="00E54C88" w:rsidP="00804BF1">
      <w:pPr>
        <w:pStyle w:val="Heading1"/>
      </w:pPr>
      <w:bookmarkStart w:id="19" w:name="_Toc429053907"/>
      <w:bookmarkStart w:id="20" w:name="_Toc429054117"/>
      <w:bookmarkStart w:id="21" w:name="_Toc431218794"/>
      <w:r w:rsidRPr="00BC4DDD">
        <w:lastRenderedPageBreak/>
        <w:t xml:space="preserve">Strategic </w:t>
      </w:r>
      <w:r>
        <w:t>p</w:t>
      </w:r>
      <w:r w:rsidRPr="00BC4DDD">
        <w:t>riority 1</w:t>
      </w:r>
      <w:r>
        <w:t>:</w:t>
      </w:r>
      <w:r>
        <w:br/>
      </w:r>
      <w:r w:rsidRPr="006D595B">
        <w:t>National Disability Strategy</w:t>
      </w:r>
      <w:bookmarkEnd w:id="19"/>
      <w:bookmarkEnd w:id="20"/>
      <w:bookmarkEnd w:id="21"/>
    </w:p>
    <w:p w14:paraId="49A4B93E" w14:textId="77777777" w:rsidR="00E54C88" w:rsidRPr="004B7CEB" w:rsidRDefault="00320EA8" w:rsidP="004B7CEB">
      <w:pPr>
        <w:rPr>
          <w:b/>
        </w:rPr>
      </w:pPr>
      <w:r>
        <w:rPr>
          <w:b/>
        </w:rPr>
        <w:t>“</w:t>
      </w:r>
      <w:r w:rsidR="00E54C88" w:rsidRPr="004B7CEB">
        <w:rPr>
          <w:b/>
        </w:rPr>
        <w:t>To support the effective delivery of the National Disability Strategy Implementation Plan through our research, advice and guidance to Government Departments and public bodies and to monitor the outcomes for people with disabilities.</w:t>
      </w:r>
      <w:r>
        <w:rPr>
          <w:b/>
        </w:rPr>
        <w:t>”</w:t>
      </w:r>
    </w:p>
    <w:p w14:paraId="4F63686C" w14:textId="77777777" w:rsidR="00E54C88" w:rsidRDefault="008B4698" w:rsidP="00804BF1">
      <w:r w:rsidRPr="008B4698">
        <w:t xml:space="preserve">The National Disability Authority continued to advise Government Departments on disability policy and practice, and </w:t>
      </w:r>
      <w:proofErr w:type="gramStart"/>
      <w:r w:rsidRPr="008B4698">
        <w:t>in particular on</w:t>
      </w:r>
      <w:proofErr w:type="gramEnd"/>
      <w:r w:rsidRPr="008B4698">
        <w:t xml:space="preserve"> implementation of the commitments in the National Disability Strategy Implementation Plan 2013</w:t>
      </w:r>
      <w:r w:rsidR="008E6A3C">
        <w:t>–</w:t>
      </w:r>
      <w:r w:rsidRPr="008B4698">
        <w:t>15. Some highlights of that work are shown here.</w:t>
      </w:r>
    </w:p>
    <w:p w14:paraId="33A9DC77" w14:textId="77777777" w:rsidR="00DE0766" w:rsidRDefault="00DE0766" w:rsidP="00DE0766">
      <w:pPr>
        <w:pStyle w:val="Heading2"/>
      </w:pPr>
      <w:r>
        <w:t>Mid-term Review of National Disability Strategy Implementation Plan</w:t>
      </w:r>
    </w:p>
    <w:p w14:paraId="167B83EB" w14:textId="77777777" w:rsidR="00DE0766" w:rsidRDefault="00DE0766" w:rsidP="00DE0766">
      <w:r>
        <w:t>At the request of the Department of Justice and Equality, the NDA co-ordinated the compilation of a report summarising progress made by Departments and agencies in relation to their commitments.</w:t>
      </w:r>
    </w:p>
    <w:p w14:paraId="1B809B2D" w14:textId="77777777" w:rsidR="00DE0766" w:rsidRDefault="00DE0766" w:rsidP="00DE0766">
      <w:r>
        <w:t xml:space="preserve">Separately, the NDA prepared its independent advice paper for the National Disability Strategy Implementation group, highlighting main strengths and weaknesses in delivering on commitments at the mid-term point. </w:t>
      </w:r>
    </w:p>
    <w:p w14:paraId="2FCDC7CB" w14:textId="77777777" w:rsidR="00DE0766" w:rsidRDefault="00DE0766" w:rsidP="00DE0766">
      <w:pPr>
        <w:pStyle w:val="Heading3"/>
      </w:pPr>
      <w:r w:rsidRPr="00DE0766">
        <w:t>Survey to monitor the impact of the National Disability</w:t>
      </w:r>
      <w:r>
        <w:t> </w:t>
      </w:r>
      <w:r w:rsidRPr="00DE0766">
        <w:t>Strategy</w:t>
      </w:r>
    </w:p>
    <w:p w14:paraId="0476844D" w14:textId="77777777" w:rsidR="00DE0766" w:rsidRDefault="00DE0766" w:rsidP="00DE0766">
      <w:r w:rsidRPr="00DE0766">
        <w:t>The NDA published the results of a survey conducted in 2013 to track participation of people with disabilities in key areas of the National Disability Strategy such as access to transport, ease of use of the built environment, and access to technology. The report of the survey looked at changes which had taken place since preceding surveys in 2009 and 2011.</w:t>
      </w:r>
    </w:p>
    <w:p w14:paraId="51BE315F" w14:textId="77777777" w:rsidR="00DE0766" w:rsidRDefault="00DE0766" w:rsidP="00DE0766">
      <w:pPr>
        <w:pStyle w:val="Heading3"/>
      </w:pPr>
      <w:r>
        <w:t>Disability Stakeholders group</w:t>
      </w:r>
    </w:p>
    <w:p w14:paraId="0878FA95" w14:textId="77777777" w:rsidR="00DE0766" w:rsidRDefault="00DE0766" w:rsidP="00DE0766">
      <w:r w:rsidRPr="00DE0766">
        <w:t xml:space="preserve">The Disability Stakeholder Group, appointed by Minister of State Kathleen Lynch TD to participate in advice and monitoring of the National Disability Strategy, is chaired by the Director of the NDA, and the NDA also provides the secretariat for the group. The Disability Stakeholder group consists of the main disability umbrella organisations, along with </w:t>
      </w:r>
      <w:proofErr w:type="gramStart"/>
      <w:r w:rsidRPr="00DE0766">
        <w:t>a number of</w:t>
      </w:r>
      <w:proofErr w:type="gramEnd"/>
      <w:r w:rsidRPr="00DE0766">
        <w:t xml:space="preserve"> individuals with lived experience of disability. The Group held six </w:t>
      </w:r>
      <w:r w:rsidRPr="00DE0766">
        <w:lastRenderedPageBreak/>
        <w:t>ordinary meetings in 2014 and participated in two National Disability Strategy Implementation Group meetings.</w:t>
      </w:r>
    </w:p>
    <w:p w14:paraId="2431DD47" w14:textId="77777777" w:rsidR="00DE0766" w:rsidRDefault="00DE0766" w:rsidP="00DE0766">
      <w:pPr>
        <w:pStyle w:val="Heading2"/>
      </w:pPr>
      <w:r>
        <w:t>Comprehensive employment strategy for people with disabilities</w:t>
      </w:r>
    </w:p>
    <w:p w14:paraId="2802BAA5" w14:textId="77777777" w:rsidR="00DE0766" w:rsidRDefault="00DE0766" w:rsidP="00DE0766">
      <w:r w:rsidRPr="00DE0766">
        <w:t xml:space="preserve">The NDA was requested by Minister Kathleen Lynch TD to co-ordinate preparation of a ten-year comprehensive employment strategy for people with </w:t>
      </w:r>
      <w:proofErr w:type="gramStart"/>
      <w:r w:rsidRPr="00DE0766">
        <w:t>disabilities, and</w:t>
      </w:r>
      <w:proofErr w:type="gramEnd"/>
      <w:r w:rsidRPr="00DE0766">
        <w:t xml:space="preserve"> continued to engage with relevant Government Departments and other bodies in this regard. By end 2014, substantial progress had been made in developing the text and agreeing an action programme where Departments and state bodies committed to specific actions and timeframes. The National Disability Authority also prepared a technical paper to guide the strategy in relation to an overall employment target and advised the Minister on specific actions to support achievement of the strategic goals.</w:t>
      </w:r>
      <w:r>
        <w:t xml:space="preserve"> </w:t>
      </w:r>
    </w:p>
    <w:p w14:paraId="0BBF1B38" w14:textId="77777777" w:rsidR="00DE0766" w:rsidRDefault="00DE0766" w:rsidP="00DE0766">
      <w:pPr>
        <w:pStyle w:val="Heading3"/>
      </w:pPr>
      <w:r>
        <w:t>Research on vocational rehabilitation</w:t>
      </w:r>
    </w:p>
    <w:p w14:paraId="3D83ED90" w14:textId="77777777" w:rsidR="00DE0766" w:rsidRDefault="00DE0766" w:rsidP="00DE0766">
      <w:r w:rsidRPr="00DE0766">
        <w:t>The NDA commissioned research, due for completion in 2015, on the learning from systems of vocational rehabilitation in other jurisdictions, as an input into the employment strategy.</w:t>
      </w:r>
      <w:r>
        <w:t xml:space="preserve"> </w:t>
      </w:r>
    </w:p>
    <w:p w14:paraId="093D8C53" w14:textId="77777777" w:rsidR="00DE0766" w:rsidRDefault="00DE0766" w:rsidP="00DE0766">
      <w:pPr>
        <w:pStyle w:val="Heading3"/>
      </w:pPr>
      <w:r>
        <w:t>Guide to post-school options</w:t>
      </w:r>
    </w:p>
    <w:p w14:paraId="193D0BEB" w14:textId="77777777" w:rsidR="00DE0766" w:rsidRDefault="00DE0766" w:rsidP="00DE0766">
      <w:r w:rsidRPr="00DE0766">
        <w:t>The NDA co-published and co-</w:t>
      </w:r>
      <w:proofErr w:type="spellStart"/>
      <w:r w:rsidRPr="00DE0766">
        <w:t>funded</w:t>
      </w:r>
      <w:proofErr w:type="spellEnd"/>
      <w:r w:rsidRPr="00DE0766">
        <w:t xml:space="preserve"> the printing of a guide prepared by the National Council for Special Education on post-school options for young people with disabilities or special education needs.</w:t>
      </w:r>
      <w:r>
        <w:t xml:space="preserve"> </w:t>
      </w:r>
    </w:p>
    <w:p w14:paraId="55FEFFF3" w14:textId="77777777" w:rsidR="00892DA2" w:rsidRDefault="00892DA2" w:rsidP="00892DA2">
      <w:pPr>
        <w:pStyle w:val="Heading2"/>
      </w:pPr>
      <w:r>
        <w:t>Advice to Department of Health and HSE</w:t>
      </w:r>
    </w:p>
    <w:p w14:paraId="32ADF55B" w14:textId="77777777" w:rsidR="00133404" w:rsidRDefault="00133404" w:rsidP="00892DA2">
      <w:pPr>
        <w:pStyle w:val="Heading3"/>
      </w:pPr>
      <w:r>
        <w:t xml:space="preserve">Evaluation </w:t>
      </w:r>
      <w:r w:rsidR="00AD57CB">
        <w:t>of learning from HIQA inspections</w:t>
      </w:r>
    </w:p>
    <w:p w14:paraId="56AA62FF" w14:textId="77777777" w:rsidR="00027ADC" w:rsidRDefault="00AD57CB" w:rsidP="00027ADC">
      <w:r>
        <w:t xml:space="preserve">The registration and inspection of residential centres for people with disabilities by the Health Information and Quality Authority commenced in November 2013. The Minister of State for Primary and Social Care, Kathleen Lynch TD, asked the National Disability Authority to undertake a review of the learning from this process, one year on. Work on scoping the evaluation took place in 2014, and the evaluation is to be completed in 2015. </w:t>
      </w:r>
    </w:p>
    <w:p w14:paraId="61A4C0A7" w14:textId="77777777" w:rsidR="00892DA2" w:rsidRDefault="00892DA2" w:rsidP="00892DA2">
      <w:pPr>
        <w:pStyle w:val="Heading3"/>
      </w:pPr>
      <w:r>
        <w:t>National Guidelines on Accessible Health and Social Care</w:t>
      </w:r>
      <w:r w:rsidR="00B154C2">
        <w:t> </w:t>
      </w:r>
      <w:r>
        <w:t>Services</w:t>
      </w:r>
    </w:p>
    <w:p w14:paraId="087FB5B7" w14:textId="77777777" w:rsidR="007D3430" w:rsidRDefault="007D3430" w:rsidP="00CB6FF6">
      <w:r>
        <w:t xml:space="preserve">The guidelines were developed by the HSE in partnership with the National Disability Authority following a comprehensive consultation process with people with disabilities and with staff. These guidelines give </w:t>
      </w:r>
      <w:r>
        <w:lastRenderedPageBreak/>
        <w:t xml:space="preserve">practical guidance on how to plan and deliver health and social care services that are accessible to patients or service users with a disability. The key messages are Ask, Listen, Plan and Do. </w:t>
      </w:r>
    </w:p>
    <w:p w14:paraId="266AE84D" w14:textId="77777777" w:rsidR="00892DA2" w:rsidRPr="00817A9C" w:rsidRDefault="007D3430" w:rsidP="00CB6FF6">
      <w:r>
        <w:t>The guidelines will help all those working in mainstream health and social care services to understand how to deliver disability-friendly services, how to make premises accessible, how to accommodate additional needs of people with disabilities, and how to communicate with people with disabilities in ways that are appropriate to their needs. The guidelines were launched in January 2015.</w:t>
      </w:r>
    </w:p>
    <w:p w14:paraId="6E5E9C00" w14:textId="77777777" w:rsidR="00892DA2" w:rsidRDefault="00892DA2" w:rsidP="00892DA2">
      <w:pPr>
        <w:pStyle w:val="Heading3"/>
      </w:pPr>
      <w:r>
        <w:t>Value for Money and Policy Review of Disability Services</w:t>
      </w:r>
    </w:p>
    <w:p w14:paraId="3E939786" w14:textId="77777777" w:rsidR="00892DA2" w:rsidRDefault="007D3430" w:rsidP="00892DA2">
      <w:r w:rsidRPr="007D3430">
        <w:t xml:space="preserve">The NDA is a member of the Steering Group on implementation of the Value for Money and Policy Review of Disability Services, and </w:t>
      </w:r>
      <w:proofErr w:type="gramStart"/>
      <w:r w:rsidRPr="007D3430">
        <w:t>a number of</w:t>
      </w:r>
      <w:proofErr w:type="gramEnd"/>
      <w:r w:rsidRPr="007D3430">
        <w:t xml:space="preserve"> the subgroups appointed to advance implementation of the major transformation of supports and services for people with disabilities funded by the HSE.</w:t>
      </w:r>
      <w:r w:rsidR="00892DA2">
        <w:t xml:space="preserve"> </w:t>
      </w:r>
    </w:p>
    <w:p w14:paraId="3F28BC55" w14:textId="77777777" w:rsidR="00892DA2" w:rsidRDefault="00892DA2" w:rsidP="00CA7C1D">
      <w:pPr>
        <w:pStyle w:val="NormalBeforeList"/>
      </w:pPr>
      <w:r>
        <w:t>Specific pieces of work undertaken include</w:t>
      </w:r>
      <w:r w:rsidR="00817A9C">
        <w:t>:</w:t>
      </w:r>
    </w:p>
    <w:p w14:paraId="18CDDBC1" w14:textId="77777777" w:rsidR="00892DA2" w:rsidRDefault="00892DA2" w:rsidP="00CA7C1D">
      <w:pPr>
        <w:pStyle w:val="ListBullet"/>
      </w:pPr>
      <w:r>
        <w:t>Preparation of draft Standards for Adult Day Services</w:t>
      </w:r>
    </w:p>
    <w:p w14:paraId="2C742A8B" w14:textId="77777777" w:rsidR="00892DA2" w:rsidRDefault="00892DA2" w:rsidP="00CA7C1D">
      <w:pPr>
        <w:pStyle w:val="ListBullet"/>
      </w:pPr>
      <w:r>
        <w:t>Partnering with the HSE on consultation of these standards, including regional meetings, and preparing a report on the consultation</w:t>
      </w:r>
    </w:p>
    <w:p w14:paraId="7F90EF82" w14:textId="77777777" w:rsidR="00892DA2" w:rsidRDefault="00892DA2" w:rsidP="00CA7C1D">
      <w:pPr>
        <w:pStyle w:val="ListBullet"/>
      </w:pPr>
      <w:r>
        <w:t>Advice to the HSE in developing the policy on Safeguarding Adults from</w:t>
      </w:r>
      <w:r w:rsidR="007D3430" w:rsidRPr="00CA7C1D">
        <w:t> </w:t>
      </w:r>
      <w:r>
        <w:t>Abuse</w:t>
      </w:r>
    </w:p>
    <w:p w14:paraId="76414655" w14:textId="77777777" w:rsidR="00892DA2" w:rsidRDefault="00892DA2" w:rsidP="00CA7C1D">
      <w:pPr>
        <w:pStyle w:val="ListBullet"/>
      </w:pPr>
      <w:r>
        <w:t>Continued engagement with HSE and Department of Health around a national assessment framework</w:t>
      </w:r>
    </w:p>
    <w:p w14:paraId="413431AD" w14:textId="77777777" w:rsidR="00892DA2" w:rsidRDefault="00892DA2" w:rsidP="00B154C2">
      <w:pPr>
        <w:pStyle w:val="ListBullet"/>
      </w:pPr>
      <w:r>
        <w:t xml:space="preserve">Continued research and consultation around a national </w:t>
      </w:r>
      <w:proofErr w:type="gramStart"/>
      <w:r>
        <w:t>outcomes</w:t>
      </w:r>
      <w:proofErr w:type="gramEnd"/>
      <w:r>
        <w:t xml:space="preserve"> framework for disability services</w:t>
      </w:r>
    </w:p>
    <w:p w14:paraId="0A628B00" w14:textId="77777777" w:rsidR="007D3430" w:rsidRDefault="007D3430" w:rsidP="007D3430">
      <w:r w:rsidRPr="007D3430">
        <w:t xml:space="preserve">Further detail of NDA work in this area is reported under </w:t>
      </w:r>
      <w:hyperlink w:anchor="_Strategic_priority_2:" w:history="1">
        <w:r w:rsidRPr="007D3430">
          <w:rPr>
            <w:rStyle w:val="Hyperlink"/>
          </w:rPr>
          <w:t>Strategic Priority 2</w:t>
        </w:r>
      </w:hyperlink>
      <w:r w:rsidRPr="007D3430">
        <w:t>.</w:t>
      </w:r>
    </w:p>
    <w:p w14:paraId="017B279E" w14:textId="77777777" w:rsidR="00892DA2" w:rsidRDefault="00892DA2" w:rsidP="00892DA2">
      <w:pPr>
        <w:pStyle w:val="Heading2"/>
      </w:pPr>
      <w:r>
        <w:t>Advice to Department of Communications, Energy</w:t>
      </w:r>
      <w:r w:rsidR="00B4690D">
        <w:t>,</w:t>
      </w:r>
      <w:r>
        <w:t xml:space="preserve"> and Natural Resources and its agencies</w:t>
      </w:r>
    </w:p>
    <w:p w14:paraId="6CAB76BE" w14:textId="77777777" w:rsidR="00587A5C" w:rsidRDefault="00587A5C" w:rsidP="00587A5C">
      <w:r>
        <w:t xml:space="preserve">The National Disability Authority responded to a public consultation on the Water Charges Plan. The NDA also engaged with the Commission for Energy Regulation and Irish Water on how to give customers accessible real time information on water usage through for example </w:t>
      </w:r>
      <w:proofErr w:type="gramStart"/>
      <w:r>
        <w:t>universally-designed</w:t>
      </w:r>
      <w:proofErr w:type="gramEnd"/>
      <w:r>
        <w:t xml:space="preserve"> in-home displays linked to water meters. </w:t>
      </w:r>
    </w:p>
    <w:p w14:paraId="08F74686" w14:textId="77777777" w:rsidR="00892DA2" w:rsidRDefault="00587A5C" w:rsidP="00587A5C">
      <w:r>
        <w:lastRenderedPageBreak/>
        <w:t>The NDA continued to work with the Broadcasting Authority of Ireland towards the development of a voluntary Statement of Intent concerning the representation and portrayal and of people with disabilities in Irish broadcasting. The NDA also made a submission to the Broadcasting Authority of Ireland</w:t>
      </w:r>
      <w:r w:rsidR="00320EA8">
        <w:t>’</w:t>
      </w:r>
      <w:r>
        <w:t>s Access Rules consultation.</w:t>
      </w:r>
    </w:p>
    <w:p w14:paraId="11592620" w14:textId="77777777" w:rsidR="00892DA2" w:rsidRDefault="00892DA2" w:rsidP="00892DA2">
      <w:pPr>
        <w:pStyle w:val="Heading2"/>
      </w:pPr>
      <w:r>
        <w:t>Advice to Department of Environment, Community</w:t>
      </w:r>
      <w:r w:rsidR="00B4690D">
        <w:t>,</w:t>
      </w:r>
      <w:r>
        <w:t xml:space="preserve"> and Local Government</w:t>
      </w:r>
    </w:p>
    <w:p w14:paraId="241849E1" w14:textId="77777777" w:rsidR="00892DA2" w:rsidRDefault="00B4690D" w:rsidP="00892DA2">
      <w:r w:rsidRPr="00B4690D">
        <w:t>The NDA supported the Department and the Housing Agency in the implementation of the National Housing Strategy for People with a Disability, and the transition of people with intellectual disabilities in residential institutions to community housing. Work areas included the scoping of a long-term plan for deinstitutionalisation, a communications plan for engagement with residents, families and staff, and issues around legal capacity and tenancies. The NDA made detailed submissions to the Department</w:t>
      </w:r>
      <w:r w:rsidR="00320EA8">
        <w:t>’</w:t>
      </w:r>
      <w:r w:rsidRPr="00B4690D">
        <w:t>s review of Social Housing Strategy and Statement of Strategy.</w:t>
      </w:r>
      <w:r w:rsidR="00892DA2">
        <w:t xml:space="preserve"> </w:t>
      </w:r>
    </w:p>
    <w:p w14:paraId="52D715AD" w14:textId="77777777" w:rsidR="00B4690D" w:rsidRDefault="00B4690D" w:rsidP="00B4690D">
      <w:pPr>
        <w:pStyle w:val="Heading3"/>
      </w:pPr>
      <w:r>
        <w:t>Accessible Voting Trials</w:t>
      </w:r>
    </w:p>
    <w:p w14:paraId="20677EFE" w14:textId="77777777" w:rsidR="00B4690D" w:rsidRDefault="00B4690D" w:rsidP="00B4690D">
      <w:r>
        <w:t xml:space="preserve">The National Disability Authority in June 2014 carried out user testing of some alternative ways for people with sight loss to vote. </w:t>
      </w:r>
      <w:proofErr w:type="gramStart"/>
      <w:r>
        <w:t>Twenty seven</w:t>
      </w:r>
      <w:proofErr w:type="gramEnd"/>
      <w:r>
        <w:t xml:space="preserve"> people with severe or complete sight loss tested three different ways to vote: a tactile overlay on the ballot paper, telephone voting and electronic vote casting.</w:t>
      </w:r>
    </w:p>
    <w:p w14:paraId="3D7F9464" w14:textId="77777777" w:rsidR="00B4690D" w:rsidRDefault="00B4690D" w:rsidP="00B4690D">
      <w:r>
        <w:t xml:space="preserve">The overall results of the trials indicate that there is no single solution that is likely to work for most voters with sight loss. Most participants could use the tactile overlay successfully for a mock referendum ballot or a mock election with a small number of candidates, however as the number of candidates was increased, this was less usable and reliable. The NDA advises that this system be trialled in a future referendum as an option for voters with sight loss, and the results evaluated. </w:t>
      </w:r>
    </w:p>
    <w:p w14:paraId="626C8A0E" w14:textId="77777777" w:rsidR="00B4690D" w:rsidRDefault="00B4690D" w:rsidP="00B4690D">
      <w:r>
        <w:t xml:space="preserve">Voting by computer worked for some voters, probably those who were comfortable and experienced in using screen reading tools. Telephone voting was usable for most </w:t>
      </w:r>
      <w:proofErr w:type="gramStart"/>
      <w:r>
        <w:t>voters, but</w:t>
      </w:r>
      <w:proofErr w:type="gramEnd"/>
      <w:r>
        <w:t xml:space="preserve"> presents many challenges in allowing the voter to be certain that their vote has been cast in line with their intentions. The issues of logistics and security of those options would also need further consideration. The National Disability Authority has forwarded the research to the Department of the Environment, Community and Local Government for their consideration.</w:t>
      </w:r>
    </w:p>
    <w:p w14:paraId="78F93118" w14:textId="77777777" w:rsidR="00EB04C6" w:rsidRDefault="00EB04C6" w:rsidP="00EB04C6">
      <w:pPr>
        <w:pStyle w:val="Heading2"/>
      </w:pPr>
      <w:r>
        <w:lastRenderedPageBreak/>
        <w:t>Implementation of National Housing Strategy for People with a Disability</w:t>
      </w:r>
    </w:p>
    <w:p w14:paraId="0ADD6926" w14:textId="77777777" w:rsidR="00EB04C6" w:rsidRDefault="00EB04C6" w:rsidP="00EB04C6">
      <w:r>
        <w:t xml:space="preserve">We work closely with the Housing Agency and the Department of the Environment, Community and Local Government on the housing aspects of the programme to move about 3.500 people with intellectual disabilities from institutions to community housing. We have been guiding the Department in relation to the various challenges involved in </w:t>
      </w:r>
      <w:proofErr w:type="gramStart"/>
      <w:r>
        <w:t>insuring</w:t>
      </w:r>
      <w:proofErr w:type="gramEnd"/>
      <w:r>
        <w:t xml:space="preserve"> suitable housing in the community including issues of supply, cost, role of standards and regulations.</w:t>
      </w:r>
    </w:p>
    <w:p w14:paraId="6B177AFE" w14:textId="77777777" w:rsidR="00D227D9" w:rsidRDefault="00EB04C6" w:rsidP="00EB04C6">
      <w:r>
        <w:t>NDA made a submission to the new Social Housing Strategy, highlighting the importance of Universal Design as a basic criterion to future-proof new social housing developments. NDA made a submission to the new Social Housing Strategy, highlighting the importance of Universal Design as a basic criterion to future-proof new social housing developments.</w:t>
      </w:r>
    </w:p>
    <w:p w14:paraId="7ED65835" w14:textId="77777777" w:rsidR="00892DA2" w:rsidRDefault="00892DA2" w:rsidP="00892DA2">
      <w:pPr>
        <w:pStyle w:val="Heading2"/>
      </w:pPr>
      <w:r>
        <w:t>Advice to Department of Transport, Tourism and</w:t>
      </w:r>
      <w:r w:rsidR="00B154C2">
        <w:t> </w:t>
      </w:r>
      <w:r>
        <w:t>Sport</w:t>
      </w:r>
    </w:p>
    <w:p w14:paraId="0002E5DD" w14:textId="77777777" w:rsidR="00892DA2" w:rsidRDefault="00B12FCF" w:rsidP="00892DA2">
      <w:r w:rsidRPr="00B12FCF">
        <w:t>The NDA worked with the Department on guidelines for disability awareness training across the Department</w:t>
      </w:r>
      <w:r w:rsidR="00320EA8">
        <w:t>’</w:t>
      </w:r>
      <w:r w:rsidRPr="00B12FCF">
        <w:t xml:space="preserve">s public bodies. The NDA provided advice and assistance on a project for the National Transport Authority to assess the issues and implications associated with a move towards a fully wheelchair accessible fleet in the licensed bus and coach </w:t>
      </w:r>
      <w:proofErr w:type="gramStart"/>
      <w:r w:rsidRPr="00B12FCF">
        <w:t>sector, and</w:t>
      </w:r>
      <w:proofErr w:type="gramEnd"/>
      <w:r w:rsidRPr="00B12FCF">
        <w:t xml:space="preserve"> worked with them on Design Guidelines for the display of travel information. The NDA also did a submission to the National Transport Authority</w:t>
      </w:r>
      <w:r w:rsidR="00320EA8">
        <w:t>’</w:t>
      </w:r>
      <w:r w:rsidRPr="00B12FCF">
        <w:t xml:space="preserve">s Taxi Advisory Committee on the Draft Small Public Service Vehicle (Consolidation and Reform) Regulations </w:t>
      </w:r>
      <w:proofErr w:type="gramStart"/>
      <w:r w:rsidRPr="00B12FCF">
        <w:t>2014, and</w:t>
      </w:r>
      <w:proofErr w:type="gramEnd"/>
      <w:r w:rsidRPr="00B12FCF">
        <w:t xml:space="preserve"> provided input to the Committee in relation to the potential customer base for wheelchair accessible taxis.</w:t>
      </w:r>
    </w:p>
    <w:p w14:paraId="0A390576" w14:textId="77777777" w:rsidR="008E6A3C" w:rsidRDefault="008E6A3C" w:rsidP="00B12FCF">
      <w:pPr>
        <w:pStyle w:val="Heading2"/>
      </w:pPr>
      <w:r>
        <w:t>Review of Part 4 of the Disability Act</w:t>
      </w:r>
    </w:p>
    <w:p w14:paraId="48933FDB" w14:textId="77777777" w:rsidR="008E6A3C" w:rsidRPr="00FA3493" w:rsidRDefault="00B12FCF" w:rsidP="008E6A3C">
      <w:r w:rsidRPr="00B12FCF">
        <w:t xml:space="preserve">In December 2013, the Minister for Justice and Equality asked the National Disability Authority to conduct a review of the operation of Part 4 of the Disability Act, which prohibits use of information on genetic testing for purposes such as insurance, occupational </w:t>
      </w:r>
      <w:proofErr w:type="gramStart"/>
      <w:r w:rsidRPr="00B12FCF">
        <w:t>pensions</w:t>
      </w:r>
      <w:proofErr w:type="gramEnd"/>
      <w:r w:rsidRPr="00B12FCF">
        <w:t xml:space="preserve"> or mortgages. Section 44 of the Act provided that a review would be initiated no later than 2014. The NDA organised meetings with the main interests involved, held a seminar to highlight key issues, and undertook a focused consultation process. Feedback from the consultation will inform the final report on the review, which will be submitted to the Minister in 2015.</w:t>
      </w:r>
    </w:p>
    <w:p w14:paraId="5405A0E0" w14:textId="77777777" w:rsidR="00892DA2" w:rsidRDefault="00B12FCF" w:rsidP="00892DA2">
      <w:pPr>
        <w:pStyle w:val="Heading2"/>
      </w:pPr>
      <w:r w:rsidRPr="00B12FCF">
        <w:lastRenderedPageBreak/>
        <w:t>Research and consultation in relation to autism</w:t>
      </w:r>
    </w:p>
    <w:p w14:paraId="76F99CD2" w14:textId="77777777" w:rsidR="00892DA2" w:rsidRPr="00051869" w:rsidRDefault="00B12FCF" w:rsidP="00892DA2">
      <w:r w:rsidRPr="00B12FCF">
        <w:t>The NDA conducted research into the strategic approach taken in other jurisdictions to policies and services related to people with autism. It held a consultation event and undertook a wider consultation process to ascertain what were the key challenges facing people with autism and their families. The NDA prepared a paper which mapped the actions already in place or in train in relation to people with autism. The NDA also published a guide to accommodating people with autism in education or training, drawing on research and guidance from other jurisdictions.</w:t>
      </w:r>
    </w:p>
    <w:p w14:paraId="61021042" w14:textId="77777777" w:rsidR="00892DA2" w:rsidRDefault="00892DA2" w:rsidP="00892DA2">
      <w:pPr>
        <w:pStyle w:val="Heading2"/>
      </w:pPr>
      <w:r>
        <w:t>Monitoring employment of people with disabilities in the public sector</w:t>
      </w:r>
    </w:p>
    <w:p w14:paraId="2736AA71" w14:textId="77777777" w:rsidR="00B12FCF" w:rsidRDefault="00B12FCF" w:rsidP="00B12FCF">
      <w:r>
        <w:t xml:space="preserve">The National Disability Authority delivered its statutory role of monitoring compliance with the obligations of public bodies in relation to employment of people with disabilities in the public sector. For the third successive year, the proportion of staff with disabilities reported for the public service for 2013, at 3.4%, exceeded the 3% target set out in the Disability Act 2005. The number of recorded employees with disabilities for 2013 was 6,464, down 147 from 2012. The overall number of employees in the public sector for 2013 was some 193,000, down 5,000 from in 2012, in the context of an ongoing embargo on recruitment. </w:t>
      </w:r>
    </w:p>
    <w:p w14:paraId="77356B31" w14:textId="77777777" w:rsidR="00B12FCF" w:rsidRDefault="00B12FCF" w:rsidP="00B12FCF">
      <w:r>
        <w:t xml:space="preserve">The NDA undertook its regular process of reviewing those public bodies which had not reached 3% of staff with disabilities in the preceding two years. Statutory requests for more specific information were issued to seven bodies. On analysis of this further information, there were no formal rulings made of non-compliance. Bodies that had not reached the 3% target were issued with tailored guidance. </w:t>
      </w:r>
    </w:p>
    <w:p w14:paraId="575E3534" w14:textId="77777777" w:rsidR="00AF53E3" w:rsidRDefault="00B12FCF" w:rsidP="00B12FCF">
      <w:r>
        <w:t>The NDA also submitted a revised report to the Minister in respect of compliance with Part 5 in 2012, consequent on receiving amended data from a large public body which resulted in minor changes to the commentary.</w:t>
      </w:r>
    </w:p>
    <w:p w14:paraId="542BF637" w14:textId="77777777" w:rsidR="00E54C88" w:rsidRPr="00D77FF2" w:rsidRDefault="00E54C88" w:rsidP="00D77FF2"/>
    <w:p w14:paraId="35916C28" w14:textId="77777777" w:rsidR="00E54C88" w:rsidRDefault="00E54C88" w:rsidP="00804BF1">
      <w:pPr>
        <w:pStyle w:val="Heading1"/>
      </w:pPr>
      <w:bookmarkStart w:id="22" w:name="_Strategic_priority_2:"/>
      <w:bookmarkStart w:id="23" w:name="_Toc429053908"/>
      <w:bookmarkStart w:id="24" w:name="_Toc429054118"/>
      <w:bookmarkStart w:id="25" w:name="_Toc431218795"/>
      <w:bookmarkEnd w:id="22"/>
      <w:r w:rsidRPr="0002481D">
        <w:lastRenderedPageBreak/>
        <w:t xml:space="preserve">Strategic </w:t>
      </w:r>
      <w:r>
        <w:t>p</w:t>
      </w:r>
      <w:r w:rsidRPr="0002481D">
        <w:t>riority 2</w:t>
      </w:r>
      <w:r>
        <w:t xml:space="preserve">: </w:t>
      </w:r>
      <w:r w:rsidRPr="00CE1D67">
        <w:t>Living independently in the community</w:t>
      </w:r>
      <w:bookmarkEnd w:id="23"/>
      <w:bookmarkEnd w:id="24"/>
      <w:bookmarkEnd w:id="25"/>
    </w:p>
    <w:p w14:paraId="26EEFBA5" w14:textId="77777777" w:rsidR="00E54C88" w:rsidRPr="00CE1D67" w:rsidRDefault="00320EA8" w:rsidP="00CE1D67">
      <w:pPr>
        <w:rPr>
          <w:b/>
        </w:rPr>
      </w:pPr>
      <w:r>
        <w:rPr>
          <w:b/>
        </w:rPr>
        <w:t>“</w:t>
      </w:r>
      <w:r w:rsidR="00E54C88" w:rsidRPr="00CE1D67">
        <w:rPr>
          <w:b/>
        </w:rPr>
        <w:t>To undertake and collaborate on research and data collection, and to provide information, advice and guidance to guide policy, systems and service changes to ensure that people with disabilities can live independently and participate in the community as active citizens.</w:t>
      </w:r>
      <w:r>
        <w:rPr>
          <w:b/>
        </w:rPr>
        <w:t>”</w:t>
      </w:r>
    </w:p>
    <w:p w14:paraId="3938BCDD" w14:textId="77777777" w:rsidR="00892DA2" w:rsidRDefault="00892DA2" w:rsidP="00892DA2">
      <w:pPr>
        <w:pStyle w:val="Heading2"/>
      </w:pPr>
      <w:r>
        <w:t>Research programme</w:t>
      </w:r>
    </w:p>
    <w:p w14:paraId="50B22E8B" w14:textId="77777777" w:rsidR="00892DA2" w:rsidRDefault="00892DA2" w:rsidP="00892DA2">
      <w:r>
        <w:t xml:space="preserve">The National Disability Authority conducted itself or commissioned </w:t>
      </w:r>
      <w:proofErr w:type="gramStart"/>
      <w:r>
        <w:t>a number of</w:t>
      </w:r>
      <w:proofErr w:type="gramEnd"/>
      <w:r>
        <w:t xml:space="preserve"> pieces of research to inform policy and practice. </w:t>
      </w:r>
    </w:p>
    <w:p w14:paraId="5EB0768B" w14:textId="77777777" w:rsidR="00892DA2" w:rsidRDefault="00892DA2" w:rsidP="00892DA2">
      <w:pPr>
        <w:pStyle w:val="Heading3"/>
      </w:pPr>
      <w:r>
        <w:t>Research panel</w:t>
      </w:r>
    </w:p>
    <w:p w14:paraId="32C0897D" w14:textId="77777777" w:rsidR="00892DA2" w:rsidRPr="008C0880" w:rsidRDefault="00B12FCF" w:rsidP="00892DA2">
      <w:r w:rsidRPr="00B12FCF">
        <w:t xml:space="preserve">At the suggestion of the outgoing Authority, the NDA conducted a tender process to create a panel of researchers with competences in different research tasks relevant to disability. Researchers were asked to tender for any or all of a number of different sub-panels relating to different research competencies, </w:t>
      </w:r>
      <w:proofErr w:type="gramStart"/>
      <w:r w:rsidRPr="00B12FCF">
        <w:t>e.g.</w:t>
      </w:r>
      <w:proofErr w:type="gramEnd"/>
      <w:r w:rsidR="006B504B">
        <w:t xml:space="preserve"> </w:t>
      </w:r>
      <w:r w:rsidRPr="00B12FCF">
        <w:t xml:space="preserve">focus groups, analysis of qualitative data, statistical analysis. Following assessment of applications, those who qualified were placed on a research panel from which </w:t>
      </w:r>
      <w:proofErr w:type="gramStart"/>
      <w:r w:rsidRPr="00B12FCF">
        <w:t>appropriately-qualified</w:t>
      </w:r>
      <w:proofErr w:type="gramEnd"/>
      <w:r w:rsidRPr="00B12FCF">
        <w:t xml:space="preserve"> researchers could be selected to tender for specific pieces of work. During 2014, </w:t>
      </w:r>
      <w:proofErr w:type="gramStart"/>
      <w:r w:rsidRPr="00B12FCF">
        <w:t>a number of</w:t>
      </w:r>
      <w:proofErr w:type="gramEnd"/>
      <w:r w:rsidRPr="00B12FCF">
        <w:t xml:space="preserve"> pieces of research were procured via this panel.</w:t>
      </w:r>
      <w:r w:rsidR="00892DA2">
        <w:t xml:space="preserve"> </w:t>
      </w:r>
    </w:p>
    <w:p w14:paraId="1F6755D5" w14:textId="77777777" w:rsidR="00892DA2" w:rsidRDefault="00892DA2" w:rsidP="00892DA2">
      <w:pPr>
        <w:pStyle w:val="Heading3"/>
      </w:pPr>
      <w:r>
        <w:t>Research on children</w:t>
      </w:r>
      <w:r w:rsidR="00320EA8">
        <w:t>’</w:t>
      </w:r>
      <w:r>
        <w:t xml:space="preserve">s disability therapy services </w:t>
      </w:r>
    </w:p>
    <w:p w14:paraId="5A54828D" w14:textId="77777777" w:rsidR="00892DA2" w:rsidRDefault="00B12FCF" w:rsidP="00892DA2">
      <w:r w:rsidRPr="00B12FCF">
        <w:t xml:space="preserve">The Health Services Executive is undertaking a programme to reorganise multidisciplinary therapy services for children with disabilities into </w:t>
      </w:r>
      <w:proofErr w:type="gramStart"/>
      <w:r w:rsidRPr="00B12FCF">
        <w:t>geographically-based</w:t>
      </w:r>
      <w:proofErr w:type="gramEnd"/>
      <w:r w:rsidRPr="00B12FCF">
        <w:t xml:space="preserve"> teams to serve the children in their catchment areas, irrespective of the type of impairment. The National Disability Authority was asked by the Health Service Executive to conduct research on the appropriate size and configuration of these teams. The NDA report reviewed the literature, examined international practice, and analysed different sources of data to provide estimates of the additional number of therapists in different specialities that are required to meet the needs of children with disabilities. The report has been submitted to the HSE and has informed additional therapy posts announced for 2015.</w:t>
      </w:r>
    </w:p>
    <w:p w14:paraId="77214192" w14:textId="77777777" w:rsidR="00892DA2" w:rsidRDefault="00892DA2" w:rsidP="00892DA2">
      <w:pPr>
        <w:pStyle w:val="Heading3"/>
      </w:pPr>
      <w:r>
        <w:lastRenderedPageBreak/>
        <w:t xml:space="preserve">Preventing school bullying of children with special educational needs or disability </w:t>
      </w:r>
    </w:p>
    <w:p w14:paraId="51DD82E3" w14:textId="77777777" w:rsidR="00892DA2" w:rsidRDefault="00B12FCF" w:rsidP="00892DA2">
      <w:r w:rsidRPr="00B12FCF">
        <w:t>The National Disability Authority was requested by the Department of Education and Skills to conduct research on effective interventions to prevent bullying of children with disabilities or special education needs, as part of the Department</w:t>
      </w:r>
      <w:r w:rsidR="00320EA8">
        <w:t>’</w:t>
      </w:r>
      <w:r w:rsidRPr="00B12FCF">
        <w:t>s Action Plan on Bullying. The NDA</w:t>
      </w:r>
      <w:r w:rsidR="00320EA8">
        <w:t>’</w:t>
      </w:r>
      <w:r w:rsidRPr="00B12FCF">
        <w:t xml:space="preserve">s research reviewed the literature in this area, analysed information from the Growing Up in Ireland Survey, held discussions with educational practitioners and experts through one-to-one discussions and a round table forum, and visited a sample of schools identified as having good practice. The findings </w:t>
      </w:r>
      <w:proofErr w:type="gramStart"/>
      <w:r w:rsidRPr="00B12FCF">
        <w:t>emphasises</w:t>
      </w:r>
      <w:proofErr w:type="gramEnd"/>
      <w:r w:rsidRPr="00B12FCF">
        <w:t xml:space="preserve"> the importance of </w:t>
      </w:r>
      <w:r w:rsidR="00320EA8">
        <w:t>‘</w:t>
      </w:r>
      <w:r w:rsidRPr="00B12FCF">
        <w:t>whole-school</w:t>
      </w:r>
      <w:r w:rsidR="00320EA8">
        <w:t>’</w:t>
      </w:r>
      <w:r w:rsidRPr="00B12FCF">
        <w:t xml:space="preserve"> approaches. The report has been submitted to the Department of Education and Skills and is expected to be formally launched in 2015.</w:t>
      </w:r>
      <w:r w:rsidR="006B504B">
        <w:t xml:space="preserve"> </w:t>
      </w:r>
    </w:p>
    <w:p w14:paraId="39F31A41" w14:textId="77777777" w:rsidR="00892DA2" w:rsidRDefault="00B12FCF" w:rsidP="00892DA2">
      <w:pPr>
        <w:pStyle w:val="Heading3"/>
      </w:pPr>
      <w:r w:rsidRPr="00B12FCF">
        <w:t>Portrait of children with disabilities in Ireland</w:t>
      </w:r>
    </w:p>
    <w:p w14:paraId="3E42F6A5" w14:textId="77777777" w:rsidR="00892DA2" w:rsidRDefault="00B12FCF" w:rsidP="00892DA2">
      <w:r w:rsidRPr="00B12FCF">
        <w:t xml:space="preserve">A piece of commissioned research analysed data from the sample of children included in the National Disability Survey (2006). The findings showed that boys were more likely than girls to have a disability, and there were a higher proportion of children with disabilities in lower socioeconomic groups and among one parent families. Most children with disabilities were educated in mainstream schools, but a higher proportion of children attended special schools at post-primary stage. Children with mental health impairments experienced a lack of social engagement with their </w:t>
      </w:r>
      <w:proofErr w:type="gramStart"/>
      <w:r w:rsidRPr="00B12FCF">
        <w:t>peers, and</w:t>
      </w:r>
      <w:proofErr w:type="gramEnd"/>
      <w:r w:rsidRPr="00B12FCF">
        <w:t xml:space="preserve"> were much more likely to have prolonged absences from school. The research was published jointly by the National Disability Authority and the ESRI in 2015.</w:t>
      </w:r>
    </w:p>
    <w:p w14:paraId="29FCF946" w14:textId="77777777" w:rsidR="00B12FCF" w:rsidRDefault="00B12FCF" w:rsidP="00B12FCF">
      <w:pPr>
        <w:pStyle w:val="Heading3"/>
      </w:pPr>
      <w:r>
        <w:t>Parental expectations</w:t>
      </w:r>
    </w:p>
    <w:p w14:paraId="68F3CA65" w14:textId="77777777" w:rsidR="00B12FCF" w:rsidRPr="008C0880" w:rsidRDefault="00B12FCF" w:rsidP="00B12FCF">
      <w:r w:rsidRPr="00B12FCF">
        <w:t>The NDA commissioned the ESRI to use data from the Growing Up in Ireland Survey to examine parental expectations for children with a disability. This will be completed in 2015.</w:t>
      </w:r>
    </w:p>
    <w:p w14:paraId="6BA867F8" w14:textId="77777777" w:rsidR="00892DA2" w:rsidRDefault="00892DA2" w:rsidP="00892DA2">
      <w:pPr>
        <w:pStyle w:val="Heading3"/>
      </w:pPr>
      <w:r>
        <w:t>Families with disabled children</w:t>
      </w:r>
    </w:p>
    <w:p w14:paraId="36A988C9" w14:textId="77777777" w:rsidR="00892DA2" w:rsidRDefault="00B12FCF" w:rsidP="00892DA2">
      <w:r w:rsidRPr="00B12FCF">
        <w:t>The National Disability Authority used the microdata the Growing Up in Ireland survey to analyse how siblings coped in families with a disabled child. The evidence was that siblings coped well, except in cases where the mother was experiencing severe coping difficulties herself.</w:t>
      </w:r>
      <w:r w:rsidR="00A6166B">
        <w:t xml:space="preserve"> </w:t>
      </w:r>
    </w:p>
    <w:p w14:paraId="20F14BE1" w14:textId="77777777" w:rsidR="00892DA2" w:rsidRDefault="00892DA2" w:rsidP="00892DA2">
      <w:pPr>
        <w:pStyle w:val="Heading3"/>
      </w:pPr>
      <w:r>
        <w:t>People with emotional, behavioural, or mental health</w:t>
      </w:r>
      <w:r w:rsidR="00EB04C6">
        <w:t> </w:t>
      </w:r>
      <w:r>
        <w:t>difficulties</w:t>
      </w:r>
    </w:p>
    <w:p w14:paraId="63F8CDCE" w14:textId="77777777" w:rsidR="00892DA2" w:rsidRDefault="00B12FCF" w:rsidP="00892DA2">
      <w:r w:rsidRPr="00B12FCF">
        <w:t xml:space="preserve">Research commissioned by the NDA analysed the data from the National Disability Survey on people with emotional, </w:t>
      </w:r>
      <w:proofErr w:type="gramStart"/>
      <w:r w:rsidRPr="00B12FCF">
        <w:t>behavioural</w:t>
      </w:r>
      <w:proofErr w:type="gramEnd"/>
      <w:r w:rsidRPr="00B12FCF">
        <w:t xml:space="preserve"> or mental health </w:t>
      </w:r>
      <w:r w:rsidRPr="00B12FCF">
        <w:lastRenderedPageBreak/>
        <w:t>difficulties. A key finding was that there is nearly nine out of ten people with a mental health difficulty who had at least one other type of disability, and in most cases the other disability was named as their primary disability. The research shows that support for people</w:t>
      </w:r>
      <w:r w:rsidR="00320EA8">
        <w:t>’</w:t>
      </w:r>
      <w:r w:rsidRPr="00B12FCF">
        <w:t>s mental health should be an integral part of disability support. Compared to people with other disabilities, people with mental health conditions were more likely to experience stigma, and more likely to avoid doing things because of the attitudes of other people. The research was published jointly by the NDA and the ESRI.</w:t>
      </w:r>
    </w:p>
    <w:p w14:paraId="5AFC3439" w14:textId="77777777" w:rsidR="00892DA2" w:rsidRDefault="00892DA2" w:rsidP="00892DA2">
      <w:pPr>
        <w:pStyle w:val="Heading3"/>
      </w:pPr>
      <w:r>
        <w:t>Telecare, telehealth</w:t>
      </w:r>
      <w:r w:rsidR="00B12FCF">
        <w:t>,</w:t>
      </w:r>
      <w:r>
        <w:t xml:space="preserve"> and assistive technology</w:t>
      </w:r>
    </w:p>
    <w:p w14:paraId="186C4720" w14:textId="77777777" w:rsidR="00892DA2" w:rsidRPr="009B2D79" w:rsidRDefault="00B12FCF" w:rsidP="00892DA2">
      <w:r w:rsidRPr="00B12FCF">
        <w:t>Two separate commissioned research studies, on telehealth and telecare, and on analysis of the National Disability Survey dataset in relation to assistive technology, continued throughout 2014 and are expected to complete in 2015.</w:t>
      </w:r>
    </w:p>
    <w:p w14:paraId="0CF156FE" w14:textId="77777777" w:rsidR="00892DA2" w:rsidRDefault="00892DA2" w:rsidP="00892DA2">
      <w:pPr>
        <w:pStyle w:val="Heading3"/>
      </w:pPr>
      <w:r>
        <w:t>Research Promotion Grants Scheme</w:t>
      </w:r>
    </w:p>
    <w:p w14:paraId="21A302E0" w14:textId="77777777" w:rsidR="00533A81" w:rsidRDefault="00533A81" w:rsidP="00533A81">
      <w:r>
        <w:t xml:space="preserve">The National Disability Authority invites proposals every year under its Research Promotion Grants Scheme under a specific </w:t>
      </w:r>
      <w:proofErr w:type="gramStart"/>
      <w:r>
        <w:t>theme, and</w:t>
      </w:r>
      <w:proofErr w:type="gramEnd"/>
      <w:r>
        <w:t xml:space="preserve"> selects the projects to be funded through a competitive process based on criteria that include the quality of the proposal, and the relevance to policy or practice. </w:t>
      </w:r>
    </w:p>
    <w:p w14:paraId="05B2127C" w14:textId="77777777" w:rsidR="00892DA2" w:rsidRDefault="00533A81" w:rsidP="00533A81">
      <w:r>
        <w:t>One of the projects funded under the 2013 scheme, on the theme of people with acquired disabilities living in the community, was published in 2014. The research entitled Living with an Acquired Brain Injury was conducted by University College Cork. It found the most important supports were people</w:t>
      </w:r>
      <w:r w:rsidR="00320EA8">
        <w:t>’</w:t>
      </w:r>
      <w:r>
        <w:t xml:space="preserve">s immediate families and friends, along with peer support groups; and secondly neighbours and community-based organisations such as sports or activity-based groups. As people with disabilities move </w:t>
      </w:r>
      <w:proofErr w:type="gramStart"/>
      <w:r>
        <w:t>from high-intensity health services,</w:t>
      </w:r>
      <w:proofErr w:type="gramEnd"/>
      <w:r>
        <w:t xml:space="preserve"> to rehabilitation services, and back to the community, the report stressed that smooth transitions and inter-connectivity of services are essential in facilitating this recovery process.</w:t>
      </w:r>
      <w:r w:rsidR="00892DA2">
        <w:t xml:space="preserve"> </w:t>
      </w:r>
    </w:p>
    <w:p w14:paraId="1B7BE0FD" w14:textId="77777777" w:rsidR="00892DA2" w:rsidRDefault="00892DA2" w:rsidP="00892DA2">
      <w:pPr>
        <w:pStyle w:val="Heading4"/>
      </w:pPr>
      <w:r>
        <w:t>Research grants awarded 2014</w:t>
      </w:r>
    </w:p>
    <w:p w14:paraId="7A72F763" w14:textId="77777777" w:rsidR="00892DA2" w:rsidRDefault="00892DA2" w:rsidP="00CA7C1D">
      <w:pPr>
        <w:pStyle w:val="NormalBeforeList"/>
      </w:pPr>
      <w:r>
        <w:t>The theme for the 2014 round of grants was employment and disability, and the following projects were funded</w:t>
      </w:r>
      <w:r w:rsidR="00B154C2">
        <w:t>:</w:t>
      </w:r>
    </w:p>
    <w:p w14:paraId="27899AFC" w14:textId="77777777" w:rsidR="00892DA2" w:rsidRDefault="00892DA2" w:rsidP="00CA7C1D">
      <w:pPr>
        <w:pStyle w:val="ListBullet"/>
      </w:pPr>
      <w:r>
        <w:t xml:space="preserve">Analysis of data on employment from the National Disability Survey </w:t>
      </w:r>
      <w:r w:rsidR="00B154C2">
        <w:t>(</w:t>
      </w:r>
      <w:r>
        <w:t>ESRI</w:t>
      </w:r>
      <w:r w:rsidR="00B154C2">
        <w:t>)</w:t>
      </w:r>
    </w:p>
    <w:p w14:paraId="650B7F80" w14:textId="77777777" w:rsidR="00892DA2" w:rsidRDefault="00892DA2" w:rsidP="00CA7C1D">
      <w:pPr>
        <w:pStyle w:val="ListBullet"/>
      </w:pPr>
      <w:r>
        <w:t xml:space="preserve">Exploring the factors related to return to work after stroke </w:t>
      </w:r>
      <w:r w:rsidR="00B154C2">
        <w:t>(</w:t>
      </w:r>
      <w:r>
        <w:t>Royal College of Surgeons in Ireland</w:t>
      </w:r>
      <w:r w:rsidR="00B154C2">
        <w:t>)</w:t>
      </w:r>
    </w:p>
    <w:p w14:paraId="0527360F" w14:textId="77777777" w:rsidR="00892DA2" w:rsidRDefault="00892DA2" w:rsidP="00CA7C1D">
      <w:pPr>
        <w:pStyle w:val="ListBullet"/>
      </w:pPr>
      <w:r>
        <w:lastRenderedPageBreak/>
        <w:t xml:space="preserve">The impact of fatigue on work ability of people with rheumatic diseases </w:t>
      </w:r>
      <w:r w:rsidR="00B154C2">
        <w:t>(</w:t>
      </w:r>
      <w:r>
        <w:t>Trinity College Dublin</w:t>
      </w:r>
      <w:r w:rsidR="00B154C2">
        <w:t>)</w:t>
      </w:r>
    </w:p>
    <w:p w14:paraId="4C5187C9" w14:textId="77777777" w:rsidR="00892DA2" w:rsidRDefault="00892DA2" w:rsidP="00B154C2">
      <w:pPr>
        <w:pStyle w:val="ListBullet"/>
      </w:pPr>
      <w:r>
        <w:t xml:space="preserve">Transitions from education/training to employment for people with disabilities </w:t>
      </w:r>
      <w:r w:rsidR="00B154C2">
        <w:t>(</w:t>
      </w:r>
      <w:r>
        <w:t>Dublin City University</w:t>
      </w:r>
      <w:r w:rsidR="00B154C2">
        <w:t>)</w:t>
      </w:r>
    </w:p>
    <w:p w14:paraId="6ED2F58B" w14:textId="77777777" w:rsidR="00892DA2" w:rsidRDefault="00892DA2" w:rsidP="00892DA2">
      <w:pPr>
        <w:pStyle w:val="Heading2"/>
      </w:pPr>
      <w:r>
        <w:t xml:space="preserve">Resource Allocation research </w:t>
      </w:r>
    </w:p>
    <w:p w14:paraId="2E22D94C" w14:textId="77777777" w:rsidR="00892DA2" w:rsidRDefault="00591BB9" w:rsidP="00892DA2">
      <w:r w:rsidRPr="00591BB9">
        <w:t xml:space="preserve">The National Disability Authority completed its evaluation of the outcome of the second field trial of resource allocation systems for disability services, comparing the FACE and </w:t>
      </w:r>
      <w:proofErr w:type="spellStart"/>
      <w:r w:rsidRPr="00591BB9">
        <w:t>InterRAI</w:t>
      </w:r>
      <w:proofErr w:type="spellEnd"/>
      <w:r w:rsidRPr="00591BB9">
        <w:t xml:space="preserve"> systems, and did a comparative analysis of the four systems studied over two field trials. An advice paper is in preparation.</w:t>
      </w:r>
    </w:p>
    <w:p w14:paraId="09F6FF92" w14:textId="77777777" w:rsidR="00466967" w:rsidRDefault="00466967" w:rsidP="00466967">
      <w:pPr>
        <w:pStyle w:val="Heading2"/>
      </w:pPr>
      <w:r>
        <w:t>Promoting positive attitudes to disability</w:t>
      </w:r>
    </w:p>
    <w:p w14:paraId="63B7380A" w14:textId="77777777" w:rsidR="00466967" w:rsidRDefault="00466967" w:rsidP="00466967">
      <w:r w:rsidRPr="00466967">
        <w:t xml:space="preserve">The NDA published the report of the consultation </w:t>
      </w:r>
      <w:r w:rsidR="00320EA8">
        <w:t>“</w:t>
      </w:r>
      <w:r w:rsidRPr="00466967">
        <w:t>Your Voice Your Choice</w:t>
      </w:r>
      <w:r w:rsidR="00320EA8">
        <w:t>”</w:t>
      </w:r>
      <w:r w:rsidRPr="00466967">
        <w:t xml:space="preserve"> held at end 2013 with people with disabilities and their families on public attitudes to people with disabilities, and positive steps that could be taken towards improving attitudes.</w:t>
      </w:r>
    </w:p>
    <w:p w14:paraId="06EDB3B9" w14:textId="77777777" w:rsidR="00466967" w:rsidRPr="00ED7B8E" w:rsidRDefault="00466967" w:rsidP="00466967">
      <w:pPr>
        <w:pStyle w:val="Heading2"/>
      </w:pPr>
      <w:r>
        <w:t>Annual Conference 2014 – Employing people with</w:t>
      </w:r>
      <w:r w:rsidR="009E2B33">
        <w:t> </w:t>
      </w:r>
      <w:r>
        <w:t>disabilities</w:t>
      </w:r>
    </w:p>
    <w:p w14:paraId="68147CBF" w14:textId="77777777" w:rsidR="00466967" w:rsidRPr="00E731E7" w:rsidRDefault="00466967" w:rsidP="00466967">
      <w:r w:rsidRPr="00466967">
        <w:t>The National Disability Authority</w:t>
      </w:r>
      <w:r w:rsidR="00320EA8">
        <w:t>’</w:t>
      </w:r>
      <w:r w:rsidRPr="00466967">
        <w:t xml:space="preserve">s Annual Conference was held in October on the theme of employment. Guest speakers included Senator Fergal Quinn; Dr Michael Prince, University of Victoria; </w:t>
      </w:r>
      <w:proofErr w:type="spellStart"/>
      <w:r w:rsidRPr="00466967">
        <w:t>Gráinne</w:t>
      </w:r>
      <w:proofErr w:type="spellEnd"/>
      <w:r w:rsidRPr="00466967">
        <w:t xml:space="preserve"> </w:t>
      </w:r>
      <w:proofErr w:type="spellStart"/>
      <w:r w:rsidRPr="00466967">
        <w:t>Berrill</w:t>
      </w:r>
      <w:proofErr w:type="spellEnd"/>
      <w:r w:rsidRPr="00466967">
        <w:t>, WALK Peer project; Peter Furlong and Alice Kinsella, Naas Hospital internship project; and two workers with a disability who spoke about their experiences. 10 organisations presented at a poster session. The conference was attended by over 250 people.</w:t>
      </w:r>
    </w:p>
    <w:p w14:paraId="7502A298" w14:textId="77777777" w:rsidR="00466967" w:rsidRDefault="00466967" w:rsidP="00466967">
      <w:pPr>
        <w:pStyle w:val="Heading2"/>
      </w:pPr>
      <w:r>
        <w:t>Seminar on Social Role Valorisation</w:t>
      </w:r>
    </w:p>
    <w:p w14:paraId="0124A10D" w14:textId="77777777" w:rsidR="00466967" w:rsidRDefault="00466967" w:rsidP="00466967">
      <w:r w:rsidRPr="00466967">
        <w:t>The National Disability Authority hosted a seminar for key policy makers and practitioners, with expert speaker John Armstrong, to explore how people with disabilities can be supported to have valued social roles in their families and communities (</w:t>
      </w:r>
      <w:r w:rsidR="00320EA8">
        <w:t>“</w:t>
      </w:r>
      <w:r w:rsidRPr="00466967">
        <w:t>social role valorisation</w:t>
      </w:r>
      <w:r w:rsidR="00320EA8">
        <w:t>”</w:t>
      </w:r>
      <w:r w:rsidRPr="00466967">
        <w:t>), and how this approach might be built into person-centred planning in disability services.</w:t>
      </w:r>
    </w:p>
    <w:p w14:paraId="75431EB3" w14:textId="77777777" w:rsidR="00466967" w:rsidRDefault="00466967" w:rsidP="00466967">
      <w:pPr>
        <w:pStyle w:val="Heading2"/>
      </w:pPr>
      <w:r>
        <w:t>Roundtable on parents and parenting with a disability</w:t>
      </w:r>
    </w:p>
    <w:p w14:paraId="2AFDB4F6" w14:textId="77777777" w:rsidR="00466967" w:rsidRDefault="00466967" w:rsidP="00466967">
      <w:r w:rsidRPr="00466967">
        <w:t xml:space="preserve">The NDA co-hosted a Roundtable with the Child and Family Agency (TUSLA) on issues and challenges for parents and parenting with a </w:t>
      </w:r>
      <w:r w:rsidRPr="00466967">
        <w:lastRenderedPageBreak/>
        <w:t xml:space="preserve">disability. Participants included TUSLA, the HSE, disability organisations, disability service providers, the National Advocacy </w:t>
      </w:r>
      <w:proofErr w:type="gramStart"/>
      <w:r w:rsidRPr="00466967">
        <w:t>Service</w:t>
      </w:r>
      <w:proofErr w:type="gramEnd"/>
      <w:r w:rsidRPr="00466967">
        <w:t xml:space="preserve"> and the Citizens Information Board. The report from the roundtable has been given to TUSLA to guide next steps.</w:t>
      </w:r>
    </w:p>
    <w:p w14:paraId="62141104" w14:textId="77777777" w:rsidR="00466967" w:rsidRDefault="00466967" w:rsidP="00466967">
      <w:pPr>
        <w:pStyle w:val="Heading2"/>
      </w:pPr>
      <w:r>
        <w:t>Seminar on supporting 3</w:t>
      </w:r>
      <w:r w:rsidRPr="00817A9C">
        <w:t>rd</w:t>
      </w:r>
      <w:r>
        <w:t xml:space="preserve"> level students with disabilities</w:t>
      </w:r>
    </w:p>
    <w:p w14:paraId="36DDA384" w14:textId="77777777" w:rsidR="00466967" w:rsidRPr="005D0D08" w:rsidRDefault="00466967" w:rsidP="00466967">
      <w:r w:rsidRPr="00466967">
        <w:t xml:space="preserve">The NDA partnered with the National University of Ireland Maynooth on a seminar, with guest speaker Myra </w:t>
      </w:r>
      <w:proofErr w:type="spellStart"/>
      <w:r w:rsidRPr="00466967">
        <w:t>Berloff</w:t>
      </w:r>
      <w:proofErr w:type="spellEnd"/>
      <w:r w:rsidRPr="00466967">
        <w:t xml:space="preserve">, Director at the </w:t>
      </w:r>
      <w:r w:rsidR="009E2B33" w:rsidRPr="00466967">
        <w:t>Massachusetts</w:t>
      </w:r>
      <w:r w:rsidRPr="00466967">
        <w:t xml:space="preserve"> Office of Disability, on supporting students with disabilities at third level. The NDA also hosted a workshop with the guest speaker and key stakeholders.</w:t>
      </w:r>
      <w:r>
        <w:t xml:space="preserve"> </w:t>
      </w:r>
    </w:p>
    <w:p w14:paraId="6FD6C95B" w14:textId="77777777" w:rsidR="00466967" w:rsidRDefault="00466967" w:rsidP="00466967">
      <w:pPr>
        <w:pStyle w:val="Heading2"/>
      </w:pPr>
      <w:r>
        <w:t>Assisted Decision Making (Capacity) Bill 2013</w:t>
      </w:r>
    </w:p>
    <w:p w14:paraId="1DF79010" w14:textId="77777777" w:rsidR="008E6A3C" w:rsidRDefault="00466967" w:rsidP="00466967">
      <w:r w:rsidRPr="00466967">
        <w:t>The NDA continued to provide advice to the Department of Justice and Equality on key areas of the Bill, which is an important milestone towards Ireland</w:t>
      </w:r>
      <w:r w:rsidR="00320EA8">
        <w:t>’</w:t>
      </w:r>
      <w:r w:rsidRPr="00466967">
        <w:t>s ratification of the UN Convention on the Rights of Persons with Disabilities.</w:t>
      </w:r>
    </w:p>
    <w:p w14:paraId="3D5E6DC9" w14:textId="77777777" w:rsidR="008E6A3C" w:rsidRDefault="008E6A3C" w:rsidP="00466967">
      <w:pPr>
        <w:pStyle w:val="Heading2"/>
      </w:pPr>
      <w:r>
        <w:t>Interim Standards for Adult Day Services based on New Directions</w:t>
      </w:r>
    </w:p>
    <w:p w14:paraId="6AA685CB" w14:textId="77777777" w:rsidR="008E6A3C" w:rsidRPr="008E6A3C" w:rsidRDefault="008E6A3C" w:rsidP="008E6A3C">
      <w:r w:rsidRPr="008E6A3C">
        <w:t>The review of HSE Adult Day Services entitled New Directions was published in February 2012. This envisages a new model of service which emphasises support for people with disabilities to engage in mainstream activities in the community. The National Disability Authority is represented on the implementation group. Under the implementation plan, the National Disability Authority was requested to develop Interim Standards for the new model set out in New Directions, in collaboration with a sub-group of the implementation group. In 2014, this work included a public consultation on Draft Interim Standards, in response to which there were 424 submissions. It is expected that the Interim Standards will be finalised in 2015, following consideration of the submissions.</w:t>
      </w:r>
    </w:p>
    <w:p w14:paraId="1167AB6B" w14:textId="77777777" w:rsidR="008E6A3C" w:rsidRPr="00993707" w:rsidRDefault="008E6A3C" w:rsidP="008E6A3C">
      <w:pPr>
        <w:pStyle w:val="Heading2"/>
      </w:pPr>
      <w:r>
        <w:t xml:space="preserve">Report for the Minister for Health on the implementation of the HIQA Standards and Regulations for Residential Services for People with Disabilities </w:t>
      </w:r>
      <w:r w:rsidR="00320EA8">
        <w:t>“</w:t>
      </w:r>
      <w:r>
        <w:t>One Year On</w:t>
      </w:r>
      <w:r w:rsidR="00320EA8">
        <w:t>”</w:t>
      </w:r>
    </w:p>
    <w:p w14:paraId="5127E636" w14:textId="77777777" w:rsidR="008E6A3C" w:rsidRDefault="008E6A3C" w:rsidP="008E6A3C">
      <w:r w:rsidRPr="0030704B">
        <w:t>HIQA</w:t>
      </w:r>
      <w:r w:rsidR="00320EA8">
        <w:t>’</w:t>
      </w:r>
      <w:r w:rsidRPr="0030704B">
        <w:t xml:space="preserve">s legal powers to regulate disability residential services came into effect on Friday 1 November 2013. </w:t>
      </w:r>
      <w:r>
        <w:t xml:space="preserve">The Minster of State at the </w:t>
      </w:r>
      <w:r>
        <w:lastRenderedPageBreak/>
        <w:t xml:space="preserve">Department of Health, Kathleen Lynch TD requested that the NDA prepare a report on the experience and impact of the Regulations </w:t>
      </w:r>
      <w:r w:rsidR="00320EA8">
        <w:t>‘</w:t>
      </w:r>
      <w:r>
        <w:t>one year on</w:t>
      </w:r>
      <w:r w:rsidR="00320EA8">
        <w:t>’</w:t>
      </w:r>
      <w:r>
        <w:t xml:space="preserve"> from their implementation. The Minister also asked that consideration be given to holding a workshop on learning from the implementation of the HIQA Standards and Regulations and that the main disability </w:t>
      </w:r>
      <w:r w:rsidRPr="008E6A3C">
        <w:t>stakeholders</w:t>
      </w:r>
      <w:r>
        <w:t xml:space="preserve"> would be included in this process.</w:t>
      </w:r>
    </w:p>
    <w:p w14:paraId="02B78441" w14:textId="77777777" w:rsidR="00E54C88" w:rsidRDefault="00E54C88" w:rsidP="00892DA2"/>
    <w:p w14:paraId="555974E6" w14:textId="77777777" w:rsidR="00E54C88" w:rsidRPr="00DC0EEE" w:rsidRDefault="00E54C88" w:rsidP="00DC0EEE"/>
    <w:p w14:paraId="63E679BD" w14:textId="77777777" w:rsidR="008B5BDA" w:rsidRDefault="008B5BDA" w:rsidP="008B5BDA">
      <w:pPr>
        <w:pStyle w:val="Heading1"/>
      </w:pPr>
      <w:bookmarkStart w:id="26" w:name="_Toc429053909"/>
      <w:bookmarkStart w:id="27" w:name="_Toc429054119"/>
      <w:bookmarkStart w:id="28" w:name="_Toc431218796"/>
      <w:r w:rsidRPr="0002481D">
        <w:lastRenderedPageBreak/>
        <w:t xml:space="preserve">Strategic </w:t>
      </w:r>
      <w:r>
        <w:t>p</w:t>
      </w:r>
      <w:r w:rsidRPr="0002481D">
        <w:t>riority 3</w:t>
      </w:r>
      <w:r>
        <w:t xml:space="preserve">: </w:t>
      </w:r>
      <w:r w:rsidRPr="00DC0EEE">
        <w:t>Universal Design of the environment</w:t>
      </w:r>
      <w:bookmarkEnd w:id="26"/>
      <w:bookmarkEnd w:id="27"/>
      <w:bookmarkEnd w:id="28"/>
    </w:p>
    <w:p w14:paraId="1BD944DE" w14:textId="77777777" w:rsidR="008B5BDA" w:rsidRDefault="00320EA8" w:rsidP="008B5BDA">
      <w:pPr>
        <w:rPr>
          <w:b/>
        </w:rPr>
      </w:pPr>
      <w:r>
        <w:rPr>
          <w:b/>
        </w:rPr>
        <w:t>“</w:t>
      </w:r>
      <w:r w:rsidR="008B5BDA" w:rsidRPr="00DC0EEE">
        <w:rPr>
          <w:b/>
        </w:rPr>
        <w:t>To promote excellence in universal design to facilitate maximum participation in Irish society</w:t>
      </w:r>
      <w:r>
        <w:rPr>
          <w:b/>
        </w:rPr>
        <w:t>”</w:t>
      </w:r>
    </w:p>
    <w:p w14:paraId="7933C020" w14:textId="77777777" w:rsidR="008B5BDA" w:rsidRDefault="008B5BDA" w:rsidP="008B5BDA">
      <w:pPr>
        <w:pStyle w:val="Heading2"/>
      </w:pPr>
      <w:r>
        <w:t>P</w:t>
      </w:r>
      <w:r w:rsidRPr="00DC0EEE">
        <w:t>romot</w:t>
      </w:r>
      <w:r>
        <w:t>ing</w:t>
      </w:r>
      <w:r w:rsidRPr="00DC0EEE">
        <w:t xml:space="preserve"> universal design principles in an Irish</w:t>
      </w:r>
      <w:r>
        <w:t> </w:t>
      </w:r>
      <w:r w:rsidRPr="00DC0EEE">
        <w:t>context</w:t>
      </w:r>
    </w:p>
    <w:p w14:paraId="515E96C4" w14:textId="77777777" w:rsidR="008B5BDA" w:rsidRPr="00817A9C" w:rsidRDefault="008B5BDA" w:rsidP="008B5BDA">
      <w:pPr>
        <w:pStyle w:val="Heading3"/>
      </w:pPr>
      <w:r>
        <w:t xml:space="preserve">Research </w:t>
      </w:r>
      <w:r w:rsidRPr="002E0605">
        <w:t>on Uni</w:t>
      </w:r>
      <w:r>
        <w:t>versal Design Audit Tool</w:t>
      </w:r>
      <w:r w:rsidRPr="002E0605">
        <w:t xml:space="preserve"> for Roads and</w:t>
      </w:r>
      <w:r w:rsidR="00817A9C">
        <w:t> </w:t>
      </w:r>
      <w:r w:rsidRPr="002E0605">
        <w:t>Streets</w:t>
      </w:r>
    </w:p>
    <w:p w14:paraId="34CAC2E2" w14:textId="77777777" w:rsidR="00627E0D" w:rsidRDefault="00627E0D" w:rsidP="00627E0D">
      <w:r>
        <w:t>The NDA worked with Age Friendly Ireland on Walkability audits at 8 locations around Ireland.</w:t>
      </w:r>
      <w:r w:rsidRPr="0011008A">
        <w:t xml:space="preserve"> The information collected in the Walkability audits will be used to inform the development of </w:t>
      </w:r>
      <w:r>
        <w:t>a</w:t>
      </w:r>
      <w:r w:rsidRPr="0011008A">
        <w:t xml:space="preserve"> quality audit</w:t>
      </w:r>
      <w:r w:rsidR="00EF7632">
        <w:t xml:space="preserve"> tool</w:t>
      </w:r>
      <w:r w:rsidRPr="0011008A">
        <w:t xml:space="preserve"> </w:t>
      </w:r>
      <w:r>
        <w:t xml:space="preserve">for roads and streets </w:t>
      </w:r>
      <w:r w:rsidRPr="0011008A">
        <w:t xml:space="preserve">by </w:t>
      </w:r>
      <w:r>
        <w:t xml:space="preserve">the </w:t>
      </w:r>
      <w:r w:rsidRPr="0011008A">
        <w:t>C</w:t>
      </w:r>
      <w:r>
        <w:t>entre for Excellence in Universal Design (CEUD) in the NDA</w:t>
      </w:r>
      <w:r w:rsidRPr="0011008A">
        <w:t>, in consultation with the Department for Transport, Tourism</w:t>
      </w:r>
      <w:r>
        <w:t>,</w:t>
      </w:r>
      <w:r w:rsidRPr="0011008A">
        <w:t xml:space="preserve"> and Sport. </w:t>
      </w:r>
      <w:r>
        <w:t>The audit tool enables the gathering of</w:t>
      </w:r>
      <w:r w:rsidRPr="0011008A">
        <w:t xml:space="preserve"> valuable evidence of the features of roads and streets that can prevent people with a wide range of abilities from easily accessing local amenities, </w:t>
      </w:r>
      <w:proofErr w:type="gramStart"/>
      <w:r w:rsidRPr="0011008A">
        <w:t>shops</w:t>
      </w:r>
      <w:proofErr w:type="gramEnd"/>
      <w:r w:rsidRPr="0011008A">
        <w:t xml:space="preserve"> and services in their community.</w:t>
      </w:r>
      <w:r>
        <w:t xml:space="preserve"> The report on the Walkability audits will be published in 2015.</w:t>
      </w:r>
    </w:p>
    <w:p w14:paraId="61A31E3C" w14:textId="77777777" w:rsidR="008B5BDA" w:rsidRDefault="008B5BDA" w:rsidP="008B5BDA">
      <w:pPr>
        <w:pStyle w:val="Heading2"/>
      </w:pPr>
      <w:r w:rsidRPr="00930FE7">
        <w:t>Research &amp; Recommendations on Universal Design Shared Education Campuses</w:t>
      </w:r>
      <w:r>
        <w:t xml:space="preserve"> (UD-SEC)</w:t>
      </w:r>
    </w:p>
    <w:p w14:paraId="49CBBE3C" w14:textId="77777777" w:rsidR="00627E0D" w:rsidRDefault="00627E0D" w:rsidP="00627E0D">
      <w:r>
        <w:t xml:space="preserve">Work </w:t>
      </w:r>
      <w:proofErr w:type="gramStart"/>
      <w:r>
        <w:t>continued on</w:t>
      </w:r>
      <w:proofErr w:type="gramEnd"/>
      <w:r>
        <w:t xml:space="preserve"> </w:t>
      </w:r>
      <w:r w:rsidR="00EF7632">
        <w:t xml:space="preserve">a </w:t>
      </w:r>
      <w:r>
        <w:t>research project to guide</w:t>
      </w:r>
      <w:r w:rsidR="006B504B">
        <w:t xml:space="preserve"> </w:t>
      </w:r>
      <w:r w:rsidRPr="0004303F">
        <w:t>a Universal Design approach to</w:t>
      </w:r>
      <w:r w:rsidR="006B504B">
        <w:t xml:space="preserve"> </w:t>
      </w:r>
      <w:r>
        <w:t>Shared</w:t>
      </w:r>
      <w:r w:rsidRPr="0004303F">
        <w:t xml:space="preserve"> Educational Campuses in Ireland</w:t>
      </w:r>
      <w:r w:rsidR="00EF7632" w:rsidRPr="00EF7632">
        <w:t>, using a Universal Design approach</w:t>
      </w:r>
      <w:r w:rsidRPr="0004303F">
        <w:t>.</w:t>
      </w:r>
      <w:r>
        <w:t xml:space="preserve"> The NDA engaged with the Department of Education in advancing this work. A workshop to discuss</w:t>
      </w:r>
      <w:r w:rsidR="006B504B">
        <w:t xml:space="preserve"> </w:t>
      </w:r>
      <w:r>
        <w:t>key findings from the research was help in spring 2014 with all key stakeholders.</w:t>
      </w:r>
      <w:r w:rsidR="006B504B">
        <w:t xml:space="preserve"> </w:t>
      </w:r>
      <w:r>
        <w:t xml:space="preserve">This work is to be completed in Spring 2015. </w:t>
      </w:r>
    </w:p>
    <w:p w14:paraId="284DE6DB" w14:textId="77777777" w:rsidR="008B5BDA" w:rsidRDefault="008B5BDA" w:rsidP="008B5BDA">
      <w:pPr>
        <w:pStyle w:val="Heading2"/>
      </w:pPr>
      <w:r w:rsidRPr="00E45A9C">
        <w:t>Advising and assisting in the development of standards on universal design</w:t>
      </w:r>
    </w:p>
    <w:p w14:paraId="4F9E17FB" w14:textId="77777777" w:rsidR="008B5BDA" w:rsidRPr="00F33562" w:rsidRDefault="008B5BDA" w:rsidP="008B5BDA">
      <w:pPr>
        <w:pStyle w:val="Heading3"/>
      </w:pPr>
      <w:r>
        <w:t>Universal Design for Customer Engagement Toolkits</w:t>
      </w:r>
    </w:p>
    <w:p w14:paraId="7F0AC967" w14:textId="77777777" w:rsidR="00627E0D" w:rsidRDefault="00627E0D" w:rsidP="00627E0D">
      <w:pPr>
        <w:rPr>
          <w:lang w:val="en-GB"/>
        </w:rPr>
      </w:pPr>
      <w:r>
        <w:rPr>
          <w:lang w:val="en-GB"/>
        </w:rPr>
        <w:t>Further to the publication and launch of t</w:t>
      </w:r>
      <w:r w:rsidRPr="00E65326">
        <w:rPr>
          <w:lang w:val="en-GB"/>
        </w:rPr>
        <w:t>he Universal Design for Customer Engagement toolkits for both the tourism and energy se</w:t>
      </w:r>
      <w:r>
        <w:rPr>
          <w:lang w:val="en-GB"/>
        </w:rPr>
        <w:t>ctors in 2012 and 2013. C</w:t>
      </w:r>
      <w:r w:rsidRPr="00E65326">
        <w:rPr>
          <w:lang w:val="en-GB"/>
        </w:rPr>
        <w:t>E</w:t>
      </w:r>
      <w:r>
        <w:rPr>
          <w:lang w:val="en-GB"/>
        </w:rPr>
        <w:t>U</w:t>
      </w:r>
      <w:r w:rsidRPr="00E65326">
        <w:rPr>
          <w:lang w:val="en-GB"/>
        </w:rPr>
        <w:t xml:space="preserve">D has </w:t>
      </w:r>
      <w:r>
        <w:rPr>
          <w:lang w:val="en-GB"/>
        </w:rPr>
        <w:t>been promoting the adaption of</w:t>
      </w:r>
      <w:r w:rsidRPr="00E65326">
        <w:rPr>
          <w:lang w:val="en-GB"/>
        </w:rPr>
        <w:t xml:space="preserve"> the tourism </w:t>
      </w:r>
      <w:r w:rsidRPr="00E65326">
        <w:rPr>
          <w:lang w:val="en-GB"/>
        </w:rPr>
        <w:lastRenderedPageBreak/>
        <w:t>toolkits</w:t>
      </w:r>
      <w:r>
        <w:rPr>
          <w:lang w:val="en-GB"/>
        </w:rPr>
        <w:t xml:space="preserve">. It has also engaged </w:t>
      </w:r>
      <w:r w:rsidRPr="00E65326">
        <w:rPr>
          <w:lang w:val="en-GB"/>
        </w:rPr>
        <w:t xml:space="preserve">with Fáilte Ireland on developing </w:t>
      </w:r>
      <w:proofErr w:type="gramStart"/>
      <w:r w:rsidRPr="00E65326">
        <w:rPr>
          <w:lang w:val="en-GB"/>
        </w:rPr>
        <w:t>a number of</w:t>
      </w:r>
      <w:proofErr w:type="gramEnd"/>
      <w:r w:rsidRPr="00E65326">
        <w:rPr>
          <w:lang w:val="en-GB"/>
        </w:rPr>
        <w:t xml:space="preserve"> case studies with a variety of tourism service providers to illustrate the</w:t>
      </w:r>
      <w:r>
        <w:rPr>
          <w:lang w:val="en-GB"/>
        </w:rPr>
        <w:t xml:space="preserve"> </w:t>
      </w:r>
      <w:r w:rsidRPr="00E65326">
        <w:rPr>
          <w:lang w:val="en-GB"/>
        </w:rPr>
        <w:t>business benefits of using the Toolkits.</w:t>
      </w:r>
      <w:r>
        <w:rPr>
          <w:lang w:val="en-GB"/>
        </w:rPr>
        <w:t xml:space="preserve"> This work will be completed in early 2015.</w:t>
      </w:r>
    </w:p>
    <w:p w14:paraId="5BDD70B9" w14:textId="77777777" w:rsidR="008B5BDA" w:rsidRPr="00B62D2B" w:rsidRDefault="008B5BDA" w:rsidP="008B5BDA">
      <w:pPr>
        <w:pStyle w:val="Heading2"/>
        <w:rPr>
          <w:lang w:val="en-GB"/>
        </w:rPr>
      </w:pPr>
      <w:r w:rsidRPr="00B62D2B">
        <w:rPr>
          <w:lang w:val="en-GB"/>
        </w:rPr>
        <w:t xml:space="preserve">Universal Design in ISO/IEC Guide 71 </w:t>
      </w:r>
    </w:p>
    <w:p w14:paraId="593A503B" w14:textId="77777777" w:rsidR="00627E0D" w:rsidRPr="00B62D2B" w:rsidRDefault="00627E0D" w:rsidP="00627E0D">
      <w:r w:rsidRPr="00B62D2B">
        <w:t>The Centre for Excellence in Universal Design at the National Disability Authority</w:t>
      </w:r>
      <w:r>
        <w:t xml:space="preserve"> participat</w:t>
      </w:r>
      <w:r w:rsidRPr="00B62D2B">
        <w:t>ed as an expert on an International Standards Joint Technical Advisory Group which updat</w:t>
      </w:r>
      <w:r>
        <w:t>es</w:t>
      </w:r>
      <w:r w:rsidRPr="00B62D2B">
        <w:t xml:space="preserve"> the key international document on accessibility for standards developers, </w:t>
      </w:r>
      <w:r w:rsidRPr="005D7E6C">
        <w:rPr>
          <w:bCs/>
        </w:rPr>
        <w:t>Guidelines for Addressing Accessibility in Standards</w:t>
      </w:r>
      <w:r w:rsidRPr="00B62D2B">
        <w:t xml:space="preserve">, known as ISO/IEC Guide 71. In particular, the National Disability Authority integrated content from its research </w:t>
      </w:r>
      <w:r w:rsidR="00EF7632" w:rsidRPr="00EF7632">
        <w:t xml:space="preserve">on anthropometry (human size) and </w:t>
      </w:r>
      <w:r w:rsidRPr="00B62D2B">
        <w:t xml:space="preserve">on Universal Design, </w:t>
      </w:r>
      <w:r w:rsidR="00EF7632">
        <w:t xml:space="preserve">and from </w:t>
      </w:r>
      <w:r w:rsidRPr="00B62D2B">
        <w:t>the World Health Organization</w:t>
      </w:r>
      <w:r w:rsidR="00320EA8">
        <w:t>’</w:t>
      </w:r>
      <w:r w:rsidRPr="00B62D2B">
        <w:t>s International Classification of Functioning (ICF)</w:t>
      </w:r>
      <w:r w:rsidR="00EF7632">
        <w:t>.</w:t>
      </w:r>
    </w:p>
    <w:p w14:paraId="2D24DE45" w14:textId="77777777" w:rsidR="00627E0D" w:rsidRDefault="00EF7632" w:rsidP="00627E0D">
      <w:r w:rsidRPr="00EF7632">
        <w:t>The project was completed and published in late 2014. The development of a common language on defining diverse user abilities was one of the key outcomes of this work. It contains updated terminology and new approaches on how to consider the abilities and characteristics of a diverse range of users (including older persons and persons with disabilities) in design decisions related to accessibility. As it makes it understandable for industry to define the usability and accessibility of their product or service, it has good potential to be applied in Ireland by providing a clear path to defining the issues for diverse users. Uniquely among international standards</w:t>
      </w:r>
      <w:r>
        <w:t>,</w:t>
      </w:r>
      <w:r w:rsidRPr="00EF7632">
        <w:t xml:space="preserve"> it is in accessible format and free to download from the web.</w:t>
      </w:r>
    </w:p>
    <w:p w14:paraId="7A6FDA0D" w14:textId="77777777" w:rsidR="008B5BDA" w:rsidRDefault="008B5BDA" w:rsidP="008B5BDA">
      <w:pPr>
        <w:pStyle w:val="Heading2"/>
        <w:rPr>
          <w:lang w:val="en-GB"/>
        </w:rPr>
      </w:pPr>
      <w:r w:rsidRPr="00BB7669">
        <w:rPr>
          <w:lang w:val="en-GB"/>
        </w:rPr>
        <w:t xml:space="preserve">Universal Design in EC Mandate M/473 </w:t>
      </w:r>
      <w:r w:rsidR="00320EA8">
        <w:rPr>
          <w:lang w:val="en-GB"/>
        </w:rPr>
        <w:t>“</w:t>
      </w:r>
      <w:r w:rsidRPr="00BB7669">
        <w:rPr>
          <w:lang w:val="en-GB"/>
        </w:rPr>
        <w:t>Design for All</w:t>
      </w:r>
      <w:r w:rsidR="00320EA8">
        <w:rPr>
          <w:lang w:val="en-GB"/>
        </w:rPr>
        <w:t>”</w:t>
      </w:r>
      <w:r w:rsidRPr="00BB7669">
        <w:rPr>
          <w:lang w:val="en-GB"/>
        </w:rPr>
        <w:t xml:space="preserve"> </w:t>
      </w:r>
    </w:p>
    <w:p w14:paraId="300D0E86" w14:textId="77777777" w:rsidR="00627E0D" w:rsidRDefault="00EF7632" w:rsidP="00627E0D">
      <w:r w:rsidRPr="00EF7632">
        <w:t>The Centre for Excellence in Universal Design at the National Disability Authority is involved in the European Commission</w:t>
      </w:r>
      <w:r w:rsidR="00320EA8">
        <w:t>’</w:t>
      </w:r>
      <w:r w:rsidRPr="00EF7632">
        <w:t xml:space="preserve">s Mandate M/473 </w:t>
      </w:r>
      <w:r w:rsidR="00320EA8">
        <w:t>“</w:t>
      </w:r>
      <w:r w:rsidRPr="00EF7632">
        <w:t>Design for All</w:t>
      </w:r>
      <w:r w:rsidR="00320EA8">
        <w:t>”</w:t>
      </w:r>
      <w:r w:rsidRPr="00EF7632">
        <w:t>. Part of the Mandate M/473 deliverables involved appointment of the NDA as Convenor for a CEN-CENELEC joint working group to conduct development of a new standard (or equivalent</w:t>
      </w:r>
      <w:r w:rsidR="000A53D0">
        <w:t xml:space="preserve"> </w:t>
      </w:r>
      <w:r w:rsidRPr="00EF7632">
        <w:t>deliverable) that would address the priority areas for design, development and production process of goods manufacturing and service provision, to describe how to consider accessibility for persons with disabilities and older persons following a Design for all (Universal Design) approach.</w:t>
      </w:r>
      <w:r w:rsidR="00627E0D" w:rsidRPr="000247C1">
        <w:t xml:space="preserve"> </w:t>
      </w:r>
    </w:p>
    <w:p w14:paraId="7FF2F06F" w14:textId="77777777" w:rsidR="00627E0D" w:rsidRDefault="00627E0D" w:rsidP="00627E0D">
      <w:r>
        <w:t xml:space="preserve">It is part of a series of work supported by the European Commission on implementing Accessibility as related to the United Nations Convention on </w:t>
      </w:r>
      <w:r>
        <w:lastRenderedPageBreak/>
        <w:t>the Rights of Persons with Disabilities. It is expected to be a key publication that will inform further sector</w:t>
      </w:r>
      <w:r w:rsidR="009B109F">
        <w:t>-</w:t>
      </w:r>
      <w:r>
        <w:t xml:space="preserve">specific standards and guidance. When published as a European Standard (as expected) it will be harmonised and distributed by National Standards Organisation across Europe. </w:t>
      </w:r>
      <w:r w:rsidRPr="00BB7669">
        <w:t xml:space="preserve">The </w:t>
      </w:r>
      <w:r>
        <w:t xml:space="preserve">NDA work on the </w:t>
      </w:r>
      <w:r w:rsidRPr="00BB7669">
        <w:t xml:space="preserve">project is scheduled to be completed </w:t>
      </w:r>
      <w:r>
        <w:t xml:space="preserve">in </w:t>
      </w:r>
      <w:r w:rsidRPr="00BB7669">
        <w:t>201</w:t>
      </w:r>
      <w:r>
        <w:t>8</w:t>
      </w:r>
      <w:r w:rsidRPr="00BB7669">
        <w:t xml:space="preserve">. </w:t>
      </w:r>
      <w:r>
        <w:t>The NDA receives EU funding towards the costs of participation in this work.</w:t>
      </w:r>
    </w:p>
    <w:p w14:paraId="25FED6A6" w14:textId="77777777" w:rsidR="008B5BDA" w:rsidRDefault="008B5BDA" w:rsidP="008B5BDA">
      <w:pPr>
        <w:pStyle w:val="Heading2"/>
      </w:pPr>
      <w:r>
        <w:t>Universal Design in a COST Action TU1204</w:t>
      </w:r>
    </w:p>
    <w:p w14:paraId="3C7D6FC1" w14:textId="77777777" w:rsidR="00627E0D" w:rsidRPr="00C73157" w:rsidRDefault="00627E0D" w:rsidP="00627E0D">
      <w:pPr>
        <w:rPr>
          <w:lang w:val="en-GB"/>
        </w:rPr>
      </w:pPr>
      <w:r w:rsidRPr="00C73157">
        <w:t>The Centre for Excellence in Universal Design at the National Disability Authority</w:t>
      </w:r>
      <w:r>
        <w:t xml:space="preserve"> collaborated as a participant in an EU </w:t>
      </w:r>
      <w:r w:rsidRPr="00C73157">
        <w:t xml:space="preserve">Short Term Scientific Mission research </w:t>
      </w:r>
      <w:r>
        <w:t>project.</w:t>
      </w:r>
      <w:r w:rsidRPr="00C73157">
        <w:t xml:space="preserve"> </w:t>
      </w:r>
      <w:r>
        <w:t>Universal Design was applied as a key reference in the</w:t>
      </w:r>
      <w:r w:rsidRPr="00C73157">
        <w:t xml:space="preserve"> COST Action TU 1204</w:t>
      </w:r>
      <w:r>
        <w:t xml:space="preserve"> called </w:t>
      </w:r>
      <w:r w:rsidR="00320EA8">
        <w:t>“</w:t>
      </w:r>
      <w:r w:rsidRPr="00C73157">
        <w:t>People</w:t>
      </w:r>
      <w:r w:rsidRPr="00E731E7">
        <w:rPr>
          <w:lang w:val="en-GB"/>
        </w:rPr>
        <w:t>-Friendly Cities in a Data Rich World.</w:t>
      </w:r>
      <w:r w:rsidR="00320EA8">
        <w:rPr>
          <w:lang w:val="en-GB"/>
        </w:rPr>
        <w:t>”</w:t>
      </w:r>
      <w:r>
        <w:rPr>
          <w:lang w:val="en-GB"/>
        </w:rPr>
        <w:t xml:space="preserve"> The project had an</w:t>
      </w:r>
      <w:r w:rsidRPr="00C73157">
        <w:rPr>
          <w:lang w:val="en-GB"/>
        </w:rPr>
        <w:t xml:space="preserve"> aim to understand the mechanisms of public participation in the Reference city of Lucca</w:t>
      </w:r>
      <w:r>
        <w:rPr>
          <w:lang w:val="en-GB"/>
        </w:rPr>
        <w:t xml:space="preserve"> in Italy</w:t>
      </w:r>
      <w:r w:rsidRPr="00C73157">
        <w:rPr>
          <w:lang w:val="en-GB"/>
        </w:rPr>
        <w:t xml:space="preserve"> and to develop a model for the</w:t>
      </w:r>
      <w:r w:rsidR="00E731E7">
        <w:rPr>
          <w:lang w:val="en-GB"/>
        </w:rPr>
        <w:t xml:space="preserve"> </w:t>
      </w:r>
      <w:r w:rsidR="00320EA8">
        <w:rPr>
          <w:lang w:val="en-GB"/>
        </w:rPr>
        <w:t>“</w:t>
      </w:r>
      <w:r w:rsidRPr="00E731E7">
        <w:rPr>
          <w:lang w:val="en-GB"/>
        </w:rPr>
        <w:t>City Sounding Board</w:t>
      </w:r>
      <w:r w:rsidR="00320EA8">
        <w:rPr>
          <w:lang w:val="en-GB"/>
        </w:rPr>
        <w:t>”</w:t>
      </w:r>
      <w:r w:rsidR="00E731E7">
        <w:rPr>
          <w:lang w:val="en-GB"/>
        </w:rPr>
        <w:t xml:space="preserve"> </w:t>
      </w:r>
      <w:r w:rsidRPr="00C73157">
        <w:rPr>
          <w:lang w:val="en-GB"/>
        </w:rPr>
        <w:t>that could be applied to other European cities.</w:t>
      </w:r>
      <w:r>
        <w:rPr>
          <w:lang w:val="en-GB"/>
        </w:rPr>
        <w:t xml:space="preserve"> The project report outcomes are that Universal Design was demonstrated as an effective part of a strategy to engage citizens, use a common language around design and to enable a </w:t>
      </w:r>
      <w:proofErr w:type="gramStart"/>
      <w:r>
        <w:rPr>
          <w:lang w:val="en-GB"/>
        </w:rPr>
        <w:t>community based</w:t>
      </w:r>
      <w:proofErr w:type="gramEnd"/>
      <w:r>
        <w:rPr>
          <w:lang w:val="en-GB"/>
        </w:rPr>
        <w:t xml:space="preserve"> co-creation processes.</w:t>
      </w:r>
    </w:p>
    <w:p w14:paraId="33350399" w14:textId="77777777" w:rsidR="008B5BDA" w:rsidRPr="005B0703" w:rsidRDefault="008B5BDA" w:rsidP="008B5BDA">
      <w:pPr>
        <w:pStyle w:val="Heading2"/>
      </w:pPr>
      <w:r>
        <w:t>Universal Design Grand Challenge 2014</w:t>
      </w:r>
    </w:p>
    <w:p w14:paraId="13D7DF2C" w14:textId="77777777" w:rsidR="009B109F" w:rsidRDefault="009B109F" w:rsidP="009B109F">
      <w:r>
        <w:t>The Centre for Excellence in Universal Design developed and operated a Universal Design Grand Challenge student awards competition in 2014.</w:t>
      </w:r>
      <w:r w:rsidR="000A53D0">
        <w:t xml:space="preserve"> </w:t>
      </w:r>
      <w:r>
        <w:t>Students from the final two years of study in third level and post graduate courses from schools in Ireland were invited to enter their best student project to compete for a People</w:t>
      </w:r>
      <w:r w:rsidR="00320EA8">
        <w:t>’</w:t>
      </w:r>
      <w:r>
        <w:t>s Choice and Judges</w:t>
      </w:r>
      <w:r w:rsidR="00320EA8">
        <w:t>’</w:t>
      </w:r>
      <w:r>
        <w:t xml:space="preserve"> Choice Award. The Universal Design Grand Challenge is a key tool in enabling NDA/CEUD to promote its educational materials for 3rd-level courses and to encourage students and instructors to consider Universal Design as a theme in their project work.</w:t>
      </w:r>
    </w:p>
    <w:p w14:paraId="5B99659D" w14:textId="77777777" w:rsidR="00627E0D" w:rsidRDefault="009B109F" w:rsidP="009B109F">
      <w:pPr>
        <w:rPr>
          <w:lang w:val="en-GB"/>
        </w:rPr>
      </w:pPr>
      <w:r>
        <w:t>CEUD hosted a summer Work Experience / Internship for an Industrial Designer from Italy to work with the Universal Design Grand Challenge project. The designer assisted with operation of the event and prepared professional graphics-based materials on Universal Design concepts and judging processes which can be replicated for future events</w:t>
      </w:r>
      <w:r>
        <w:rPr>
          <w:lang w:val="en-GB"/>
        </w:rPr>
        <w:t>.</w:t>
      </w:r>
    </w:p>
    <w:p w14:paraId="26DC0E94" w14:textId="77777777" w:rsidR="008B5BDA" w:rsidRPr="00755C07" w:rsidRDefault="008B5BDA" w:rsidP="008B5BDA">
      <w:pPr>
        <w:pStyle w:val="Heading2"/>
      </w:pPr>
      <w:r>
        <w:lastRenderedPageBreak/>
        <w:t>Universal Design Homes for Ireland Cost Assessment</w:t>
      </w:r>
    </w:p>
    <w:p w14:paraId="632815BC" w14:textId="77777777" w:rsidR="00627E0D" w:rsidRPr="00E731E7" w:rsidRDefault="00627E0D" w:rsidP="00E731E7">
      <w:r w:rsidRPr="00E731E7">
        <w:t>As part of our work to develop guidelines for Universal Designed Homes we have been examining cost considerations and working with the Housing Agency in this regard</w:t>
      </w:r>
      <w:proofErr w:type="gramStart"/>
      <w:r w:rsidRPr="00E731E7">
        <w:t>. .</w:t>
      </w:r>
      <w:proofErr w:type="gramEnd"/>
      <w:r w:rsidRPr="00E731E7">
        <w:t xml:space="preserve"> The Housing Agency continued to work on the Cost Assessment project over 2014. This Cost Assessment will provide vital </w:t>
      </w:r>
      <w:r w:rsidR="00320EA8">
        <w:t>“</w:t>
      </w:r>
      <w:r w:rsidRPr="00E731E7">
        <w:t>real world costs</w:t>
      </w:r>
      <w:r w:rsidR="00320EA8">
        <w:t>”</w:t>
      </w:r>
      <w:r w:rsidRPr="00E731E7">
        <w:t xml:space="preserve"> for the construction of Universal Design Homes in Ireland. This work also dovetails with the completed design guidance document </w:t>
      </w:r>
      <w:r w:rsidR="00320EA8">
        <w:t>“</w:t>
      </w:r>
      <w:r w:rsidRPr="00E731E7">
        <w:t>Universal Design Guidelines for Homes in Ireland</w:t>
      </w:r>
      <w:r w:rsidR="00320EA8">
        <w:t>”</w:t>
      </w:r>
      <w:r w:rsidRPr="00E731E7">
        <w:t>. It is expected to be completed by the middle of 2015. A Housing and Universal Design Seminar was help by NDA and the keynote speaker was Kay Saville Smith</w:t>
      </w:r>
      <w:r w:rsidR="006E32B3">
        <w:t>,</w:t>
      </w:r>
      <w:r w:rsidRPr="00E731E7">
        <w:t xml:space="preserve"> a housing and research expert from New Zealand. It was attended by leaders in the housing sector from both the public, private and government sectors.</w:t>
      </w:r>
    </w:p>
    <w:p w14:paraId="13D6C290" w14:textId="77777777" w:rsidR="008B5BDA" w:rsidRDefault="008B5BDA" w:rsidP="008B5BDA">
      <w:pPr>
        <w:pStyle w:val="Heading2"/>
      </w:pPr>
      <w:r w:rsidRPr="004612DE">
        <w:t>Universal Design Homes for People Living with dementia, their Families and Carers</w:t>
      </w:r>
    </w:p>
    <w:p w14:paraId="30F2CC0E" w14:textId="77777777" w:rsidR="00627E0D" w:rsidRDefault="00627E0D" w:rsidP="00627E0D">
      <w:r w:rsidRPr="00986053">
        <w:t xml:space="preserve">The project aims to provide design professionals and relevant stakeholders with the necessary Universal Design guidance to design new homes or to </w:t>
      </w:r>
      <w:proofErr w:type="gramStart"/>
      <w:r w:rsidRPr="00986053">
        <w:t>retro-fit</w:t>
      </w:r>
      <w:proofErr w:type="gramEnd"/>
      <w:r w:rsidRPr="00986053">
        <w:t xml:space="preserve"> existing housing stock in order to maintain for as long as possible the possibility of people </w:t>
      </w:r>
      <w:r>
        <w:t xml:space="preserve">living </w:t>
      </w:r>
      <w:r w:rsidRPr="00986053">
        <w:t xml:space="preserve">with dementia to be able to </w:t>
      </w:r>
      <w:r>
        <w:t>remain living</w:t>
      </w:r>
      <w:r w:rsidRPr="00986053">
        <w:t xml:space="preserve"> in their own homes and communities. The Research, Recommendations and Design Guidance will also cover the requirements of the families of those living with dementia.</w:t>
      </w:r>
      <w:r>
        <w:t xml:space="preserve"> This work is to be completed in Spring 2015.</w:t>
      </w:r>
    </w:p>
    <w:p w14:paraId="6D8B0256" w14:textId="77777777" w:rsidR="00627E0D" w:rsidRPr="00E731E7" w:rsidRDefault="00627E0D" w:rsidP="00627E0D">
      <w:r w:rsidRPr="00E731E7">
        <w:t xml:space="preserve">The launch of the Design Guidance with the </w:t>
      </w:r>
      <w:r w:rsidR="00320EA8">
        <w:t>“</w:t>
      </w:r>
      <w:r w:rsidRPr="00E731E7">
        <w:t>Universal Design Guidelines for Homes in Ireland</w:t>
      </w:r>
      <w:r w:rsidR="00320EA8">
        <w:t>”</w:t>
      </w:r>
      <w:r w:rsidRPr="00E731E7">
        <w:t xml:space="preserve"> is planned for 2015 as part of Year of Irish Design 2015.</w:t>
      </w:r>
    </w:p>
    <w:p w14:paraId="08E58180" w14:textId="77777777" w:rsidR="008B5BDA" w:rsidRPr="00A05684" w:rsidRDefault="008B5BDA" w:rsidP="008B5BDA">
      <w:pPr>
        <w:pStyle w:val="Heading2"/>
        <w:rPr>
          <w:lang w:val="en-GB"/>
        </w:rPr>
      </w:pPr>
      <w:r w:rsidRPr="00B62D2B">
        <w:rPr>
          <w:lang w:val="en-GB"/>
        </w:rPr>
        <w:t xml:space="preserve">Universal Design </w:t>
      </w:r>
      <w:r w:rsidR="001B6508">
        <w:rPr>
          <w:lang w:val="en-GB"/>
        </w:rPr>
        <w:t>2nd-l</w:t>
      </w:r>
      <w:r w:rsidRPr="00B62D2B">
        <w:rPr>
          <w:lang w:val="en-GB"/>
        </w:rPr>
        <w:t>evel Short Course</w:t>
      </w:r>
    </w:p>
    <w:p w14:paraId="67A5C079" w14:textId="77777777" w:rsidR="006E32B3" w:rsidRDefault="006E32B3" w:rsidP="006E32B3">
      <w:r>
        <w:t xml:space="preserve">The Centre for Excellence in Universal Design at the National Disability Authority has started work toward development of a Universal Design curriculum module for use in second-level schools. </w:t>
      </w:r>
    </w:p>
    <w:p w14:paraId="5CD5CBE7" w14:textId="77777777" w:rsidR="006E32B3" w:rsidRDefault="006E32B3" w:rsidP="006E32B3">
      <w:r>
        <w:t>The curriculum will highlight respect for diversity as related to introducing second level students to design problem-solving based on user-centred Universal Design practices. The Short Course will align with the Key skills and Learning Statements in the National Council for Curriculum and Assessment, revised Junior Cycle Framework.</w:t>
      </w:r>
    </w:p>
    <w:p w14:paraId="10FC56FB" w14:textId="77777777" w:rsidR="00627E0D" w:rsidRPr="00B62D2B" w:rsidRDefault="006E32B3" w:rsidP="006E32B3">
      <w:r>
        <w:lastRenderedPageBreak/>
        <w:t xml:space="preserve">The project rationale is to introduce Universal Design thinking earlier into education </w:t>
      </w:r>
      <w:proofErr w:type="gramStart"/>
      <w:r>
        <w:t>so as to</w:t>
      </w:r>
      <w:proofErr w:type="gramEnd"/>
      <w:r>
        <w:t xml:space="preserve"> improve uptake at 3rd level. It will align with related Universal Design education initiatives and operate a 2nd-Level Workshop as part of the Year of Irish Design ID 2015. The Short Course is being planned for rollout in 2016</w:t>
      </w:r>
      <w:r w:rsidR="00627E0D">
        <w:t>.</w:t>
      </w:r>
    </w:p>
    <w:p w14:paraId="3BA18A8A" w14:textId="77777777" w:rsidR="008B5BDA" w:rsidRDefault="008B5BDA" w:rsidP="008B5BDA">
      <w:pPr>
        <w:pStyle w:val="Heading2"/>
        <w:rPr>
          <w:lang w:val="en-GB"/>
        </w:rPr>
      </w:pPr>
      <w:r>
        <w:rPr>
          <w:lang w:val="en-GB"/>
        </w:rPr>
        <w:t>Universal Design curriculum for 3</w:t>
      </w:r>
      <w:r w:rsidRPr="0015571B">
        <w:rPr>
          <w:lang w:val="en-GB"/>
        </w:rPr>
        <w:t>rd</w:t>
      </w:r>
      <w:r>
        <w:rPr>
          <w:lang w:val="en-GB"/>
        </w:rPr>
        <w:t xml:space="preserve"> level courses</w:t>
      </w:r>
    </w:p>
    <w:p w14:paraId="3F4CA22E" w14:textId="77777777" w:rsidR="00627E0D" w:rsidRDefault="00627E0D" w:rsidP="00627E0D">
      <w:r>
        <w:t xml:space="preserve">The </w:t>
      </w:r>
      <w:r w:rsidRPr="0015280E">
        <w:t>Centre for Excellence in Universal Design</w:t>
      </w:r>
      <w:r>
        <w:t xml:space="preserve"> continued to promulgate </w:t>
      </w:r>
      <w:r w:rsidRPr="00B031D7">
        <w:t>the 3rd</w:t>
      </w:r>
      <w:r>
        <w:t xml:space="preserve"> level educational materials on Universal Design suitable for use in a variety of courses. This included holding a workshop with all schools of architecture in Ireland on Universal Design. The half day workshop featured an introduction to teaching Universal Design to architecture students by Belgian architect and Emeritus Professor Hubert </w:t>
      </w:r>
      <w:proofErr w:type="spellStart"/>
      <w:r>
        <w:t>Froyen</w:t>
      </w:r>
      <w:proofErr w:type="spellEnd"/>
      <w:r>
        <w:t xml:space="preserve">. The workshop also featured a talk by a senior member of the RIAI and provided participants with the opportunity to discuss their views on opportunities for teaching Universal Design. </w:t>
      </w:r>
    </w:p>
    <w:p w14:paraId="79F69493" w14:textId="77777777" w:rsidR="00627E0D" w:rsidRPr="00E731E7" w:rsidRDefault="00627E0D" w:rsidP="00627E0D">
      <w:r>
        <w:t>Other meetings and guest lectures to promote use of the curriculum materials were held with various departments within DCU, UCD, IT Carlow, UCC, and IT Blanchardstown.</w:t>
      </w:r>
    </w:p>
    <w:p w14:paraId="03AED1C1" w14:textId="77777777" w:rsidR="00627E0D" w:rsidRPr="00511152" w:rsidRDefault="00627E0D" w:rsidP="00627E0D">
      <w:pPr>
        <w:pStyle w:val="Heading2"/>
        <w:rPr>
          <w:lang w:val="en-GB"/>
        </w:rPr>
      </w:pPr>
      <w:r w:rsidRPr="00511152">
        <w:rPr>
          <w:lang w:val="en-GB"/>
        </w:rPr>
        <w:t xml:space="preserve">Member of Department of </w:t>
      </w:r>
      <w:proofErr w:type="gramStart"/>
      <w:r w:rsidR="00771CAA">
        <w:rPr>
          <w:lang w:val="en-GB"/>
        </w:rPr>
        <w:t>an</w:t>
      </w:r>
      <w:proofErr w:type="gramEnd"/>
      <w:r w:rsidRPr="00511152">
        <w:rPr>
          <w:lang w:val="en-GB"/>
        </w:rPr>
        <w:t xml:space="preserve"> Taoiseach</w:t>
      </w:r>
      <w:r w:rsidR="00320EA8">
        <w:rPr>
          <w:lang w:val="en-GB"/>
        </w:rPr>
        <w:t>’</w:t>
      </w:r>
      <w:r>
        <w:rPr>
          <w:lang w:val="en-GB"/>
        </w:rPr>
        <w:t>s advisory group on Smart Ag</w:t>
      </w:r>
      <w:r w:rsidR="006E32B3">
        <w:rPr>
          <w:lang w:val="en-GB"/>
        </w:rPr>
        <w:t>e</w:t>
      </w:r>
      <w:r>
        <w:rPr>
          <w:lang w:val="en-GB"/>
        </w:rPr>
        <w:t>ing</w:t>
      </w:r>
    </w:p>
    <w:p w14:paraId="64B18073" w14:textId="77777777" w:rsidR="00627E0D" w:rsidRDefault="00627E0D" w:rsidP="00627E0D">
      <w:r>
        <w:t xml:space="preserve">The Department of </w:t>
      </w:r>
      <w:proofErr w:type="gramStart"/>
      <w:r>
        <w:t>an</w:t>
      </w:r>
      <w:proofErr w:type="gramEnd"/>
      <w:r>
        <w:t xml:space="preserve"> Taoiseach setup an advisory committee which the NDA were invited to be a member. The focus was the potential for</w:t>
      </w:r>
      <w:r w:rsidR="006B504B">
        <w:t xml:space="preserve"> </w:t>
      </w:r>
      <w:r>
        <w:t xml:space="preserve">Ireland of being a centre of innovation </w:t>
      </w:r>
      <w:proofErr w:type="gramStart"/>
      <w:r>
        <w:t>in the area of</w:t>
      </w:r>
      <w:proofErr w:type="gramEnd"/>
      <w:r>
        <w:t xml:space="preserve"> ag</w:t>
      </w:r>
      <w:r w:rsidR="006E32B3">
        <w:t>e</w:t>
      </w:r>
      <w:r>
        <w:t>ing across all sectors including health, education, technology, transport, tourism.</w:t>
      </w:r>
      <w:r w:rsidR="006B504B">
        <w:t xml:space="preserve"> </w:t>
      </w:r>
      <w:r>
        <w:t>NDA made a submission to the Department and were part of several meetings over the course of 2014. The final research report is due in early 2015.</w:t>
      </w:r>
    </w:p>
    <w:p w14:paraId="0899A37B" w14:textId="77777777" w:rsidR="00627E0D" w:rsidRPr="00716032" w:rsidRDefault="00627E0D" w:rsidP="00627E0D">
      <w:pPr>
        <w:pStyle w:val="Heading2"/>
        <w:rPr>
          <w:lang w:val="en-GB"/>
        </w:rPr>
      </w:pPr>
      <w:r w:rsidRPr="00716032">
        <w:rPr>
          <w:lang w:val="en-GB"/>
        </w:rPr>
        <w:t>Smart Metering and in</w:t>
      </w:r>
      <w:r w:rsidR="006E32B3">
        <w:rPr>
          <w:lang w:val="en-GB"/>
        </w:rPr>
        <w:t>-</w:t>
      </w:r>
      <w:r w:rsidRPr="00716032">
        <w:rPr>
          <w:lang w:val="en-GB"/>
        </w:rPr>
        <w:t xml:space="preserve">home Display for Irish </w:t>
      </w:r>
      <w:r>
        <w:rPr>
          <w:lang w:val="en-GB"/>
        </w:rPr>
        <w:t xml:space="preserve">Domestic </w:t>
      </w:r>
      <w:r w:rsidRPr="00716032">
        <w:rPr>
          <w:lang w:val="en-GB"/>
        </w:rPr>
        <w:t>Utilities</w:t>
      </w:r>
    </w:p>
    <w:p w14:paraId="09216826" w14:textId="77777777" w:rsidR="00627E0D" w:rsidRDefault="00627E0D" w:rsidP="00627E0D">
      <w:r>
        <w:t xml:space="preserve">Following the publication of the </w:t>
      </w:r>
      <w:r w:rsidR="006E32B3">
        <w:t>NDA</w:t>
      </w:r>
      <w:r w:rsidR="00320EA8">
        <w:t>’</w:t>
      </w:r>
      <w:r w:rsidR="006E32B3">
        <w:t xml:space="preserve">s </w:t>
      </w:r>
      <w:r>
        <w:t>technical guidelines for in</w:t>
      </w:r>
      <w:r w:rsidR="006E32B3">
        <w:t>-</w:t>
      </w:r>
      <w:r>
        <w:t xml:space="preserve">home displays that provides accessible, </w:t>
      </w:r>
      <w:proofErr w:type="gramStart"/>
      <w:r>
        <w:t>usable</w:t>
      </w:r>
      <w:proofErr w:type="gramEnd"/>
      <w:r>
        <w:t xml:space="preserve"> and understandable information on the consumption of domestic gas, electricity and water</w:t>
      </w:r>
      <w:r w:rsidR="006E32B3">
        <w:t>, t</w:t>
      </w:r>
      <w:r>
        <w:t>he NDA engaged with the Department of Environment and the Commission for Energy Regulation on the best course of action on implementing these guidelines. This work will continue into 2015.</w:t>
      </w:r>
    </w:p>
    <w:p w14:paraId="61A531B3" w14:textId="77777777" w:rsidR="008B5BDA" w:rsidRDefault="008B5BDA" w:rsidP="001B6508">
      <w:pPr>
        <w:pStyle w:val="Heading2"/>
        <w:rPr>
          <w:lang w:val="en-GB"/>
        </w:rPr>
      </w:pPr>
      <w:r w:rsidRPr="00E45A9C">
        <w:rPr>
          <w:lang w:val="en-GB"/>
        </w:rPr>
        <w:lastRenderedPageBreak/>
        <w:t>Promoting awareness and un</w:t>
      </w:r>
      <w:r>
        <w:rPr>
          <w:lang w:val="en-GB"/>
        </w:rPr>
        <w:t>derstanding of universal design</w:t>
      </w:r>
    </w:p>
    <w:p w14:paraId="19708D33" w14:textId="77777777" w:rsidR="00627E0D" w:rsidRPr="0015280E" w:rsidRDefault="00627E0D" w:rsidP="00627E0D">
      <w:r w:rsidRPr="0015280E">
        <w:t xml:space="preserve">The Centre for Excellence in Universal Design at the National Disability Authority </w:t>
      </w:r>
      <w:r>
        <w:t>maintains</w:t>
      </w:r>
      <w:r w:rsidRPr="0015280E">
        <w:t xml:space="preserve"> a corporate partnership with the Institute of Designers Ir</w:t>
      </w:r>
      <w:r>
        <w:t>eland (IDI)</w:t>
      </w:r>
      <w:r w:rsidRPr="0015280E">
        <w:t>. Th</w:t>
      </w:r>
      <w:r w:rsidR="006E32B3">
        <w:t>is</w:t>
      </w:r>
      <w:r w:rsidRPr="0015280E">
        <w:t xml:space="preserve"> partnership enables </w:t>
      </w:r>
      <w:r>
        <w:t xml:space="preserve">contact with the broad IDI professional membership and </w:t>
      </w:r>
      <w:r w:rsidR="006E32B3">
        <w:t xml:space="preserve">is </w:t>
      </w:r>
      <w:r>
        <w:t>an opportunity to</w:t>
      </w:r>
      <w:r w:rsidRPr="0015280E">
        <w:t xml:space="preserve"> advise the Universal Design (UD) category in the annual IDI Awards. The NDA also holds a seat on the IDI Council where opportunities occur to promote Universal Design in IDI initiatives and the associated Irish Year of Design. The IDI</w:t>
      </w:r>
      <w:r>
        <w:t>,</w:t>
      </w:r>
      <w:r w:rsidRPr="0015280E">
        <w:t xml:space="preserve"> UD category Award 2014 winner was </w:t>
      </w:r>
      <w:proofErr w:type="spellStart"/>
      <w:r w:rsidRPr="0015280E">
        <w:t>Gazel</w:t>
      </w:r>
      <w:proofErr w:type="spellEnd"/>
      <w:r w:rsidRPr="0015280E">
        <w:t>, (Universal Design clothes hanger).</w:t>
      </w:r>
      <w:r>
        <w:t xml:space="preserve"> Promotion of Universal Design across IDI continuously </w:t>
      </w:r>
      <w:proofErr w:type="gramStart"/>
      <w:r>
        <w:t>increases</w:t>
      </w:r>
      <w:proofErr w:type="gramEnd"/>
      <w:r>
        <w:t xml:space="preserve"> and plans are developing to add a Universal Design category into the IDI Graduate Awards 2015. </w:t>
      </w:r>
    </w:p>
    <w:p w14:paraId="0DE5A9F5" w14:textId="77777777" w:rsidR="008B5BDA" w:rsidRDefault="008B5BDA" w:rsidP="008B5BDA">
      <w:pPr>
        <w:pStyle w:val="Heading2"/>
      </w:pPr>
      <w:r>
        <w:t>Collaboration with the RIAI on the RIAI Universal Design Award</w:t>
      </w:r>
    </w:p>
    <w:p w14:paraId="3EB5D9F8" w14:textId="77777777" w:rsidR="00627E0D" w:rsidRPr="00C73B17" w:rsidRDefault="00D0189B" w:rsidP="00627E0D">
      <w:r>
        <w:t>Our</w:t>
      </w:r>
      <w:r w:rsidR="00627E0D" w:rsidRPr="00C73B17">
        <w:t xml:space="preserve"> Centre for Excellence in Universal Design </w:t>
      </w:r>
      <w:r>
        <w:t>continued to support</w:t>
      </w:r>
      <w:r w:rsidR="00627E0D" w:rsidRPr="00C73B17">
        <w:t xml:space="preserve"> the Royal Institute of the Architects of Ireland (RIAI) </w:t>
      </w:r>
      <w:r>
        <w:t xml:space="preserve">on the </w:t>
      </w:r>
      <w:r w:rsidR="00627E0D" w:rsidRPr="00C73B17">
        <w:t>Universal Design category as part of their annual architecture awards</w:t>
      </w:r>
      <w:r>
        <w:t xml:space="preserve"> </w:t>
      </w:r>
      <w:r w:rsidR="00627E0D" w:rsidRPr="00C73B17">
        <w:t>in 2014. The aim of the award is to promote excellence in Universal Design among the architectural profession in Ireland. As part of its support for the award, the CEUD invites an international architect to chair the jury for the award and to present a lecture related to Universal Design to RIAI members</w:t>
      </w:r>
      <w:r w:rsidR="00627E0D">
        <w:t xml:space="preserve">. Stephanie </w:t>
      </w:r>
      <w:proofErr w:type="spellStart"/>
      <w:r w:rsidR="00627E0D">
        <w:t>Akkaoui</w:t>
      </w:r>
      <w:proofErr w:type="spellEnd"/>
      <w:r w:rsidR="00627E0D">
        <w:t xml:space="preserve"> Hughes</w:t>
      </w:r>
      <w:r>
        <w:t>,</w:t>
      </w:r>
      <w:r w:rsidR="00627E0D">
        <w:t xml:space="preserve"> </w:t>
      </w:r>
      <w:r>
        <w:t xml:space="preserve">a Lebanese architect based in the Netherlands, delivered a </w:t>
      </w:r>
      <w:r w:rsidR="00627E0D">
        <w:t xml:space="preserve">lecture </w:t>
      </w:r>
      <w:r>
        <w:t xml:space="preserve">on </w:t>
      </w:r>
      <w:r w:rsidR="00320EA8">
        <w:t>“</w:t>
      </w:r>
      <w:r w:rsidR="00627E0D">
        <w:t>Designing contexts to foster human interactions</w:t>
      </w:r>
      <w:r w:rsidR="00320EA8">
        <w:t>”</w:t>
      </w:r>
      <w:r w:rsidR="00627E0D">
        <w:t>. The lecture was held at UCD Student Centre, winner of Best Universal Design and the Public Choice Award in the 2013 RIAI Architecture Awards.</w:t>
      </w:r>
    </w:p>
    <w:p w14:paraId="6177E140" w14:textId="77777777" w:rsidR="008B5BDA" w:rsidRDefault="008B5BDA" w:rsidP="008B5BDA">
      <w:pPr>
        <w:pStyle w:val="Heading2"/>
      </w:pPr>
      <w:r>
        <w:t>Measures to improve accessibility of p</w:t>
      </w:r>
      <w:r w:rsidR="006A65D8">
        <w:t>ublic sector websites in Europe</w:t>
      </w:r>
    </w:p>
    <w:p w14:paraId="4F092C24" w14:textId="77777777" w:rsidR="00627E0D" w:rsidRPr="00B82657" w:rsidRDefault="00627E0D" w:rsidP="00627E0D">
      <w:r w:rsidRPr="00B82657">
        <w:t xml:space="preserve">This report aims to make a new contribution to the existing evidence base on Web accessibility </w:t>
      </w:r>
      <w:proofErr w:type="gramStart"/>
      <w:r w:rsidRPr="00B82657">
        <w:t>in order to</w:t>
      </w:r>
      <w:proofErr w:type="gramEnd"/>
      <w:r w:rsidRPr="00B82657">
        <w:t xml:space="preserve"> support the current dialogues in the European Parliament and Council of Ministers around the European Commission</w:t>
      </w:r>
      <w:r w:rsidR="00320EA8">
        <w:t>’</w:t>
      </w:r>
      <w:r w:rsidRPr="00B82657">
        <w:t>s recent proposal for a Directive in this area</w:t>
      </w:r>
      <w:r w:rsidRPr="00B82657">
        <w:rPr>
          <w:vertAlign w:val="superscript"/>
        </w:rPr>
        <w:footnoteReference w:id="1"/>
      </w:r>
      <w:r w:rsidRPr="00B82657">
        <w:t>.</w:t>
      </w:r>
      <w:r>
        <w:t xml:space="preserve"> </w:t>
      </w:r>
      <w:r w:rsidRPr="00B82657">
        <w:t xml:space="preserve">The study was </w:t>
      </w:r>
      <w:r w:rsidRPr="00B82657">
        <w:lastRenderedPageBreak/>
        <w:t xml:space="preserve">co-funded by the </w:t>
      </w:r>
      <w:r w:rsidR="006E32B3">
        <w:t>D</w:t>
      </w:r>
      <w:r w:rsidRPr="00B82657">
        <w:t xml:space="preserve">epartment of Communications, </w:t>
      </w:r>
      <w:r w:rsidR="006E32B3">
        <w:t>E</w:t>
      </w:r>
      <w:r w:rsidRPr="00B82657">
        <w:t>nergy and Natural Resources.</w:t>
      </w:r>
    </w:p>
    <w:p w14:paraId="2DEF3D64" w14:textId="77777777" w:rsidR="00627E0D" w:rsidRPr="00B82657" w:rsidRDefault="00627E0D" w:rsidP="00627E0D">
      <w:r w:rsidRPr="00B82657">
        <w:t>The study conducted assessments of 39 websites in Ireland and 6 other Member states and carried out in-depth interviews with public web managers in three countries (Ireland, Germany</w:t>
      </w:r>
      <w:r>
        <w:t>,</w:t>
      </w:r>
      <w:r w:rsidRPr="00B82657">
        <w:t xml:space="preserve"> and Sweden). The study found that current levels of web accessibility remain low.</w:t>
      </w:r>
      <w:r>
        <w:t xml:space="preserve"> </w:t>
      </w:r>
      <w:r w:rsidRPr="00B82657">
        <w:t xml:space="preserve">None of the 37 public service websites that were assessed across the 7 countries currently comply fully with the WCAG 2.0 AA requirements. </w:t>
      </w:r>
    </w:p>
    <w:p w14:paraId="4E12F6C6" w14:textId="77777777" w:rsidR="00627E0D" w:rsidRPr="00B82657" w:rsidRDefault="00627E0D" w:rsidP="00627E0D">
      <w:r w:rsidRPr="00B82657">
        <w:t>The report contains recommendations for EU and national level policy related to web accessibility, and implications for web accessibility practices at national level.</w:t>
      </w:r>
    </w:p>
    <w:p w14:paraId="4891F4C7" w14:textId="77777777" w:rsidR="008B5BDA" w:rsidRPr="00B82657" w:rsidRDefault="008B5BDA" w:rsidP="00CA7C1D">
      <w:pPr>
        <w:pStyle w:val="NormalBeforeList"/>
      </w:pPr>
      <w:r w:rsidRPr="00B82657">
        <w:t xml:space="preserve">Key recommendations include: </w:t>
      </w:r>
    </w:p>
    <w:p w14:paraId="226850E2" w14:textId="77777777" w:rsidR="008B5BDA" w:rsidRDefault="008B5BDA" w:rsidP="00D8791A">
      <w:pPr>
        <w:pStyle w:val="ListBullet"/>
      </w:pPr>
      <w:r w:rsidRPr="00B82657">
        <w:t>Centralised, practical supports and tools for web development and management need to be in place within the public sector across Member States for the consistent and systematic management of accessibility</w:t>
      </w:r>
      <w:r w:rsidR="00627E0D">
        <w:t>.</w:t>
      </w:r>
    </w:p>
    <w:p w14:paraId="16F3B8BC" w14:textId="77777777" w:rsidR="008B5BDA" w:rsidRDefault="008B5BDA" w:rsidP="00D8791A">
      <w:pPr>
        <w:pStyle w:val="ListBullet"/>
      </w:pPr>
      <w:r w:rsidRPr="00B82657">
        <w:t>The public procurement of website design and development services and software for managing websites needs to systematically include accessibility as a criterion</w:t>
      </w:r>
      <w:r>
        <w:t>.</w:t>
      </w:r>
    </w:p>
    <w:p w14:paraId="1F02B47A" w14:textId="77777777" w:rsidR="008B5BDA" w:rsidRPr="008B5BDA" w:rsidRDefault="008B5BDA" w:rsidP="00D8791A">
      <w:pPr>
        <w:pStyle w:val="ListBullet"/>
        <w:rPr>
          <w:lang w:val="en-GB"/>
        </w:rPr>
      </w:pPr>
      <w:r w:rsidRPr="00B82657">
        <w:t xml:space="preserve">The monitoring of web accessibility at national or EU level (as proposed in the draft Directive) needs to provide operationally useful feedback that public bodies can use to </w:t>
      </w:r>
      <w:r>
        <w:t xml:space="preserve">improve the accessibility </w:t>
      </w:r>
      <w:r w:rsidRPr="00B82657">
        <w:t>of their websites</w:t>
      </w:r>
      <w:r>
        <w:t>.</w:t>
      </w:r>
    </w:p>
    <w:p w14:paraId="45D27E4B" w14:textId="77777777" w:rsidR="00E54C88" w:rsidRPr="00627E0D" w:rsidRDefault="008B5BDA" w:rsidP="00E45A9C">
      <w:pPr>
        <w:pStyle w:val="ListBullet"/>
        <w:rPr>
          <w:lang w:val="en-GB"/>
        </w:rPr>
      </w:pPr>
      <w:r w:rsidRPr="00B82657">
        <w:t>The report</w:t>
      </w:r>
      <w:r w:rsidR="00320EA8">
        <w:t>’</w:t>
      </w:r>
      <w:r w:rsidRPr="00B82657">
        <w:t>s recommendations and findings have been submitted to the Departments of Communications, Energy and Natural resources and will inform Ireland</w:t>
      </w:r>
      <w:r w:rsidR="00320EA8">
        <w:t>’</w:t>
      </w:r>
      <w:r w:rsidRPr="00B82657">
        <w:t xml:space="preserve">s submission on the </w:t>
      </w:r>
      <w:r>
        <w:t xml:space="preserve">EU </w:t>
      </w:r>
      <w:r w:rsidRPr="00B82657">
        <w:t>draft Directive.</w:t>
      </w:r>
    </w:p>
    <w:p w14:paraId="3743D225" w14:textId="77777777" w:rsidR="00E54C88" w:rsidRDefault="00E54C88" w:rsidP="0039617A">
      <w:pPr>
        <w:pStyle w:val="Heading1"/>
      </w:pPr>
      <w:bookmarkStart w:id="29" w:name="_Toc429053910"/>
      <w:bookmarkStart w:id="30" w:name="_Toc429054120"/>
      <w:bookmarkStart w:id="31" w:name="_Toc431218797"/>
      <w:r w:rsidRPr="0002481D">
        <w:lastRenderedPageBreak/>
        <w:t xml:space="preserve">Strategic </w:t>
      </w:r>
      <w:r>
        <w:t>p</w:t>
      </w:r>
      <w:r w:rsidRPr="0002481D">
        <w:t>riority 4</w:t>
      </w:r>
      <w:r>
        <w:t xml:space="preserve">: </w:t>
      </w:r>
      <w:r w:rsidRPr="00E45A9C">
        <w:t>Effective and efficient organisation</w:t>
      </w:r>
      <w:bookmarkEnd w:id="29"/>
      <w:bookmarkEnd w:id="30"/>
      <w:bookmarkEnd w:id="31"/>
    </w:p>
    <w:p w14:paraId="3FE1B98C" w14:textId="77777777" w:rsidR="00E54C88" w:rsidRDefault="00320EA8" w:rsidP="00E45A9C">
      <w:pPr>
        <w:rPr>
          <w:b/>
        </w:rPr>
      </w:pPr>
      <w:r>
        <w:rPr>
          <w:b/>
        </w:rPr>
        <w:t>“</w:t>
      </w:r>
      <w:r w:rsidR="00E54C88" w:rsidRPr="00E45A9C">
        <w:rPr>
          <w:b/>
        </w:rPr>
        <w:t>To develop an environment, supports, policies and systems to enable the National Disability Authority to effectively deliver on its strategic objectives.</w:t>
      </w:r>
      <w:r>
        <w:rPr>
          <w:b/>
        </w:rPr>
        <w:t>”</w:t>
      </w:r>
    </w:p>
    <w:p w14:paraId="5197FD1C" w14:textId="77777777" w:rsidR="00E54C88" w:rsidRDefault="00E54C88" w:rsidP="00E45A9C">
      <w:pPr>
        <w:pStyle w:val="Heading2"/>
      </w:pPr>
      <w:r>
        <w:t>E</w:t>
      </w:r>
      <w:r w:rsidRPr="00E45A9C">
        <w:t>nsur</w:t>
      </w:r>
      <w:r>
        <w:t>ing</w:t>
      </w:r>
      <w:r w:rsidRPr="00E45A9C">
        <w:t xml:space="preserve"> effective and efficient systems and communications to deliver objectives to a high</w:t>
      </w:r>
      <w:r>
        <w:t> </w:t>
      </w:r>
      <w:r w:rsidRPr="00E45A9C">
        <w:t>standard</w:t>
      </w:r>
    </w:p>
    <w:p w14:paraId="4ED5FF6D" w14:textId="77777777" w:rsidR="008B5BDA" w:rsidRDefault="008B5BDA" w:rsidP="008B5BDA">
      <w:pPr>
        <w:pStyle w:val="Heading3"/>
      </w:pPr>
      <w:r>
        <w:t>Updated website</w:t>
      </w:r>
      <w:r w:rsidR="003C7F59">
        <w:t>s</w:t>
      </w:r>
    </w:p>
    <w:p w14:paraId="02B4D3CA" w14:textId="77777777" w:rsidR="00E54C88" w:rsidRDefault="008B5BDA" w:rsidP="008B5BDA">
      <w:r>
        <w:t>The National Disability Authority launched its new website</w:t>
      </w:r>
      <w:r w:rsidR="003C7F59">
        <w:t>s</w:t>
      </w:r>
      <w:r>
        <w:t xml:space="preserve">, available at </w:t>
      </w:r>
      <w:hyperlink r:id="rId9" w:history="1">
        <w:r w:rsidR="00DE0766" w:rsidRPr="005F5B12">
          <w:rPr>
            <w:rStyle w:val="Hyperlink"/>
          </w:rPr>
          <w:t>http://NDA.ie</w:t>
        </w:r>
      </w:hyperlink>
      <w:r>
        <w:t xml:space="preserve"> and </w:t>
      </w:r>
      <w:hyperlink r:id="rId10" w:history="1">
        <w:r w:rsidRPr="00AA70A2">
          <w:rPr>
            <w:rStyle w:val="Hyperlink"/>
          </w:rPr>
          <w:t>http://UniversalDesign.ie</w:t>
        </w:r>
      </w:hyperlink>
      <w:r>
        <w:t>. The new website</w:t>
      </w:r>
      <w:r w:rsidR="003C7F59">
        <w:t>s</w:t>
      </w:r>
      <w:r>
        <w:t xml:space="preserve"> improve the way in which the NDA disseminates information </w:t>
      </w:r>
      <w:proofErr w:type="gramStart"/>
      <w:r>
        <w:t>online, and</w:t>
      </w:r>
      <w:proofErr w:type="gramEnd"/>
      <w:r>
        <w:t xml:space="preserve"> allows staff to manage the NDA</w:t>
      </w:r>
      <w:r w:rsidR="00320EA8">
        <w:t>’</w:t>
      </w:r>
      <w:r>
        <w:t xml:space="preserve">s online content more efficiently. The new website is an exemplar of modern web design: it is accessible to people of different abilities, and it is flexible enough to be usable on any screen or device. </w:t>
      </w:r>
      <w:r w:rsidR="003C7F59">
        <w:t xml:space="preserve">The project included </w:t>
      </w:r>
      <w:r>
        <w:t xml:space="preserve">research </w:t>
      </w:r>
      <w:r w:rsidR="003C7F59">
        <w:t xml:space="preserve">on </w:t>
      </w:r>
      <w:r>
        <w:t>the needs and behaviours of the NDA</w:t>
      </w:r>
      <w:r w:rsidR="00320EA8">
        <w:t>’</w:t>
      </w:r>
      <w:r>
        <w:t xml:space="preserve">s target audience, and then </w:t>
      </w:r>
      <w:r w:rsidR="003C7F59">
        <w:t xml:space="preserve">to </w:t>
      </w:r>
      <w:r>
        <w:t>develop a website that addressed th</w:t>
      </w:r>
      <w:r w:rsidR="003C7F59">
        <w:t>e</w:t>
      </w:r>
      <w:r>
        <w:t xml:space="preserve">se. The NDA </w:t>
      </w:r>
      <w:r w:rsidR="003C7F59">
        <w:t xml:space="preserve">aims to </w:t>
      </w:r>
      <w:r>
        <w:t>publish templates, based on their new website</w:t>
      </w:r>
      <w:r w:rsidR="00320EA8">
        <w:t>’</w:t>
      </w:r>
      <w:r>
        <w:t>s design and source code, to allow other public bodies to create similarly accessible, flexible websites.</w:t>
      </w:r>
    </w:p>
    <w:p w14:paraId="6E2DA207" w14:textId="77777777" w:rsidR="00C44513" w:rsidRDefault="00C44513" w:rsidP="00C44513">
      <w:pPr>
        <w:pStyle w:val="Heading3"/>
      </w:pPr>
      <w:r>
        <w:t>Building maintenance</w:t>
      </w:r>
    </w:p>
    <w:p w14:paraId="67ADE8D8" w14:textId="77777777" w:rsidR="001F6435" w:rsidRDefault="001F6435" w:rsidP="001F6435">
      <w:r>
        <w:t>Relevant maintenance works were carried out.</w:t>
      </w:r>
    </w:p>
    <w:p w14:paraId="15CA9271" w14:textId="77777777" w:rsidR="00C44513" w:rsidRDefault="001F6435" w:rsidP="001F6435">
      <w:r>
        <w:t xml:space="preserve">It is anticipated that a floor of office accommodation will be leased out </w:t>
      </w:r>
      <w:r w:rsidRPr="00772F8E">
        <w:t>in 2015</w:t>
      </w:r>
      <w:r>
        <w:t>.</w:t>
      </w:r>
    </w:p>
    <w:p w14:paraId="1760C914" w14:textId="77777777" w:rsidR="008175DF" w:rsidRPr="008175DF" w:rsidRDefault="008175DF" w:rsidP="008175DF">
      <w:pPr>
        <w:pStyle w:val="Heading3"/>
      </w:pPr>
      <w:r w:rsidRPr="008175DF">
        <w:t>Managed Print Services</w:t>
      </w:r>
    </w:p>
    <w:p w14:paraId="770EB770" w14:textId="77777777" w:rsidR="008175DF" w:rsidRPr="008175DF" w:rsidRDefault="001F6435" w:rsidP="00E74C8A">
      <w:r w:rsidRPr="001F6435">
        <w:t>The National Disability Authority availed of the Department of Justice and Equality’s Managed Print Service Contract in 2013.</w:t>
      </w:r>
      <w:r>
        <w:t xml:space="preserve"> </w:t>
      </w:r>
      <w:r w:rsidRPr="001F6435">
        <w:t>Further enhancements to printing practice were advanced in 2014 increasing efficiencies.</w:t>
      </w:r>
    </w:p>
    <w:p w14:paraId="0AA04637" w14:textId="77777777" w:rsidR="008175DF" w:rsidRPr="008175DF" w:rsidRDefault="008175DF" w:rsidP="008175DF">
      <w:pPr>
        <w:pStyle w:val="Heading3"/>
      </w:pPr>
      <w:r w:rsidRPr="008175DF">
        <w:t>I</w:t>
      </w:r>
      <w:r>
        <w:t xml:space="preserve">nformation and </w:t>
      </w:r>
      <w:r w:rsidRPr="008175DF">
        <w:t>C</w:t>
      </w:r>
      <w:r>
        <w:t>ommuni</w:t>
      </w:r>
      <w:r w:rsidRPr="008175DF">
        <w:t>c</w:t>
      </w:r>
      <w:r>
        <w:t xml:space="preserve">ation </w:t>
      </w:r>
      <w:r w:rsidRPr="008175DF">
        <w:t>T</w:t>
      </w:r>
      <w:r>
        <w:t>e</w:t>
      </w:r>
      <w:r w:rsidRPr="008175DF">
        <w:t>ch</w:t>
      </w:r>
      <w:r>
        <w:t>nology</w:t>
      </w:r>
    </w:p>
    <w:p w14:paraId="41B26FA4" w14:textId="77777777" w:rsidR="001F6435" w:rsidRDefault="001F6435" w:rsidP="001F6435">
      <w:r>
        <w:t>The National Disability Authority avails of the Shared ICT Support Service from the Department of Justice and Equality.</w:t>
      </w:r>
    </w:p>
    <w:p w14:paraId="7571C13D" w14:textId="77777777" w:rsidR="001F6435" w:rsidRDefault="001F6435" w:rsidP="001F6435">
      <w:r>
        <w:lastRenderedPageBreak/>
        <w:t>Improvements in 2014 included a network system refresh providing a more up to date and supported versions necessary software and internet browsers.</w:t>
      </w:r>
    </w:p>
    <w:p w14:paraId="280F391F" w14:textId="77777777" w:rsidR="001F6435" w:rsidRDefault="001F6435" w:rsidP="001F6435">
      <w:r>
        <w:t>Old National Disability Authority servers were removed to be disposed of as appropriate and to enable key data to be stored.</w:t>
      </w:r>
    </w:p>
    <w:p w14:paraId="6B0F2CC1" w14:textId="77777777" w:rsidR="001F6435" w:rsidRDefault="001F6435" w:rsidP="001F6435">
      <w:r>
        <w:t>A new Telephony Solution was introduced that uses data network for transmission of voice communication rather than traditional phone lines, bringing improved functionality as well as significant savings in telecommunications costs. Calls to departments and agencies availing of the same network system are free and there is potential to route calls through a centre at lower costs.</w:t>
      </w:r>
    </w:p>
    <w:p w14:paraId="4034E7CB" w14:textId="77777777" w:rsidR="008175DF" w:rsidRPr="008175DF" w:rsidRDefault="001F6435" w:rsidP="001F6435">
      <w:r>
        <w:t>New handsets were deployed to staff which allow for teleconferencing, some allowing for video conferencing with Department of Justice and Equality.</w:t>
      </w:r>
    </w:p>
    <w:p w14:paraId="48AD1E01" w14:textId="77777777" w:rsidR="00E54C88" w:rsidRDefault="00E54C88" w:rsidP="00E45A9C">
      <w:pPr>
        <w:pStyle w:val="Heading2"/>
      </w:pPr>
      <w:r>
        <w:t>E</w:t>
      </w:r>
      <w:r w:rsidRPr="00E45A9C">
        <w:t>nsur</w:t>
      </w:r>
      <w:r>
        <w:t>ing</w:t>
      </w:r>
      <w:r w:rsidRPr="00E45A9C">
        <w:t xml:space="preserve"> effective external communications</w:t>
      </w:r>
    </w:p>
    <w:p w14:paraId="3464DC3D" w14:textId="77777777" w:rsidR="00EA5679" w:rsidRDefault="00EA5679" w:rsidP="00EA5679">
      <w:pPr>
        <w:pStyle w:val="Heading3"/>
      </w:pPr>
      <w:proofErr w:type="spellStart"/>
      <w:r>
        <w:t>eNewsletter</w:t>
      </w:r>
      <w:proofErr w:type="spellEnd"/>
    </w:p>
    <w:p w14:paraId="1C61DBC4" w14:textId="77777777" w:rsidR="00EA5679" w:rsidRDefault="00EA5679" w:rsidP="00EA5679">
      <w:r>
        <w:t xml:space="preserve">The National Disability Authority published three editions of its </w:t>
      </w:r>
      <w:proofErr w:type="spellStart"/>
      <w:r>
        <w:t>eNewsletter</w:t>
      </w:r>
      <w:proofErr w:type="spellEnd"/>
      <w:r>
        <w:t xml:space="preserve"> which is circulated to over 2,500 subscribers. </w:t>
      </w:r>
    </w:p>
    <w:p w14:paraId="7138AC3E" w14:textId="77777777" w:rsidR="00EA5679" w:rsidRDefault="00320EA8" w:rsidP="00EA5679">
      <w:pPr>
        <w:pStyle w:val="Heading3"/>
      </w:pPr>
      <w:r>
        <w:t>“</w:t>
      </w:r>
      <w:r w:rsidR="00EA5679">
        <w:t>At a glance</w:t>
      </w:r>
      <w:r>
        <w:t>”</w:t>
      </w:r>
      <w:r w:rsidR="00EA5679">
        <w:t xml:space="preserve"> summaries</w:t>
      </w:r>
    </w:p>
    <w:p w14:paraId="2634AFA6" w14:textId="77777777" w:rsidR="00E54C88" w:rsidRDefault="00EA5679" w:rsidP="00E45A9C">
      <w:r>
        <w:t xml:space="preserve">The National Disability Authority has developed a template for </w:t>
      </w:r>
      <w:r w:rsidR="00320EA8">
        <w:t>“</w:t>
      </w:r>
      <w:r>
        <w:t>At a glance</w:t>
      </w:r>
      <w:r w:rsidR="00320EA8">
        <w:t>”</w:t>
      </w:r>
      <w:r>
        <w:t xml:space="preserve"> summaries of NDA publications that will provide short, easy guide</w:t>
      </w:r>
      <w:r w:rsidR="00DE0766">
        <w:t>s</w:t>
      </w:r>
      <w:r w:rsidR="003C7F59">
        <w:t xml:space="preserve"> to NDA findings for a wider audience.</w:t>
      </w:r>
    </w:p>
    <w:p w14:paraId="4E434726" w14:textId="77777777" w:rsidR="00E54C88" w:rsidRDefault="00E54C88" w:rsidP="00E45A9C">
      <w:pPr>
        <w:pStyle w:val="Heading2"/>
      </w:pPr>
      <w:r>
        <w:t>M</w:t>
      </w:r>
      <w:r w:rsidRPr="00E45A9C">
        <w:t>aintain</w:t>
      </w:r>
      <w:r>
        <w:t>ing</w:t>
      </w:r>
      <w:r w:rsidRPr="00E45A9C">
        <w:t xml:space="preserve"> a library to guide disability and universal design research and policy</w:t>
      </w:r>
    </w:p>
    <w:p w14:paraId="060D6077" w14:textId="77777777" w:rsidR="00E54C88" w:rsidRDefault="00C079D0" w:rsidP="00C079D0">
      <w:r>
        <w:t xml:space="preserve">The NDA Library supports the development of evidence-based advice through literature searches for staff. The library is open to the </w:t>
      </w:r>
      <w:proofErr w:type="gramStart"/>
      <w:r>
        <w:t>general public</w:t>
      </w:r>
      <w:proofErr w:type="gramEnd"/>
      <w:r>
        <w:t xml:space="preserve"> on Thursdays by prior appointment. Our library holds over 50,000 items on disability, accessibility, and related subjects. The collection includes books, e-books, e-journals, print journals, newsletters, DVDs, CD-ROMs, and archival material. In 2014, library staff responded to over 300 queries, including literature searches for staff, requests for articles, loans, renewals, and queries from staff and the </w:t>
      </w:r>
      <w:proofErr w:type="gramStart"/>
      <w:r>
        <w:t>general public</w:t>
      </w:r>
      <w:proofErr w:type="gramEnd"/>
      <w:r>
        <w:t>. Staff were updated regularly on policy and research developments and online resources to support their work.</w:t>
      </w:r>
    </w:p>
    <w:p w14:paraId="4A3A58AC" w14:textId="77777777" w:rsidR="00E54C88" w:rsidRDefault="00E54C88" w:rsidP="00E45A9C">
      <w:pPr>
        <w:pStyle w:val="Heading2"/>
      </w:pPr>
      <w:r>
        <w:lastRenderedPageBreak/>
        <w:t>I</w:t>
      </w:r>
      <w:r w:rsidRPr="00E45A9C">
        <w:t>mplement</w:t>
      </w:r>
      <w:r>
        <w:t>ing</w:t>
      </w:r>
      <w:r w:rsidRPr="00E45A9C">
        <w:t xml:space="preserve"> the Human Resources Strategy</w:t>
      </w:r>
      <w:r>
        <w:t xml:space="preserve"> </w:t>
      </w:r>
      <w:r w:rsidRPr="00E45A9C">
        <w:t>to support staff and nurture a positive work culture</w:t>
      </w:r>
    </w:p>
    <w:p w14:paraId="3B68951A" w14:textId="77777777" w:rsidR="00E54C88" w:rsidRDefault="001F6435" w:rsidP="00C44513">
      <w:proofErr w:type="gramStart"/>
      <w:r w:rsidRPr="001F6435">
        <w:t>A number of</w:t>
      </w:r>
      <w:proofErr w:type="gramEnd"/>
      <w:r w:rsidRPr="001F6435">
        <w:t xml:space="preserve"> HR policies were updated to reflect changes in legislation and other impacting factors. Parental Leave has been enhanced, including an increase in the amount of leave available to each parent in line with civil service policy, so that staff can take Parental Leave for children up to age 13 years.</w:t>
      </w:r>
      <w:r w:rsidR="00D00624">
        <w:t xml:space="preserve"> </w:t>
      </w:r>
      <w:r w:rsidRPr="001F6435">
        <w:t>Arising out of the Haddington Road Agreement, from 1st July 2014 the amount of Flexi Leave that qualifying staff may take was reduced.</w:t>
      </w:r>
    </w:p>
    <w:p w14:paraId="362CDF63" w14:textId="77777777" w:rsidR="00C44513" w:rsidRDefault="00C44513" w:rsidP="00C44513">
      <w:r>
        <w:t>Sanction was granted to the NDA to fill a permanent Senior Research Officer post and subsequently the NDA welcomed the appointment of the officer mid-year.</w:t>
      </w:r>
    </w:p>
    <w:p w14:paraId="7282A3BE" w14:textId="77777777" w:rsidR="00E62652" w:rsidRDefault="00E62652" w:rsidP="00E62652">
      <w:pPr>
        <w:pStyle w:val="Heading3"/>
      </w:pPr>
      <w:r>
        <w:t>Training and Development</w:t>
      </w:r>
    </w:p>
    <w:p w14:paraId="18D09481" w14:textId="77777777" w:rsidR="00E62652" w:rsidRPr="00E62652" w:rsidRDefault="008175DF" w:rsidP="00E62652">
      <w:r w:rsidRPr="008175DF">
        <w:t xml:space="preserve">Staff members Training &amp; Development progressed as informed by </w:t>
      </w:r>
      <w:proofErr w:type="spellStart"/>
      <w:proofErr w:type="gramStart"/>
      <w:r w:rsidRPr="008175DF">
        <w:t>they</w:t>
      </w:r>
      <w:proofErr w:type="spellEnd"/>
      <w:proofErr w:type="gramEnd"/>
      <w:r w:rsidRPr="008175DF">
        <w:t xml:space="preserve"> individual PMDS. In </w:t>
      </w:r>
      <w:proofErr w:type="gramStart"/>
      <w:r w:rsidRPr="008175DF">
        <w:t>addition</w:t>
      </w:r>
      <w:proofErr w:type="gramEnd"/>
      <w:r w:rsidRPr="008175DF">
        <w:t xml:space="preserve"> a range of training took place for select individuals, including; Building Blocks for Emotionally Intelligent Leadership, </w:t>
      </w:r>
      <w:proofErr w:type="spellStart"/>
      <w:r w:rsidRPr="008175DF">
        <w:t>EnergyMAP</w:t>
      </w:r>
      <w:proofErr w:type="spellEnd"/>
      <w:r w:rsidRPr="008175DF">
        <w:t>, Editing the NDA Website, Realising the Benefits of Risk Management and Line Management Training</w:t>
      </w:r>
      <w:r>
        <w:t>.</w:t>
      </w:r>
    </w:p>
    <w:p w14:paraId="14DDE2AC" w14:textId="77777777" w:rsidR="00E62652" w:rsidRPr="00E62652" w:rsidRDefault="00E62652" w:rsidP="00E62652">
      <w:pPr>
        <w:pStyle w:val="Heading3"/>
      </w:pPr>
      <w:r w:rsidRPr="00E62652">
        <w:t>Partnership Committee</w:t>
      </w:r>
    </w:p>
    <w:p w14:paraId="1F4D90BE" w14:textId="77777777" w:rsidR="00E62652" w:rsidRPr="00E62652" w:rsidRDefault="00212E3E" w:rsidP="00E62652">
      <w:r w:rsidRPr="00212E3E">
        <w:t>Our Partnership Committee met 4 times during 2014. The committee</w:t>
      </w:r>
      <w:r w:rsidR="00320EA8">
        <w:t>’</w:t>
      </w:r>
      <w:r w:rsidRPr="00212E3E">
        <w:t xml:space="preserve">s work over the course of the year included operating the Staff Suggestion Scheme for 2014 for which four prizes were awarded under the categories </w:t>
      </w:r>
      <w:r w:rsidR="00320EA8">
        <w:t>“</w:t>
      </w:r>
      <w:r w:rsidRPr="00212E3E">
        <w:t>Saving Time and Money</w:t>
      </w:r>
      <w:r w:rsidR="00320EA8">
        <w:t>”</w:t>
      </w:r>
      <w:r w:rsidRPr="00212E3E">
        <w:t xml:space="preserve"> and </w:t>
      </w:r>
      <w:r w:rsidR="00320EA8">
        <w:t>“</w:t>
      </w:r>
      <w:r w:rsidRPr="00212E3E">
        <w:t>Energy Initiatives</w:t>
      </w:r>
      <w:r w:rsidR="00320EA8">
        <w:t>”</w:t>
      </w:r>
      <w:r>
        <w:t>,</w:t>
      </w:r>
      <w:r w:rsidRPr="00212E3E">
        <w:t xml:space="preserve"> </w:t>
      </w:r>
      <w:proofErr w:type="gramStart"/>
      <w:r w:rsidRPr="00212E3E">
        <w:t>producing</w:t>
      </w:r>
      <w:proofErr w:type="gramEnd"/>
      <w:r w:rsidRPr="00212E3E">
        <w:t xml:space="preserve"> and issuing a Partnership Bulletin for staff</w:t>
      </w:r>
      <w:r>
        <w:t>,</w:t>
      </w:r>
      <w:r w:rsidRPr="00212E3E">
        <w:t xml:space="preserve"> input to </w:t>
      </w:r>
      <w:r>
        <w:t xml:space="preserve">the </w:t>
      </w:r>
      <w:r w:rsidRPr="00212E3E">
        <w:t>NDA Customer Action Plan</w:t>
      </w:r>
      <w:r>
        <w:t>,</w:t>
      </w:r>
      <w:r w:rsidRPr="00212E3E">
        <w:t xml:space="preserve"> and continuing to bring forward ideas to guide staff morale initiatives.</w:t>
      </w:r>
    </w:p>
    <w:p w14:paraId="7DB67B99" w14:textId="77777777" w:rsidR="00E54C88" w:rsidRDefault="00E54C88" w:rsidP="00E45A9C">
      <w:pPr>
        <w:pStyle w:val="Heading2"/>
      </w:pPr>
      <w:r>
        <w:t>E</w:t>
      </w:r>
      <w:r w:rsidRPr="00E45A9C">
        <w:t>nsur</w:t>
      </w:r>
      <w:r>
        <w:t>ing</w:t>
      </w:r>
      <w:r w:rsidRPr="00E45A9C">
        <w:t xml:space="preserve"> the effective delivery of statutory and regulatory responsibilities</w:t>
      </w:r>
    </w:p>
    <w:p w14:paraId="5CB08DB9" w14:textId="77777777" w:rsidR="00784D92" w:rsidRDefault="00784D92" w:rsidP="00784D92">
      <w:pPr>
        <w:pStyle w:val="Heading3"/>
      </w:pPr>
      <w:r>
        <w:t>Finance and governance</w:t>
      </w:r>
    </w:p>
    <w:p w14:paraId="7C39D6D5" w14:textId="77777777" w:rsidR="001B6508" w:rsidRDefault="00784D92" w:rsidP="00784D92">
      <w:r>
        <w:t>In line with the National Disability Authority Act 1999, the NDA prepared and submitted financial accounts for 2013 to the C</w:t>
      </w:r>
      <w:r w:rsidR="000B4732">
        <w:t>omptroller and Auditor General.</w:t>
      </w:r>
      <w:r w:rsidR="00DD61F9">
        <w:t xml:space="preserve"> T</w:t>
      </w:r>
      <w:r w:rsidR="00DD61F9" w:rsidRPr="00DD61F9">
        <w:t>h</w:t>
      </w:r>
      <w:r w:rsidR="00DD61F9">
        <w:t xml:space="preserve">e </w:t>
      </w:r>
      <w:r w:rsidR="00DD61F9" w:rsidRPr="00DD61F9">
        <w:t>Department of Justice and Equality</w:t>
      </w:r>
      <w:r w:rsidR="00320EA8">
        <w:t>’</w:t>
      </w:r>
      <w:r w:rsidR="00DD61F9">
        <w:t>s</w:t>
      </w:r>
      <w:r w:rsidR="00DD61F9" w:rsidRPr="00DD61F9">
        <w:t xml:space="preserve"> Internal Audit Unit</w:t>
      </w:r>
      <w:r w:rsidR="00DD61F9">
        <w:t xml:space="preserve"> undertook a R</w:t>
      </w:r>
      <w:r w:rsidR="00DD61F9" w:rsidRPr="00DD61F9">
        <w:t>eview</w:t>
      </w:r>
      <w:r w:rsidR="00DD61F9">
        <w:t xml:space="preserve"> of t</w:t>
      </w:r>
      <w:r w:rsidR="00DD61F9" w:rsidRPr="00DD61F9">
        <w:t>h</w:t>
      </w:r>
      <w:r w:rsidR="00DD61F9">
        <w:t>e NDA</w:t>
      </w:r>
      <w:r w:rsidR="00320EA8">
        <w:t>’</w:t>
      </w:r>
      <w:r w:rsidR="00DD61F9">
        <w:t>s Internal Finan</w:t>
      </w:r>
      <w:r w:rsidR="00DD61F9" w:rsidRPr="00DD61F9">
        <w:t>c</w:t>
      </w:r>
      <w:r w:rsidR="00DD61F9">
        <w:t>ial Controls.</w:t>
      </w:r>
    </w:p>
    <w:p w14:paraId="51F3A768" w14:textId="77777777" w:rsidR="00784D92" w:rsidRDefault="00784D92" w:rsidP="00784D92">
      <w:r>
        <w:t xml:space="preserve">A new Authority was appointed in </w:t>
      </w:r>
      <w:r w:rsidR="000B4732">
        <w:t xml:space="preserve">July </w:t>
      </w:r>
      <w:r>
        <w:t xml:space="preserve">2014. Following this, the NDA submitted the approved accounts </w:t>
      </w:r>
      <w:r w:rsidR="00952B1E">
        <w:t xml:space="preserve">and </w:t>
      </w:r>
      <w:r>
        <w:t xml:space="preserve">the Annual Report for 2013 to the Minister. The Authority appointed an Audit Committee and a Finance Committee at their first meeting. The Authority met 3 times in 2014. The Audit Committee met once in 2014, and their Chair reported at the </w:t>
      </w:r>
      <w:r>
        <w:lastRenderedPageBreak/>
        <w:t>Authority</w:t>
      </w:r>
      <w:r w:rsidR="00320EA8">
        <w:t>’</w:t>
      </w:r>
      <w:r>
        <w:t xml:space="preserve">s final meeting of 2014. The Finance Committee met twice in </w:t>
      </w:r>
      <w:proofErr w:type="gramStart"/>
      <w:r>
        <w:t>2014, and</w:t>
      </w:r>
      <w:proofErr w:type="gramEnd"/>
      <w:r>
        <w:t xml:space="preserve"> monitored and reported on the NDA</w:t>
      </w:r>
      <w:r w:rsidR="00320EA8">
        <w:t>’</w:t>
      </w:r>
      <w:r>
        <w:t>s expenditure.</w:t>
      </w:r>
    </w:p>
    <w:p w14:paraId="0B6A2EB4" w14:textId="77777777" w:rsidR="00266A24" w:rsidRDefault="00266A24" w:rsidP="00266A24">
      <w:pPr>
        <w:pStyle w:val="Heading3"/>
      </w:pPr>
      <w:r>
        <w:t>Energy</w:t>
      </w:r>
    </w:p>
    <w:p w14:paraId="038E74C7" w14:textId="77777777" w:rsidR="00412A64" w:rsidRPr="008E0F2D" w:rsidRDefault="00412A64" w:rsidP="00412A64">
      <w:pPr>
        <w:pStyle w:val="Heading4"/>
      </w:pPr>
      <w:r w:rsidRPr="008E0F2D">
        <w:t>Overview of Energy Usage in 2014</w:t>
      </w:r>
    </w:p>
    <w:p w14:paraId="0B22B16A" w14:textId="77777777" w:rsidR="00412A64" w:rsidRPr="008E0F2D" w:rsidRDefault="00412A64" w:rsidP="00412A64">
      <w:r w:rsidRPr="008E0F2D">
        <w:t>The National Disability Authority Energy Team ha</w:t>
      </w:r>
      <w:r>
        <w:t>s</w:t>
      </w:r>
      <w:r w:rsidRPr="008E0F2D">
        <w:t xml:space="preserve"> registered and </w:t>
      </w:r>
      <w:r w:rsidR="0098479B" w:rsidRPr="008E0F2D">
        <w:t>maintains</w:t>
      </w:r>
      <w:r w:rsidRPr="008E0F2D">
        <w:t xml:space="preserve"> records for the National Disability Authority with the Sustainable Energy Authority of Ireland</w:t>
      </w:r>
      <w:r>
        <w:t>.</w:t>
      </w:r>
    </w:p>
    <w:p w14:paraId="4CFCEF0C" w14:textId="77777777" w:rsidR="00412A64" w:rsidRPr="008E0F2D" w:rsidRDefault="00412A64" w:rsidP="00D8791A">
      <w:pPr>
        <w:pStyle w:val="NormalBeforeList"/>
      </w:pPr>
      <w:r w:rsidRPr="008E0F2D">
        <w:t>The National Disability Authority has a total floor area of 2,633 m</w:t>
      </w:r>
      <w:r w:rsidRPr="008E0F2D">
        <w:rPr>
          <w:vertAlign w:val="superscript"/>
        </w:rPr>
        <w:t>2</w:t>
      </w:r>
      <w:r w:rsidRPr="008E0F2D">
        <w:t xml:space="preserve"> which comprises of two storey</w:t>
      </w:r>
      <w:r w:rsidR="00CF4CED">
        <w:t>s</w:t>
      </w:r>
      <w:r w:rsidRPr="008E0F2D">
        <w:t xml:space="preserve"> over garden level Victorian Building (x 2), a link building completed in 2006 and an adjoining three storey plus attic building completed in the early 1980s. The main energy users are:</w:t>
      </w:r>
    </w:p>
    <w:p w14:paraId="1E6B7A66" w14:textId="77777777" w:rsidR="00412A64" w:rsidRPr="008E0F2D" w:rsidRDefault="00412A64" w:rsidP="00D8791A">
      <w:pPr>
        <w:pStyle w:val="ListBullet"/>
      </w:pPr>
      <w:r w:rsidRPr="008E0F2D">
        <w:t>Electrical Energy</w:t>
      </w:r>
      <w:r w:rsidR="00CF4CED">
        <w:t xml:space="preserve">, that is </w:t>
      </w:r>
      <w:r w:rsidRPr="008E0F2D">
        <w:t>Lighting, ICT &amp; Offices, Air Conditioning and General Services</w:t>
      </w:r>
    </w:p>
    <w:p w14:paraId="1C436922" w14:textId="77777777" w:rsidR="00412A64" w:rsidRPr="008E0F2D" w:rsidRDefault="00412A64" w:rsidP="00412A64">
      <w:pPr>
        <w:pStyle w:val="ListBullet"/>
      </w:pPr>
      <w:r w:rsidRPr="008E0F2D">
        <w:t>Thermal Energy (Natural Gas)</w:t>
      </w:r>
      <w:r w:rsidR="00CF4CED">
        <w:t xml:space="preserve">, that is </w:t>
      </w:r>
      <w:r w:rsidRPr="008E0F2D">
        <w:t>Space Heating (LTHW radiator circuits and under floor heating) and Hot Water (HWS)</w:t>
      </w:r>
      <w:r w:rsidR="00CF4CED">
        <w:t>.</w:t>
      </w:r>
    </w:p>
    <w:p w14:paraId="6124FB2A" w14:textId="77777777" w:rsidR="00412A64" w:rsidRPr="008E0F2D" w:rsidRDefault="00412A64" w:rsidP="00D8791A">
      <w:pPr>
        <w:pStyle w:val="NormalBeforeList"/>
      </w:pPr>
      <w:r w:rsidRPr="008E0F2D">
        <w:t>In 2014, the National Disability Authority consumed 45 MWh of energy, consisting of:</w:t>
      </w:r>
    </w:p>
    <w:p w14:paraId="62C474D7" w14:textId="77777777" w:rsidR="00412A64" w:rsidRPr="008E0F2D" w:rsidRDefault="00412A64" w:rsidP="00D8791A">
      <w:pPr>
        <w:pStyle w:val="ListBullet"/>
      </w:pPr>
      <w:r w:rsidRPr="008E0F2D">
        <w:t xml:space="preserve">10.8 </w:t>
      </w:r>
      <w:r w:rsidR="00CF4CED">
        <w:t>MWh of electricity</w:t>
      </w:r>
    </w:p>
    <w:p w14:paraId="25C33C3E" w14:textId="77777777" w:rsidR="00412A64" w:rsidRPr="008E0F2D" w:rsidRDefault="00412A64" w:rsidP="00D8791A">
      <w:pPr>
        <w:pStyle w:val="ListBullet"/>
      </w:pPr>
      <w:r w:rsidRPr="008E0F2D">
        <w:t xml:space="preserve">34.2 </w:t>
      </w:r>
      <w:r w:rsidR="00CF4CED">
        <w:t>MWh of fossil fuels</w:t>
      </w:r>
    </w:p>
    <w:p w14:paraId="4DEACBB9" w14:textId="77777777" w:rsidR="00412A64" w:rsidRPr="008E0F2D" w:rsidRDefault="00412A64" w:rsidP="00412A64">
      <w:pPr>
        <w:pStyle w:val="ListBullet"/>
      </w:pPr>
      <w:r w:rsidRPr="008E0F2D">
        <w:t>0 MWh of renewable fuels.</w:t>
      </w:r>
    </w:p>
    <w:p w14:paraId="439650B3" w14:textId="77777777" w:rsidR="00412A64" w:rsidRPr="008E0F2D" w:rsidRDefault="00412A64" w:rsidP="00412A64">
      <w:pPr>
        <w:pStyle w:val="Heading4"/>
      </w:pPr>
      <w:r w:rsidRPr="008E0F2D">
        <w:t>Actions Undertaken in 2014</w:t>
      </w:r>
    </w:p>
    <w:p w14:paraId="78A2AA5B" w14:textId="77777777" w:rsidR="00412A64" w:rsidRPr="008E0F2D" w:rsidRDefault="00412A64" w:rsidP="00D8791A">
      <w:pPr>
        <w:pStyle w:val="NormalBeforeList"/>
      </w:pPr>
      <w:r w:rsidRPr="008E0F2D">
        <w:t>In 2014 the National Disability Authority undertook a range of initiatives to improve our energy performance, including:</w:t>
      </w:r>
    </w:p>
    <w:p w14:paraId="136E6244" w14:textId="77777777" w:rsidR="00412A64" w:rsidRPr="008E0F2D" w:rsidRDefault="00CF4CED" w:rsidP="00D8791A">
      <w:pPr>
        <w:pStyle w:val="ListBullet"/>
      </w:pPr>
      <w:r>
        <w:t>i</w:t>
      </w:r>
      <w:r w:rsidR="00412A64" w:rsidRPr="008E0F2D">
        <w:t>ntroducing a Managed Print Service with energy efficient printers and photocopiers which resulted in 2 MWh of annual savings</w:t>
      </w:r>
    </w:p>
    <w:p w14:paraId="0CBC9243" w14:textId="77777777" w:rsidR="00412A64" w:rsidRPr="008E0F2D" w:rsidRDefault="00CF4CED" w:rsidP="00D8791A">
      <w:pPr>
        <w:pStyle w:val="ListBullet"/>
      </w:pPr>
      <w:r>
        <w:t>running</w:t>
      </w:r>
      <w:r w:rsidR="00412A64" w:rsidRPr="008E0F2D">
        <w:t xml:space="preserve"> Energy Awareness Campaign</w:t>
      </w:r>
      <w:r>
        <w:t>,</w:t>
      </w:r>
      <w:r w:rsidR="00412A64" w:rsidRPr="008E0F2D">
        <w:t xml:space="preserve"> </w:t>
      </w:r>
      <w:r w:rsidRPr="008E0F2D">
        <w:t>which resulted in 3.1 MWh of annual savings</w:t>
      </w:r>
      <w:r>
        <w:t>,</w:t>
      </w:r>
      <w:r w:rsidRPr="008E0F2D">
        <w:t xml:space="preserve"> </w:t>
      </w:r>
      <w:r w:rsidR="00412A64" w:rsidRPr="008E0F2D">
        <w:t>focused on the following areas</w:t>
      </w:r>
      <w:r>
        <w:t>:</w:t>
      </w:r>
      <w:r w:rsidR="00412A64" w:rsidRPr="008E0F2D">
        <w:t xml:space="preserve"> General Energy, IT Equipment, Energy at Home, Lighting, Transport</w:t>
      </w:r>
    </w:p>
    <w:p w14:paraId="3943D9B9" w14:textId="77777777" w:rsidR="00412A64" w:rsidRPr="008E0F2D" w:rsidRDefault="00CF4CED" w:rsidP="00D8791A">
      <w:pPr>
        <w:pStyle w:val="ListBullet"/>
      </w:pPr>
      <w:r>
        <w:t>i</w:t>
      </w:r>
      <w:r w:rsidR="00412A64" w:rsidRPr="008E0F2D">
        <w:t>nstall</w:t>
      </w:r>
      <w:r>
        <w:t>ing</w:t>
      </w:r>
      <w:r w:rsidR="00412A64" w:rsidRPr="008E0F2D">
        <w:t xml:space="preserve"> timers for coffee machine and microwave which resulted in 0.6 MWh of annual savings</w:t>
      </w:r>
    </w:p>
    <w:p w14:paraId="7B046FAF" w14:textId="77777777" w:rsidR="00412A64" w:rsidRPr="008E0F2D" w:rsidRDefault="00CF4CED" w:rsidP="00D8791A">
      <w:pPr>
        <w:pStyle w:val="ListBullet"/>
      </w:pPr>
      <w:r>
        <w:t>d</w:t>
      </w:r>
      <w:r w:rsidR="00412A64" w:rsidRPr="008E0F2D">
        <w:t>evelop</w:t>
      </w:r>
      <w:r>
        <w:t>ing</w:t>
      </w:r>
      <w:r w:rsidR="00412A64" w:rsidRPr="008E0F2D">
        <w:t xml:space="preserve"> an energy monitoring and targeting system (M&amp;T) manual meter readings. Short term energy monitoring to assess electricity base loads and improve housekeeping efficiency and set targets. Establish energy performance indicators (</w:t>
      </w:r>
      <w:proofErr w:type="spellStart"/>
      <w:r w:rsidR="00412A64" w:rsidRPr="008E0F2D">
        <w:t>EnPIs</w:t>
      </w:r>
      <w:proofErr w:type="spellEnd"/>
      <w:r w:rsidR="00412A64" w:rsidRPr="008E0F2D">
        <w:t>) which resulted in 5.9 MWh of annual savings</w:t>
      </w:r>
    </w:p>
    <w:p w14:paraId="743D98D6" w14:textId="77777777" w:rsidR="00412A64" w:rsidRPr="008E0F2D" w:rsidRDefault="00412A64" w:rsidP="00D8791A">
      <w:pPr>
        <w:pStyle w:val="ListBullet"/>
      </w:pPr>
      <w:r w:rsidRPr="008E0F2D">
        <w:lastRenderedPageBreak/>
        <w:t>Energy MAP Training undertaken by 2 Energy Team Members</w:t>
      </w:r>
    </w:p>
    <w:p w14:paraId="7A1D4B24" w14:textId="77777777" w:rsidR="00412A64" w:rsidRPr="008E0F2D" w:rsidRDefault="00CF4CED" w:rsidP="00D8791A">
      <w:pPr>
        <w:pStyle w:val="ListBullet"/>
      </w:pPr>
      <w:r>
        <w:t>c</w:t>
      </w:r>
      <w:r w:rsidR="00412A64" w:rsidRPr="008E0F2D">
        <w:t>ommitt</w:t>
      </w:r>
      <w:r>
        <w:t>ing</w:t>
      </w:r>
      <w:r w:rsidR="00412A64" w:rsidRPr="008E0F2D">
        <w:t xml:space="preserve"> to the Public Sector Energy Partnership Programme</w:t>
      </w:r>
      <w:r>
        <w:t xml:space="preserve"> (</w:t>
      </w:r>
      <w:r w:rsidR="00412A64" w:rsidRPr="008E0F2D">
        <w:t xml:space="preserve">Partnership Support Manager </w:t>
      </w:r>
      <w:r>
        <w:t xml:space="preserve">was </w:t>
      </w:r>
      <w:r w:rsidR="00412A64" w:rsidRPr="008E0F2D">
        <w:t xml:space="preserve">appointed </w:t>
      </w:r>
      <w:r>
        <w:t xml:space="preserve">in </w:t>
      </w:r>
      <w:r w:rsidR="00412A64" w:rsidRPr="008E0F2D">
        <w:t>Nov</w:t>
      </w:r>
      <w:r>
        <w:t>ember</w:t>
      </w:r>
      <w:r w:rsidR="00412A64" w:rsidRPr="008E0F2D">
        <w:t xml:space="preserve"> 2014</w:t>
      </w:r>
      <w:r>
        <w:t>)</w:t>
      </w:r>
    </w:p>
    <w:p w14:paraId="50D89897" w14:textId="77777777" w:rsidR="00412A64" w:rsidRPr="008E0F2D" w:rsidRDefault="00412A64" w:rsidP="00D8791A">
      <w:pPr>
        <w:pStyle w:val="ListBullet"/>
      </w:pPr>
      <w:r w:rsidRPr="008E0F2D">
        <w:t>Energy Efficient Procurement</w:t>
      </w:r>
      <w:r w:rsidR="00CF4CED">
        <w:t xml:space="preserve">, such as </w:t>
      </w:r>
      <w:r w:rsidRPr="008E0F2D">
        <w:t xml:space="preserve">procuring energy supplies </w:t>
      </w:r>
      <w:r w:rsidR="00CF4CED" w:rsidRPr="008E0F2D">
        <w:t>through</w:t>
      </w:r>
      <w:r w:rsidRPr="008E0F2D">
        <w:t xml:space="preserve"> the National Procurement Service (NPS), procuring equipment classified as Triple E</w:t>
      </w:r>
      <w:r w:rsidR="00CF4CED">
        <w:t>,</w:t>
      </w:r>
      <w:r w:rsidRPr="008E0F2D">
        <w:t xml:space="preserve"> and incorporating the principles of energy efficient design at design stage of capital projects</w:t>
      </w:r>
    </w:p>
    <w:p w14:paraId="2062C415" w14:textId="77777777" w:rsidR="00412A64" w:rsidRPr="008E0F2D" w:rsidRDefault="00CF4CED" w:rsidP="00412A64">
      <w:pPr>
        <w:pStyle w:val="ListBullet"/>
      </w:pPr>
      <w:r>
        <w:t>developing</w:t>
      </w:r>
      <w:r w:rsidR="00412A64" w:rsidRPr="008E0F2D">
        <w:t xml:space="preserve"> </w:t>
      </w:r>
      <w:r>
        <w:t>the</w:t>
      </w:r>
      <w:r w:rsidR="00412A64" w:rsidRPr="008E0F2D">
        <w:t xml:space="preserve"> NDA Energy Policy</w:t>
      </w:r>
      <w:r>
        <w:t>.</w:t>
      </w:r>
    </w:p>
    <w:p w14:paraId="08090A56" w14:textId="77777777" w:rsidR="00412A64" w:rsidRPr="008E0F2D" w:rsidRDefault="00412A64" w:rsidP="00CF4CED">
      <w:r w:rsidRPr="008E0F2D">
        <w:t>Altogether, these and other energy saving measures are saving the National Disability Authority 11.6 MWh annually.</w:t>
      </w:r>
    </w:p>
    <w:p w14:paraId="5DDE3B44" w14:textId="77777777" w:rsidR="00640077" w:rsidRDefault="00640077" w:rsidP="005452EB">
      <w:pPr>
        <w:pStyle w:val="Heading3"/>
      </w:pPr>
      <w:r>
        <w:t>Access Officer</w:t>
      </w:r>
    </w:p>
    <w:p w14:paraId="3194781F" w14:textId="77777777" w:rsidR="00E54C88" w:rsidRDefault="00792546" w:rsidP="00640077">
      <w:r w:rsidRPr="00792546">
        <w:t>The NDA</w:t>
      </w:r>
      <w:r w:rsidR="00320EA8">
        <w:t>’</w:t>
      </w:r>
      <w:r w:rsidRPr="00792546">
        <w:t>s Access Officer, appointed in line with the Disability Act 2005, continued to guide and arrange appropriate help for persons with disabilities who accessed the NDA</w:t>
      </w:r>
      <w:r w:rsidR="00320EA8">
        <w:t>’</w:t>
      </w:r>
      <w:r w:rsidRPr="00792546">
        <w:t>s facilities, events, and website in 2014. The Access Officer</w:t>
      </w:r>
      <w:r w:rsidR="00320EA8">
        <w:t>’</w:t>
      </w:r>
      <w:r w:rsidRPr="00792546">
        <w:t>s contact details are on the home page of the NDA</w:t>
      </w:r>
      <w:r w:rsidR="00320EA8">
        <w:t>’</w:t>
      </w:r>
      <w:r w:rsidRPr="00792546">
        <w:t>s website.</w:t>
      </w:r>
    </w:p>
    <w:p w14:paraId="27D0FDA0" w14:textId="77777777" w:rsidR="00421776" w:rsidRDefault="00421776" w:rsidP="001B6508">
      <w:pPr>
        <w:pStyle w:val="Heading1"/>
      </w:pPr>
      <w:bookmarkStart w:id="32" w:name="_Toc429053911"/>
      <w:bookmarkStart w:id="33" w:name="_Toc429054121"/>
      <w:bookmarkStart w:id="34" w:name="_Toc431218798"/>
      <w:r w:rsidRPr="00EA5CF3">
        <w:lastRenderedPageBreak/>
        <w:t>Financ</w:t>
      </w:r>
      <w:r>
        <w:t>ial Statements</w:t>
      </w:r>
      <w:r w:rsidR="001B6508">
        <w:t>,</w:t>
      </w:r>
      <w:r>
        <w:t xml:space="preserve"> </w:t>
      </w:r>
      <w:r w:rsidRPr="00EA5CF3">
        <w:t>31</w:t>
      </w:r>
      <w:r w:rsidR="001B6508">
        <w:t>st </w:t>
      </w:r>
      <w:r w:rsidRPr="00EA5CF3">
        <w:t xml:space="preserve">December </w:t>
      </w:r>
      <w:r>
        <w:t>2014</w:t>
      </w:r>
      <w:bookmarkEnd w:id="32"/>
      <w:bookmarkEnd w:id="33"/>
      <w:bookmarkEnd w:id="34"/>
    </w:p>
    <w:p w14:paraId="179EBE17" w14:textId="77777777" w:rsidR="00421776" w:rsidRDefault="00421776" w:rsidP="00421776">
      <w:pPr>
        <w:pStyle w:val="Heading2"/>
      </w:pPr>
      <w:r w:rsidRPr="00300E3E">
        <w:t>Authority Members and other Information</w:t>
      </w:r>
    </w:p>
    <w:p w14:paraId="3FEF3F76" w14:textId="77777777" w:rsidR="00421776" w:rsidRDefault="00421776" w:rsidP="00421776">
      <w:pPr>
        <w:pStyle w:val="Heading3"/>
      </w:pPr>
      <w:r>
        <w:t xml:space="preserve">From </w:t>
      </w:r>
      <w:r w:rsidR="001354ED">
        <w:t>July</w:t>
      </w:r>
      <w:r>
        <w:t xml:space="preserve"> </w:t>
      </w:r>
      <w:r w:rsidR="001354ED">
        <w:t>2</w:t>
      </w:r>
      <w:r w:rsidR="00C01D9A">
        <w:t>2nd</w:t>
      </w:r>
      <w:r>
        <w:t xml:space="preserve"> – December 31st,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969"/>
      </w:tblGrid>
      <w:tr w:rsidR="00A7433D" w14:paraId="6CC093E2" w14:textId="77777777" w:rsidTr="00A7433D">
        <w:trPr>
          <w:trHeight w:val="844"/>
        </w:trPr>
        <w:tc>
          <w:tcPr>
            <w:tcW w:w="3227" w:type="dxa"/>
            <w:shd w:val="clear" w:color="auto" w:fill="auto"/>
          </w:tcPr>
          <w:p w14:paraId="58627A2B" w14:textId="77777777" w:rsidR="00A7433D" w:rsidRPr="00662472" w:rsidRDefault="00A7433D" w:rsidP="005A3448">
            <w:pPr>
              <w:rPr>
                <w:b/>
              </w:rPr>
            </w:pPr>
            <w:r w:rsidRPr="00662472">
              <w:rPr>
                <w:b/>
              </w:rPr>
              <w:t>Authority Member</w:t>
            </w:r>
          </w:p>
        </w:tc>
        <w:tc>
          <w:tcPr>
            <w:tcW w:w="3969" w:type="dxa"/>
            <w:shd w:val="clear" w:color="auto" w:fill="auto"/>
          </w:tcPr>
          <w:p w14:paraId="54F59777" w14:textId="77777777" w:rsidR="00A7433D" w:rsidRPr="00E35A90" w:rsidRDefault="00A7433D" w:rsidP="005A3448">
            <w:pPr>
              <w:rPr>
                <w:b/>
              </w:rPr>
            </w:pPr>
            <w:r w:rsidRPr="00E35A90">
              <w:rPr>
                <w:rFonts w:cs="Arial"/>
                <w:b/>
              </w:rPr>
              <w:t xml:space="preserve">Number of </w:t>
            </w:r>
            <w:r>
              <w:rPr>
                <w:rFonts w:cs="Arial"/>
                <w:b/>
              </w:rPr>
              <w:t xml:space="preserve">Authority </w:t>
            </w:r>
            <w:r w:rsidRPr="00E35A90">
              <w:rPr>
                <w:rFonts w:cs="Arial"/>
                <w:b/>
              </w:rPr>
              <w:t>meetings attended during this period</w:t>
            </w:r>
          </w:p>
        </w:tc>
      </w:tr>
      <w:tr w:rsidR="00A7433D" w14:paraId="36B3E863" w14:textId="77777777" w:rsidTr="00A7433D">
        <w:trPr>
          <w:trHeight w:val="620"/>
        </w:trPr>
        <w:tc>
          <w:tcPr>
            <w:tcW w:w="3227" w:type="dxa"/>
            <w:shd w:val="clear" w:color="auto" w:fill="auto"/>
          </w:tcPr>
          <w:p w14:paraId="32F63545" w14:textId="77777777" w:rsidR="00A7433D" w:rsidRPr="00860880" w:rsidRDefault="00A7433D" w:rsidP="005A3448">
            <w:r>
              <w:t>Ms. Helen Guinan (Chair)</w:t>
            </w:r>
          </w:p>
        </w:tc>
        <w:tc>
          <w:tcPr>
            <w:tcW w:w="3969" w:type="dxa"/>
            <w:shd w:val="clear" w:color="auto" w:fill="auto"/>
          </w:tcPr>
          <w:p w14:paraId="2A666EC3" w14:textId="77777777" w:rsidR="00A7433D" w:rsidRPr="00E35A90" w:rsidRDefault="00A7433D" w:rsidP="00CB6FF6">
            <w:r>
              <w:t>3/3</w:t>
            </w:r>
          </w:p>
        </w:tc>
      </w:tr>
      <w:tr w:rsidR="00A7433D" w14:paraId="50684F9B" w14:textId="77777777" w:rsidTr="00A7433D">
        <w:tc>
          <w:tcPr>
            <w:tcW w:w="3227" w:type="dxa"/>
            <w:shd w:val="clear" w:color="auto" w:fill="auto"/>
          </w:tcPr>
          <w:p w14:paraId="2EE6E4A0" w14:textId="77777777" w:rsidR="00A7433D" w:rsidRPr="00860880" w:rsidRDefault="00A7433D" w:rsidP="005A3448">
            <w:pPr>
              <w:tabs>
                <w:tab w:val="left" w:pos="2520"/>
              </w:tabs>
            </w:pPr>
            <w:r>
              <w:t>Ms. Orla Barry</w:t>
            </w:r>
          </w:p>
        </w:tc>
        <w:tc>
          <w:tcPr>
            <w:tcW w:w="3969" w:type="dxa"/>
            <w:shd w:val="clear" w:color="auto" w:fill="auto"/>
          </w:tcPr>
          <w:p w14:paraId="6ADD8C9D" w14:textId="77777777" w:rsidR="00A7433D" w:rsidRPr="00E35A90" w:rsidRDefault="00A7433D" w:rsidP="00CB6FF6">
            <w:r>
              <w:t>3/3</w:t>
            </w:r>
          </w:p>
        </w:tc>
      </w:tr>
      <w:tr w:rsidR="00A7433D" w14:paraId="2B32288F" w14:textId="77777777" w:rsidTr="00A7433D">
        <w:tc>
          <w:tcPr>
            <w:tcW w:w="3227" w:type="dxa"/>
            <w:shd w:val="clear" w:color="auto" w:fill="auto"/>
          </w:tcPr>
          <w:p w14:paraId="4CC2CECA" w14:textId="77777777" w:rsidR="00A7433D" w:rsidRPr="00860880" w:rsidRDefault="00A7433D" w:rsidP="005A3448">
            <w:r>
              <w:t xml:space="preserve">Mr. Frank </w:t>
            </w:r>
            <w:proofErr w:type="spellStart"/>
            <w:r>
              <w:t>Cunneen</w:t>
            </w:r>
            <w:proofErr w:type="spellEnd"/>
          </w:p>
        </w:tc>
        <w:tc>
          <w:tcPr>
            <w:tcW w:w="3969" w:type="dxa"/>
            <w:shd w:val="clear" w:color="auto" w:fill="auto"/>
          </w:tcPr>
          <w:p w14:paraId="68840148" w14:textId="77777777" w:rsidR="00A7433D" w:rsidRPr="00E35A90" w:rsidRDefault="00A7433D" w:rsidP="00CB6FF6">
            <w:r>
              <w:t>3/3</w:t>
            </w:r>
          </w:p>
        </w:tc>
      </w:tr>
      <w:tr w:rsidR="00A7433D" w14:paraId="5280E3A4" w14:textId="77777777" w:rsidTr="00A7433D">
        <w:tc>
          <w:tcPr>
            <w:tcW w:w="3227" w:type="dxa"/>
            <w:shd w:val="clear" w:color="auto" w:fill="auto"/>
          </w:tcPr>
          <w:p w14:paraId="3E4AC406" w14:textId="77777777" w:rsidR="00A7433D" w:rsidRPr="00860880" w:rsidRDefault="00A7433D" w:rsidP="005A3448">
            <w:r>
              <w:t>Mr. Des Kenny</w:t>
            </w:r>
          </w:p>
        </w:tc>
        <w:tc>
          <w:tcPr>
            <w:tcW w:w="3969" w:type="dxa"/>
            <w:shd w:val="clear" w:color="auto" w:fill="auto"/>
          </w:tcPr>
          <w:p w14:paraId="554EFE5C" w14:textId="77777777" w:rsidR="00A7433D" w:rsidRPr="00E35A90" w:rsidRDefault="00A7433D" w:rsidP="00CB6FF6">
            <w:r>
              <w:t>2/3</w:t>
            </w:r>
          </w:p>
        </w:tc>
      </w:tr>
      <w:tr w:rsidR="00A7433D" w14:paraId="17CBA2B4" w14:textId="77777777" w:rsidTr="00A7433D">
        <w:tc>
          <w:tcPr>
            <w:tcW w:w="3227" w:type="dxa"/>
            <w:shd w:val="clear" w:color="auto" w:fill="auto"/>
          </w:tcPr>
          <w:p w14:paraId="35A9EAB6" w14:textId="77777777" w:rsidR="00A7433D" w:rsidRPr="00860880" w:rsidRDefault="00A7433D" w:rsidP="005A3448">
            <w:r>
              <w:t xml:space="preserve">Ms. Ruthann La </w:t>
            </w:r>
            <w:proofErr w:type="spellStart"/>
            <w:r>
              <w:t>Malfa</w:t>
            </w:r>
            <w:proofErr w:type="spellEnd"/>
          </w:p>
        </w:tc>
        <w:tc>
          <w:tcPr>
            <w:tcW w:w="3969" w:type="dxa"/>
            <w:shd w:val="clear" w:color="auto" w:fill="auto"/>
          </w:tcPr>
          <w:p w14:paraId="529E23AE" w14:textId="77777777" w:rsidR="00A7433D" w:rsidRPr="00E35A90" w:rsidRDefault="00A7433D" w:rsidP="00CB6FF6">
            <w:r>
              <w:t>3/3</w:t>
            </w:r>
          </w:p>
        </w:tc>
      </w:tr>
      <w:tr w:rsidR="00A7433D" w14:paraId="7CAAF447" w14:textId="77777777" w:rsidTr="00A7433D">
        <w:tc>
          <w:tcPr>
            <w:tcW w:w="3227" w:type="dxa"/>
            <w:shd w:val="clear" w:color="auto" w:fill="auto"/>
          </w:tcPr>
          <w:p w14:paraId="7A2D9AB8" w14:textId="77777777" w:rsidR="00A7433D" w:rsidRPr="00860880" w:rsidRDefault="00A7433D" w:rsidP="005A3448">
            <w:r>
              <w:t>Ms. Mary Lavelle</w:t>
            </w:r>
          </w:p>
        </w:tc>
        <w:tc>
          <w:tcPr>
            <w:tcW w:w="3969" w:type="dxa"/>
            <w:shd w:val="clear" w:color="auto" w:fill="auto"/>
          </w:tcPr>
          <w:p w14:paraId="4295820D" w14:textId="77777777" w:rsidR="00A7433D" w:rsidRPr="00E35A90" w:rsidRDefault="00A7433D" w:rsidP="00CB6FF6">
            <w:r>
              <w:t>3/3</w:t>
            </w:r>
          </w:p>
        </w:tc>
      </w:tr>
      <w:tr w:rsidR="00A7433D" w14:paraId="669E2AAD" w14:textId="77777777" w:rsidTr="00A7433D">
        <w:tc>
          <w:tcPr>
            <w:tcW w:w="3227" w:type="dxa"/>
            <w:shd w:val="clear" w:color="auto" w:fill="auto"/>
          </w:tcPr>
          <w:p w14:paraId="456A338A" w14:textId="77777777" w:rsidR="00A7433D" w:rsidRPr="00860880" w:rsidRDefault="00A7433D" w:rsidP="005A3448">
            <w:r>
              <w:t>Ms. Teresa McDonnell</w:t>
            </w:r>
          </w:p>
        </w:tc>
        <w:tc>
          <w:tcPr>
            <w:tcW w:w="3969" w:type="dxa"/>
            <w:shd w:val="clear" w:color="auto" w:fill="auto"/>
          </w:tcPr>
          <w:p w14:paraId="164816C4" w14:textId="77777777" w:rsidR="00A7433D" w:rsidRPr="00E35A90" w:rsidRDefault="00A7433D" w:rsidP="00CB6FF6">
            <w:r>
              <w:t>2/3</w:t>
            </w:r>
          </w:p>
        </w:tc>
      </w:tr>
      <w:tr w:rsidR="00A7433D" w14:paraId="3426355C" w14:textId="77777777" w:rsidTr="00A7433D">
        <w:tc>
          <w:tcPr>
            <w:tcW w:w="3227" w:type="dxa"/>
            <w:shd w:val="clear" w:color="auto" w:fill="auto"/>
          </w:tcPr>
          <w:p w14:paraId="5CD82801" w14:textId="77777777" w:rsidR="00A7433D" w:rsidRPr="00860880" w:rsidRDefault="00A7433D" w:rsidP="0098479B">
            <w:r>
              <w:t xml:space="preserve">Mr. </w:t>
            </w:r>
            <w:proofErr w:type="spellStart"/>
            <w:r>
              <w:t>Deagl</w:t>
            </w:r>
            <w:r w:rsidR="00AB2C06">
              <w:t>á</w:t>
            </w:r>
            <w:r>
              <w:t>n</w:t>
            </w:r>
            <w:proofErr w:type="spellEnd"/>
            <w:r>
              <w:t xml:space="preserve"> </w:t>
            </w:r>
            <w:proofErr w:type="spellStart"/>
            <w:r>
              <w:t>O’Briain</w:t>
            </w:r>
            <w:proofErr w:type="spellEnd"/>
          </w:p>
        </w:tc>
        <w:tc>
          <w:tcPr>
            <w:tcW w:w="3969" w:type="dxa"/>
            <w:shd w:val="clear" w:color="auto" w:fill="auto"/>
          </w:tcPr>
          <w:p w14:paraId="6B83A38C" w14:textId="77777777" w:rsidR="00A7433D" w:rsidRPr="00E35A90" w:rsidRDefault="00A7433D" w:rsidP="00CB6FF6">
            <w:r>
              <w:t>2/3</w:t>
            </w:r>
          </w:p>
        </w:tc>
      </w:tr>
      <w:tr w:rsidR="00A7433D" w14:paraId="349CE8BA" w14:textId="77777777" w:rsidTr="00A7433D">
        <w:tc>
          <w:tcPr>
            <w:tcW w:w="3227" w:type="dxa"/>
            <w:shd w:val="clear" w:color="auto" w:fill="auto"/>
          </w:tcPr>
          <w:p w14:paraId="38D9DBDF" w14:textId="77777777" w:rsidR="00A7433D" w:rsidRPr="00860880" w:rsidRDefault="00A7433D" w:rsidP="005A3448">
            <w:r>
              <w:t>Ms. Deirdre O’Connor</w:t>
            </w:r>
          </w:p>
        </w:tc>
        <w:tc>
          <w:tcPr>
            <w:tcW w:w="3969" w:type="dxa"/>
            <w:shd w:val="clear" w:color="auto" w:fill="auto"/>
          </w:tcPr>
          <w:p w14:paraId="18D4BE80" w14:textId="77777777" w:rsidR="00A7433D" w:rsidRPr="00E35A90" w:rsidRDefault="00A7433D" w:rsidP="00CB6FF6">
            <w:r>
              <w:t>3/3</w:t>
            </w:r>
          </w:p>
        </w:tc>
      </w:tr>
      <w:tr w:rsidR="00A7433D" w14:paraId="7E823582" w14:textId="77777777" w:rsidTr="00A7433D">
        <w:tc>
          <w:tcPr>
            <w:tcW w:w="3227" w:type="dxa"/>
            <w:shd w:val="clear" w:color="auto" w:fill="auto"/>
          </w:tcPr>
          <w:p w14:paraId="0298F234" w14:textId="77777777" w:rsidR="00A7433D" w:rsidRPr="00860880" w:rsidRDefault="00A7433D" w:rsidP="005A3448">
            <w:r>
              <w:t>Mr. James O’Grady</w:t>
            </w:r>
          </w:p>
        </w:tc>
        <w:tc>
          <w:tcPr>
            <w:tcW w:w="3969" w:type="dxa"/>
            <w:shd w:val="clear" w:color="auto" w:fill="auto"/>
          </w:tcPr>
          <w:p w14:paraId="40906512" w14:textId="77777777" w:rsidR="00A7433D" w:rsidRPr="00E35A90" w:rsidRDefault="00A7433D" w:rsidP="00CB6FF6">
            <w:r>
              <w:t>2/3</w:t>
            </w:r>
          </w:p>
        </w:tc>
      </w:tr>
      <w:tr w:rsidR="00A7433D" w14:paraId="15C34DA4" w14:textId="77777777" w:rsidTr="00A7433D">
        <w:tc>
          <w:tcPr>
            <w:tcW w:w="3227" w:type="dxa"/>
            <w:shd w:val="clear" w:color="auto" w:fill="auto"/>
          </w:tcPr>
          <w:p w14:paraId="644BC87E" w14:textId="77777777" w:rsidR="00A7433D" w:rsidRPr="00A90817" w:rsidRDefault="00A7433D" w:rsidP="005A3448">
            <w:r>
              <w:t xml:space="preserve">Mr. </w:t>
            </w:r>
            <w:proofErr w:type="spellStart"/>
            <w:r>
              <w:t>Donie</w:t>
            </w:r>
            <w:proofErr w:type="spellEnd"/>
            <w:r>
              <w:t xml:space="preserve"> O’Leary</w:t>
            </w:r>
          </w:p>
        </w:tc>
        <w:tc>
          <w:tcPr>
            <w:tcW w:w="3969" w:type="dxa"/>
            <w:shd w:val="clear" w:color="auto" w:fill="auto"/>
          </w:tcPr>
          <w:p w14:paraId="4A5764D0" w14:textId="77777777" w:rsidR="00A7433D" w:rsidRPr="00E35A90" w:rsidRDefault="00A7433D" w:rsidP="00CB6FF6">
            <w:r>
              <w:t>3/3</w:t>
            </w:r>
          </w:p>
        </w:tc>
      </w:tr>
      <w:tr w:rsidR="00A7433D" w14:paraId="5EEE42C7" w14:textId="77777777" w:rsidTr="00A7433D">
        <w:trPr>
          <w:trHeight w:val="439"/>
        </w:trPr>
        <w:tc>
          <w:tcPr>
            <w:tcW w:w="3227" w:type="dxa"/>
            <w:shd w:val="clear" w:color="auto" w:fill="auto"/>
          </w:tcPr>
          <w:p w14:paraId="00864A66" w14:textId="77777777" w:rsidR="00A7433D" w:rsidRPr="00A90817" w:rsidRDefault="00A7433D" w:rsidP="005A3448">
            <w:r>
              <w:t>Ms. Alison Ryan</w:t>
            </w:r>
          </w:p>
        </w:tc>
        <w:tc>
          <w:tcPr>
            <w:tcW w:w="3969" w:type="dxa"/>
            <w:shd w:val="clear" w:color="auto" w:fill="auto"/>
          </w:tcPr>
          <w:p w14:paraId="3AE0D8E9" w14:textId="77777777" w:rsidR="00A7433D" w:rsidRPr="00E35A90" w:rsidRDefault="00A7433D" w:rsidP="00CB6FF6">
            <w:r>
              <w:t>3/3</w:t>
            </w:r>
          </w:p>
        </w:tc>
      </w:tr>
      <w:tr w:rsidR="00A7433D" w14:paraId="7768E479" w14:textId="77777777" w:rsidTr="00A7433D">
        <w:trPr>
          <w:trHeight w:val="441"/>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84B351" w14:textId="77777777" w:rsidR="00A7433D" w:rsidRPr="00A90817" w:rsidRDefault="00A7433D" w:rsidP="005A3448">
            <w:r>
              <w:t>Mr. Donal Rice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E02142" w14:textId="77777777" w:rsidR="00A7433D" w:rsidRPr="00E35A90" w:rsidRDefault="00A7433D" w:rsidP="00CB6FF6">
            <w:r>
              <w:t>3/3</w:t>
            </w:r>
          </w:p>
        </w:tc>
      </w:tr>
    </w:tbl>
    <w:p w14:paraId="0E11EDC5" w14:textId="77777777" w:rsidR="001B6508" w:rsidRDefault="001B6508" w:rsidP="00421776">
      <w:pPr>
        <w:tabs>
          <w:tab w:val="left" w:pos="1440"/>
        </w:tabs>
        <w:spacing w:after="0"/>
      </w:pPr>
    </w:p>
    <w:p w14:paraId="60DB6320" w14:textId="77777777" w:rsidR="00421776" w:rsidRDefault="001B6508" w:rsidP="00421776">
      <w:pPr>
        <w:tabs>
          <w:tab w:val="left" w:pos="1440"/>
        </w:tabs>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802"/>
      </w:tblGrid>
      <w:tr w:rsidR="00A7433D" w14:paraId="2596DC0C" w14:textId="77777777" w:rsidTr="003F57A3">
        <w:trPr>
          <w:trHeight w:val="350"/>
        </w:trPr>
        <w:tc>
          <w:tcPr>
            <w:tcW w:w="0" w:type="auto"/>
            <w:shd w:val="clear" w:color="auto" w:fill="auto"/>
          </w:tcPr>
          <w:p w14:paraId="5B76A42E" w14:textId="77777777" w:rsidR="00A7433D" w:rsidRPr="003340BE" w:rsidRDefault="00A7433D" w:rsidP="005A3448">
            <w:pPr>
              <w:rPr>
                <w:b/>
              </w:rPr>
            </w:pPr>
            <w:r w:rsidRPr="003340BE">
              <w:rPr>
                <w:b/>
              </w:rPr>
              <w:lastRenderedPageBreak/>
              <w:t>Audit Committee</w:t>
            </w:r>
            <w:r>
              <w:rPr>
                <w:b/>
              </w:rPr>
              <w:t xml:space="preserve"> Member</w:t>
            </w:r>
          </w:p>
        </w:tc>
        <w:tc>
          <w:tcPr>
            <w:tcW w:w="2802" w:type="dxa"/>
            <w:shd w:val="clear" w:color="auto" w:fill="auto"/>
          </w:tcPr>
          <w:p w14:paraId="71856594" w14:textId="77777777" w:rsidR="00A7433D" w:rsidRPr="00E35A90" w:rsidRDefault="00A7433D" w:rsidP="005A3448">
            <w:pPr>
              <w:rPr>
                <w:b/>
              </w:rPr>
            </w:pPr>
            <w:r w:rsidRPr="00E35A90">
              <w:rPr>
                <w:rFonts w:cs="Arial"/>
                <w:b/>
              </w:rPr>
              <w:t xml:space="preserve">Number of </w:t>
            </w:r>
            <w:r>
              <w:rPr>
                <w:rFonts w:cs="Arial"/>
                <w:b/>
              </w:rPr>
              <w:t xml:space="preserve">Audit Committee </w:t>
            </w:r>
            <w:r w:rsidRPr="00E35A90">
              <w:rPr>
                <w:rFonts w:cs="Arial"/>
                <w:b/>
              </w:rPr>
              <w:t>meetings attended during this period</w:t>
            </w:r>
          </w:p>
        </w:tc>
      </w:tr>
      <w:tr w:rsidR="00A7433D" w14:paraId="56191E89" w14:textId="77777777" w:rsidTr="003F57A3">
        <w:trPr>
          <w:trHeight w:val="53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486D0" w14:textId="77777777" w:rsidR="00A7433D" w:rsidRPr="00A90817" w:rsidRDefault="00A7433D" w:rsidP="00421776">
            <w:r>
              <w:t>Mr. Donal Lawlor (Audit Committee Chairperson)</w:t>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223493DC" w14:textId="77777777" w:rsidR="00A7433D" w:rsidRPr="00E35A90" w:rsidRDefault="00A7433D" w:rsidP="00421776">
            <w:pPr>
              <w:spacing w:after="80"/>
              <w:jc w:val="center"/>
              <w:rPr>
                <w:rFonts w:cs="Arial"/>
              </w:rPr>
            </w:pPr>
            <w:r>
              <w:rPr>
                <w:rFonts w:cs="Arial"/>
              </w:rPr>
              <w:t>1/1</w:t>
            </w:r>
          </w:p>
        </w:tc>
      </w:tr>
    </w:tbl>
    <w:p w14:paraId="1CB54FC7" w14:textId="77777777" w:rsidR="00421776" w:rsidRDefault="00421776" w:rsidP="00421776">
      <w:pPr>
        <w:tabs>
          <w:tab w:val="left" w:pos="1440"/>
        </w:tabs>
      </w:pPr>
    </w:p>
    <w:p w14:paraId="72C24F3F" w14:textId="77777777" w:rsidR="00421776" w:rsidRDefault="00421776" w:rsidP="00D8791A">
      <w:pPr>
        <w:pStyle w:val="ListBullet"/>
      </w:pPr>
      <w:r>
        <w:t>Director:</w:t>
      </w:r>
      <w:r>
        <w:tab/>
      </w:r>
      <w:r w:rsidR="001B6508">
        <w:t>Siobhan Barron</w:t>
      </w:r>
    </w:p>
    <w:p w14:paraId="23670871" w14:textId="77777777" w:rsidR="00421776" w:rsidRDefault="00421776" w:rsidP="00D8791A">
      <w:pPr>
        <w:pStyle w:val="ListBullet"/>
      </w:pPr>
      <w:r>
        <w:t>Solicitors:</w:t>
      </w:r>
      <w:r w:rsidR="005A3448">
        <w:tab/>
      </w:r>
      <w:proofErr w:type="spellStart"/>
      <w:r>
        <w:t>Beauchamps</w:t>
      </w:r>
      <w:proofErr w:type="spellEnd"/>
      <w:r>
        <w:t xml:space="preserve"> Solicitors</w:t>
      </w:r>
      <w:r w:rsidR="001B6508">
        <w:t xml:space="preserve">, </w:t>
      </w:r>
      <w:r>
        <w:t>Riverside Two</w:t>
      </w:r>
      <w:r w:rsidR="001B6508">
        <w:t xml:space="preserve">, </w:t>
      </w:r>
      <w:r>
        <w:t>Sir John Rogerson</w:t>
      </w:r>
      <w:r w:rsidR="00320EA8">
        <w:t>’</w:t>
      </w:r>
      <w:r>
        <w:t>s Quay</w:t>
      </w:r>
      <w:r w:rsidR="001B6508">
        <w:t xml:space="preserve">, </w:t>
      </w:r>
      <w:r>
        <w:t>Dublin 2</w:t>
      </w:r>
    </w:p>
    <w:p w14:paraId="42BBA7E6" w14:textId="77777777" w:rsidR="00421776" w:rsidRDefault="00421776" w:rsidP="00D8791A">
      <w:pPr>
        <w:pStyle w:val="ListBullet"/>
      </w:pPr>
      <w:r w:rsidRPr="00730F66">
        <w:t>Bankers:</w:t>
      </w:r>
      <w:r>
        <w:tab/>
      </w:r>
      <w:r w:rsidRPr="00730F66">
        <w:t>Bank of Ireland</w:t>
      </w:r>
      <w:r w:rsidR="001B6508">
        <w:t xml:space="preserve">, </w:t>
      </w:r>
      <w:r>
        <w:t>104 Ranelagh</w:t>
      </w:r>
      <w:r w:rsidR="001B6508">
        <w:t>, Dublin 6</w:t>
      </w:r>
    </w:p>
    <w:p w14:paraId="3424FC05" w14:textId="77777777" w:rsidR="00421776" w:rsidRPr="00730F66" w:rsidRDefault="00421776" w:rsidP="001B6508">
      <w:pPr>
        <w:pStyle w:val="ListBullet"/>
      </w:pPr>
      <w:r>
        <w:t>Auditors:</w:t>
      </w:r>
      <w:r>
        <w:tab/>
        <w:t>Comptroller &amp; Auditor General</w:t>
      </w:r>
      <w:r w:rsidR="001B6508">
        <w:t xml:space="preserve">, </w:t>
      </w:r>
      <w:r w:rsidRPr="00730F66">
        <w:t>Dublin Cast</w:t>
      </w:r>
      <w:r>
        <w:t>le</w:t>
      </w:r>
      <w:r w:rsidR="001B6508">
        <w:t xml:space="preserve">, </w:t>
      </w:r>
      <w:r w:rsidRPr="00730F66">
        <w:t>Dublin 2</w:t>
      </w:r>
    </w:p>
    <w:p w14:paraId="09E52103" w14:textId="77777777" w:rsidR="00421776" w:rsidRDefault="00421776" w:rsidP="005A3448">
      <w:pPr>
        <w:pStyle w:val="Heading2"/>
      </w:pPr>
      <w:r>
        <w:br w:type="page"/>
      </w:r>
      <w:r w:rsidRPr="00300E3E">
        <w:lastRenderedPageBreak/>
        <w:t>National Disability Authority</w:t>
      </w:r>
    </w:p>
    <w:p w14:paraId="363037B9" w14:textId="77777777" w:rsidR="00421776" w:rsidRPr="00730F66" w:rsidRDefault="00421776" w:rsidP="00421776">
      <w:r w:rsidRPr="00730F66">
        <w:t xml:space="preserve">The National Disability Authority was established on June 12, </w:t>
      </w:r>
      <w:proofErr w:type="gramStart"/>
      <w:r w:rsidRPr="00730F66">
        <w:t>2000</w:t>
      </w:r>
      <w:proofErr w:type="gramEnd"/>
      <w:r w:rsidRPr="00730F66">
        <w:t xml:space="preserve"> under Section 6 of the National Disability Authority Act 1999.</w:t>
      </w:r>
    </w:p>
    <w:p w14:paraId="72D6808E" w14:textId="77777777" w:rsidR="00421776" w:rsidRDefault="00421776" w:rsidP="005A3448">
      <w:pPr>
        <w:pStyle w:val="Heading3"/>
      </w:pPr>
      <w:r>
        <w:t>NDA Functions and Powers</w:t>
      </w:r>
    </w:p>
    <w:p w14:paraId="2A0ECB50" w14:textId="77777777" w:rsidR="00421776" w:rsidRPr="00D4400D" w:rsidRDefault="00421776" w:rsidP="00421776">
      <w:r w:rsidRPr="00D4400D">
        <w:t>The principal function of the NDA is to advise the Minister for Justice</w:t>
      </w:r>
      <w:r>
        <w:t xml:space="preserve"> and</w:t>
      </w:r>
      <w:r w:rsidRPr="00D4400D">
        <w:t xml:space="preserve"> Equality regarding issues of policy and practice relating to disability.</w:t>
      </w:r>
      <w:r>
        <w:t xml:space="preserve"> </w:t>
      </w:r>
    </w:p>
    <w:p w14:paraId="149A7C21" w14:textId="77777777" w:rsidR="00421776" w:rsidRPr="00D4400D" w:rsidRDefault="00421776" w:rsidP="00D8791A">
      <w:pPr>
        <w:pStyle w:val="NormalBeforeList"/>
      </w:pPr>
      <w:proofErr w:type="gramStart"/>
      <w:r w:rsidRPr="00D4400D">
        <w:t>Particular functions</w:t>
      </w:r>
      <w:proofErr w:type="gramEnd"/>
      <w:r w:rsidRPr="00D4400D">
        <w:t xml:space="preserve"> of the Authority under Section 8 of the National Disability Authority Act 1999</w:t>
      </w:r>
      <w:r w:rsidRPr="00CB6FF6">
        <w:t xml:space="preserve"> </w:t>
      </w:r>
      <w:r w:rsidRPr="00D4400D">
        <w:t>include:</w:t>
      </w:r>
    </w:p>
    <w:p w14:paraId="0598BD15" w14:textId="77777777" w:rsidR="00421776" w:rsidRPr="00D4400D" w:rsidRDefault="00421776" w:rsidP="00D8791A">
      <w:pPr>
        <w:pStyle w:val="ListBullet"/>
      </w:pPr>
      <w:r w:rsidRPr="00D4400D">
        <w:t>To act as a central, national body which will assist the Minister in the coordination and development of policy in relation to persons with disabilities</w:t>
      </w:r>
      <w:r>
        <w:t>.</w:t>
      </w:r>
    </w:p>
    <w:p w14:paraId="4F9A7FDB" w14:textId="77777777" w:rsidR="00421776" w:rsidRPr="00D4400D" w:rsidRDefault="00421776" w:rsidP="00D8791A">
      <w:pPr>
        <w:pStyle w:val="ListBullet"/>
      </w:pPr>
      <w:r w:rsidRPr="00D4400D">
        <w:t>To undertake, commission or collaborate in research projects and activities on issues relating to disability and to assist in the development of statistical information appropriate for the planning, delivery and monitoring of programmes and services for people with disabilities</w:t>
      </w:r>
      <w:r>
        <w:t>.</w:t>
      </w:r>
    </w:p>
    <w:p w14:paraId="7527DB5B" w14:textId="77777777" w:rsidR="00421776" w:rsidRPr="00D4400D" w:rsidRDefault="00421776" w:rsidP="00D8791A">
      <w:pPr>
        <w:pStyle w:val="ListBullet"/>
      </w:pPr>
      <w:r w:rsidRPr="00D4400D">
        <w:t xml:space="preserve">To advise the Minister on appropriate standards for programmes and services provided or to be provided to persons with disabilities and to act as an advisory body </w:t>
      </w:r>
      <w:proofErr w:type="gramStart"/>
      <w:r w:rsidRPr="00D4400D">
        <w:t>with regard to</w:t>
      </w:r>
      <w:proofErr w:type="gramEnd"/>
      <w:r w:rsidRPr="00D4400D">
        <w:t xml:space="preserve"> the development of general and specific standards in relation to such programmes and services</w:t>
      </w:r>
      <w:r>
        <w:t>.</w:t>
      </w:r>
    </w:p>
    <w:p w14:paraId="15173A5B" w14:textId="77777777" w:rsidR="00421776" w:rsidRPr="00D4400D" w:rsidRDefault="00421776" w:rsidP="00D8791A">
      <w:pPr>
        <w:pStyle w:val="ListBullet"/>
      </w:pPr>
      <w:r w:rsidRPr="00D4400D">
        <w:t>To monitor the implementation of standards and codes of practice in programmes and services provided to persons with disabilities and to report to the Minister thereon</w:t>
      </w:r>
      <w:r>
        <w:t>.</w:t>
      </w:r>
    </w:p>
    <w:p w14:paraId="3726781F" w14:textId="77777777" w:rsidR="00421776" w:rsidRPr="00D4400D" w:rsidRDefault="00421776" w:rsidP="00D8791A">
      <w:pPr>
        <w:pStyle w:val="ListBullet"/>
      </w:pPr>
      <w:r w:rsidRPr="00D4400D">
        <w:t>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r>
        <w:t>.</w:t>
      </w:r>
    </w:p>
    <w:p w14:paraId="59DB068A" w14:textId="77777777" w:rsidR="00421776" w:rsidRPr="00D4400D" w:rsidRDefault="00421776" w:rsidP="00D8791A">
      <w:pPr>
        <w:pStyle w:val="ListBullet"/>
      </w:pPr>
      <w:r w:rsidRPr="00D4400D">
        <w:t>To prepare codes of practice for the purpose of achieving the aim of good standards and quality in the provision of programmes and services provided or to be provided to persons with disabilities</w:t>
      </w:r>
      <w:r>
        <w:t>.</w:t>
      </w:r>
    </w:p>
    <w:p w14:paraId="4296CEB3" w14:textId="77777777" w:rsidR="00421776" w:rsidRPr="00D4400D" w:rsidRDefault="00421776" w:rsidP="00D8791A">
      <w:pPr>
        <w:pStyle w:val="ListBullet"/>
      </w:pPr>
      <w:r w:rsidRPr="00D4400D">
        <w:t>To recognise the achievement of good standards and quality in the provision of programmes and services to persons with disabilities, including through the provision of a disability equality awards system</w:t>
      </w:r>
      <w:r>
        <w:t>.</w:t>
      </w:r>
    </w:p>
    <w:p w14:paraId="2E847874" w14:textId="77777777" w:rsidR="00421776" w:rsidRDefault="00421776" w:rsidP="005A3448">
      <w:pPr>
        <w:pStyle w:val="ListBullet"/>
      </w:pPr>
      <w:r w:rsidRPr="00D4400D">
        <w:t>To prepare strategic plans.</w:t>
      </w:r>
    </w:p>
    <w:p w14:paraId="2B0DC24C" w14:textId="77777777" w:rsidR="00421776" w:rsidRPr="00D4400D" w:rsidRDefault="00421776" w:rsidP="00D8791A">
      <w:pPr>
        <w:pStyle w:val="NormalBeforeList"/>
        <w:keepNext/>
      </w:pPr>
      <w:r w:rsidRPr="00D4400D">
        <w:lastRenderedPageBreak/>
        <w:t>Additional functions of the Authority under the Disability Act 2005 include:</w:t>
      </w:r>
    </w:p>
    <w:p w14:paraId="49E3B460" w14:textId="77777777" w:rsidR="00421776" w:rsidRPr="00D4400D" w:rsidRDefault="00421776" w:rsidP="00D8791A">
      <w:pPr>
        <w:pStyle w:val="ListBullet"/>
      </w:pPr>
      <w:r w:rsidRPr="00D4400D">
        <w:t xml:space="preserve">To prepare codes of practice relating to the accessibility of public buildings, services, </w:t>
      </w:r>
      <w:proofErr w:type="gramStart"/>
      <w:r w:rsidRPr="00D4400D">
        <w:t>information</w:t>
      </w:r>
      <w:proofErr w:type="gramEnd"/>
      <w:r w:rsidRPr="00D4400D">
        <w:t xml:space="preserve"> and heritage sites and to the employment of people with disabilities in the public sector at the request of the Minister (Part 3)</w:t>
      </w:r>
      <w:r>
        <w:t>.</w:t>
      </w:r>
    </w:p>
    <w:p w14:paraId="3F8BADC0" w14:textId="77777777" w:rsidR="00421776" w:rsidRPr="00D4400D" w:rsidRDefault="00421776" w:rsidP="00D8791A">
      <w:pPr>
        <w:pStyle w:val="ListBullet"/>
      </w:pPr>
      <w:r w:rsidRPr="00D4400D">
        <w:t>To monitor compliance with statutory targets for recruitment and employment of people with disabilities in the public sector, recommend actions to be taken where these targets are not being met, and prepare codes of practice where requested (Part 5)</w:t>
      </w:r>
      <w:r>
        <w:t>.</w:t>
      </w:r>
    </w:p>
    <w:p w14:paraId="6C9587A6" w14:textId="77777777" w:rsidR="00421776" w:rsidRPr="00D4400D" w:rsidRDefault="00421776" w:rsidP="00D8791A">
      <w:pPr>
        <w:pStyle w:val="ListBullet"/>
      </w:pPr>
      <w:r w:rsidRPr="00D4400D">
        <w:t xml:space="preserve">To establish a Centre for Excellence in Universal Design in the built environment and information technology which will promote the principles of universal design that may be accessed, </w:t>
      </w:r>
      <w:proofErr w:type="gramStart"/>
      <w:r w:rsidRPr="00D4400D">
        <w:t>understood</w:t>
      </w:r>
      <w:proofErr w:type="gramEnd"/>
      <w:r w:rsidRPr="00D4400D">
        <w:t xml:space="preserve"> and used to the greatest practicable extent by people with disabilities:</w:t>
      </w:r>
    </w:p>
    <w:p w14:paraId="3F81D088" w14:textId="77777777" w:rsidR="00421776" w:rsidRPr="00D4400D" w:rsidRDefault="00421776" w:rsidP="00D8791A">
      <w:pPr>
        <w:pStyle w:val="ListBullet"/>
        <w:tabs>
          <w:tab w:val="clear" w:pos="360"/>
          <w:tab w:val="num" w:pos="720"/>
        </w:tabs>
        <w:ind w:left="714"/>
      </w:pPr>
      <w:r w:rsidRPr="00D4400D">
        <w:t>In the most independent and natural manner</w:t>
      </w:r>
    </w:p>
    <w:p w14:paraId="7229DA87" w14:textId="77777777" w:rsidR="00421776" w:rsidRPr="00D4400D" w:rsidRDefault="00421776" w:rsidP="00D8791A">
      <w:pPr>
        <w:pStyle w:val="ListBullet"/>
        <w:tabs>
          <w:tab w:val="clear" w:pos="360"/>
          <w:tab w:val="num" w:pos="720"/>
        </w:tabs>
        <w:ind w:left="714"/>
      </w:pPr>
      <w:r w:rsidRPr="00D4400D">
        <w:t>in the widest possible range of situations</w:t>
      </w:r>
    </w:p>
    <w:p w14:paraId="4AB1672D" w14:textId="77777777" w:rsidR="00421776" w:rsidRPr="00F87AC0" w:rsidRDefault="00421776" w:rsidP="00421776">
      <w:pPr>
        <w:pStyle w:val="ListBullet"/>
        <w:tabs>
          <w:tab w:val="clear" w:pos="360"/>
          <w:tab w:val="num" w:pos="720"/>
        </w:tabs>
        <w:ind w:left="720"/>
        <w:sectPr w:rsidR="00421776" w:rsidRPr="00F87AC0" w:rsidSect="0009490F">
          <w:footerReference w:type="even" r:id="rId11"/>
          <w:footerReference w:type="default" r:id="rId12"/>
          <w:type w:val="continuous"/>
          <w:pgSz w:w="11907" w:h="16839" w:code="9"/>
          <w:pgMar w:top="1985" w:right="1985" w:bottom="1985" w:left="1985" w:header="709" w:footer="709" w:gutter="0"/>
          <w:cols w:space="708"/>
          <w:titlePg/>
          <w:docGrid w:linePitch="360"/>
        </w:sectPr>
      </w:pPr>
      <w:r w:rsidRPr="00D4400D">
        <w:t xml:space="preserve">without the need for adaptation, modification, assistive </w:t>
      </w:r>
      <w:proofErr w:type="gramStart"/>
      <w:r w:rsidRPr="00D4400D">
        <w:t>devices</w:t>
      </w:r>
      <w:proofErr w:type="gramEnd"/>
      <w:r w:rsidRPr="00D4400D">
        <w:t xml:space="preserve"> or specialised solution (Part 6).</w:t>
      </w:r>
    </w:p>
    <w:p w14:paraId="12D00630" w14:textId="77777777" w:rsidR="00421776" w:rsidRPr="00730F66" w:rsidRDefault="00421776" w:rsidP="005A3448">
      <w:pPr>
        <w:pStyle w:val="Heading2"/>
      </w:pPr>
      <w:r w:rsidRPr="00730F66">
        <w:t>Statement of Responsibilities of Authority Members</w:t>
      </w:r>
    </w:p>
    <w:p w14:paraId="518A14F0" w14:textId="77777777" w:rsidR="00421776" w:rsidRDefault="00421776" w:rsidP="005A3448">
      <w:r w:rsidRPr="00730F66">
        <w:t>The Authority is required by Section 17 of the National Disability Act 1999 to prepare financial statements for each financial year which give a true and fair view of the state of the affairs of the Authority and of its income and expenditure for that period.</w:t>
      </w:r>
    </w:p>
    <w:p w14:paraId="39520930" w14:textId="77777777" w:rsidR="00421776" w:rsidRDefault="00421776" w:rsidP="00D8791A">
      <w:pPr>
        <w:pStyle w:val="NormalBeforeList"/>
      </w:pPr>
      <w:r w:rsidRPr="00730F66">
        <w:t>In preparing those financial statements the Authority is required to:</w:t>
      </w:r>
    </w:p>
    <w:p w14:paraId="1B3753A7" w14:textId="77777777" w:rsidR="00421776" w:rsidRDefault="00421776" w:rsidP="00D8791A">
      <w:pPr>
        <w:pStyle w:val="ListBullet"/>
      </w:pPr>
      <w:r w:rsidRPr="00730F66">
        <w:t xml:space="preserve">select suitable accounting policies and apply them </w:t>
      </w:r>
      <w:proofErr w:type="gramStart"/>
      <w:r w:rsidRPr="00730F66">
        <w:t>consistently;</w:t>
      </w:r>
      <w:proofErr w:type="gramEnd"/>
    </w:p>
    <w:p w14:paraId="3490DFA5" w14:textId="77777777" w:rsidR="00421776" w:rsidRDefault="00421776" w:rsidP="00D8791A">
      <w:pPr>
        <w:pStyle w:val="ListBullet"/>
      </w:pPr>
      <w:r w:rsidRPr="00730F66">
        <w:t xml:space="preserve">make judgements and estimates that are reasonable and </w:t>
      </w:r>
      <w:proofErr w:type="gramStart"/>
      <w:r w:rsidRPr="00730F66">
        <w:t>prudent;</w:t>
      </w:r>
      <w:proofErr w:type="gramEnd"/>
    </w:p>
    <w:p w14:paraId="34E09CB3" w14:textId="77777777" w:rsidR="00421776" w:rsidRDefault="00421776" w:rsidP="00D8791A">
      <w:pPr>
        <w:pStyle w:val="ListBullet"/>
      </w:pPr>
      <w:r w:rsidRPr="00730F66">
        <w:t xml:space="preserve">comply with applicable Accounting Standards subject to any material departures disclosed and explained in the Financial </w:t>
      </w:r>
      <w:proofErr w:type="gramStart"/>
      <w:r w:rsidRPr="00730F66">
        <w:t>Statements;</w:t>
      </w:r>
      <w:proofErr w:type="gramEnd"/>
    </w:p>
    <w:p w14:paraId="27E85E1D" w14:textId="77777777" w:rsidR="00421776" w:rsidRDefault="00421776" w:rsidP="005A3448">
      <w:pPr>
        <w:pStyle w:val="ListBullet"/>
      </w:pPr>
      <w:r w:rsidRPr="00730F66">
        <w:t>prepare the financial statements on a going concern basis unless it is inappropriate to presume that the National Disability Authority will continue in existence.</w:t>
      </w:r>
    </w:p>
    <w:p w14:paraId="186F4545" w14:textId="77777777" w:rsidR="00421776" w:rsidRDefault="00421776" w:rsidP="005A3448">
      <w:pPr>
        <w:pStyle w:val="NormalAfterList"/>
      </w:pPr>
      <w:r w:rsidRPr="00730F66">
        <w:t xml:space="preserve">The Authority is responsible for maintaining proper accounting records, which disclose with reasonable accuracy at any time the financial </w:t>
      </w:r>
      <w:r>
        <w:t xml:space="preserve">position of the Authority and </w:t>
      </w:r>
      <w:r w:rsidRPr="00730F66">
        <w:t xml:space="preserve">enable it to ensure that the financial statements comply with the Act. It is also responsible for safeguarding the assets of </w:t>
      </w:r>
      <w:r w:rsidRPr="00730F66">
        <w:lastRenderedPageBreak/>
        <w:t>the National Disability Authority and hence for taking reasonable steps for the prevention and detection of fraud and other irregularities.</w:t>
      </w:r>
    </w:p>
    <w:p w14:paraId="7FC12D85" w14:textId="77777777" w:rsidR="00421776" w:rsidRDefault="00421776" w:rsidP="00DC35FA">
      <w:pPr>
        <w:keepNext/>
      </w:pPr>
      <w:r w:rsidRPr="00730F66">
        <w:t>On behalf of the Authority</w:t>
      </w:r>
    </w:p>
    <w:p w14:paraId="30FC5622" w14:textId="77777777" w:rsidR="00DC35FA" w:rsidRDefault="00DC35FA" w:rsidP="00DC35FA">
      <w:pPr>
        <w:ind w:left="1440" w:hanging="1440"/>
      </w:pPr>
      <w:r>
        <w:t>Chairperson:</w:t>
      </w:r>
      <w:r>
        <w:tab/>
      </w:r>
      <w:r w:rsidRPr="00DC35FA">
        <w:t>________________</w:t>
      </w:r>
      <w:r>
        <w:br/>
        <w:t>Helen Guinan</w:t>
      </w:r>
      <w:r>
        <w:br/>
        <w:t>Chairperson</w:t>
      </w:r>
    </w:p>
    <w:p w14:paraId="5B8111EB" w14:textId="77777777" w:rsidR="00DC35FA" w:rsidRDefault="00DC35FA" w:rsidP="00DC35FA">
      <w:pPr>
        <w:ind w:left="1440" w:hanging="1440"/>
      </w:pPr>
      <w:r>
        <w:t>Director:</w:t>
      </w:r>
      <w:r>
        <w:tab/>
        <w:t>________________</w:t>
      </w:r>
      <w:r>
        <w:br/>
        <w:t>Siobhan Barron</w:t>
      </w:r>
      <w:r>
        <w:br/>
        <w:t>Director</w:t>
      </w:r>
    </w:p>
    <w:p w14:paraId="01994DB9" w14:textId="77777777" w:rsidR="00DC35FA" w:rsidRDefault="00DC35FA" w:rsidP="00DC35FA">
      <w:r>
        <w:t>Date:</w:t>
      </w:r>
      <w:r>
        <w:tab/>
      </w:r>
      <w:r>
        <w:tab/>
        <w:t xml:space="preserve"> </w:t>
      </w:r>
    </w:p>
    <w:p w14:paraId="71477484" w14:textId="77777777" w:rsidR="00421776" w:rsidRDefault="00421776" w:rsidP="005A3448">
      <w:pPr>
        <w:pStyle w:val="Heading2"/>
      </w:pPr>
      <w:r w:rsidRPr="00300E3E">
        <w:t>Statement on Internal Financial Control</w:t>
      </w:r>
      <w:r>
        <w:t xml:space="preserve"> f</w:t>
      </w:r>
      <w:r w:rsidRPr="00300E3E">
        <w:t xml:space="preserve">or the year ended 31 December </w:t>
      </w:r>
      <w:r>
        <w:t>2014</w:t>
      </w:r>
    </w:p>
    <w:p w14:paraId="5D4DE2A4" w14:textId="77777777" w:rsidR="004D605A" w:rsidRDefault="004D605A" w:rsidP="004D605A">
      <w:r>
        <w:t>On behalf of the Board of the National Disability Authority, I acknowledge our responsibility for ensuring that an effective system of internal financial controls is maintained and operated.</w:t>
      </w:r>
    </w:p>
    <w:p w14:paraId="0FFC882B" w14:textId="77777777" w:rsidR="004D605A" w:rsidRDefault="004D605A" w:rsidP="004D605A">
      <w:r>
        <w:t>The systems can provide only reasonable, and not absolute, assurance that the assets are safeguarded, transactions authorised and properly recorded, and that material errors or irregularities are either prevented or would be detected in a timely manner.</w:t>
      </w:r>
    </w:p>
    <w:p w14:paraId="6600A43F" w14:textId="77777777" w:rsidR="004D605A" w:rsidRDefault="004D605A" w:rsidP="004D605A">
      <w:pPr>
        <w:pStyle w:val="NormalBeforeList"/>
      </w:pPr>
      <w:r>
        <w:t xml:space="preserve">The board was appointed from 22 July 2014 and since then has taken steps to ensure an appropriate control environment is in place by: </w:t>
      </w:r>
    </w:p>
    <w:p w14:paraId="41AA01CB" w14:textId="77777777" w:rsidR="004D605A" w:rsidRDefault="004D605A" w:rsidP="00320EA8">
      <w:pPr>
        <w:pStyle w:val="ListBullet"/>
      </w:pPr>
      <w:r>
        <w:t>Establishing formal procedures through various committee functions to monitor the activities and safeguard</w:t>
      </w:r>
      <w:r w:rsidR="00320EA8">
        <w:t xml:space="preserve"> the assets of the organisation</w:t>
      </w:r>
    </w:p>
    <w:p w14:paraId="32139AB8" w14:textId="77777777" w:rsidR="004D605A" w:rsidRDefault="004D605A" w:rsidP="00320EA8">
      <w:pPr>
        <w:pStyle w:val="ListBullet"/>
      </w:pPr>
      <w:r>
        <w:t xml:space="preserve">Ensuring </w:t>
      </w:r>
      <w:r w:rsidR="00320EA8">
        <w:t>c</w:t>
      </w:r>
      <w:r>
        <w:t>learly defined and documented managem</w:t>
      </w:r>
      <w:r w:rsidR="00320EA8">
        <w:t>ent responsibilities and powers</w:t>
      </w:r>
    </w:p>
    <w:p w14:paraId="352353BF" w14:textId="77777777" w:rsidR="004D605A" w:rsidRDefault="004D605A" w:rsidP="00320EA8">
      <w:pPr>
        <w:pStyle w:val="ListBullet"/>
        <w:spacing w:after="240"/>
      </w:pPr>
      <w:r>
        <w:tab/>
        <w:t>Developing a strong culture of accountability across all level</w:t>
      </w:r>
      <w:r w:rsidR="00320EA8">
        <w:t>s of the organisation.</w:t>
      </w:r>
    </w:p>
    <w:p w14:paraId="27508421" w14:textId="77777777" w:rsidR="004D605A" w:rsidRDefault="004D605A" w:rsidP="00320EA8">
      <w:pPr>
        <w:pStyle w:val="NormalBeforeList"/>
      </w:pPr>
      <w:r>
        <w:t xml:space="preserve">The Authority is satisfied that there are established processes to identify and evaluate business risks. This is achieved in a </w:t>
      </w:r>
      <w:proofErr w:type="gramStart"/>
      <w:r>
        <w:t>numbers of ways</w:t>
      </w:r>
      <w:proofErr w:type="gramEnd"/>
      <w:r>
        <w:t xml:space="preserve"> including: </w:t>
      </w:r>
    </w:p>
    <w:p w14:paraId="56E9B33D" w14:textId="77777777" w:rsidR="004D605A" w:rsidRDefault="004D605A" w:rsidP="00320EA8">
      <w:pPr>
        <w:pStyle w:val="ListBullet"/>
      </w:pPr>
      <w:r>
        <w:t xml:space="preserve">Identifying the nature, extent and financial implications of risks facing the National Disability Authority </w:t>
      </w:r>
    </w:p>
    <w:p w14:paraId="5E8E0F6A" w14:textId="77777777" w:rsidR="004D605A" w:rsidRDefault="004D605A" w:rsidP="00320EA8">
      <w:pPr>
        <w:pStyle w:val="ListBullet"/>
      </w:pPr>
      <w:r>
        <w:t xml:space="preserve">Assessing the likelihood of identified risks occurring. The NDA has a risk register in place which includes strategic, operational, information </w:t>
      </w:r>
      <w:r>
        <w:lastRenderedPageBreak/>
        <w:t xml:space="preserve">technology, financial and reputational /compliance risks. In addition, risk analysis is completed at project planning and scoping stage </w:t>
      </w:r>
    </w:p>
    <w:p w14:paraId="0AF230B3" w14:textId="77777777" w:rsidR="004D605A" w:rsidRDefault="004D605A" w:rsidP="00AC098C">
      <w:pPr>
        <w:pStyle w:val="ListBullet"/>
      </w:pPr>
      <w:r>
        <w:t>Assessing the National Disability Authority</w:t>
      </w:r>
      <w:r w:rsidR="00320EA8">
        <w:t>’</w:t>
      </w:r>
      <w:r>
        <w:t xml:space="preserve">s ability to manage and mitigate the risks that do occur </w:t>
      </w:r>
    </w:p>
    <w:p w14:paraId="0842F8AE" w14:textId="77777777" w:rsidR="004D605A" w:rsidRDefault="004D605A" w:rsidP="00320EA8">
      <w:pPr>
        <w:pStyle w:val="ListBullet"/>
      </w:pPr>
      <w:r>
        <w:t>Working closely with Government and various agencies and institutions to ensure that there is a clear understanding of the National Disability Authority</w:t>
      </w:r>
      <w:r w:rsidR="00320EA8">
        <w:t>’</w:t>
      </w:r>
      <w:r>
        <w:t>s goals and support for the Authority</w:t>
      </w:r>
      <w:r w:rsidR="00320EA8">
        <w:t>’</w:t>
      </w:r>
      <w:r>
        <w:t xml:space="preserve">s strategies to achieve those goals </w:t>
      </w:r>
    </w:p>
    <w:p w14:paraId="0C4AE0CA" w14:textId="77777777" w:rsidR="004D605A" w:rsidRDefault="004D605A" w:rsidP="00320EA8">
      <w:pPr>
        <w:pStyle w:val="ListBullet"/>
      </w:pPr>
      <w:r>
        <w:t xml:space="preserve">Carrying out regular reviews of the strategic plan and evaluating the risks to the ability to bring the plan to fruition </w:t>
      </w:r>
    </w:p>
    <w:p w14:paraId="2F9E53FD" w14:textId="77777777" w:rsidR="004D605A" w:rsidRDefault="004D605A" w:rsidP="00320EA8">
      <w:pPr>
        <w:pStyle w:val="ListBullet"/>
      </w:pPr>
      <w:r>
        <w:t xml:space="preserve">Setting annual targets for each area of our business followed by the regular reporting on the results achieved </w:t>
      </w:r>
    </w:p>
    <w:p w14:paraId="6808E9FF" w14:textId="77777777" w:rsidR="004D605A" w:rsidRDefault="004D605A" w:rsidP="00320EA8">
      <w:pPr>
        <w:pStyle w:val="ListBullet"/>
        <w:spacing w:after="240"/>
      </w:pPr>
      <w:r>
        <w:t xml:space="preserve">Establishing and enforcing standard procedures and provision under which financial assistance may be made available to projects, including provisions requiring repayment if the project does not fulfil commitments made by the contractor. </w:t>
      </w:r>
    </w:p>
    <w:p w14:paraId="3905DAB7" w14:textId="77777777" w:rsidR="004D605A" w:rsidRDefault="004D605A" w:rsidP="00320EA8">
      <w:pPr>
        <w:pStyle w:val="NormalBeforeList"/>
      </w:pPr>
      <w:r>
        <w:t>The system of internal financial control is based on a framework of regular management information, administrative procedures including segregation of duties, and a system of delegation and accountabil</w:t>
      </w:r>
      <w:r w:rsidR="00320EA8">
        <w:t xml:space="preserve">ity. </w:t>
      </w:r>
      <w:proofErr w:type="gramStart"/>
      <w:r w:rsidR="00320EA8">
        <w:t>In particular it</w:t>
      </w:r>
      <w:proofErr w:type="gramEnd"/>
      <w:r w:rsidR="00320EA8">
        <w:t xml:space="preserve"> includes:</w:t>
      </w:r>
    </w:p>
    <w:p w14:paraId="30A47AB8" w14:textId="77777777" w:rsidR="004D605A" w:rsidRDefault="004D605A" w:rsidP="00320EA8">
      <w:pPr>
        <w:pStyle w:val="ListBullet"/>
      </w:pPr>
      <w:r>
        <w:t xml:space="preserve">A comprehensive budget system with an annual budget which is reviewed and agreed by the Authority </w:t>
      </w:r>
    </w:p>
    <w:p w14:paraId="3104AF53" w14:textId="77777777" w:rsidR="004D605A" w:rsidRDefault="004D605A" w:rsidP="00320EA8">
      <w:pPr>
        <w:pStyle w:val="ListBullet"/>
        <w:spacing w:after="240"/>
      </w:pPr>
      <w:r>
        <w:t>Regular reviews by the Authority of periodic and annual financial reports which indicate financial performance against forecasts</w:t>
      </w:r>
      <w:r w:rsidR="00016B1E">
        <w:t>, s</w:t>
      </w:r>
      <w:r>
        <w:t xml:space="preserve">etting targets to measure financial and other performances </w:t>
      </w:r>
    </w:p>
    <w:p w14:paraId="1BC6CBC3" w14:textId="77777777" w:rsidR="004D605A" w:rsidRDefault="004D605A" w:rsidP="004D605A">
      <w:r>
        <w:t>The Authority has outsourced an Internal Audit Service, which operates in accordance with the Framework Code of Best Practice, set out in the Revised Code of Practice on the Governance of State Bodies 2009. During 2014 the Internal Audit Service was carried out by the Department of Justice and Equality. The Internal Audit Service</w:t>
      </w:r>
      <w:r w:rsidR="00320EA8">
        <w:t>’</w:t>
      </w:r>
      <w:r>
        <w:t>s role includes reporting to the Audit Committee as appropriate. In May 2014 Internal Audit undertook a Review of Internal Financial Controls which the Audit Committee has considered</w:t>
      </w:r>
      <w:r w:rsidR="00DC735D">
        <w:t>.</w:t>
      </w:r>
    </w:p>
    <w:p w14:paraId="3483ABB1" w14:textId="77777777" w:rsidR="004D605A" w:rsidRDefault="004D605A" w:rsidP="004D605A">
      <w:r>
        <w:t xml:space="preserve">The Authority has responsibility for overseeing the implementation of the Internal Audit Service recommendations to ensure proper and effective financial control procedures are maintained and oversees the internal audit function and related plans to include any new identified areas. </w:t>
      </w:r>
    </w:p>
    <w:p w14:paraId="3A5E7374" w14:textId="77777777" w:rsidR="004D605A" w:rsidRDefault="004D605A" w:rsidP="00320EA8">
      <w:pPr>
        <w:spacing w:after="120"/>
      </w:pPr>
      <w:r>
        <w:lastRenderedPageBreak/>
        <w:t>The Authority</w:t>
      </w:r>
      <w:r w:rsidR="00320EA8">
        <w:t>’</w:t>
      </w:r>
      <w:r>
        <w:t>s monitoring and review of the effectiveness of the systems of internal financial c</w:t>
      </w:r>
      <w:r w:rsidR="00320EA8">
        <w:t>ontrol is informed by:</w:t>
      </w:r>
    </w:p>
    <w:p w14:paraId="547FEDED" w14:textId="77777777" w:rsidR="004D605A" w:rsidRDefault="004D605A" w:rsidP="00320EA8">
      <w:pPr>
        <w:pStyle w:val="ListBullet"/>
      </w:pPr>
      <w:r>
        <w:t>the work of the Internal Audit Service and the contribution of the Audit Committee established by the Authority which oversees the work of the Internal Auditor and of the co</w:t>
      </w:r>
      <w:r w:rsidR="00320EA8">
        <w:t>rporate governance environment</w:t>
      </w:r>
    </w:p>
    <w:p w14:paraId="4AD76D32" w14:textId="77777777" w:rsidR="004D605A" w:rsidRDefault="004D605A" w:rsidP="00320EA8">
      <w:pPr>
        <w:pStyle w:val="ListBullet"/>
      </w:pPr>
      <w:r>
        <w:t>the executive managers with the National Disability Authority who have responsibility for the development and the maintenance of th</w:t>
      </w:r>
      <w:r w:rsidR="00320EA8">
        <w:t>e financial control framework</w:t>
      </w:r>
    </w:p>
    <w:p w14:paraId="4584F7AC" w14:textId="77777777" w:rsidR="004D605A" w:rsidRDefault="004D605A" w:rsidP="00320EA8">
      <w:pPr>
        <w:pStyle w:val="ListBullet"/>
      </w:pPr>
      <w:r>
        <w:t>the Finance committee established by the Authority to report at least quarterly on financial expenditure and re</w:t>
      </w:r>
      <w:r w:rsidR="00320EA8">
        <w:t xml:space="preserve">lated </w:t>
      </w:r>
      <w:proofErr w:type="gramStart"/>
      <w:r w:rsidR="00320EA8">
        <w:t>issues</w:t>
      </w:r>
      <w:r w:rsidR="004E19EF">
        <w:t>;</w:t>
      </w:r>
      <w:proofErr w:type="gramEnd"/>
    </w:p>
    <w:p w14:paraId="191E5987" w14:textId="77777777" w:rsidR="004D605A" w:rsidRDefault="004D605A" w:rsidP="00320EA8">
      <w:pPr>
        <w:pStyle w:val="ListBullet"/>
        <w:spacing w:after="240"/>
      </w:pPr>
      <w:r>
        <w:t>the issues raised by the Comptroller and Auditor General</w:t>
      </w:r>
      <w:r w:rsidR="004E19EF">
        <w:t>.</w:t>
      </w:r>
    </w:p>
    <w:p w14:paraId="3C5D53EE" w14:textId="77777777" w:rsidR="00016B1E" w:rsidRDefault="00C7590C" w:rsidP="004D605A">
      <w:r w:rsidRPr="00C7590C">
        <w:t>The Board, for the period prior to its appointment in July, relied on the assurances from the Director that financial controls had been working effectively since start of year.</w:t>
      </w:r>
      <w:r w:rsidR="00D00624">
        <w:t xml:space="preserve"> </w:t>
      </w:r>
      <w:r w:rsidRPr="00C7590C">
        <w:t>I confirm that the Board conducted a review of the internal financial controls based on a report from the Audit Committee presented to the Board at its meeting in December 2014</w:t>
      </w:r>
      <w:r w:rsidR="00016B1E" w:rsidRPr="00016B1E">
        <w:t>.</w:t>
      </w:r>
    </w:p>
    <w:p w14:paraId="63699AAA" w14:textId="77777777" w:rsidR="00421776" w:rsidRDefault="004D605A" w:rsidP="004D605A">
      <w:r>
        <w:t>I confirm that, to the best of my knowledge, the above information is accurate.</w:t>
      </w:r>
    </w:p>
    <w:p w14:paraId="655F575A" w14:textId="77777777" w:rsidR="00DC35FA" w:rsidRDefault="00DC35FA" w:rsidP="00DC35FA">
      <w:r w:rsidRPr="00DC35FA">
        <w:t>________________</w:t>
      </w:r>
      <w:r>
        <w:br/>
        <w:t>Helen Guinan</w:t>
      </w:r>
      <w:r>
        <w:br/>
        <w:t>Chairperson</w:t>
      </w:r>
    </w:p>
    <w:p w14:paraId="15A7119B" w14:textId="77777777" w:rsidR="00421776" w:rsidRDefault="00DC35FA" w:rsidP="00421776">
      <w:r w:rsidRPr="00DC35FA">
        <w:t>Date:</w:t>
      </w:r>
      <w:r w:rsidRPr="00DC35FA">
        <w:tab/>
      </w:r>
      <w:r w:rsidRPr="00DC35FA">
        <w:tab/>
      </w:r>
    </w:p>
    <w:p w14:paraId="455B2F17" w14:textId="77777777" w:rsidR="00BB5C89" w:rsidRPr="00BB5C89" w:rsidRDefault="00BB5C89" w:rsidP="00AC098C">
      <w:pPr>
        <w:pStyle w:val="Heading2"/>
        <w:sectPr w:rsidR="00BB5C89" w:rsidRPr="00BB5C89" w:rsidSect="005A3448">
          <w:type w:val="continuous"/>
          <w:pgSz w:w="11907" w:h="16839" w:code="9"/>
          <w:pgMar w:top="1985" w:right="1985" w:bottom="1985" w:left="1985" w:header="709" w:footer="709" w:gutter="0"/>
          <w:cols w:space="708"/>
          <w:docGrid w:linePitch="360"/>
        </w:sectPr>
      </w:pPr>
      <w:r>
        <w:br w:type="page"/>
      </w:r>
      <w:r w:rsidR="00AC098C">
        <w:lastRenderedPageBreak/>
        <w:t>Comptroller and Auditor General</w:t>
      </w:r>
      <w:r w:rsidR="00AC098C">
        <w:br/>
        <w:t>Report for presentation to the Houses of the Oireachtas</w:t>
      </w:r>
    </w:p>
    <w:p w14:paraId="562A5FA5" w14:textId="77777777" w:rsidR="00AC098C" w:rsidRDefault="00AC098C" w:rsidP="00AC098C">
      <w:r>
        <w:t xml:space="preserve">I have audited the financial statements of the National Disability Authority for the year ended 31 December 2014 under the National Disability Authority Act 1999. The financial statements, which have been prepared under the accounting policies set out therein, comprise the statement of accounting policies, the income and expenditure account, the statement of total recognised gains and losses, the balance sheet, the cash flow </w:t>
      </w:r>
      <w:proofErr w:type="gramStart"/>
      <w:r>
        <w:t>statement</w:t>
      </w:r>
      <w:proofErr w:type="gramEnd"/>
      <w:r>
        <w:t xml:space="preserve"> and the related notes. The financial statements have been prepared in the form prescribed by under Section 17 of the Act, and in accordance with generally accepted accounting practice in </w:t>
      </w:r>
      <w:r w:rsidR="00771CAA">
        <w:t>Ireland</w:t>
      </w:r>
      <w:r>
        <w:t>.</w:t>
      </w:r>
    </w:p>
    <w:p w14:paraId="32A41210" w14:textId="77777777" w:rsidR="00AC098C" w:rsidRDefault="00AC098C" w:rsidP="00AC098C">
      <w:pPr>
        <w:pStyle w:val="Heading3"/>
      </w:pPr>
      <w:r>
        <w:t>Responsibilities of the Members of the Authority</w:t>
      </w:r>
    </w:p>
    <w:p w14:paraId="5B55B079" w14:textId="77777777" w:rsidR="00AC098C" w:rsidRDefault="00AC098C" w:rsidP="00AC098C">
      <w:r>
        <w:t>The Authority is responsible for the preparation of the financial statements, for ensuring that they give a true and fair view of the state of the National Disability Authority's affairs and of its income and expenditure, and for ensuring the regularity of transactions.</w:t>
      </w:r>
    </w:p>
    <w:p w14:paraId="016008CC" w14:textId="77777777" w:rsidR="00AC098C" w:rsidRDefault="00AC098C" w:rsidP="00AC098C">
      <w:pPr>
        <w:pStyle w:val="Heading3"/>
      </w:pPr>
      <w:r>
        <w:t>Responsibilities of the Comptroller and Auditor General</w:t>
      </w:r>
    </w:p>
    <w:p w14:paraId="5C3E30BB" w14:textId="77777777" w:rsidR="00AC098C" w:rsidRDefault="00AC098C" w:rsidP="00AC098C">
      <w:r>
        <w:t xml:space="preserve">My responsibility is to audit the financial statements and report on them in accordance with applicable law. </w:t>
      </w:r>
    </w:p>
    <w:p w14:paraId="58E05FBB" w14:textId="77777777" w:rsidR="00AC098C" w:rsidRDefault="00AC098C" w:rsidP="00AC098C">
      <w:r>
        <w:t>My audit is conducted by reference to the special considerations which attach to State bodies in relation to their management and operation.</w:t>
      </w:r>
    </w:p>
    <w:p w14:paraId="32C58085" w14:textId="77777777" w:rsidR="00AC098C" w:rsidRDefault="00AC098C" w:rsidP="00AC098C">
      <w:r>
        <w:t>My audit is carried out in accordance with the International Standards on Auditing (UK and Ireland) and in compliance with the Auditing Practices Board's Ethical Standards for Auditors.</w:t>
      </w:r>
    </w:p>
    <w:p w14:paraId="5DE04442" w14:textId="77777777" w:rsidR="00AC098C" w:rsidRDefault="00AC098C" w:rsidP="00AC098C">
      <w:pPr>
        <w:pStyle w:val="Heading3"/>
      </w:pPr>
      <w:r>
        <w:t>Scope of audit of the financial statements</w:t>
      </w:r>
    </w:p>
    <w:p w14:paraId="7FA77EED" w14:textId="77777777" w:rsidR="00AC098C" w:rsidRDefault="00AC098C" w:rsidP="00AC098C">
      <w:r>
        <w:t>An audit involves obtaining evidence about the amounts and disclosures in the financial statements, sufficient to give reasonable assurance that the financial statements are free from material misstatement, whether caused by fraud or error. This includes an assessment of:</w:t>
      </w:r>
    </w:p>
    <w:p w14:paraId="57BD39F7" w14:textId="77777777" w:rsidR="00AC098C" w:rsidRDefault="00AC098C" w:rsidP="00AC098C">
      <w:pPr>
        <w:pStyle w:val="ListBullet"/>
      </w:pPr>
      <w:r>
        <w:t xml:space="preserve">whether the accounting policies are appropriate to the Authority's circumstances, and have been consistently applied and adequately disclosed </w:t>
      </w:r>
    </w:p>
    <w:p w14:paraId="116599EA" w14:textId="77777777" w:rsidR="00AC098C" w:rsidRDefault="00AC098C" w:rsidP="00AC098C">
      <w:pPr>
        <w:pStyle w:val="ListBullet"/>
      </w:pPr>
      <w:r>
        <w:t xml:space="preserve">the reasonableness of significant accounting estimates made in the preparation of the financial statements, and </w:t>
      </w:r>
    </w:p>
    <w:p w14:paraId="01CE700B" w14:textId="77777777" w:rsidR="00AC098C" w:rsidRDefault="00AC098C" w:rsidP="00AC098C">
      <w:pPr>
        <w:pStyle w:val="ListBullet"/>
      </w:pPr>
      <w:r>
        <w:lastRenderedPageBreak/>
        <w:t xml:space="preserve">the overall presentation of the financial statements </w:t>
      </w:r>
    </w:p>
    <w:p w14:paraId="67ACF4CA" w14:textId="77777777" w:rsidR="00AC098C" w:rsidRDefault="00AC098C" w:rsidP="00AC098C">
      <w:r>
        <w:t xml:space="preserve">I also seek to obtain evidence about the regularity of financial transactions </w:t>
      </w:r>
      <w:proofErr w:type="gramStart"/>
      <w:r>
        <w:t>in the course of</w:t>
      </w:r>
      <w:proofErr w:type="gramEnd"/>
      <w:r>
        <w:t xml:space="preserve"> audit. </w:t>
      </w:r>
    </w:p>
    <w:p w14:paraId="7137DC53" w14:textId="77777777" w:rsidR="00AC098C" w:rsidRDefault="00AC098C" w:rsidP="00AC098C">
      <w:r>
        <w:t xml:space="preserve">In addition, I read the Authority’s annual report to identify material inconsistencies with the audited financial statements. If I become aware of any apparent material misstatements or </w:t>
      </w:r>
      <w:proofErr w:type="gramStart"/>
      <w:r>
        <w:t>inconsistencies</w:t>
      </w:r>
      <w:proofErr w:type="gramEnd"/>
      <w:r>
        <w:t xml:space="preserve"> I consider the implications for my report.</w:t>
      </w:r>
    </w:p>
    <w:p w14:paraId="070C3F10" w14:textId="77777777" w:rsidR="00AC098C" w:rsidRDefault="00AC098C" w:rsidP="00AC098C">
      <w:pPr>
        <w:pStyle w:val="Heading3"/>
      </w:pPr>
      <w:r>
        <w:t>Opinion on the financial statements</w:t>
      </w:r>
    </w:p>
    <w:p w14:paraId="7BDBF34B" w14:textId="77777777" w:rsidR="00AC098C" w:rsidRDefault="00AC098C" w:rsidP="00AC098C">
      <w:r>
        <w:t xml:space="preserve">In my opinion, the financial statements, which have been properly prepared in accordance with Generally Accepted Accounting Practice in Ireland, give a true and fair view of the state of the Authority's affairs </w:t>
      </w:r>
      <w:proofErr w:type="gramStart"/>
      <w:r>
        <w:t>at</w:t>
      </w:r>
      <w:proofErr w:type="gramEnd"/>
      <w:r>
        <w:t xml:space="preserve"> 31 December 2014 and of its income and expenditure for 2014.</w:t>
      </w:r>
    </w:p>
    <w:p w14:paraId="40118413" w14:textId="77777777" w:rsidR="00AC098C" w:rsidRDefault="00AC098C" w:rsidP="00AC098C">
      <w:r>
        <w:t xml:space="preserve">In my opinion, proper books of account have been kept by Authority. The financial statements </w:t>
      </w:r>
      <w:proofErr w:type="gramStart"/>
      <w:r>
        <w:t>are in agreement</w:t>
      </w:r>
      <w:proofErr w:type="gramEnd"/>
      <w:r>
        <w:t xml:space="preserve"> with the books of account.</w:t>
      </w:r>
    </w:p>
    <w:p w14:paraId="7B04A23E" w14:textId="77777777" w:rsidR="00AC098C" w:rsidRDefault="00AC098C" w:rsidP="00AC098C">
      <w:pPr>
        <w:pStyle w:val="Heading3"/>
      </w:pPr>
      <w:r>
        <w:t>Matters on which I Report by Exception</w:t>
      </w:r>
    </w:p>
    <w:p w14:paraId="7BD12074" w14:textId="77777777" w:rsidR="00AC098C" w:rsidRDefault="00AC098C" w:rsidP="00AC098C">
      <w:r>
        <w:t>I report by exception if:</w:t>
      </w:r>
    </w:p>
    <w:p w14:paraId="20D6ECC4" w14:textId="77777777" w:rsidR="00AC098C" w:rsidRDefault="00AC098C" w:rsidP="00AC098C">
      <w:pPr>
        <w:pStyle w:val="ListBullet"/>
      </w:pPr>
      <w:r>
        <w:t xml:space="preserve">I have not received all the information and explanations I required for my audit, or </w:t>
      </w:r>
    </w:p>
    <w:p w14:paraId="7045E0F5" w14:textId="77777777" w:rsidR="00AC098C" w:rsidRDefault="00AC098C" w:rsidP="00AC098C">
      <w:pPr>
        <w:pStyle w:val="ListBullet"/>
      </w:pPr>
      <w:r>
        <w:t xml:space="preserve">my audit noted any material instance where moneys have not been applied for the purposes intended or where the transactions did not conform to the authorities governing them, or </w:t>
      </w:r>
    </w:p>
    <w:p w14:paraId="43D41B54" w14:textId="77777777" w:rsidR="00AC098C" w:rsidRDefault="00AC098C" w:rsidP="00AC098C">
      <w:pPr>
        <w:pStyle w:val="ListBullet"/>
      </w:pPr>
      <w:r>
        <w:t xml:space="preserve">the information given in the Authority's Annual Report is not consistent with the financial statements, or </w:t>
      </w:r>
    </w:p>
    <w:p w14:paraId="3B2936F7" w14:textId="77777777" w:rsidR="00AC098C" w:rsidRDefault="00AC098C" w:rsidP="00AC098C">
      <w:pPr>
        <w:pStyle w:val="ListBullet"/>
      </w:pPr>
      <w:r>
        <w:t xml:space="preserve">the Statement on Internal Financial Control does not reflect the Authority's compliance with the Code of Practice for the Governance of State Bodies, or </w:t>
      </w:r>
    </w:p>
    <w:p w14:paraId="372E6637" w14:textId="77777777" w:rsidR="00AC098C" w:rsidRDefault="00AC098C" w:rsidP="00AC098C">
      <w:pPr>
        <w:pStyle w:val="ListBullet"/>
      </w:pPr>
      <w:r>
        <w:t xml:space="preserve">I find there are other material matters relating to the </w:t>
      </w:r>
      <w:proofErr w:type="gramStart"/>
      <w:r>
        <w:t>manner in which</w:t>
      </w:r>
      <w:proofErr w:type="gramEnd"/>
      <w:r>
        <w:t xml:space="preserve"> public business has been conducted </w:t>
      </w:r>
    </w:p>
    <w:p w14:paraId="0A142693" w14:textId="77777777" w:rsidR="00AC098C" w:rsidRDefault="00AC098C" w:rsidP="00AC098C">
      <w:r>
        <w:t xml:space="preserve">I have nothing to report </w:t>
      </w:r>
      <w:proofErr w:type="gramStart"/>
      <w:r>
        <w:t>in regard to</w:t>
      </w:r>
      <w:proofErr w:type="gramEnd"/>
      <w:r>
        <w:t xml:space="preserve"> those matters upon which reporting is by exception.</w:t>
      </w:r>
    </w:p>
    <w:p w14:paraId="421879AB" w14:textId="77777777" w:rsidR="00AC098C" w:rsidRDefault="00AC098C" w:rsidP="00AC098C">
      <w:r>
        <w:t>Patricia Sheehan</w:t>
      </w:r>
      <w:r>
        <w:br/>
        <w:t xml:space="preserve">For and on behalf of the </w:t>
      </w:r>
      <w:r>
        <w:br/>
        <w:t xml:space="preserve">Comptroller and Auditor General </w:t>
      </w:r>
    </w:p>
    <w:p w14:paraId="40006BAA" w14:textId="77777777" w:rsidR="00AC098C" w:rsidRDefault="00AC098C" w:rsidP="00AC098C">
      <w:r>
        <w:t>7 August 2015</w:t>
      </w:r>
    </w:p>
    <w:p w14:paraId="6B2F2ABA" w14:textId="77777777" w:rsidR="00421776" w:rsidRDefault="00421776" w:rsidP="00BB5C89">
      <w:pPr>
        <w:pStyle w:val="Heading2"/>
      </w:pPr>
      <w:r w:rsidRPr="00300E3E">
        <w:lastRenderedPageBreak/>
        <w:t>S</w:t>
      </w:r>
      <w:r>
        <w:t>tatement of Accounting</w:t>
      </w:r>
      <w:r w:rsidRPr="00300E3E">
        <w:t xml:space="preserve"> P</w:t>
      </w:r>
      <w:r>
        <w:t>olicies</w:t>
      </w:r>
    </w:p>
    <w:p w14:paraId="0B8716D6" w14:textId="77777777" w:rsidR="00421776" w:rsidRDefault="00421776" w:rsidP="00BB5C89">
      <w:pPr>
        <w:pStyle w:val="Heading3"/>
      </w:pPr>
      <w:r>
        <w:t>Basis of Accounting</w:t>
      </w:r>
    </w:p>
    <w:p w14:paraId="5883CD8F" w14:textId="77777777" w:rsidR="00421776" w:rsidRDefault="00421776" w:rsidP="00421776">
      <w:r>
        <w:t>The financial statements have been prepared using the accruals method of accounting, except as indicated below and in accordance with generally accepted accounting principles under the historical cost convention.</w:t>
      </w:r>
    </w:p>
    <w:p w14:paraId="5371BB2B" w14:textId="77777777" w:rsidR="00421776" w:rsidRDefault="00421776" w:rsidP="00421776">
      <w:r>
        <w:t>Financial Reporting Standards recommended by the recognised accountancy bodies are adopted as they become operative.</w:t>
      </w:r>
    </w:p>
    <w:p w14:paraId="4D2640C1" w14:textId="77777777" w:rsidR="00421776" w:rsidRPr="003762AC" w:rsidRDefault="00421776" w:rsidP="00BB5C89">
      <w:pPr>
        <w:pStyle w:val="Heading3"/>
      </w:pPr>
      <w:r w:rsidRPr="003762AC">
        <w:t>Oireachtas Grant Income</w:t>
      </w:r>
    </w:p>
    <w:p w14:paraId="4F8F07AD" w14:textId="77777777" w:rsidR="00421776" w:rsidRPr="003971A2" w:rsidRDefault="00421776" w:rsidP="00421776">
      <w:pPr>
        <w:rPr>
          <w:b/>
        </w:rPr>
      </w:pPr>
      <w:r>
        <w:t>The income from this source represents the amounts provided to the NDA by the sponsoring department through the direct payment of salary and other costs.</w:t>
      </w:r>
    </w:p>
    <w:p w14:paraId="3D265057" w14:textId="77777777" w:rsidR="00421776" w:rsidRDefault="00421776" w:rsidP="00BB5C89">
      <w:pPr>
        <w:pStyle w:val="Heading3"/>
      </w:pPr>
      <w:r>
        <w:t>Fixed Assets and Depreciation</w:t>
      </w:r>
    </w:p>
    <w:p w14:paraId="01E4E0F1" w14:textId="77777777" w:rsidR="00421776" w:rsidRPr="0093338F" w:rsidRDefault="00421776" w:rsidP="00421776">
      <w:r w:rsidRPr="0093338F">
        <w:t>Fixed Assets are shown at original cost or valuation</w:t>
      </w:r>
      <w:r w:rsidR="00C03D8B">
        <w:t xml:space="preserve"> less accumulated depreciation.</w:t>
      </w:r>
    </w:p>
    <w:p w14:paraId="44962E08" w14:textId="77777777" w:rsidR="00421776" w:rsidRPr="0093338F" w:rsidRDefault="00421776" w:rsidP="00BB5C89">
      <w:pPr>
        <w:pStyle w:val="NormalBeforeList"/>
      </w:pPr>
      <w:r w:rsidRPr="0093338F">
        <w:t>Depreciation is provided at the following annual rates:</w:t>
      </w:r>
    </w:p>
    <w:p w14:paraId="5070B064" w14:textId="77777777" w:rsidR="00421776" w:rsidRPr="0093338F" w:rsidRDefault="00421776" w:rsidP="00C03D8B">
      <w:pPr>
        <w:pStyle w:val="ListBullet"/>
      </w:pPr>
      <w:r w:rsidRPr="0093338F">
        <w:t>Office Furniture and Equipment</w:t>
      </w:r>
      <w:r w:rsidR="00C03D8B">
        <w:t xml:space="preserve">: </w:t>
      </w:r>
      <w:r w:rsidRPr="0093338F">
        <w:t xml:space="preserve">10.00 % (Straight Line) </w:t>
      </w:r>
    </w:p>
    <w:p w14:paraId="0E2BC1C0" w14:textId="77777777" w:rsidR="00421776" w:rsidRPr="0093338F" w:rsidRDefault="00421776" w:rsidP="00C03D8B">
      <w:pPr>
        <w:pStyle w:val="ListBullet"/>
      </w:pPr>
      <w:r w:rsidRPr="0093338F">
        <w:t>Computer Hardware and Software</w:t>
      </w:r>
      <w:r w:rsidR="00C03D8B">
        <w:t xml:space="preserve">: </w:t>
      </w:r>
      <w:r w:rsidRPr="0093338F">
        <w:t>20.00 % (Straight Line)</w:t>
      </w:r>
    </w:p>
    <w:p w14:paraId="3FB498EC" w14:textId="77777777" w:rsidR="00421776" w:rsidRDefault="00421776" w:rsidP="00D8791A">
      <w:pPr>
        <w:pStyle w:val="ListBullet"/>
        <w:spacing w:after="240"/>
      </w:pPr>
      <w:r w:rsidRPr="0093338F">
        <w:t>Premises</w:t>
      </w:r>
      <w:r w:rsidR="00C03D8B">
        <w:t xml:space="preserve">: </w:t>
      </w:r>
      <w:r w:rsidRPr="0093338F">
        <w:t>2.50 % (Reducing Balance</w:t>
      </w:r>
      <w:r>
        <w:t xml:space="preserve"> </w:t>
      </w:r>
      <w:r w:rsidRPr="0093338F">
        <w:t>Basis)</w:t>
      </w:r>
    </w:p>
    <w:p w14:paraId="0E5B7C17" w14:textId="77777777" w:rsidR="00421776" w:rsidRDefault="00421776" w:rsidP="00BB5C89">
      <w:pPr>
        <w:pStyle w:val="Heading2"/>
      </w:pPr>
      <w:r>
        <w:t>Capital Account</w:t>
      </w:r>
    </w:p>
    <w:p w14:paraId="66B4367A" w14:textId="77777777" w:rsidR="00421776" w:rsidRDefault="00421776" w:rsidP="00BB5C89">
      <w:r>
        <w:t>The Capital Account represents the unamortised amount of income allocated for the purchase of fixed assets.</w:t>
      </w:r>
    </w:p>
    <w:p w14:paraId="2A9AC209" w14:textId="77777777" w:rsidR="00421776" w:rsidRPr="003971A2" w:rsidRDefault="00421776" w:rsidP="00BB5C89">
      <w:pPr>
        <w:pStyle w:val="Heading2"/>
      </w:pPr>
      <w:r w:rsidRPr="003971A2">
        <w:t>Pensions</w:t>
      </w:r>
    </w:p>
    <w:p w14:paraId="0E129356" w14:textId="77777777" w:rsidR="00421776" w:rsidRDefault="00421776" w:rsidP="00421776">
      <w:r>
        <w:t>The National Disability Authority operates a defined bene</w:t>
      </w:r>
      <w:r w:rsidRPr="009E12F9">
        <w:t>fit pension scheme which is funded annually on a pay as you go basis from monies available to it, including monies</w:t>
      </w:r>
      <w:r>
        <w:t xml:space="preserve"> provided by the Department of Justice and Equality and from contributions deducted from staff salaries. </w:t>
      </w:r>
    </w:p>
    <w:p w14:paraId="79AB0954" w14:textId="77777777" w:rsidR="00421776" w:rsidRDefault="00421776" w:rsidP="00BB5C89">
      <w:r>
        <w:t xml:space="preserve">Pension costs reflect pension benefits earned by employees in the period and are shown net of staff pension contributions which are retained on behalf of the National Disability Authority. An amount corresponding to the pension charge is recognised as income to the extent that it is </w:t>
      </w:r>
      <w:proofErr w:type="gramStart"/>
      <w:r>
        <w:t>recoverable, and</w:t>
      </w:r>
      <w:proofErr w:type="gramEnd"/>
      <w:r>
        <w:t xml:space="preserve"> offset by grants received in the year to discharge pension payments.</w:t>
      </w:r>
    </w:p>
    <w:p w14:paraId="3191D979" w14:textId="77777777" w:rsidR="00421776" w:rsidRDefault="00421776" w:rsidP="00421776">
      <w:r>
        <w:lastRenderedPageBreak/>
        <w:t>Actuarial gains or losses arising on scheme liabilities are reflected in the Statement of Total Recognised Gains and Losses and a corresponding adjustment is recognised in the amount recoverable from the Department of Justice and Equality.</w:t>
      </w:r>
    </w:p>
    <w:p w14:paraId="4350B778" w14:textId="77777777" w:rsidR="00421776" w:rsidRDefault="00421776" w:rsidP="00421776">
      <w:r>
        <w:t>Pension liabilities represent the present value of future pension payments earned by staff to date. Deferred pension funding represents the corresponding asset to be recovered in future periods from the Department of Justice and Equality.</w:t>
      </w:r>
    </w:p>
    <w:p w14:paraId="0A9B5F7F" w14:textId="77777777" w:rsidR="00421776" w:rsidRPr="00994305" w:rsidRDefault="00BB5C89" w:rsidP="00BB5C89">
      <w:pPr>
        <w:pStyle w:val="Heading2"/>
        <w:rPr>
          <w:lang w:val="en-GB" w:eastAsia="en-GB"/>
        </w:rPr>
      </w:pPr>
      <w:bookmarkStart w:id="35" w:name="_Toc335836390"/>
      <w:bookmarkStart w:id="36" w:name="_Toc335983436"/>
      <w:bookmarkStart w:id="37" w:name="_Toc335986605"/>
      <w:r>
        <w:br w:type="page"/>
      </w:r>
      <w:r w:rsidR="00421776">
        <w:lastRenderedPageBreak/>
        <w:t>I</w:t>
      </w:r>
      <w:proofErr w:type="spellStart"/>
      <w:r w:rsidR="00421776" w:rsidRPr="00755B9C">
        <w:rPr>
          <w:lang w:val="en-GB" w:eastAsia="en-GB"/>
        </w:rPr>
        <w:t>ncome</w:t>
      </w:r>
      <w:proofErr w:type="spellEnd"/>
      <w:r w:rsidR="00421776" w:rsidRPr="00755B9C">
        <w:rPr>
          <w:lang w:val="en-GB" w:eastAsia="en-GB"/>
        </w:rPr>
        <w:t xml:space="preserve"> and Expenditure Account for the year ended 31 December 201</w:t>
      </w:r>
      <w:bookmarkEnd w:id="35"/>
      <w:bookmarkEnd w:id="36"/>
      <w:bookmarkEnd w:id="37"/>
      <w:r w:rsidR="00421776">
        <w:rPr>
          <w:lang w:val="en-GB" w:eastAsia="en-GB"/>
        </w:rPr>
        <w:t>4</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02"/>
        <w:gridCol w:w="899"/>
        <w:gridCol w:w="1267"/>
        <w:gridCol w:w="1253"/>
      </w:tblGrid>
      <w:tr w:rsidR="00421776" w:rsidRPr="00755B9C" w14:paraId="70F377F5" w14:textId="77777777" w:rsidTr="00E731E7">
        <w:trPr>
          <w:tblHeader/>
        </w:trPr>
        <w:tc>
          <w:tcPr>
            <w:tcW w:w="4644" w:type="dxa"/>
            <w:shd w:val="clear" w:color="auto" w:fill="auto"/>
            <w:vAlign w:val="bottom"/>
          </w:tcPr>
          <w:p w14:paraId="05AB4A01" w14:textId="77777777" w:rsidR="00421776" w:rsidRPr="00994305" w:rsidRDefault="00421776" w:rsidP="00421776">
            <w:pPr>
              <w:spacing w:after="0"/>
              <w:rPr>
                <w:rFonts w:cs="Arial"/>
                <w:lang w:val="en-GB" w:eastAsia="en-GB"/>
              </w:rPr>
            </w:pPr>
          </w:p>
        </w:tc>
        <w:tc>
          <w:tcPr>
            <w:tcW w:w="921" w:type="dxa"/>
            <w:shd w:val="clear" w:color="auto" w:fill="auto"/>
          </w:tcPr>
          <w:p w14:paraId="1742CB0D" w14:textId="77777777" w:rsidR="00421776" w:rsidRPr="00994305" w:rsidRDefault="00421776" w:rsidP="00421776">
            <w:pPr>
              <w:pStyle w:val="TableHead"/>
              <w:jc w:val="right"/>
              <w:rPr>
                <w:sz w:val="24"/>
              </w:rPr>
            </w:pPr>
            <w:r w:rsidRPr="00994305">
              <w:rPr>
                <w:sz w:val="24"/>
              </w:rPr>
              <w:t>Notes</w:t>
            </w:r>
          </w:p>
        </w:tc>
        <w:tc>
          <w:tcPr>
            <w:tcW w:w="1301" w:type="dxa"/>
            <w:shd w:val="clear" w:color="auto" w:fill="auto"/>
            <w:vAlign w:val="bottom"/>
          </w:tcPr>
          <w:p w14:paraId="78747E85" w14:textId="77777777" w:rsidR="00421776" w:rsidRPr="00994305" w:rsidRDefault="00421776" w:rsidP="00421776">
            <w:pPr>
              <w:pStyle w:val="TableHead"/>
              <w:jc w:val="center"/>
              <w:rPr>
                <w:sz w:val="24"/>
                <w:lang w:val="en-GB" w:eastAsia="en-GB"/>
              </w:rPr>
            </w:pPr>
            <w:r>
              <w:rPr>
                <w:sz w:val="24"/>
                <w:lang w:val="en-GB" w:eastAsia="en-GB"/>
              </w:rPr>
              <w:t>2014</w:t>
            </w:r>
          </w:p>
        </w:tc>
        <w:tc>
          <w:tcPr>
            <w:tcW w:w="1287" w:type="dxa"/>
            <w:shd w:val="clear" w:color="auto" w:fill="auto"/>
            <w:vAlign w:val="bottom"/>
          </w:tcPr>
          <w:p w14:paraId="2826BB7D" w14:textId="77777777" w:rsidR="00421776" w:rsidRPr="00994305" w:rsidRDefault="00421776" w:rsidP="00421776">
            <w:pPr>
              <w:pStyle w:val="TableHead"/>
              <w:jc w:val="center"/>
              <w:rPr>
                <w:sz w:val="24"/>
                <w:lang w:val="en-GB" w:eastAsia="en-GB"/>
              </w:rPr>
            </w:pPr>
            <w:r>
              <w:rPr>
                <w:sz w:val="24"/>
                <w:lang w:val="en-GB" w:eastAsia="en-GB"/>
              </w:rPr>
              <w:t>2013</w:t>
            </w:r>
          </w:p>
        </w:tc>
      </w:tr>
      <w:tr w:rsidR="00421776" w:rsidRPr="00755B9C" w14:paraId="144ECD35" w14:textId="77777777" w:rsidTr="00E731E7">
        <w:tc>
          <w:tcPr>
            <w:tcW w:w="8153" w:type="dxa"/>
            <w:gridSpan w:val="4"/>
            <w:shd w:val="clear" w:color="auto" w:fill="auto"/>
            <w:vAlign w:val="bottom"/>
          </w:tcPr>
          <w:p w14:paraId="474DF222" w14:textId="77777777" w:rsidR="00421776" w:rsidRPr="00994305" w:rsidRDefault="00421776" w:rsidP="00CB6FF6">
            <w:pPr>
              <w:pStyle w:val="TableHead"/>
              <w:rPr>
                <w:rFonts w:cs="Arial"/>
                <w:bCs/>
                <w:lang w:val="en-GB" w:eastAsia="en-GB"/>
              </w:rPr>
            </w:pPr>
            <w:r w:rsidRPr="00994305">
              <w:rPr>
                <w:lang w:val="en-GB" w:eastAsia="en-GB"/>
              </w:rPr>
              <w:t>Income</w:t>
            </w:r>
          </w:p>
        </w:tc>
      </w:tr>
      <w:tr w:rsidR="00421776" w:rsidRPr="00755B9C" w14:paraId="1E7B8515" w14:textId="77777777" w:rsidTr="00E731E7">
        <w:tc>
          <w:tcPr>
            <w:tcW w:w="4644" w:type="dxa"/>
            <w:shd w:val="clear" w:color="auto" w:fill="auto"/>
            <w:vAlign w:val="bottom"/>
          </w:tcPr>
          <w:p w14:paraId="2E232F57" w14:textId="77777777" w:rsidR="00421776" w:rsidRPr="00994305" w:rsidRDefault="00421776" w:rsidP="00421776">
            <w:pPr>
              <w:pStyle w:val="TableRowHead"/>
              <w:rPr>
                <w:rFonts w:ascii="Gill Sans" w:hAnsi="Gill Sans"/>
                <w:sz w:val="24"/>
                <w:lang w:val="en-GB" w:eastAsia="en-GB"/>
              </w:rPr>
            </w:pPr>
          </w:p>
        </w:tc>
        <w:tc>
          <w:tcPr>
            <w:tcW w:w="921" w:type="dxa"/>
            <w:shd w:val="clear" w:color="auto" w:fill="auto"/>
            <w:vAlign w:val="bottom"/>
          </w:tcPr>
          <w:p w14:paraId="16DBE237" w14:textId="77777777" w:rsidR="00421776" w:rsidRPr="00994305" w:rsidRDefault="00421776" w:rsidP="00421776">
            <w:pPr>
              <w:spacing w:after="0"/>
              <w:jc w:val="center"/>
              <w:rPr>
                <w:rFonts w:cs="Arial"/>
                <w:lang w:val="en-GB" w:eastAsia="en-GB"/>
              </w:rPr>
            </w:pPr>
          </w:p>
        </w:tc>
        <w:tc>
          <w:tcPr>
            <w:tcW w:w="1301" w:type="dxa"/>
            <w:shd w:val="clear" w:color="auto" w:fill="auto"/>
            <w:vAlign w:val="bottom"/>
          </w:tcPr>
          <w:p w14:paraId="0C822802" w14:textId="77777777" w:rsidR="00421776" w:rsidRPr="00772F8E" w:rsidRDefault="00421776" w:rsidP="00772F8E">
            <w:pPr>
              <w:pStyle w:val="TableHead"/>
              <w:jc w:val="center"/>
              <w:rPr>
                <w:rFonts w:ascii="Arial" w:hAnsi="Arial" w:cs="Arial"/>
                <w:bCs/>
                <w:sz w:val="24"/>
                <w:lang w:val="en-GB" w:eastAsia="en-GB"/>
              </w:rPr>
            </w:pPr>
            <w:r w:rsidRPr="00772F8E">
              <w:rPr>
                <w:rFonts w:ascii="Arial" w:hAnsi="Arial" w:cs="Arial"/>
                <w:bCs/>
                <w:sz w:val="24"/>
                <w:lang w:val="en-GB" w:eastAsia="en-GB"/>
              </w:rPr>
              <w:t>€</w:t>
            </w:r>
          </w:p>
        </w:tc>
        <w:tc>
          <w:tcPr>
            <w:tcW w:w="1287" w:type="dxa"/>
            <w:shd w:val="clear" w:color="auto" w:fill="auto"/>
            <w:vAlign w:val="bottom"/>
          </w:tcPr>
          <w:p w14:paraId="784587E6" w14:textId="77777777" w:rsidR="00421776" w:rsidRPr="00772F8E" w:rsidRDefault="00421776" w:rsidP="00772F8E">
            <w:pPr>
              <w:pStyle w:val="TableHead"/>
              <w:jc w:val="center"/>
              <w:rPr>
                <w:rFonts w:ascii="Arial" w:hAnsi="Arial" w:cs="Arial"/>
                <w:bCs/>
                <w:sz w:val="24"/>
                <w:lang w:val="en-GB" w:eastAsia="en-GB"/>
              </w:rPr>
            </w:pPr>
            <w:r w:rsidRPr="00772F8E">
              <w:rPr>
                <w:rFonts w:ascii="Arial" w:hAnsi="Arial" w:cs="Arial"/>
                <w:bCs/>
                <w:sz w:val="24"/>
                <w:lang w:val="en-GB" w:eastAsia="en-GB"/>
              </w:rPr>
              <w:t>€</w:t>
            </w:r>
          </w:p>
        </w:tc>
      </w:tr>
      <w:tr w:rsidR="00002A40" w:rsidRPr="00755B9C" w14:paraId="3D3A4372" w14:textId="77777777" w:rsidTr="00E731E7">
        <w:tc>
          <w:tcPr>
            <w:tcW w:w="4644" w:type="dxa"/>
            <w:shd w:val="clear" w:color="auto" w:fill="auto"/>
            <w:vAlign w:val="bottom"/>
          </w:tcPr>
          <w:p w14:paraId="03AD3A4B"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Grant income</w:t>
            </w:r>
          </w:p>
        </w:tc>
        <w:tc>
          <w:tcPr>
            <w:tcW w:w="921" w:type="dxa"/>
            <w:shd w:val="clear" w:color="auto" w:fill="auto"/>
            <w:vAlign w:val="bottom"/>
          </w:tcPr>
          <w:p w14:paraId="27A2038C" w14:textId="77777777" w:rsidR="00002A40" w:rsidRPr="00994305" w:rsidRDefault="00002A40" w:rsidP="00421776">
            <w:pPr>
              <w:pStyle w:val="TableCell"/>
              <w:rPr>
                <w:sz w:val="24"/>
                <w:lang w:val="en-GB" w:eastAsia="en-GB"/>
              </w:rPr>
            </w:pPr>
            <w:r w:rsidRPr="00994305">
              <w:rPr>
                <w:sz w:val="24"/>
                <w:lang w:val="en-GB" w:eastAsia="en-GB"/>
              </w:rPr>
              <w:t>2(a)</w:t>
            </w:r>
          </w:p>
        </w:tc>
        <w:tc>
          <w:tcPr>
            <w:tcW w:w="1301" w:type="dxa"/>
            <w:shd w:val="clear" w:color="auto" w:fill="auto"/>
            <w:vAlign w:val="bottom"/>
          </w:tcPr>
          <w:p w14:paraId="0D6EE376" w14:textId="77777777" w:rsidR="00002A40" w:rsidRPr="00994305" w:rsidRDefault="00002A40" w:rsidP="000B279D">
            <w:pPr>
              <w:pStyle w:val="TableCell"/>
              <w:rPr>
                <w:sz w:val="24"/>
                <w:lang w:val="en-GB" w:eastAsia="en-GB"/>
              </w:rPr>
            </w:pPr>
            <w:r>
              <w:rPr>
                <w:sz w:val="24"/>
                <w:lang w:val="en-GB" w:eastAsia="en-GB"/>
              </w:rPr>
              <w:t>3,240,600</w:t>
            </w:r>
          </w:p>
        </w:tc>
        <w:tc>
          <w:tcPr>
            <w:tcW w:w="1287" w:type="dxa"/>
            <w:shd w:val="clear" w:color="auto" w:fill="auto"/>
            <w:vAlign w:val="bottom"/>
          </w:tcPr>
          <w:p w14:paraId="7218D1EC" w14:textId="77777777" w:rsidR="00002A40" w:rsidRPr="00994305" w:rsidRDefault="00002A40" w:rsidP="000B279D">
            <w:pPr>
              <w:pStyle w:val="TableCell"/>
              <w:rPr>
                <w:sz w:val="24"/>
                <w:lang w:val="en-GB" w:eastAsia="en-GB"/>
              </w:rPr>
            </w:pPr>
            <w:r>
              <w:rPr>
                <w:sz w:val="24"/>
                <w:lang w:val="en-GB" w:eastAsia="en-GB"/>
              </w:rPr>
              <w:t>3,426</w:t>
            </w:r>
            <w:r w:rsidRPr="00994305">
              <w:rPr>
                <w:sz w:val="24"/>
                <w:lang w:val="en-GB" w:eastAsia="en-GB"/>
              </w:rPr>
              <w:t>,</w:t>
            </w:r>
            <w:r>
              <w:rPr>
                <w:sz w:val="24"/>
                <w:lang w:val="en-GB" w:eastAsia="en-GB"/>
              </w:rPr>
              <w:t>814</w:t>
            </w:r>
            <w:r w:rsidRPr="00994305">
              <w:rPr>
                <w:sz w:val="24"/>
                <w:lang w:val="en-GB" w:eastAsia="en-GB"/>
              </w:rPr>
              <w:t xml:space="preserve"> </w:t>
            </w:r>
          </w:p>
        </w:tc>
      </w:tr>
      <w:tr w:rsidR="00002A40" w:rsidRPr="00755B9C" w14:paraId="55B9FD91" w14:textId="77777777" w:rsidTr="00E731E7">
        <w:tc>
          <w:tcPr>
            <w:tcW w:w="4644" w:type="dxa"/>
            <w:shd w:val="clear" w:color="auto" w:fill="auto"/>
            <w:vAlign w:val="bottom"/>
          </w:tcPr>
          <w:p w14:paraId="7F3A37DD"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Net Deferred Funding for Pensions</w:t>
            </w:r>
          </w:p>
        </w:tc>
        <w:tc>
          <w:tcPr>
            <w:tcW w:w="921" w:type="dxa"/>
            <w:shd w:val="clear" w:color="auto" w:fill="auto"/>
            <w:vAlign w:val="bottom"/>
          </w:tcPr>
          <w:p w14:paraId="777E161D" w14:textId="77777777" w:rsidR="00002A40" w:rsidRPr="00994305" w:rsidRDefault="00002A40" w:rsidP="00421776">
            <w:pPr>
              <w:pStyle w:val="TableCell"/>
              <w:rPr>
                <w:sz w:val="24"/>
                <w:lang w:val="en-GB" w:eastAsia="en-GB"/>
              </w:rPr>
            </w:pPr>
            <w:r w:rsidRPr="00994305">
              <w:rPr>
                <w:sz w:val="24"/>
                <w:lang w:val="en-GB" w:eastAsia="en-GB"/>
              </w:rPr>
              <w:t>10(b)</w:t>
            </w:r>
          </w:p>
        </w:tc>
        <w:tc>
          <w:tcPr>
            <w:tcW w:w="1301" w:type="dxa"/>
            <w:shd w:val="clear" w:color="auto" w:fill="auto"/>
            <w:vAlign w:val="bottom"/>
          </w:tcPr>
          <w:p w14:paraId="3B23480D" w14:textId="77777777" w:rsidR="00002A40" w:rsidRPr="00994305" w:rsidRDefault="00002A40" w:rsidP="000B279D">
            <w:pPr>
              <w:pStyle w:val="TableCell"/>
              <w:rPr>
                <w:sz w:val="24"/>
                <w:lang w:val="en-GB" w:eastAsia="en-GB"/>
              </w:rPr>
            </w:pPr>
            <w:r>
              <w:rPr>
                <w:sz w:val="24"/>
                <w:lang w:val="en-GB" w:eastAsia="en-GB"/>
              </w:rPr>
              <w:t>778,000</w:t>
            </w:r>
          </w:p>
        </w:tc>
        <w:tc>
          <w:tcPr>
            <w:tcW w:w="1287" w:type="dxa"/>
            <w:shd w:val="clear" w:color="auto" w:fill="auto"/>
            <w:vAlign w:val="bottom"/>
          </w:tcPr>
          <w:p w14:paraId="538FFBC1" w14:textId="77777777" w:rsidR="00002A40" w:rsidRPr="00994305" w:rsidRDefault="00002A40" w:rsidP="000B279D">
            <w:pPr>
              <w:pStyle w:val="TableCell"/>
              <w:rPr>
                <w:sz w:val="24"/>
                <w:lang w:val="en-GB" w:eastAsia="en-GB"/>
              </w:rPr>
            </w:pPr>
            <w:r>
              <w:rPr>
                <w:sz w:val="24"/>
                <w:lang w:val="en-GB" w:eastAsia="en-GB"/>
              </w:rPr>
              <w:t>815,000</w:t>
            </w:r>
            <w:r w:rsidRPr="00994305">
              <w:rPr>
                <w:sz w:val="24"/>
                <w:lang w:val="en-GB" w:eastAsia="en-GB"/>
              </w:rPr>
              <w:t xml:space="preserve"> </w:t>
            </w:r>
          </w:p>
        </w:tc>
      </w:tr>
      <w:tr w:rsidR="00002A40" w:rsidRPr="00755B9C" w14:paraId="4231D902" w14:textId="77777777" w:rsidTr="00E731E7">
        <w:tc>
          <w:tcPr>
            <w:tcW w:w="4644" w:type="dxa"/>
            <w:shd w:val="clear" w:color="auto" w:fill="auto"/>
            <w:vAlign w:val="bottom"/>
          </w:tcPr>
          <w:p w14:paraId="5B419770" w14:textId="77777777" w:rsidR="00002A40" w:rsidRPr="00994305" w:rsidRDefault="00002A40" w:rsidP="00421776">
            <w:pPr>
              <w:pStyle w:val="TableRowHead"/>
              <w:rPr>
                <w:rFonts w:ascii="Gill Sans" w:hAnsi="Gill Sans"/>
                <w:sz w:val="24"/>
                <w:lang w:val="en-GB" w:eastAsia="en-GB"/>
              </w:rPr>
            </w:pPr>
          </w:p>
        </w:tc>
        <w:tc>
          <w:tcPr>
            <w:tcW w:w="921" w:type="dxa"/>
            <w:shd w:val="clear" w:color="auto" w:fill="auto"/>
            <w:vAlign w:val="bottom"/>
          </w:tcPr>
          <w:p w14:paraId="7E5B95E0"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1A91ABB0" w14:textId="77777777" w:rsidR="00002A40" w:rsidRPr="00994305" w:rsidRDefault="00002A40" w:rsidP="000B279D">
            <w:pPr>
              <w:pStyle w:val="TableCell"/>
              <w:rPr>
                <w:sz w:val="24"/>
                <w:lang w:val="en-GB" w:eastAsia="en-GB"/>
              </w:rPr>
            </w:pPr>
          </w:p>
        </w:tc>
        <w:tc>
          <w:tcPr>
            <w:tcW w:w="1287" w:type="dxa"/>
            <w:shd w:val="clear" w:color="auto" w:fill="auto"/>
            <w:vAlign w:val="bottom"/>
          </w:tcPr>
          <w:p w14:paraId="61743569" w14:textId="77777777" w:rsidR="00002A40" w:rsidRPr="00994305" w:rsidRDefault="00002A40" w:rsidP="000B279D">
            <w:pPr>
              <w:pStyle w:val="TableCell"/>
              <w:rPr>
                <w:sz w:val="24"/>
                <w:lang w:val="en-GB" w:eastAsia="en-GB"/>
              </w:rPr>
            </w:pPr>
          </w:p>
        </w:tc>
      </w:tr>
      <w:tr w:rsidR="00002A40" w:rsidRPr="00755B9C" w14:paraId="7D721AEC" w14:textId="77777777" w:rsidTr="00E731E7">
        <w:tc>
          <w:tcPr>
            <w:tcW w:w="4644" w:type="dxa"/>
            <w:shd w:val="clear" w:color="auto" w:fill="auto"/>
            <w:vAlign w:val="bottom"/>
          </w:tcPr>
          <w:p w14:paraId="0D5EEFBB"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 xml:space="preserve">Other Income </w:t>
            </w:r>
          </w:p>
        </w:tc>
        <w:tc>
          <w:tcPr>
            <w:tcW w:w="921" w:type="dxa"/>
            <w:shd w:val="clear" w:color="auto" w:fill="auto"/>
            <w:vAlign w:val="bottom"/>
          </w:tcPr>
          <w:p w14:paraId="0E1F8FC9" w14:textId="77777777" w:rsidR="00002A40" w:rsidRPr="00994305" w:rsidRDefault="00002A40" w:rsidP="00421776">
            <w:pPr>
              <w:pStyle w:val="TableCell"/>
              <w:rPr>
                <w:sz w:val="24"/>
                <w:lang w:val="en-GB" w:eastAsia="en-GB"/>
              </w:rPr>
            </w:pPr>
            <w:r w:rsidRPr="00994305">
              <w:rPr>
                <w:sz w:val="24"/>
                <w:lang w:val="en-GB" w:eastAsia="en-GB"/>
              </w:rPr>
              <w:t>2(b)</w:t>
            </w:r>
          </w:p>
        </w:tc>
        <w:tc>
          <w:tcPr>
            <w:tcW w:w="1301" w:type="dxa"/>
            <w:shd w:val="clear" w:color="auto" w:fill="auto"/>
            <w:vAlign w:val="bottom"/>
          </w:tcPr>
          <w:p w14:paraId="6BDBC3FF" w14:textId="77777777" w:rsidR="00002A40" w:rsidRPr="00994305" w:rsidRDefault="00002A40" w:rsidP="000B279D">
            <w:pPr>
              <w:pStyle w:val="TableCell"/>
              <w:rPr>
                <w:sz w:val="24"/>
                <w:lang w:val="en-GB" w:eastAsia="en-GB"/>
              </w:rPr>
            </w:pPr>
            <w:r>
              <w:rPr>
                <w:sz w:val="24"/>
                <w:lang w:val="en-GB" w:eastAsia="en-GB"/>
              </w:rPr>
              <w:t>22,357</w:t>
            </w:r>
          </w:p>
        </w:tc>
        <w:tc>
          <w:tcPr>
            <w:tcW w:w="1287" w:type="dxa"/>
            <w:shd w:val="clear" w:color="auto" w:fill="auto"/>
            <w:vAlign w:val="bottom"/>
          </w:tcPr>
          <w:p w14:paraId="68FAED65" w14:textId="77777777" w:rsidR="00002A40" w:rsidRPr="00994305" w:rsidRDefault="00002A40" w:rsidP="000B279D">
            <w:pPr>
              <w:pStyle w:val="TableCell"/>
              <w:rPr>
                <w:sz w:val="24"/>
                <w:lang w:val="en-GB" w:eastAsia="en-GB"/>
              </w:rPr>
            </w:pPr>
            <w:r>
              <w:rPr>
                <w:sz w:val="24"/>
                <w:lang w:val="en-GB" w:eastAsia="en-GB"/>
              </w:rPr>
              <w:t>29</w:t>
            </w:r>
            <w:r w:rsidRPr="00994305">
              <w:rPr>
                <w:sz w:val="24"/>
                <w:lang w:val="en-GB" w:eastAsia="en-GB"/>
              </w:rPr>
              <w:t>,</w:t>
            </w:r>
            <w:r>
              <w:rPr>
                <w:sz w:val="24"/>
                <w:lang w:val="en-GB" w:eastAsia="en-GB"/>
              </w:rPr>
              <w:t>866</w:t>
            </w:r>
            <w:r w:rsidRPr="00994305">
              <w:rPr>
                <w:sz w:val="24"/>
                <w:lang w:val="en-GB" w:eastAsia="en-GB"/>
              </w:rPr>
              <w:t xml:space="preserve"> </w:t>
            </w:r>
          </w:p>
        </w:tc>
      </w:tr>
      <w:tr w:rsidR="00002A40" w:rsidRPr="00755B9C" w14:paraId="559535A7" w14:textId="77777777" w:rsidTr="00E731E7">
        <w:tc>
          <w:tcPr>
            <w:tcW w:w="4644" w:type="dxa"/>
            <w:shd w:val="clear" w:color="auto" w:fill="auto"/>
            <w:vAlign w:val="bottom"/>
          </w:tcPr>
          <w:p w14:paraId="1D7FCAC5" w14:textId="77777777" w:rsidR="00002A40" w:rsidRPr="00994305" w:rsidRDefault="00002A40" w:rsidP="00421776">
            <w:pPr>
              <w:pStyle w:val="TableRowHead"/>
              <w:rPr>
                <w:rFonts w:ascii="Gill Sans" w:hAnsi="Gill Sans"/>
                <w:sz w:val="24"/>
                <w:lang w:val="en-GB" w:eastAsia="en-GB"/>
              </w:rPr>
            </w:pPr>
          </w:p>
        </w:tc>
        <w:tc>
          <w:tcPr>
            <w:tcW w:w="921" w:type="dxa"/>
            <w:shd w:val="clear" w:color="auto" w:fill="auto"/>
            <w:vAlign w:val="bottom"/>
          </w:tcPr>
          <w:p w14:paraId="4A92A4EF"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76CE3598" w14:textId="77777777" w:rsidR="00002A40" w:rsidRPr="00994305" w:rsidRDefault="00002A40" w:rsidP="000B279D">
            <w:pPr>
              <w:pStyle w:val="TableCell"/>
              <w:rPr>
                <w:sz w:val="24"/>
                <w:lang w:val="en-GB" w:eastAsia="en-GB"/>
              </w:rPr>
            </w:pPr>
            <w:r>
              <w:rPr>
                <w:sz w:val="24"/>
                <w:lang w:val="en-GB" w:eastAsia="en-GB"/>
              </w:rPr>
              <w:t>4,040,957</w:t>
            </w:r>
          </w:p>
        </w:tc>
        <w:tc>
          <w:tcPr>
            <w:tcW w:w="1287" w:type="dxa"/>
            <w:shd w:val="clear" w:color="auto" w:fill="auto"/>
            <w:vAlign w:val="bottom"/>
          </w:tcPr>
          <w:p w14:paraId="5FEB0114" w14:textId="77777777" w:rsidR="00002A40" w:rsidRPr="00994305" w:rsidRDefault="00002A40" w:rsidP="000B279D">
            <w:pPr>
              <w:pStyle w:val="TableCell"/>
              <w:rPr>
                <w:sz w:val="24"/>
                <w:lang w:val="en-GB" w:eastAsia="en-GB"/>
              </w:rPr>
            </w:pPr>
            <w:r>
              <w:rPr>
                <w:sz w:val="24"/>
                <w:lang w:val="en-GB" w:eastAsia="en-GB"/>
              </w:rPr>
              <w:t>4</w:t>
            </w:r>
            <w:r w:rsidRPr="00994305">
              <w:rPr>
                <w:sz w:val="24"/>
                <w:lang w:val="en-GB" w:eastAsia="en-GB"/>
              </w:rPr>
              <w:t>,</w:t>
            </w:r>
            <w:r>
              <w:rPr>
                <w:sz w:val="24"/>
                <w:lang w:val="en-GB" w:eastAsia="en-GB"/>
              </w:rPr>
              <w:t>271</w:t>
            </w:r>
            <w:r w:rsidRPr="00994305">
              <w:rPr>
                <w:sz w:val="24"/>
                <w:lang w:val="en-GB" w:eastAsia="en-GB"/>
              </w:rPr>
              <w:t>,</w:t>
            </w:r>
            <w:r>
              <w:rPr>
                <w:sz w:val="24"/>
                <w:lang w:val="en-GB" w:eastAsia="en-GB"/>
              </w:rPr>
              <w:t>680</w:t>
            </w:r>
            <w:r w:rsidRPr="00994305">
              <w:rPr>
                <w:sz w:val="24"/>
                <w:lang w:val="en-GB" w:eastAsia="en-GB"/>
              </w:rPr>
              <w:t xml:space="preserve"> </w:t>
            </w:r>
          </w:p>
        </w:tc>
      </w:tr>
      <w:tr w:rsidR="00002A40" w:rsidRPr="00755B9C" w14:paraId="1B2F5A07" w14:textId="77777777" w:rsidTr="00E731E7">
        <w:tc>
          <w:tcPr>
            <w:tcW w:w="4644" w:type="dxa"/>
            <w:shd w:val="clear" w:color="auto" w:fill="auto"/>
            <w:vAlign w:val="bottom"/>
          </w:tcPr>
          <w:p w14:paraId="58383C41"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Transfer from / (to) Capital Account</w:t>
            </w:r>
          </w:p>
        </w:tc>
        <w:tc>
          <w:tcPr>
            <w:tcW w:w="921" w:type="dxa"/>
            <w:shd w:val="clear" w:color="auto" w:fill="auto"/>
            <w:vAlign w:val="bottom"/>
          </w:tcPr>
          <w:p w14:paraId="006C7BBC" w14:textId="77777777" w:rsidR="00002A40" w:rsidRPr="00994305" w:rsidRDefault="00002A40" w:rsidP="00421776">
            <w:pPr>
              <w:pStyle w:val="TableCell"/>
              <w:rPr>
                <w:sz w:val="24"/>
                <w:lang w:val="en-GB" w:eastAsia="en-GB"/>
              </w:rPr>
            </w:pPr>
            <w:r w:rsidRPr="00994305">
              <w:rPr>
                <w:sz w:val="24"/>
                <w:lang w:val="en-GB" w:eastAsia="en-GB"/>
              </w:rPr>
              <w:t>8</w:t>
            </w:r>
          </w:p>
        </w:tc>
        <w:tc>
          <w:tcPr>
            <w:tcW w:w="1301" w:type="dxa"/>
            <w:shd w:val="clear" w:color="auto" w:fill="auto"/>
            <w:vAlign w:val="bottom"/>
          </w:tcPr>
          <w:p w14:paraId="5CD380E9" w14:textId="77777777" w:rsidR="00002A40" w:rsidRPr="00994305" w:rsidRDefault="00002A40" w:rsidP="000B279D">
            <w:pPr>
              <w:pStyle w:val="TableCell"/>
              <w:rPr>
                <w:sz w:val="24"/>
                <w:lang w:val="en-GB" w:eastAsia="en-GB"/>
              </w:rPr>
            </w:pPr>
            <w:r>
              <w:rPr>
                <w:sz w:val="24"/>
                <w:lang w:val="en-GB" w:eastAsia="en-GB"/>
              </w:rPr>
              <w:t>68,784</w:t>
            </w:r>
          </w:p>
        </w:tc>
        <w:tc>
          <w:tcPr>
            <w:tcW w:w="1287" w:type="dxa"/>
            <w:shd w:val="clear" w:color="auto" w:fill="auto"/>
            <w:vAlign w:val="bottom"/>
          </w:tcPr>
          <w:p w14:paraId="39054B87" w14:textId="77777777" w:rsidR="00002A40" w:rsidRPr="00994305" w:rsidRDefault="00002A40" w:rsidP="000B279D">
            <w:pPr>
              <w:pStyle w:val="TableCell"/>
              <w:rPr>
                <w:sz w:val="24"/>
                <w:lang w:val="en-GB" w:eastAsia="en-GB"/>
              </w:rPr>
            </w:pPr>
            <w:r>
              <w:rPr>
                <w:sz w:val="24"/>
                <w:lang w:val="en-GB" w:eastAsia="en-GB"/>
              </w:rPr>
              <w:t>74,475</w:t>
            </w:r>
            <w:r w:rsidRPr="00994305">
              <w:rPr>
                <w:sz w:val="24"/>
                <w:lang w:val="en-GB" w:eastAsia="en-GB"/>
              </w:rPr>
              <w:t xml:space="preserve"> </w:t>
            </w:r>
          </w:p>
        </w:tc>
      </w:tr>
      <w:tr w:rsidR="00002A40" w:rsidRPr="00755B9C" w14:paraId="63995BBA" w14:textId="77777777" w:rsidTr="00E731E7">
        <w:tc>
          <w:tcPr>
            <w:tcW w:w="4644" w:type="dxa"/>
            <w:shd w:val="clear" w:color="auto" w:fill="auto"/>
            <w:vAlign w:val="bottom"/>
          </w:tcPr>
          <w:p w14:paraId="029D8C2C" w14:textId="77777777" w:rsidR="00002A40" w:rsidRPr="00994305" w:rsidRDefault="00002A40" w:rsidP="00421776">
            <w:pPr>
              <w:pStyle w:val="TableRowHead"/>
              <w:rPr>
                <w:rFonts w:ascii="Gill Sans" w:hAnsi="Gill Sans"/>
                <w:sz w:val="24"/>
                <w:lang w:val="en-GB" w:eastAsia="en-GB"/>
              </w:rPr>
            </w:pPr>
            <w:r>
              <w:rPr>
                <w:rFonts w:ascii="Gill Sans" w:hAnsi="Gill Sans"/>
                <w:sz w:val="24"/>
                <w:lang w:val="en-GB" w:eastAsia="en-GB"/>
              </w:rPr>
              <w:t>Total I</w:t>
            </w:r>
            <w:r w:rsidRPr="00994305">
              <w:rPr>
                <w:rFonts w:ascii="Gill Sans" w:hAnsi="Gill Sans"/>
                <w:sz w:val="24"/>
                <w:lang w:val="en-GB" w:eastAsia="en-GB"/>
              </w:rPr>
              <w:t>ncome</w:t>
            </w:r>
          </w:p>
        </w:tc>
        <w:tc>
          <w:tcPr>
            <w:tcW w:w="921" w:type="dxa"/>
            <w:shd w:val="clear" w:color="auto" w:fill="auto"/>
            <w:vAlign w:val="bottom"/>
          </w:tcPr>
          <w:p w14:paraId="71172E5A"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215A1FA5" w14:textId="77777777" w:rsidR="00002A40" w:rsidRPr="00660642" w:rsidRDefault="00002A40" w:rsidP="000B279D">
            <w:pPr>
              <w:pStyle w:val="TableCell"/>
              <w:rPr>
                <w:b/>
                <w:sz w:val="24"/>
                <w:lang w:val="en-GB" w:eastAsia="en-GB"/>
              </w:rPr>
            </w:pPr>
            <w:r>
              <w:rPr>
                <w:b/>
                <w:sz w:val="24"/>
                <w:lang w:val="en-GB" w:eastAsia="en-GB"/>
              </w:rPr>
              <w:t>4,109</w:t>
            </w:r>
            <w:r w:rsidRPr="00660642">
              <w:rPr>
                <w:b/>
                <w:sz w:val="24"/>
                <w:lang w:val="en-GB" w:eastAsia="en-GB"/>
              </w:rPr>
              <w:t>,</w:t>
            </w:r>
            <w:r>
              <w:rPr>
                <w:b/>
                <w:sz w:val="24"/>
                <w:lang w:val="en-GB" w:eastAsia="en-GB"/>
              </w:rPr>
              <w:t>741</w:t>
            </w:r>
          </w:p>
        </w:tc>
        <w:tc>
          <w:tcPr>
            <w:tcW w:w="1287" w:type="dxa"/>
            <w:shd w:val="clear" w:color="auto" w:fill="auto"/>
            <w:vAlign w:val="bottom"/>
          </w:tcPr>
          <w:p w14:paraId="197CCB8B" w14:textId="77777777" w:rsidR="00002A40" w:rsidRPr="00660642" w:rsidRDefault="00002A40" w:rsidP="000B279D">
            <w:pPr>
              <w:pStyle w:val="TableCell"/>
              <w:rPr>
                <w:b/>
                <w:sz w:val="24"/>
                <w:lang w:val="en-GB" w:eastAsia="en-GB"/>
              </w:rPr>
            </w:pPr>
            <w:r>
              <w:rPr>
                <w:b/>
                <w:sz w:val="24"/>
                <w:lang w:val="en-GB" w:eastAsia="en-GB"/>
              </w:rPr>
              <w:t>4,346,155</w:t>
            </w:r>
            <w:r w:rsidRPr="00660642">
              <w:rPr>
                <w:b/>
                <w:sz w:val="24"/>
                <w:lang w:val="en-GB" w:eastAsia="en-GB"/>
              </w:rPr>
              <w:t xml:space="preserve"> </w:t>
            </w:r>
          </w:p>
        </w:tc>
      </w:tr>
      <w:tr w:rsidR="00002A40" w:rsidRPr="00755B9C" w14:paraId="6F45EA9B" w14:textId="77777777" w:rsidTr="00E731E7">
        <w:tc>
          <w:tcPr>
            <w:tcW w:w="4644" w:type="dxa"/>
            <w:shd w:val="clear" w:color="auto" w:fill="auto"/>
            <w:vAlign w:val="bottom"/>
          </w:tcPr>
          <w:p w14:paraId="0D60CC4F" w14:textId="77777777" w:rsidR="00002A40" w:rsidRPr="00994305" w:rsidRDefault="00002A40" w:rsidP="00421776">
            <w:pPr>
              <w:spacing w:after="0"/>
              <w:rPr>
                <w:rFonts w:cs="Arial"/>
                <w:b/>
                <w:bCs/>
                <w:lang w:val="en-GB" w:eastAsia="en-GB"/>
              </w:rPr>
            </w:pPr>
          </w:p>
        </w:tc>
        <w:tc>
          <w:tcPr>
            <w:tcW w:w="921" w:type="dxa"/>
            <w:shd w:val="clear" w:color="auto" w:fill="auto"/>
            <w:vAlign w:val="bottom"/>
          </w:tcPr>
          <w:p w14:paraId="558AAF17"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446BEEA1" w14:textId="77777777" w:rsidR="00002A40" w:rsidRPr="00994305" w:rsidRDefault="00002A40" w:rsidP="000B279D">
            <w:pPr>
              <w:pStyle w:val="TableCell"/>
              <w:rPr>
                <w:sz w:val="24"/>
                <w:lang w:val="en-GB" w:eastAsia="en-GB"/>
              </w:rPr>
            </w:pPr>
          </w:p>
        </w:tc>
        <w:tc>
          <w:tcPr>
            <w:tcW w:w="1287" w:type="dxa"/>
            <w:shd w:val="clear" w:color="auto" w:fill="auto"/>
            <w:vAlign w:val="bottom"/>
          </w:tcPr>
          <w:p w14:paraId="7BAE7831" w14:textId="77777777" w:rsidR="00002A40" w:rsidRPr="00994305" w:rsidRDefault="00002A40" w:rsidP="000B279D">
            <w:pPr>
              <w:pStyle w:val="TableCell"/>
              <w:rPr>
                <w:sz w:val="24"/>
                <w:lang w:val="en-GB" w:eastAsia="en-GB"/>
              </w:rPr>
            </w:pPr>
          </w:p>
        </w:tc>
      </w:tr>
      <w:tr w:rsidR="00002A40" w:rsidRPr="00755B9C" w14:paraId="67E2D27A" w14:textId="77777777" w:rsidTr="00E731E7">
        <w:tc>
          <w:tcPr>
            <w:tcW w:w="8153" w:type="dxa"/>
            <w:gridSpan w:val="4"/>
            <w:shd w:val="clear" w:color="auto" w:fill="auto"/>
            <w:vAlign w:val="bottom"/>
          </w:tcPr>
          <w:p w14:paraId="6846316B" w14:textId="77777777" w:rsidR="00002A40" w:rsidRPr="00994305" w:rsidRDefault="00002A40" w:rsidP="00CB6FF6">
            <w:pPr>
              <w:pStyle w:val="TableHead"/>
              <w:rPr>
                <w:lang w:val="en-GB" w:eastAsia="en-GB"/>
              </w:rPr>
            </w:pPr>
            <w:r w:rsidRPr="00994305">
              <w:rPr>
                <w:lang w:val="en-GB" w:eastAsia="en-GB"/>
              </w:rPr>
              <w:t>Expenditure</w:t>
            </w:r>
          </w:p>
        </w:tc>
      </w:tr>
      <w:tr w:rsidR="00002A40" w:rsidRPr="00755B9C" w14:paraId="604F8D15" w14:textId="77777777" w:rsidTr="00E731E7">
        <w:tc>
          <w:tcPr>
            <w:tcW w:w="4644" w:type="dxa"/>
            <w:shd w:val="clear" w:color="auto" w:fill="auto"/>
            <w:vAlign w:val="bottom"/>
          </w:tcPr>
          <w:p w14:paraId="03B16EC9"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Projects and Commissioned work</w:t>
            </w:r>
          </w:p>
        </w:tc>
        <w:tc>
          <w:tcPr>
            <w:tcW w:w="921" w:type="dxa"/>
            <w:shd w:val="clear" w:color="auto" w:fill="auto"/>
            <w:vAlign w:val="bottom"/>
          </w:tcPr>
          <w:p w14:paraId="48F3CE0A" w14:textId="77777777" w:rsidR="00002A40" w:rsidRPr="00994305" w:rsidRDefault="00002A40" w:rsidP="00421776">
            <w:pPr>
              <w:pStyle w:val="TableCell"/>
              <w:rPr>
                <w:sz w:val="24"/>
                <w:lang w:val="en-GB" w:eastAsia="en-GB"/>
              </w:rPr>
            </w:pPr>
            <w:r w:rsidRPr="00994305">
              <w:rPr>
                <w:sz w:val="24"/>
                <w:lang w:val="en-GB" w:eastAsia="en-GB"/>
              </w:rPr>
              <w:t>3</w:t>
            </w:r>
          </w:p>
        </w:tc>
        <w:tc>
          <w:tcPr>
            <w:tcW w:w="1301" w:type="dxa"/>
            <w:shd w:val="clear" w:color="auto" w:fill="auto"/>
            <w:vAlign w:val="bottom"/>
          </w:tcPr>
          <w:p w14:paraId="4C34383D" w14:textId="77777777" w:rsidR="00002A40" w:rsidRPr="00994305" w:rsidRDefault="00002A40" w:rsidP="000B279D">
            <w:pPr>
              <w:pStyle w:val="TableCell"/>
              <w:rPr>
                <w:sz w:val="24"/>
                <w:lang w:val="en-GB" w:eastAsia="en-GB"/>
              </w:rPr>
            </w:pPr>
            <w:r>
              <w:rPr>
                <w:sz w:val="24"/>
                <w:lang w:val="en-GB" w:eastAsia="en-GB"/>
              </w:rPr>
              <w:t>374,</w:t>
            </w:r>
            <w:r w:rsidR="00FF7B9F">
              <w:rPr>
                <w:sz w:val="24"/>
                <w:lang w:val="en-GB" w:eastAsia="en-GB"/>
              </w:rPr>
              <w:t>920</w:t>
            </w:r>
          </w:p>
        </w:tc>
        <w:tc>
          <w:tcPr>
            <w:tcW w:w="1287" w:type="dxa"/>
            <w:shd w:val="clear" w:color="auto" w:fill="auto"/>
            <w:vAlign w:val="bottom"/>
          </w:tcPr>
          <w:p w14:paraId="0A5E5780" w14:textId="77777777" w:rsidR="00002A40" w:rsidRPr="00994305" w:rsidRDefault="00002A40" w:rsidP="000B279D">
            <w:pPr>
              <w:pStyle w:val="TableCell"/>
              <w:rPr>
                <w:sz w:val="24"/>
                <w:lang w:val="en-GB" w:eastAsia="en-GB"/>
              </w:rPr>
            </w:pPr>
            <w:r>
              <w:rPr>
                <w:sz w:val="24"/>
                <w:lang w:val="en-GB" w:eastAsia="en-GB"/>
              </w:rPr>
              <w:t>509,596</w:t>
            </w:r>
            <w:r w:rsidRPr="00994305">
              <w:rPr>
                <w:sz w:val="24"/>
                <w:lang w:val="en-GB" w:eastAsia="en-GB"/>
              </w:rPr>
              <w:t xml:space="preserve"> </w:t>
            </w:r>
          </w:p>
        </w:tc>
      </w:tr>
      <w:tr w:rsidR="00002A40" w:rsidRPr="00755B9C" w14:paraId="20887156" w14:textId="77777777" w:rsidTr="00E731E7">
        <w:tc>
          <w:tcPr>
            <w:tcW w:w="4644" w:type="dxa"/>
            <w:shd w:val="clear" w:color="auto" w:fill="auto"/>
            <w:vAlign w:val="bottom"/>
          </w:tcPr>
          <w:p w14:paraId="66E458AF" w14:textId="77777777" w:rsidR="00002A40" w:rsidRPr="00994305" w:rsidRDefault="00002A40" w:rsidP="00421776">
            <w:pPr>
              <w:spacing w:after="0"/>
              <w:rPr>
                <w:rFonts w:cs="Arial"/>
                <w:lang w:val="en-GB" w:eastAsia="en-GB"/>
              </w:rPr>
            </w:pPr>
          </w:p>
        </w:tc>
        <w:tc>
          <w:tcPr>
            <w:tcW w:w="921" w:type="dxa"/>
            <w:shd w:val="clear" w:color="auto" w:fill="auto"/>
            <w:vAlign w:val="bottom"/>
          </w:tcPr>
          <w:p w14:paraId="612B2DA7"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50835814" w14:textId="77777777" w:rsidR="00002A40" w:rsidRPr="00994305" w:rsidRDefault="00002A40" w:rsidP="000B279D">
            <w:pPr>
              <w:pStyle w:val="TableCell"/>
              <w:rPr>
                <w:sz w:val="24"/>
                <w:lang w:val="en-GB" w:eastAsia="en-GB"/>
              </w:rPr>
            </w:pPr>
          </w:p>
        </w:tc>
        <w:tc>
          <w:tcPr>
            <w:tcW w:w="1287" w:type="dxa"/>
            <w:shd w:val="clear" w:color="auto" w:fill="auto"/>
            <w:vAlign w:val="bottom"/>
          </w:tcPr>
          <w:p w14:paraId="59D6CD22" w14:textId="77777777" w:rsidR="00002A40" w:rsidRPr="00994305" w:rsidRDefault="00002A40" w:rsidP="000B279D">
            <w:pPr>
              <w:pStyle w:val="TableCell"/>
              <w:rPr>
                <w:sz w:val="24"/>
                <w:lang w:val="en-GB" w:eastAsia="en-GB"/>
              </w:rPr>
            </w:pPr>
          </w:p>
        </w:tc>
      </w:tr>
      <w:tr w:rsidR="00002A40" w:rsidRPr="00755B9C" w14:paraId="5930CE61" w14:textId="77777777" w:rsidTr="00E731E7">
        <w:tc>
          <w:tcPr>
            <w:tcW w:w="8153" w:type="dxa"/>
            <w:gridSpan w:val="4"/>
            <w:shd w:val="clear" w:color="auto" w:fill="auto"/>
            <w:vAlign w:val="bottom"/>
          </w:tcPr>
          <w:p w14:paraId="2D70BDDF" w14:textId="77777777" w:rsidR="00002A40" w:rsidRPr="00994305" w:rsidRDefault="00002A40" w:rsidP="00CB6FF6">
            <w:pPr>
              <w:pStyle w:val="TableHead"/>
              <w:rPr>
                <w:lang w:val="en-GB" w:eastAsia="en-GB"/>
              </w:rPr>
            </w:pPr>
            <w:r w:rsidRPr="00994305">
              <w:rPr>
                <w:lang w:val="en-GB" w:eastAsia="en-GB"/>
              </w:rPr>
              <w:t>Development, Support and Administration costs</w:t>
            </w:r>
          </w:p>
        </w:tc>
      </w:tr>
      <w:tr w:rsidR="00002A40" w:rsidRPr="00755B9C" w14:paraId="1ABA7B1F" w14:textId="77777777" w:rsidTr="00E731E7">
        <w:tc>
          <w:tcPr>
            <w:tcW w:w="4644" w:type="dxa"/>
            <w:shd w:val="clear" w:color="auto" w:fill="auto"/>
            <w:vAlign w:val="bottom"/>
          </w:tcPr>
          <w:p w14:paraId="406A4C2F"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Payroll</w:t>
            </w:r>
            <w:r>
              <w:rPr>
                <w:rFonts w:ascii="Gill Sans" w:hAnsi="Gill Sans"/>
                <w:sz w:val="24"/>
                <w:lang w:val="en-GB" w:eastAsia="en-GB"/>
              </w:rPr>
              <w:t xml:space="preserve"> Costs</w:t>
            </w:r>
          </w:p>
        </w:tc>
        <w:tc>
          <w:tcPr>
            <w:tcW w:w="921" w:type="dxa"/>
            <w:shd w:val="clear" w:color="auto" w:fill="auto"/>
            <w:vAlign w:val="bottom"/>
          </w:tcPr>
          <w:p w14:paraId="48F984F6" w14:textId="77777777" w:rsidR="00002A40" w:rsidRPr="00994305" w:rsidRDefault="00002A40" w:rsidP="00421776">
            <w:pPr>
              <w:pStyle w:val="TableCell"/>
              <w:rPr>
                <w:sz w:val="24"/>
                <w:lang w:val="en-GB" w:eastAsia="en-GB"/>
              </w:rPr>
            </w:pPr>
            <w:r w:rsidRPr="00994305">
              <w:rPr>
                <w:sz w:val="24"/>
                <w:lang w:val="en-GB" w:eastAsia="en-GB"/>
              </w:rPr>
              <w:t>4</w:t>
            </w:r>
          </w:p>
        </w:tc>
        <w:tc>
          <w:tcPr>
            <w:tcW w:w="1301" w:type="dxa"/>
            <w:shd w:val="clear" w:color="auto" w:fill="auto"/>
            <w:vAlign w:val="bottom"/>
          </w:tcPr>
          <w:p w14:paraId="276E9BB3" w14:textId="77777777" w:rsidR="00002A40" w:rsidRPr="00994305" w:rsidRDefault="00002A40" w:rsidP="000B279D">
            <w:pPr>
              <w:pStyle w:val="TableCell"/>
              <w:rPr>
                <w:sz w:val="24"/>
                <w:lang w:val="en-GB" w:eastAsia="en-GB"/>
              </w:rPr>
            </w:pPr>
            <w:r>
              <w:rPr>
                <w:sz w:val="24"/>
                <w:lang w:val="en-GB" w:eastAsia="en-GB"/>
              </w:rPr>
              <w:t>1,873,491</w:t>
            </w:r>
          </w:p>
        </w:tc>
        <w:tc>
          <w:tcPr>
            <w:tcW w:w="1287" w:type="dxa"/>
            <w:shd w:val="clear" w:color="auto" w:fill="auto"/>
            <w:vAlign w:val="bottom"/>
          </w:tcPr>
          <w:p w14:paraId="5957DCB2" w14:textId="77777777" w:rsidR="00002A40" w:rsidRPr="00994305" w:rsidRDefault="00002A40" w:rsidP="000B279D">
            <w:pPr>
              <w:pStyle w:val="TableCell"/>
              <w:rPr>
                <w:sz w:val="24"/>
                <w:lang w:val="en-GB" w:eastAsia="en-GB"/>
              </w:rPr>
            </w:pPr>
            <w:r>
              <w:rPr>
                <w:sz w:val="24"/>
                <w:lang w:val="en-GB" w:eastAsia="en-GB"/>
              </w:rPr>
              <w:t>1,935,007</w:t>
            </w:r>
            <w:r w:rsidRPr="00994305">
              <w:rPr>
                <w:sz w:val="24"/>
                <w:lang w:val="en-GB" w:eastAsia="en-GB"/>
              </w:rPr>
              <w:t xml:space="preserve"> </w:t>
            </w:r>
          </w:p>
        </w:tc>
      </w:tr>
      <w:tr w:rsidR="00002A40" w:rsidRPr="00755B9C" w14:paraId="22AFA09E" w14:textId="77777777" w:rsidTr="00E731E7">
        <w:tc>
          <w:tcPr>
            <w:tcW w:w="4644" w:type="dxa"/>
            <w:shd w:val="clear" w:color="auto" w:fill="auto"/>
            <w:vAlign w:val="bottom"/>
          </w:tcPr>
          <w:p w14:paraId="7F1221A9"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Pension Costs</w:t>
            </w:r>
          </w:p>
        </w:tc>
        <w:tc>
          <w:tcPr>
            <w:tcW w:w="921" w:type="dxa"/>
            <w:shd w:val="clear" w:color="auto" w:fill="auto"/>
            <w:vAlign w:val="bottom"/>
          </w:tcPr>
          <w:p w14:paraId="75A24295" w14:textId="77777777" w:rsidR="00002A40" w:rsidRPr="00994305" w:rsidRDefault="00002A40" w:rsidP="00421776">
            <w:pPr>
              <w:pStyle w:val="TableCell"/>
              <w:rPr>
                <w:sz w:val="24"/>
                <w:lang w:val="en-GB" w:eastAsia="en-GB"/>
              </w:rPr>
            </w:pPr>
            <w:r w:rsidRPr="00994305">
              <w:rPr>
                <w:sz w:val="24"/>
                <w:lang w:val="en-GB" w:eastAsia="en-GB"/>
              </w:rPr>
              <w:t>10(c)</w:t>
            </w:r>
          </w:p>
        </w:tc>
        <w:tc>
          <w:tcPr>
            <w:tcW w:w="1301" w:type="dxa"/>
            <w:shd w:val="clear" w:color="auto" w:fill="auto"/>
            <w:vAlign w:val="bottom"/>
          </w:tcPr>
          <w:p w14:paraId="6CE1476F" w14:textId="77777777" w:rsidR="00002A40" w:rsidRPr="00994305" w:rsidRDefault="00002A40" w:rsidP="000B279D">
            <w:pPr>
              <w:pStyle w:val="TableCell"/>
              <w:rPr>
                <w:sz w:val="24"/>
                <w:lang w:val="en-GB" w:eastAsia="en-GB"/>
              </w:rPr>
            </w:pPr>
            <w:r>
              <w:rPr>
                <w:sz w:val="24"/>
                <w:lang w:val="en-GB" w:eastAsia="en-GB"/>
              </w:rPr>
              <w:t>1,236,210</w:t>
            </w:r>
          </w:p>
        </w:tc>
        <w:tc>
          <w:tcPr>
            <w:tcW w:w="1287" w:type="dxa"/>
            <w:shd w:val="clear" w:color="auto" w:fill="auto"/>
            <w:vAlign w:val="bottom"/>
          </w:tcPr>
          <w:p w14:paraId="197E7087" w14:textId="77777777" w:rsidR="00002A40" w:rsidRPr="00994305" w:rsidRDefault="00002A40" w:rsidP="000B279D">
            <w:pPr>
              <w:pStyle w:val="TableCell"/>
              <w:rPr>
                <w:sz w:val="24"/>
                <w:lang w:val="en-GB" w:eastAsia="en-GB"/>
              </w:rPr>
            </w:pPr>
            <w:r w:rsidRPr="00994305">
              <w:rPr>
                <w:sz w:val="24"/>
                <w:lang w:val="en-GB" w:eastAsia="en-GB"/>
              </w:rPr>
              <w:t>1,</w:t>
            </w:r>
            <w:r>
              <w:rPr>
                <w:sz w:val="24"/>
                <w:lang w:val="en-GB" w:eastAsia="en-GB"/>
              </w:rPr>
              <w:t>257</w:t>
            </w:r>
            <w:r w:rsidRPr="00994305">
              <w:rPr>
                <w:sz w:val="24"/>
                <w:lang w:val="en-GB" w:eastAsia="en-GB"/>
              </w:rPr>
              <w:t>,</w:t>
            </w:r>
            <w:r>
              <w:rPr>
                <w:sz w:val="24"/>
                <w:lang w:val="en-GB" w:eastAsia="en-GB"/>
              </w:rPr>
              <w:t>597</w:t>
            </w:r>
            <w:r w:rsidRPr="00994305">
              <w:rPr>
                <w:sz w:val="24"/>
                <w:lang w:val="en-GB" w:eastAsia="en-GB"/>
              </w:rPr>
              <w:t xml:space="preserve"> </w:t>
            </w:r>
          </w:p>
        </w:tc>
      </w:tr>
      <w:tr w:rsidR="00002A40" w:rsidRPr="00755B9C" w14:paraId="60F0B396" w14:textId="77777777" w:rsidTr="00E731E7">
        <w:tc>
          <w:tcPr>
            <w:tcW w:w="4644" w:type="dxa"/>
            <w:shd w:val="clear" w:color="auto" w:fill="auto"/>
            <w:vAlign w:val="bottom"/>
          </w:tcPr>
          <w:p w14:paraId="46B1A25E"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 xml:space="preserve">Administration Costs </w:t>
            </w:r>
          </w:p>
        </w:tc>
        <w:tc>
          <w:tcPr>
            <w:tcW w:w="921" w:type="dxa"/>
            <w:shd w:val="clear" w:color="auto" w:fill="auto"/>
            <w:vAlign w:val="bottom"/>
          </w:tcPr>
          <w:p w14:paraId="27AEC93D" w14:textId="77777777" w:rsidR="00002A40" w:rsidRPr="00994305" w:rsidRDefault="00002A40" w:rsidP="00421776">
            <w:pPr>
              <w:pStyle w:val="TableCell"/>
              <w:rPr>
                <w:sz w:val="24"/>
                <w:lang w:val="en-GB" w:eastAsia="en-GB"/>
              </w:rPr>
            </w:pPr>
            <w:r w:rsidRPr="00994305">
              <w:rPr>
                <w:sz w:val="24"/>
                <w:lang w:val="en-GB" w:eastAsia="en-GB"/>
              </w:rPr>
              <w:t>5</w:t>
            </w:r>
          </w:p>
        </w:tc>
        <w:tc>
          <w:tcPr>
            <w:tcW w:w="1301" w:type="dxa"/>
            <w:shd w:val="clear" w:color="auto" w:fill="auto"/>
            <w:vAlign w:val="bottom"/>
          </w:tcPr>
          <w:p w14:paraId="776B01DF" w14:textId="77777777" w:rsidR="00002A40" w:rsidRPr="005F23DA" w:rsidRDefault="00FF7B9F" w:rsidP="000B279D">
            <w:pPr>
              <w:pStyle w:val="TableCell"/>
              <w:rPr>
                <w:sz w:val="24"/>
                <w:lang w:val="en-GB" w:eastAsia="en-GB"/>
              </w:rPr>
            </w:pPr>
            <w:r>
              <w:rPr>
                <w:sz w:val="24"/>
                <w:lang w:val="en-GB" w:eastAsia="en-GB"/>
              </w:rPr>
              <w:t xml:space="preserve">479,979 </w:t>
            </w:r>
          </w:p>
        </w:tc>
        <w:tc>
          <w:tcPr>
            <w:tcW w:w="1287" w:type="dxa"/>
            <w:shd w:val="clear" w:color="auto" w:fill="auto"/>
            <w:vAlign w:val="bottom"/>
          </w:tcPr>
          <w:p w14:paraId="5F33CA9C" w14:textId="77777777" w:rsidR="00002A40" w:rsidRPr="005F23DA" w:rsidRDefault="00002A40" w:rsidP="000B279D">
            <w:pPr>
              <w:pStyle w:val="TableCell"/>
              <w:rPr>
                <w:sz w:val="24"/>
                <w:lang w:val="en-GB" w:eastAsia="en-GB"/>
              </w:rPr>
            </w:pPr>
            <w:r w:rsidRPr="005F23DA">
              <w:rPr>
                <w:sz w:val="24"/>
                <w:lang w:val="en-GB" w:eastAsia="en-GB"/>
              </w:rPr>
              <w:t>545,460</w:t>
            </w:r>
          </w:p>
        </w:tc>
      </w:tr>
      <w:tr w:rsidR="00002A40" w:rsidRPr="00755B9C" w14:paraId="0E1F8D78" w14:textId="77777777" w:rsidTr="00E731E7">
        <w:tc>
          <w:tcPr>
            <w:tcW w:w="4644" w:type="dxa"/>
            <w:shd w:val="clear" w:color="auto" w:fill="auto"/>
            <w:vAlign w:val="bottom"/>
          </w:tcPr>
          <w:p w14:paraId="0D26776F"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 xml:space="preserve">Depreciation </w:t>
            </w:r>
          </w:p>
        </w:tc>
        <w:tc>
          <w:tcPr>
            <w:tcW w:w="921" w:type="dxa"/>
            <w:shd w:val="clear" w:color="auto" w:fill="auto"/>
            <w:vAlign w:val="bottom"/>
          </w:tcPr>
          <w:p w14:paraId="17C08D0E" w14:textId="77777777" w:rsidR="00002A40" w:rsidRPr="00994305" w:rsidRDefault="00002A40" w:rsidP="00421776">
            <w:pPr>
              <w:pStyle w:val="TableCell"/>
              <w:rPr>
                <w:sz w:val="24"/>
                <w:lang w:val="en-GB" w:eastAsia="en-GB"/>
              </w:rPr>
            </w:pPr>
            <w:r w:rsidRPr="00994305">
              <w:rPr>
                <w:sz w:val="24"/>
                <w:lang w:val="en-GB" w:eastAsia="en-GB"/>
              </w:rPr>
              <w:t>7</w:t>
            </w:r>
          </w:p>
        </w:tc>
        <w:tc>
          <w:tcPr>
            <w:tcW w:w="1301" w:type="dxa"/>
            <w:shd w:val="clear" w:color="auto" w:fill="auto"/>
            <w:vAlign w:val="bottom"/>
          </w:tcPr>
          <w:p w14:paraId="50F0209C" w14:textId="77777777" w:rsidR="00002A40" w:rsidRPr="00994305" w:rsidRDefault="00002A40" w:rsidP="000B279D">
            <w:pPr>
              <w:pStyle w:val="TableCell"/>
              <w:rPr>
                <w:sz w:val="24"/>
                <w:lang w:val="en-GB" w:eastAsia="en-GB"/>
              </w:rPr>
            </w:pPr>
            <w:r>
              <w:rPr>
                <w:sz w:val="24"/>
                <w:lang w:val="en-GB" w:eastAsia="en-GB"/>
              </w:rPr>
              <w:t>73,963</w:t>
            </w:r>
          </w:p>
        </w:tc>
        <w:tc>
          <w:tcPr>
            <w:tcW w:w="1287" w:type="dxa"/>
            <w:shd w:val="clear" w:color="auto" w:fill="auto"/>
            <w:vAlign w:val="bottom"/>
          </w:tcPr>
          <w:p w14:paraId="271FE84D" w14:textId="77777777" w:rsidR="00002A40" w:rsidRPr="00994305" w:rsidRDefault="00002A40" w:rsidP="000B279D">
            <w:pPr>
              <w:pStyle w:val="TableCell"/>
              <w:rPr>
                <w:sz w:val="24"/>
                <w:lang w:val="en-GB" w:eastAsia="en-GB"/>
              </w:rPr>
            </w:pPr>
            <w:r>
              <w:rPr>
                <w:sz w:val="24"/>
                <w:lang w:val="en-GB" w:eastAsia="en-GB"/>
              </w:rPr>
              <w:t>74</w:t>
            </w:r>
            <w:r w:rsidRPr="00994305">
              <w:rPr>
                <w:sz w:val="24"/>
                <w:lang w:val="en-GB" w:eastAsia="en-GB"/>
              </w:rPr>
              <w:t>,</w:t>
            </w:r>
            <w:r>
              <w:rPr>
                <w:sz w:val="24"/>
                <w:lang w:val="en-GB" w:eastAsia="en-GB"/>
              </w:rPr>
              <w:t>475</w:t>
            </w:r>
            <w:r w:rsidRPr="00994305">
              <w:rPr>
                <w:sz w:val="24"/>
                <w:lang w:val="en-GB" w:eastAsia="en-GB"/>
              </w:rPr>
              <w:t xml:space="preserve"> </w:t>
            </w:r>
          </w:p>
        </w:tc>
      </w:tr>
      <w:tr w:rsidR="00002A40" w:rsidRPr="00755B9C" w14:paraId="4072EB9C" w14:textId="77777777" w:rsidTr="00E731E7">
        <w:tc>
          <w:tcPr>
            <w:tcW w:w="4644" w:type="dxa"/>
            <w:shd w:val="clear" w:color="auto" w:fill="auto"/>
            <w:vAlign w:val="bottom"/>
          </w:tcPr>
          <w:p w14:paraId="6B82F09C" w14:textId="77777777" w:rsidR="00002A40" w:rsidRPr="00994305" w:rsidRDefault="00002A40" w:rsidP="00421776">
            <w:pPr>
              <w:pStyle w:val="TableRowHead"/>
              <w:rPr>
                <w:rFonts w:ascii="Gill Sans" w:hAnsi="Gill Sans"/>
                <w:sz w:val="24"/>
                <w:lang w:val="en-GB" w:eastAsia="en-GB"/>
              </w:rPr>
            </w:pPr>
          </w:p>
        </w:tc>
        <w:tc>
          <w:tcPr>
            <w:tcW w:w="921" w:type="dxa"/>
            <w:shd w:val="clear" w:color="auto" w:fill="auto"/>
            <w:vAlign w:val="bottom"/>
          </w:tcPr>
          <w:p w14:paraId="19557D78"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7FBB348A" w14:textId="77777777" w:rsidR="00002A40" w:rsidRPr="005F23DA" w:rsidRDefault="00002A40" w:rsidP="000B279D">
            <w:pPr>
              <w:pStyle w:val="TableCell"/>
              <w:rPr>
                <w:sz w:val="24"/>
                <w:lang w:val="en-GB" w:eastAsia="en-GB"/>
              </w:rPr>
            </w:pPr>
            <w:r>
              <w:rPr>
                <w:sz w:val="24"/>
                <w:lang w:val="en-GB" w:eastAsia="en-GB"/>
              </w:rPr>
              <w:t>3,663,775</w:t>
            </w:r>
          </w:p>
        </w:tc>
        <w:tc>
          <w:tcPr>
            <w:tcW w:w="1287" w:type="dxa"/>
            <w:shd w:val="clear" w:color="auto" w:fill="auto"/>
            <w:vAlign w:val="bottom"/>
          </w:tcPr>
          <w:p w14:paraId="4BDB8B11" w14:textId="77777777" w:rsidR="00002A40" w:rsidRPr="005F23DA" w:rsidRDefault="00002A40" w:rsidP="000B279D">
            <w:pPr>
              <w:pStyle w:val="TableCell"/>
              <w:rPr>
                <w:sz w:val="24"/>
                <w:lang w:val="en-GB" w:eastAsia="en-GB"/>
              </w:rPr>
            </w:pPr>
            <w:r w:rsidRPr="005F23DA">
              <w:rPr>
                <w:sz w:val="24"/>
                <w:lang w:val="en-GB" w:eastAsia="en-GB"/>
              </w:rPr>
              <w:t>3,812,539</w:t>
            </w:r>
          </w:p>
        </w:tc>
      </w:tr>
      <w:tr w:rsidR="00002A40" w:rsidRPr="00755B9C" w14:paraId="77C7E98C" w14:textId="77777777" w:rsidTr="00E731E7">
        <w:tc>
          <w:tcPr>
            <w:tcW w:w="4644" w:type="dxa"/>
            <w:shd w:val="clear" w:color="auto" w:fill="auto"/>
            <w:vAlign w:val="bottom"/>
          </w:tcPr>
          <w:p w14:paraId="13C590BF"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Total Expenditure</w:t>
            </w:r>
          </w:p>
        </w:tc>
        <w:tc>
          <w:tcPr>
            <w:tcW w:w="921" w:type="dxa"/>
            <w:shd w:val="clear" w:color="auto" w:fill="auto"/>
            <w:vAlign w:val="bottom"/>
          </w:tcPr>
          <w:p w14:paraId="1D4EB765"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6FDE6685" w14:textId="77777777" w:rsidR="00002A40" w:rsidRPr="00660642" w:rsidRDefault="00002A40" w:rsidP="000B279D">
            <w:pPr>
              <w:pStyle w:val="TableCell"/>
              <w:rPr>
                <w:b/>
                <w:sz w:val="24"/>
                <w:lang w:val="en-GB" w:eastAsia="en-GB"/>
              </w:rPr>
            </w:pPr>
            <w:r w:rsidRPr="00660642">
              <w:rPr>
                <w:b/>
                <w:sz w:val="24"/>
                <w:lang w:val="en-GB" w:eastAsia="en-GB"/>
              </w:rPr>
              <w:t>4,038,5</w:t>
            </w:r>
            <w:r>
              <w:rPr>
                <w:b/>
                <w:sz w:val="24"/>
                <w:lang w:val="en-GB" w:eastAsia="en-GB"/>
              </w:rPr>
              <w:t>63</w:t>
            </w:r>
          </w:p>
        </w:tc>
        <w:tc>
          <w:tcPr>
            <w:tcW w:w="1287" w:type="dxa"/>
            <w:shd w:val="clear" w:color="auto" w:fill="auto"/>
            <w:vAlign w:val="bottom"/>
          </w:tcPr>
          <w:p w14:paraId="420FEB6F" w14:textId="77777777" w:rsidR="00002A40" w:rsidRPr="00660642" w:rsidRDefault="00002A40" w:rsidP="000B279D">
            <w:pPr>
              <w:pStyle w:val="TableCell"/>
              <w:rPr>
                <w:b/>
                <w:sz w:val="24"/>
                <w:lang w:val="en-GB" w:eastAsia="en-GB"/>
              </w:rPr>
            </w:pPr>
            <w:r>
              <w:rPr>
                <w:b/>
                <w:sz w:val="24"/>
                <w:lang w:val="en-GB" w:eastAsia="en-GB"/>
              </w:rPr>
              <w:t>4,322,135</w:t>
            </w:r>
            <w:r w:rsidRPr="00660642">
              <w:rPr>
                <w:b/>
                <w:sz w:val="24"/>
                <w:lang w:val="en-GB" w:eastAsia="en-GB"/>
              </w:rPr>
              <w:t xml:space="preserve"> </w:t>
            </w:r>
          </w:p>
        </w:tc>
      </w:tr>
      <w:tr w:rsidR="00002A40" w:rsidRPr="00755B9C" w14:paraId="7A314111" w14:textId="77777777" w:rsidTr="00E731E7">
        <w:tc>
          <w:tcPr>
            <w:tcW w:w="4644" w:type="dxa"/>
            <w:shd w:val="clear" w:color="auto" w:fill="auto"/>
            <w:vAlign w:val="bottom"/>
          </w:tcPr>
          <w:p w14:paraId="4B579319" w14:textId="77777777" w:rsidR="00002A40" w:rsidRPr="00994305" w:rsidRDefault="00002A40" w:rsidP="001354ED">
            <w:pPr>
              <w:spacing w:after="0"/>
              <w:rPr>
                <w:rFonts w:cs="Arial"/>
                <w:b/>
                <w:bCs/>
                <w:lang w:val="en-GB" w:eastAsia="en-GB"/>
              </w:rPr>
            </w:pPr>
            <w:r w:rsidRPr="00994305">
              <w:rPr>
                <w:rFonts w:cs="Arial"/>
                <w:b/>
                <w:bCs/>
                <w:lang w:val="en-GB" w:eastAsia="en-GB"/>
              </w:rPr>
              <w:t>Surplus for the year</w:t>
            </w:r>
          </w:p>
        </w:tc>
        <w:tc>
          <w:tcPr>
            <w:tcW w:w="921" w:type="dxa"/>
            <w:shd w:val="clear" w:color="auto" w:fill="auto"/>
            <w:vAlign w:val="bottom"/>
          </w:tcPr>
          <w:p w14:paraId="79B30E01" w14:textId="77777777" w:rsidR="00002A40" w:rsidRPr="006E2877" w:rsidRDefault="00002A40" w:rsidP="001354ED">
            <w:pPr>
              <w:pStyle w:val="TableCell"/>
              <w:rPr>
                <w:bCs/>
                <w:sz w:val="24"/>
                <w:lang w:val="en-GB" w:eastAsia="en-GB"/>
              </w:rPr>
            </w:pPr>
            <w:r w:rsidRPr="006E2877">
              <w:rPr>
                <w:bCs/>
                <w:sz w:val="24"/>
                <w:lang w:val="en-GB" w:eastAsia="en-GB"/>
              </w:rPr>
              <w:t>13</w:t>
            </w:r>
          </w:p>
        </w:tc>
        <w:tc>
          <w:tcPr>
            <w:tcW w:w="1301" w:type="dxa"/>
            <w:shd w:val="clear" w:color="auto" w:fill="auto"/>
            <w:vAlign w:val="bottom"/>
          </w:tcPr>
          <w:p w14:paraId="652D3A17" w14:textId="77777777" w:rsidR="00002A40" w:rsidRPr="005F23DA" w:rsidRDefault="00002A40" w:rsidP="000B279D">
            <w:pPr>
              <w:pStyle w:val="TableCell"/>
              <w:rPr>
                <w:sz w:val="24"/>
                <w:lang w:val="en-GB" w:eastAsia="en-GB"/>
              </w:rPr>
            </w:pPr>
            <w:r>
              <w:rPr>
                <w:sz w:val="24"/>
                <w:lang w:val="en-GB" w:eastAsia="en-GB"/>
              </w:rPr>
              <w:t>71,178</w:t>
            </w:r>
          </w:p>
        </w:tc>
        <w:tc>
          <w:tcPr>
            <w:tcW w:w="1287" w:type="dxa"/>
            <w:shd w:val="clear" w:color="auto" w:fill="auto"/>
            <w:vAlign w:val="bottom"/>
          </w:tcPr>
          <w:p w14:paraId="131A7CC5" w14:textId="77777777" w:rsidR="00002A40" w:rsidRPr="005F23DA" w:rsidRDefault="00002A40" w:rsidP="000B279D">
            <w:pPr>
              <w:pStyle w:val="TableCell"/>
              <w:rPr>
                <w:sz w:val="24"/>
                <w:lang w:val="en-GB" w:eastAsia="en-GB"/>
              </w:rPr>
            </w:pPr>
            <w:r w:rsidRPr="005F23DA">
              <w:rPr>
                <w:sz w:val="24"/>
                <w:lang w:val="en-GB" w:eastAsia="en-GB"/>
              </w:rPr>
              <w:t>24,020</w:t>
            </w:r>
          </w:p>
        </w:tc>
      </w:tr>
      <w:tr w:rsidR="00002A40" w:rsidRPr="00755B9C" w14:paraId="6A476A6C" w14:textId="77777777" w:rsidTr="00E731E7">
        <w:tc>
          <w:tcPr>
            <w:tcW w:w="4644" w:type="dxa"/>
            <w:shd w:val="clear" w:color="auto" w:fill="auto"/>
            <w:vAlign w:val="bottom"/>
          </w:tcPr>
          <w:p w14:paraId="4E9A2F86" w14:textId="77777777" w:rsidR="00002A40" w:rsidRPr="00994305" w:rsidRDefault="00002A40" w:rsidP="001354ED">
            <w:pPr>
              <w:pStyle w:val="TableRowHead"/>
              <w:rPr>
                <w:rFonts w:ascii="Gill Sans" w:hAnsi="Gill Sans"/>
                <w:sz w:val="24"/>
                <w:lang w:val="en-GB" w:eastAsia="en-GB"/>
              </w:rPr>
            </w:pPr>
            <w:r w:rsidRPr="00994305">
              <w:rPr>
                <w:rFonts w:ascii="Gill Sans" w:hAnsi="Gill Sans"/>
                <w:sz w:val="24"/>
                <w:lang w:val="en-GB" w:eastAsia="en-GB"/>
              </w:rPr>
              <w:t>Retained</w:t>
            </w:r>
            <w:r>
              <w:rPr>
                <w:rFonts w:ascii="Gill Sans" w:hAnsi="Gill Sans"/>
                <w:sz w:val="24"/>
                <w:lang w:val="en-GB" w:eastAsia="en-GB"/>
              </w:rPr>
              <w:t xml:space="preserve"> </w:t>
            </w:r>
            <w:r w:rsidRPr="00994305">
              <w:rPr>
                <w:rFonts w:ascii="Gill Sans" w:hAnsi="Gill Sans"/>
                <w:sz w:val="24"/>
                <w:lang w:val="en-GB" w:eastAsia="en-GB"/>
              </w:rPr>
              <w:t xml:space="preserve">Surplus </w:t>
            </w:r>
            <w:proofErr w:type="gramStart"/>
            <w:r w:rsidRPr="00994305">
              <w:rPr>
                <w:rFonts w:ascii="Gill Sans" w:hAnsi="Gill Sans"/>
                <w:sz w:val="24"/>
                <w:lang w:val="en-GB" w:eastAsia="en-GB"/>
              </w:rPr>
              <w:t>at</w:t>
            </w:r>
            <w:proofErr w:type="gramEnd"/>
            <w:r w:rsidRPr="00994305">
              <w:rPr>
                <w:rFonts w:ascii="Gill Sans" w:hAnsi="Gill Sans"/>
                <w:sz w:val="24"/>
                <w:lang w:val="en-GB" w:eastAsia="en-GB"/>
              </w:rPr>
              <w:t xml:space="preserve"> 1</w:t>
            </w:r>
            <w:r>
              <w:rPr>
                <w:rFonts w:ascii="Gill Sans" w:hAnsi="Gill Sans"/>
                <w:sz w:val="24"/>
                <w:lang w:val="en-GB" w:eastAsia="en-GB"/>
              </w:rPr>
              <w:t>st</w:t>
            </w:r>
            <w:r w:rsidRPr="00994305">
              <w:rPr>
                <w:rFonts w:ascii="Gill Sans" w:hAnsi="Gill Sans"/>
                <w:sz w:val="24"/>
                <w:lang w:val="en-GB" w:eastAsia="en-GB"/>
              </w:rPr>
              <w:t xml:space="preserve"> January </w:t>
            </w:r>
          </w:p>
        </w:tc>
        <w:tc>
          <w:tcPr>
            <w:tcW w:w="921" w:type="dxa"/>
            <w:shd w:val="clear" w:color="auto" w:fill="auto"/>
            <w:vAlign w:val="bottom"/>
          </w:tcPr>
          <w:p w14:paraId="0C1DF562" w14:textId="77777777" w:rsidR="00002A40" w:rsidRPr="00994305" w:rsidRDefault="00002A40" w:rsidP="00421776">
            <w:pPr>
              <w:pStyle w:val="TableCell"/>
              <w:rPr>
                <w:sz w:val="24"/>
                <w:lang w:val="en-GB" w:eastAsia="en-GB"/>
              </w:rPr>
            </w:pPr>
          </w:p>
        </w:tc>
        <w:tc>
          <w:tcPr>
            <w:tcW w:w="1301" w:type="dxa"/>
            <w:shd w:val="clear" w:color="auto" w:fill="auto"/>
            <w:vAlign w:val="bottom"/>
          </w:tcPr>
          <w:p w14:paraId="745B71F0" w14:textId="77777777" w:rsidR="00002A40" w:rsidRPr="00994305" w:rsidRDefault="00002A40" w:rsidP="000B279D">
            <w:pPr>
              <w:pStyle w:val="TableCell"/>
              <w:rPr>
                <w:sz w:val="24"/>
                <w:lang w:val="en-GB" w:eastAsia="en-GB"/>
              </w:rPr>
            </w:pPr>
            <w:r>
              <w:rPr>
                <w:sz w:val="24"/>
                <w:lang w:val="en-GB" w:eastAsia="en-GB"/>
              </w:rPr>
              <w:t>197,668</w:t>
            </w:r>
          </w:p>
        </w:tc>
        <w:tc>
          <w:tcPr>
            <w:tcW w:w="1287" w:type="dxa"/>
            <w:shd w:val="clear" w:color="auto" w:fill="auto"/>
            <w:vAlign w:val="bottom"/>
          </w:tcPr>
          <w:p w14:paraId="732EED02" w14:textId="77777777" w:rsidR="00002A40" w:rsidRPr="00994305" w:rsidRDefault="00002A40" w:rsidP="000B279D">
            <w:pPr>
              <w:pStyle w:val="TableCell"/>
              <w:rPr>
                <w:sz w:val="24"/>
                <w:lang w:val="en-GB" w:eastAsia="en-GB"/>
              </w:rPr>
            </w:pPr>
            <w:r>
              <w:rPr>
                <w:sz w:val="24"/>
                <w:lang w:val="en-GB" w:eastAsia="en-GB"/>
              </w:rPr>
              <w:t>173</w:t>
            </w:r>
            <w:r w:rsidRPr="00994305">
              <w:rPr>
                <w:sz w:val="24"/>
                <w:lang w:val="en-GB" w:eastAsia="en-GB"/>
              </w:rPr>
              <w:t>,</w:t>
            </w:r>
            <w:r>
              <w:rPr>
                <w:sz w:val="24"/>
                <w:lang w:val="en-GB" w:eastAsia="en-GB"/>
              </w:rPr>
              <w:t>648</w:t>
            </w:r>
            <w:r w:rsidRPr="00994305">
              <w:rPr>
                <w:sz w:val="24"/>
                <w:lang w:val="en-GB" w:eastAsia="en-GB"/>
              </w:rPr>
              <w:t xml:space="preserve"> </w:t>
            </w:r>
          </w:p>
        </w:tc>
      </w:tr>
      <w:tr w:rsidR="00002A40" w:rsidRPr="00755B9C" w14:paraId="64ACA018" w14:textId="77777777" w:rsidTr="00E731E7">
        <w:tc>
          <w:tcPr>
            <w:tcW w:w="4644" w:type="dxa"/>
            <w:shd w:val="clear" w:color="auto" w:fill="auto"/>
            <w:vAlign w:val="bottom"/>
          </w:tcPr>
          <w:p w14:paraId="50CAA573" w14:textId="77777777" w:rsidR="00002A40" w:rsidRPr="00994305" w:rsidRDefault="00002A40" w:rsidP="001354ED">
            <w:pPr>
              <w:pStyle w:val="TableRowHead"/>
              <w:rPr>
                <w:rFonts w:ascii="Gill Sans" w:hAnsi="Gill Sans"/>
                <w:sz w:val="24"/>
                <w:lang w:val="en-GB" w:eastAsia="en-GB"/>
              </w:rPr>
            </w:pPr>
            <w:r w:rsidRPr="00994305">
              <w:rPr>
                <w:rFonts w:ascii="Gill Sans" w:hAnsi="Gill Sans"/>
                <w:sz w:val="24"/>
                <w:lang w:val="en-GB" w:eastAsia="en-GB"/>
              </w:rPr>
              <w:t xml:space="preserve">Retained Surplus </w:t>
            </w:r>
            <w:proofErr w:type="gramStart"/>
            <w:r w:rsidRPr="00994305">
              <w:rPr>
                <w:rFonts w:ascii="Gill Sans" w:hAnsi="Gill Sans"/>
                <w:sz w:val="24"/>
                <w:lang w:val="en-GB" w:eastAsia="en-GB"/>
              </w:rPr>
              <w:t>at</w:t>
            </w:r>
            <w:proofErr w:type="gramEnd"/>
            <w:r w:rsidRPr="00994305">
              <w:rPr>
                <w:rFonts w:ascii="Gill Sans" w:hAnsi="Gill Sans"/>
                <w:sz w:val="24"/>
                <w:lang w:val="en-GB" w:eastAsia="en-GB"/>
              </w:rPr>
              <w:t xml:space="preserve"> 31</w:t>
            </w:r>
            <w:r>
              <w:rPr>
                <w:rFonts w:ascii="Gill Sans" w:hAnsi="Gill Sans"/>
                <w:sz w:val="24"/>
                <w:lang w:val="en-GB" w:eastAsia="en-GB"/>
              </w:rPr>
              <w:t>st</w:t>
            </w:r>
            <w:r w:rsidRPr="00994305">
              <w:rPr>
                <w:rFonts w:ascii="Gill Sans" w:hAnsi="Gill Sans"/>
                <w:sz w:val="24"/>
                <w:lang w:val="en-GB" w:eastAsia="en-GB"/>
              </w:rPr>
              <w:t xml:space="preserve"> December</w:t>
            </w:r>
          </w:p>
        </w:tc>
        <w:tc>
          <w:tcPr>
            <w:tcW w:w="921" w:type="dxa"/>
            <w:shd w:val="clear" w:color="auto" w:fill="auto"/>
            <w:vAlign w:val="bottom"/>
          </w:tcPr>
          <w:p w14:paraId="0939FC0E" w14:textId="77777777" w:rsidR="00002A40" w:rsidRPr="00793E9F" w:rsidRDefault="00002A40" w:rsidP="00421776">
            <w:pPr>
              <w:pStyle w:val="TableCell"/>
              <w:jc w:val="center"/>
              <w:rPr>
                <w:sz w:val="24"/>
                <w:lang w:val="en-GB" w:eastAsia="en-GB"/>
              </w:rPr>
            </w:pPr>
          </w:p>
        </w:tc>
        <w:tc>
          <w:tcPr>
            <w:tcW w:w="1301" w:type="dxa"/>
            <w:shd w:val="clear" w:color="auto" w:fill="auto"/>
            <w:vAlign w:val="bottom"/>
          </w:tcPr>
          <w:p w14:paraId="10875F4F" w14:textId="77777777" w:rsidR="00002A40" w:rsidRPr="005F23DA" w:rsidRDefault="00002A40" w:rsidP="000B279D">
            <w:pPr>
              <w:pStyle w:val="TableCell"/>
              <w:rPr>
                <w:sz w:val="24"/>
                <w:lang w:val="en-GB" w:eastAsia="en-GB"/>
              </w:rPr>
            </w:pPr>
            <w:r>
              <w:rPr>
                <w:sz w:val="24"/>
                <w:lang w:val="en-GB" w:eastAsia="en-GB"/>
              </w:rPr>
              <w:t>268,846</w:t>
            </w:r>
          </w:p>
        </w:tc>
        <w:tc>
          <w:tcPr>
            <w:tcW w:w="1287" w:type="dxa"/>
            <w:shd w:val="clear" w:color="auto" w:fill="auto"/>
            <w:vAlign w:val="bottom"/>
          </w:tcPr>
          <w:p w14:paraId="34601259" w14:textId="77777777" w:rsidR="00002A40" w:rsidRPr="005F23DA" w:rsidRDefault="00002A40" w:rsidP="000B279D">
            <w:pPr>
              <w:pStyle w:val="TableCell"/>
              <w:rPr>
                <w:sz w:val="24"/>
                <w:lang w:val="en-GB" w:eastAsia="en-GB"/>
              </w:rPr>
            </w:pPr>
            <w:r w:rsidRPr="005F23DA">
              <w:rPr>
                <w:sz w:val="24"/>
                <w:lang w:val="en-GB" w:eastAsia="en-GB"/>
              </w:rPr>
              <w:t xml:space="preserve">197,668 </w:t>
            </w:r>
          </w:p>
        </w:tc>
      </w:tr>
      <w:tr w:rsidR="00002A40" w:rsidRPr="00755B9C" w14:paraId="42014378" w14:textId="77777777" w:rsidTr="00E731E7">
        <w:tc>
          <w:tcPr>
            <w:tcW w:w="8153" w:type="dxa"/>
            <w:gridSpan w:val="4"/>
            <w:shd w:val="clear" w:color="auto" w:fill="auto"/>
            <w:vAlign w:val="bottom"/>
          </w:tcPr>
          <w:p w14:paraId="4D86A8A9" w14:textId="77777777" w:rsidR="00002A40" w:rsidRPr="00994305" w:rsidRDefault="00002A40" w:rsidP="00421776">
            <w:pPr>
              <w:spacing w:after="0"/>
              <w:rPr>
                <w:rFonts w:cs="Arial"/>
                <w:lang w:val="en-GB" w:eastAsia="en-GB"/>
              </w:rPr>
            </w:pPr>
            <w:r w:rsidRPr="00994305">
              <w:rPr>
                <w:b/>
                <w:bCs/>
                <w:lang w:val="en-GB" w:eastAsia="en-GB"/>
              </w:rPr>
              <w:t>Statement of Total Recognised Gains and Losses</w:t>
            </w:r>
          </w:p>
        </w:tc>
      </w:tr>
      <w:tr w:rsidR="00002A40" w:rsidRPr="00755B9C" w14:paraId="023FF5C8" w14:textId="77777777" w:rsidTr="00E731E7">
        <w:tc>
          <w:tcPr>
            <w:tcW w:w="4644" w:type="dxa"/>
            <w:shd w:val="clear" w:color="auto" w:fill="auto"/>
            <w:vAlign w:val="bottom"/>
          </w:tcPr>
          <w:p w14:paraId="458637E6" w14:textId="77777777" w:rsidR="00002A40" w:rsidRPr="00994305" w:rsidRDefault="00002A40" w:rsidP="001354ED">
            <w:pPr>
              <w:pStyle w:val="TableRowHead"/>
              <w:rPr>
                <w:rFonts w:ascii="Gill Sans" w:hAnsi="Gill Sans"/>
                <w:sz w:val="24"/>
                <w:lang w:val="en-GB" w:eastAsia="en-GB"/>
              </w:rPr>
            </w:pPr>
            <w:r w:rsidRPr="001354ED">
              <w:rPr>
                <w:rFonts w:ascii="Gill Sans" w:hAnsi="Gill Sans"/>
                <w:sz w:val="24"/>
                <w:lang w:val="en-GB" w:eastAsia="en-GB"/>
              </w:rPr>
              <w:t>Surplus</w:t>
            </w:r>
            <w:r w:rsidRPr="00994305">
              <w:rPr>
                <w:rFonts w:ascii="Gill Sans" w:hAnsi="Gill Sans"/>
                <w:sz w:val="24"/>
                <w:lang w:val="en-GB" w:eastAsia="en-GB"/>
              </w:rPr>
              <w:t xml:space="preserve"> for the year</w:t>
            </w:r>
          </w:p>
        </w:tc>
        <w:tc>
          <w:tcPr>
            <w:tcW w:w="921" w:type="dxa"/>
            <w:shd w:val="clear" w:color="auto" w:fill="auto"/>
            <w:vAlign w:val="bottom"/>
          </w:tcPr>
          <w:p w14:paraId="491B3C35" w14:textId="77777777" w:rsidR="00002A40" w:rsidRPr="00994305" w:rsidRDefault="00002A40" w:rsidP="00421776">
            <w:pPr>
              <w:spacing w:after="0"/>
              <w:jc w:val="center"/>
              <w:rPr>
                <w:rFonts w:cs="Arial"/>
                <w:b/>
                <w:bCs/>
                <w:lang w:val="en-GB" w:eastAsia="en-GB"/>
              </w:rPr>
            </w:pPr>
          </w:p>
        </w:tc>
        <w:tc>
          <w:tcPr>
            <w:tcW w:w="1301" w:type="dxa"/>
            <w:shd w:val="clear" w:color="auto" w:fill="auto"/>
            <w:vAlign w:val="bottom"/>
          </w:tcPr>
          <w:p w14:paraId="34E1AC4C" w14:textId="77777777" w:rsidR="00002A40" w:rsidRPr="005F23DA" w:rsidRDefault="00002A40" w:rsidP="000B279D">
            <w:pPr>
              <w:pStyle w:val="TableCell"/>
              <w:rPr>
                <w:sz w:val="24"/>
                <w:lang w:val="en-GB" w:eastAsia="en-GB"/>
              </w:rPr>
            </w:pPr>
            <w:r>
              <w:rPr>
                <w:sz w:val="24"/>
                <w:lang w:val="en-GB" w:eastAsia="en-GB"/>
              </w:rPr>
              <w:t>71,178</w:t>
            </w:r>
          </w:p>
        </w:tc>
        <w:tc>
          <w:tcPr>
            <w:tcW w:w="1287" w:type="dxa"/>
            <w:shd w:val="clear" w:color="auto" w:fill="auto"/>
            <w:vAlign w:val="bottom"/>
          </w:tcPr>
          <w:p w14:paraId="509BC0CA" w14:textId="77777777" w:rsidR="00002A40" w:rsidRPr="005F23DA" w:rsidRDefault="00002A40" w:rsidP="000B279D">
            <w:pPr>
              <w:pStyle w:val="TableCell"/>
              <w:rPr>
                <w:sz w:val="24"/>
                <w:lang w:val="en-GB" w:eastAsia="en-GB"/>
              </w:rPr>
            </w:pPr>
            <w:r w:rsidRPr="005F23DA">
              <w:rPr>
                <w:sz w:val="24"/>
                <w:lang w:val="en-GB" w:eastAsia="en-GB"/>
              </w:rPr>
              <w:t>24,020</w:t>
            </w:r>
          </w:p>
        </w:tc>
      </w:tr>
      <w:tr w:rsidR="00002A40" w:rsidRPr="00755B9C" w14:paraId="591D89F0" w14:textId="77777777" w:rsidTr="00E731E7">
        <w:tc>
          <w:tcPr>
            <w:tcW w:w="4644" w:type="dxa"/>
            <w:shd w:val="clear" w:color="auto" w:fill="auto"/>
            <w:vAlign w:val="bottom"/>
          </w:tcPr>
          <w:p w14:paraId="6AC49873"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Actuarial (Gain) / Loss on Pension Liabilities</w:t>
            </w:r>
          </w:p>
        </w:tc>
        <w:tc>
          <w:tcPr>
            <w:tcW w:w="921" w:type="dxa"/>
            <w:shd w:val="clear" w:color="auto" w:fill="auto"/>
            <w:vAlign w:val="bottom"/>
          </w:tcPr>
          <w:p w14:paraId="131966B9" w14:textId="77777777" w:rsidR="00002A40" w:rsidRPr="00994305" w:rsidRDefault="00002A40" w:rsidP="00421776">
            <w:pPr>
              <w:pStyle w:val="TableCell"/>
              <w:rPr>
                <w:sz w:val="24"/>
                <w:lang w:val="en-GB" w:eastAsia="en-GB"/>
              </w:rPr>
            </w:pPr>
            <w:r w:rsidRPr="00994305">
              <w:rPr>
                <w:sz w:val="24"/>
                <w:lang w:val="en-GB" w:eastAsia="en-GB"/>
              </w:rPr>
              <w:t>10(</w:t>
            </w:r>
            <w:r>
              <w:rPr>
                <w:sz w:val="24"/>
                <w:lang w:val="en-GB" w:eastAsia="en-GB"/>
              </w:rPr>
              <w:t>e</w:t>
            </w:r>
            <w:r w:rsidRPr="00994305">
              <w:rPr>
                <w:sz w:val="24"/>
                <w:lang w:val="en-GB" w:eastAsia="en-GB"/>
              </w:rPr>
              <w:t>)</w:t>
            </w:r>
          </w:p>
        </w:tc>
        <w:tc>
          <w:tcPr>
            <w:tcW w:w="1301" w:type="dxa"/>
            <w:shd w:val="clear" w:color="auto" w:fill="auto"/>
            <w:vAlign w:val="bottom"/>
          </w:tcPr>
          <w:p w14:paraId="508683D3" w14:textId="77777777" w:rsidR="00002A40" w:rsidRPr="00994305" w:rsidRDefault="00002A40" w:rsidP="000B279D">
            <w:pPr>
              <w:pStyle w:val="TableCell"/>
              <w:rPr>
                <w:sz w:val="24"/>
                <w:lang w:val="en-GB" w:eastAsia="en-GB"/>
              </w:rPr>
            </w:pPr>
            <w:r>
              <w:rPr>
                <w:sz w:val="24"/>
                <w:lang w:val="en-GB" w:eastAsia="en-GB"/>
              </w:rPr>
              <w:t>(978,000)</w:t>
            </w:r>
          </w:p>
        </w:tc>
        <w:tc>
          <w:tcPr>
            <w:tcW w:w="1287" w:type="dxa"/>
            <w:shd w:val="clear" w:color="auto" w:fill="auto"/>
            <w:vAlign w:val="bottom"/>
          </w:tcPr>
          <w:p w14:paraId="537C0D78" w14:textId="77777777" w:rsidR="00002A40" w:rsidRPr="00994305" w:rsidRDefault="00002A40" w:rsidP="000B279D">
            <w:pPr>
              <w:pStyle w:val="TableCell"/>
              <w:rPr>
                <w:sz w:val="24"/>
                <w:lang w:val="en-GB" w:eastAsia="en-GB"/>
              </w:rPr>
            </w:pPr>
            <w:r w:rsidRPr="00994305">
              <w:rPr>
                <w:sz w:val="24"/>
                <w:lang w:val="en-GB" w:eastAsia="en-GB"/>
              </w:rPr>
              <w:t>(</w:t>
            </w:r>
            <w:r>
              <w:rPr>
                <w:sz w:val="24"/>
                <w:lang w:val="en-GB" w:eastAsia="en-GB"/>
              </w:rPr>
              <w:t>515</w:t>
            </w:r>
            <w:r w:rsidRPr="00994305">
              <w:rPr>
                <w:sz w:val="24"/>
                <w:lang w:val="en-GB" w:eastAsia="en-GB"/>
              </w:rPr>
              <w:t>,000)</w:t>
            </w:r>
          </w:p>
        </w:tc>
      </w:tr>
      <w:tr w:rsidR="00002A40" w:rsidRPr="00755B9C" w14:paraId="18CCA775" w14:textId="77777777" w:rsidTr="00E731E7">
        <w:tc>
          <w:tcPr>
            <w:tcW w:w="4644" w:type="dxa"/>
            <w:shd w:val="clear" w:color="auto" w:fill="auto"/>
            <w:vAlign w:val="bottom"/>
          </w:tcPr>
          <w:p w14:paraId="5D4191C1" w14:textId="77777777" w:rsidR="00002A40" w:rsidRPr="00994305" w:rsidRDefault="00002A40" w:rsidP="00421776">
            <w:pPr>
              <w:pStyle w:val="TableRowHead"/>
              <w:rPr>
                <w:rFonts w:ascii="Gill Sans" w:hAnsi="Gill Sans"/>
                <w:sz w:val="24"/>
                <w:lang w:val="en-GB" w:eastAsia="en-GB"/>
              </w:rPr>
            </w:pPr>
            <w:r w:rsidRPr="00994305">
              <w:rPr>
                <w:rFonts w:ascii="Gill Sans" w:hAnsi="Gill Sans"/>
                <w:sz w:val="24"/>
                <w:lang w:val="en-GB" w:eastAsia="en-GB"/>
              </w:rPr>
              <w:t>Adjustment to Deferred Pension Funding</w:t>
            </w:r>
          </w:p>
        </w:tc>
        <w:tc>
          <w:tcPr>
            <w:tcW w:w="921" w:type="dxa"/>
            <w:shd w:val="clear" w:color="auto" w:fill="auto"/>
            <w:vAlign w:val="bottom"/>
          </w:tcPr>
          <w:p w14:paraId="37818396" w14:textId="77777777" w:rsidR="00002A40" w:rsidRPr="00994305" w:rsidRDefault="00002A40" w:rsidP="00421776">
            <w:pPr>
              <w:spacing w:after="0"/>
              <w:jc w:val="center"/>
              <w:rPr>
                <w:rFonts w:cs="Arial"/>
                <w:b/>
                <w:bCs/>
                <w:lang w:val="en-GB" w:eastAsia="en-GB"/>
              </w:rPr>
            </w:pPr>
          </w:p>
        </w:tc>
        <w:tc>
          <w:tcPr>
            <w:tcW w:w="1301" w:type="dxa"/>
            <w:shd w:val="clear" w:color="auto" w:fill="auto"/>
            <w:vAlign w:val="bottom"/>
          </w:tcPr>
          <w:p w14:paraId="7EA1EF99" w14:textId="77777777" w:rsidR="00002A40" w:rsidRPr="00994305" w:rsidRDefault="00002A40" w:rsidP="000B279D">
            <w:pPr>
              <w:pStyle w:val="TableCell"/>
              <w:rPr>
                <w:sz w:val="24"/>
                <w:lang w:val="en-GB" w:eastAsia="en-GB"/>
              </w:rPr>
            </w:pPr>
            <w:r>
              <w:rPr>
                <w:sz w:val="24"/>
                <w:lang w:val="en-GB" w:eastAsia="en-GB"/>
              </w:rPr>
              <w:t>978,000</w:t>
            </w:r>
          </w:p>
        </w:tc>
        <w:tc>
          <w:tcPr>
            <w:tcW w:w="1287" w:type="dxa"/>
            <w:shd w:val="clear" w:color="auto" w:fill="auto"/>
            <w:vAlign w:val="bottom"/>
          </w:tcPr>
          <w:p w14:paraId="2571C62E" w14:textId="77777777" w:rsidR="00002A40" w:rsidRPr="00994305" w:rsidRDefault="00002A40" w:rsidP="000B279D">
            <w:pPr>
              <w:pStyle w:val="TableCell"/>
              <w:rPr>
                <w:sz w:val="24"/>
                <w:lang w:val="en-GB" w:eastAsia="en-GB"/>
              </w:rPr>
            </w:pPr>
            <w:r>
              <w:rPr>
                <w:sz w:val="24"/>
                <w:lang w:val="en-GB" w:eastAsia="en-GB"/>
              </w:rPr>
              <w:t>515</w:t>
            </w:r>
            <w:r w:rsidRPr="00994305">
              <w:rPr>
                <w:sz w:val="24"/>
                <w:lang w:val="en-GB" w:eastAsia="en-GB"/>
              </w:rPr>
              <w:t xml:space="preserve">,000 </w:t>
            </w:r>
          </w:p>
        </w:tc>
      </w:tr>
      <w:tr w:rsidR="00002A40" w:rsidRPr="00755B9C" w14:paraId="6981E3CA" w14:textId="77777777" w:rsidTr="00E731E7">
        <w:tc>
          <w:tcPr>
            <w:tcW w:w="4644" w:type="dxa"/>
            <w:shd w:val="clear" w:color="auto" w:fill="auto"/>
            <w:vAlign w:val="bottom"/>
          </w:tcPr>
          <w:p w14:paraId="7E40F7AF" w14:textId="77777777" w:rsidR="00002A40" w:rsidRPr="00994305" w:rsidRDefault="00002A40" w:rsidP="001354ED">
            <w:pPr>
              <w:pStyle w:val="TableRowHead"/>
              <w:rPr>
                <w:rFonts w:ascii="Gill Sans" w:hAnsi="Gill Sans"/>
                <w:bCs/>
                <w:sz w:val="24"/>
                <w:lang w:val="en-GB" w:eastAsia="en-GB"/>
              </w:rPr>
            </w:pPr>
            <w:r w:rsidRPr="00994305">
              <w:rPr>
                <w:rFonts w:ascii="Gill Sans" w:hAnsi="Gill Sans"/>
                <w:bCs/>
                <w:sz w:val="24"/>
                <w:lang w:val="en-GB" w:eastAsia="en-GB"/>
              </w:rPr>
              <w:t>Total Recognised Gain for the year</w:t>
            </w:r>
          </w:p>
        </w:tc>
        <w:tc>
          <w:tcPr>
            <w:tcW w:w="921" w:type="dxa"/>
            <w:shd w:val="clear" w:color="auto" w:fill="auto"/>
            <w:vAlign w:val="bottom"/>
          </w:tcPr>
          <w:p w14:paraId="1D6B0005" w14:textId="77777777" w:rsidR="00002A40" w:rsidRPr="00994305" w:rsidRDefault="00002A40" w:rsidP="00421776">
            <w:pPr>
              <w:spacing w:after="0"/>
              <w:jc w:val="center"/>
              <w:rPr>
                <w:rFonts w:cs="Arial"/>
                <w:b/>
                <w:bCs/>
                <w:lang w:val="en-GB" w:eastAsia="en-GB"/>
              </w:rPr>
            </w:pPr>
          </w:p>
        </w:tc>
        <w:tc>
          <w:tcPr>
            <w:tcW w:w="1301" w:type="dxa"/>
            <w:shd w:val="clear" w:color="auto" w:fill="auto"/>
            <w:vAlign w:val="bottom"/>
          </w:tcPr>
          <w:p w14:paraId="2CEC74A4" w14:textId="77777777" w:rsidR="00002A40" w:rsidRPr="00DA4854" w:rsidRDefault="00002A40" w:rsidP="000B279D">
            <w:pPr>
              <w:pStyle w:val="TableCell"/>
              <w:rPr>
                <w:b/>
                <w:sz w:val="24"/>
                <w:lang w:val="en-GB" w:eastAsia="en-GB"/>
              </w:rPr>
            </w:pPr>
            <w:r>
              <w:rPr>
                <w:b/>
                <w:sz w:val="24"/>
                <w:lang w:val="en-GB" w:eastAsia="en-GB"/>
              </w:rPr>
              <w:t>71,178</w:t>
            </w:r>
          </w:p>
        </w:tc>
        <w:tc>
          <w:tcPr>
            <w:tcW w:w="1287" w:type="dxa"/>
            <w:shd w:val="clear" w:color="auto" w:fill="auto"/>
            <w:vAlign w:val="bottom"/>
          </w:tcPr>
          <w:p w14:paraId="06439398" w14:textId="77777777" w:rsidR="00002A40" w:rsidRPr="005F23DA" w:rsidRDefault="00002A40" w:rsidP="000B279D">
            <w:pPr>
              <w:pStyle w:val="TableCell"/>
              <w:rPr>
                <w:b/>
                <w:bCs/>
                <w:color w:val="FF0000"/>
                <w:sz w:val="24"/>
                <w:lang w:val="en-GB" w:eastAsia="en-GB"/>
              </w:rPr>
            </w:pPr>
            <w:r w:rsidRPr="005F23DA">
              <w:rPr>
                <w:b/>
                <w:sz w:val="24"/>
                <w:lang w:val="en-GB" w:eastAsia="en-GB"/>
              </w:rPr>
              <w:t>24,020</w:t>
            </w:r>
          </w:p>
        </w:tc>
      </w:tr>
    </w:tbl>
    <w:p w14:paraId="370CB7B7" w14:textId="77777777" w:rsidR="00421776" w:rsidRDefault="00002A40" w:rsidP="00CB6FF6">
      <w:pPr>
        <w:rPr>
          <w:lang w:val="en-GB" w:eastAsia="en-GB"/>
        </w:rPr>
      </w:pPr>
      <w:r>
        <w:rPr>
          <w:lang w:val="en-GB" w:eastAsia="en-GB"/>
        </w:rPr>
        <w:br/>
      </w:r>
      <w:r w:rsidR="00421776" w:rsidRPr="00B76E94">
        <w:rPr>
          <w:lang w:val="en-GB" w:eastAsia="en-GB"/>
        </w:rPr>
        <w:t>The results for the year relate to continuing operations</w:t>
      </w:r>
      <w:r w:rsidR="00421776">
        <w:rPr>
          <w:lang w:val="en-GB" w:eastAsia="en-GB"/>
        </w:rPr>
        <w:t>.</w:t>
      </w:r>
    </w:p>
    <w:p w14:paraId="7DF0C091" w14:textId="77777777" w:rsidR="00421776" w:rsidRDefault="00421776" w:rsidP="00CB6FF6">
      <w:pPr>
        <w:rPr>
          <w:lang w:val="en-GB" w:eastAsia="en-GB"/>
        </w:rPr>
      </w:pPr>
      <w:r w:rsidRPr="00B76E94">
        <w:rPr>
          <w:lang w:val="en-GB" w:eastAsia="en-GB"/>
        </w:rPr>
        <w:t>The Statement of Accounting Policies, the Cash Flow Statement, and Notes 1 to 1</w:t>
      </w:r>
      <w:r w:rsidR="001354ED">
        <w:rPr>
          <w:lang w:val="en-GB" w:eastAsia="en-GB"/>
        </w:rPr>
        <w:t>6</w:t>
      </w:r>
      <w:r w:rsidRPr="00B76E94">
        <w:rPr>
          <w:lang w:val="en-GB" w:eastAsia="en-GB"/>
        </w:rPr>
        <w:t xml:space="preserve"> form part of these Financial Statements</w:t>
      </w:r>
      <w:r>
        <w:rPr>
          <w:lang w:val="en-GB" w:eastAsia="en-GB"/>
        </w:rPr>
        <w:t>.</w:t>
      </w:r>
    </w:p>
    <w:p w14:paraId="181879C2" w14:textId="77777777" w:rsidR="00DC35FA" w:rsidRPr="00DC35FA" w:rsidRDefault="00DC35FA" w:rsidP="00DC35FA">
      <w:pPr>
        <w:keepLines/>
        <w:spacing w:after="120"/>
        <w:ind w:left="1440" w:hanging="1440"/>
        <w:rPr>
          <w:lang w:val="en-GB" w:eastAsia="en-GB"/>
        </w:rPr>
      </w:pPr>
      <w:r w:rsidRPr="00DC35FA">
        <w:rPr>
          <w:lang w:val="en-GB" w:eastAsia="en-GB"/>
        </w:rPr>
        <w:lastRenderedPageBreak/>
        <w:t>Signed:</w:t>
      </w:r>
      <w:r w:rsidRPr="00DC35FA">
        <w:rPr>
          <w:lang w:val="en-GB" w:eastAsia="en-GB"/>
        </w:rPr>
        <w:tab/>
      </w:r>
      <w:r>
        <w:rPr>
          <w:lang w:val="en-GB" w:eastAsia="en-GB"/>
        </w:rPr>
        <w:t>________________</w:t>
      </w:r>
      <w:r>
        <w:rPr>
          <w:lang w:val="en-GB" w:eastAsia="en-GB"/>
        </w:rPr>
        <w:br/>
      </w:r>
      <w:r w:rsidRPr="00DC35FA">
        <w:rPr>
          <w:lang w:val="en-GB" w:eastAsia="en-GB"/>
        </w:rPr>
        <w:t>Helen Guinan</w:t>
      </w:r>
      <w:r>
        <w:rPr>
          <w:lang w:val="en-GB" w:eastAsia="en-GB"/>
        </w:rPr>
        <w:br/>
      </w:r>
      <w:r w:rsidRPr="00DC35FA">
        <w:rPr>
          <w:lang w:val="en-GB" w:eastAsia="en-GB"/>
        </w:rPr>
        <w:t>Chairperson</w:t>
      </w:r>
    </w:p>
    <w:p w14:paraId="7E03BD59" w14:textId="77777777" w:rsidR="00DC35FA" w:rsidRPr="00DC35FA" w:rsidRDefault="00DC35FA" w:rsidP="00DC35FA">
      <w:pPr>
        <w:keepLines/>
        <w:spacing w:after="120"/>
        <w:ind w:left="1440" w:hanging="1440"/>
        <w:rPr>
          <w:lang w:val="en-GB" w:eastAsia="en-GB"/>
        </w:rPr>
      </w:pPr>
      <w:r w:rsidRPr="00DC35FA">
        <w:rPr>
          <w:lang w:val="en-GB" w:eastAsia="en-GB"/>
        </w:rPr>
        <w:t xml:space="preserve">Signed: </w:t>
      </w:r>
      <w:r w:rsidRPr="00DC35FA">
        <w:rPr>
          <w:lang w:val="en-GB" w:eastAsia="en-GB"/>
        </w:rPr>
        <w:tab/>
      </w:r>
      <w:r>
        <w:rPr>
          <w:lang w:val="en-GB" w:eastAsia="en-GB"/>
        </w:rPr>
        <w:t>________________</w:t>
      </w:r>
      <w:r>
        <w:rPr>
          <w:lang w:val="en-GB" w:eastAsia="en-GB"/>
        </w:rPr>
        <w:br/>
      </w:r>
      <w:r w:rsidRPr="00DC35FA">
        <w:rPr>
          <w:lang w:val="en-GB" w:eastAsia="en-GB"/>
        </w:rPr>
        <w:t xml:space="preserve">Frank </w:t>
      </w:r>
      <w:proofErr w:type="spellStart"/>
      <w:r w:rsidRPr="00DC35FA">
        <w:rPr>
          <w:lang w:val="en-GB" w:eastAsia="en-GB"/>
        </w:rPr>
        <w:t>Cunneen</w:t>
      </w:r>
      <w:proofErr w:type="spellEnd"/>
      <w:r>
        <w:rPr>
          <w:lang w:val="en-GB" w:eastAsia="en-GB"/>
        </w:rPr>
        <w:br/>
      </w:r>
      <w:r w:rsidRPr="00DC35FA">
        <w:rPr>
          <w:lang w:val="en-GB" w:eastAsia="en-GB"/>
        </w:rPr>
        <w:t>Authority Member</w:t>
      </w:r>
    </w:p>
    <w:p w14:paraId="7083F02C" w14:textId="77777777" w:rsidR="00DC35FA" w:rsidRPr="00DC35FA" w:rsidRDefault="00DC35FA" w:rsidP="00CB6FF6">
      <w:pPr>
        <w:ind w:left="1440" w:hanging="1440"/>
        <w:rPr>
          <w:lang w:val="en-GB" w:eastAsia="en-GB"/>
        </w:rPr>
      </w:pPr>
      <w:r w:rsidRPr="00DC35FA">
        <w:rPr>
          <w:lang w:val="en-GB" w:eastAsia="en-GB"/>
        </w:rPr>
        <w:t>Signed:</w:t>
      </w:r>
      <w:r w:rsidRPr="00DC35FA">
        <w:rPr>
          <w:lang w:val="en-GB" w:eastAsia="en-GB"/>
        </w:rPr>
        <w:tab/>
      </w:r>
      <w:r>
        <w:rPr>
          <w:lang w:val="en-GB" w:eastAsia="en-GB"/>
        </w:rPr>
        <w:t>________________</w:t>
      </w:r>
      <w:r w:rsidR="00CB6FF6">
        <w:rPr>
          <w:lang w:val="en-GB" w:eastAsia="en-GB"/>
        </w:rPr>
        <w:br/>
      </w:r>
      <w:r w:rsidRPr="00DC35FA">
        <w:rPr>
          <w:lang w:val="en-GB" w:eastAsia="en-GB"/>
        </w:rPr>
        <w:t>Siobhan Barron</w:t>
      </w:r>
      <w:r>
        <w:rPr>
          <w:lang w:val="en-GB" w:eastAsia="en-GB"/>
        </w:rPr>
        <w:br/>
      </w:r>
      <w:r w:rsidRPr="00DC35FA">
        <w:rPr>
          <w:lang w:val="en-GB" w:eastAsia="en-GB"/>
        </w:rPr>
        <w:t>Director</w:t>
      </w:r>
    </w:p>
    <w:p w14:paraId="10A1B71B" w14:textId="77777777" w:rsidR="00DC35FA" w:rsidRPr="00B76E94" w:rsidRDefault="00DC35FA" w:rsidP="00CB6FF6">
      <w:pPr>
        <w:rPr>
          <w:lang w:val="en-GB" w:eastAsia="en-GB"/>
        </w:rPr>
      </w:pPr>
      <w:r w:rsidRPr="00DC35FA">
        <w:rPr>
          <w:lang w:val="en-GB" w:eastAsia="en-GB"/>
        </w:rPr>
        <w:t>Date:</w:t>
      </w:r>
      <w:r w:rsidRPr="00DC35FA">
        <w:rPr>
          <w:lang w:val="en-GB" w:eastAsia="en-GB"/>
        </w:rPr>
        <w:tab/>
      </w:r>
      <w:r w:rsidRPr="00DC35FA">
        <w:rPr>
          <w:lang w:val="en-GB" w:eastAsia="en-GB"/>
        </w:rPr>
        <w:tab/>
      </w:r>
      <w:r>
        <w:rPr>
          <w:lang w:val="en-GB" w:eastAsia="en-GB"/>
        </w:rPr>
        <w:t>________________</w:t>
      </w:r>
    </w:p>
    <w:p w14:paraId="26FA48AC" w14:textId="77777777" w:rsidR="00421776" w:rsidRDefault="00BB5C89" w:rsidP="00AD28EF">
      <w:pPr>
        <w:pStyle w:val="Heading2"/>
        <w:rPr>
          <w:lang w:val="en-GB" w:eastAsia="en-GB"/>
        </w:rPr>
      </w:pPr>
      <w:bookmarkStart w:id="38" w:name="_Toc335836391"/>
      <w:bookmarkStart w:id="39" w:name="_Toc335983437"/>
      <w:bookmarkStart w:id="40" w:name="_Toc335986606"/>
      <w:r>
        <w:rPr>
          <w:lang w:val="en-GB" w:eastAsia="en-GB"/>
        </w:rPr>
        <w:br w:type="page"/>
      </w:r>
      <w:r w:rsidR="00421776" w:rsidRPr="00994305">
        <w:rPr>
          <w:lang w:val="en-GB" w:eastAsia="en-GB"/>
        </w:rPr>
        <w:lastRenderedPageBreak/>
        <w:t xml:space="preserve">Balance Sheet as </w:t>
      </w:r>
      <w:proofErr w:type="gramStart"/>
      <w:r w:rsidR="00421776" w:rsidRPr="00994305">
        <w:rPr>
          <w:lang w:val="en-GB" w:eastAsia="en-GB"/>
        </w:rPr>
        <w:t>at</w:t>
      </w:r>
      <w:proofErr w:type="gramEnd"/>
      <w:r w:rsidR="00421776" w:rsidRPr="00994305">
        <w:rPr>
          <w:lang w:val="en-GB" w:eastAsia="en-GB"/>
        </w:rPr>
        <w:t xml:space="preserve"> 31 December 201</w:t>
      </w:r>
      <w:bookmarkEnd w:id="38"/>
      <w:bookmarkEnd w:id="39"/>
      <w:bookmarkEnd w:id="40"/>
      <w:r w:rsidR="00421776">
        <w:rPr>
          <w:lang w:val="en-GB" w:eastAsia="en-GB"/>
        </w:rPr>
        <w:t>4</w:t>
      </w:r>
    </w:p>
    <w:tbl>
      <w:tblPr>
        <w:tblW w:w="5000" w:type="pct"/>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886"/>
        <w:gridCol w:w="969"/>
        <w:gridCol w:w="1566"/>
        <w:gridCol w:w="1500"/>
      </w:tblGrid>
      <w:tr w:rsidR="00421776" w:rsidRPr="00994305" w14:paraId="2921B4A0" w14:textId="77777777" w:rsidTr="004853AE">
        <w:trPr>
          <w:tblHeader/>
        </w:trPr>
        <w:tc>
          <w:tcPr>
            <w:tcW w:w="4008" w:type="dxa"/>
            <w:shd w:val="clear" w:color="auto" w:fill="auto"/>
          </w:tcPr>
          <w:p w14:paraId="6AC2BB5C" w14:textId="77777777" w:rsidR="00421776" w:rsidRPr="00AA3DCB" w:rsidRDefault="00421776" w:rsidP="00421776">
            <w:pPr>
              <w:pStyle w:val="TableHead"/>
              <w:jc w:val="right"/>
              <w:rPr>
                <w:sz w:val="24"/>
              </w:rPr>
            </w:pPr>
          </w:p>
        </w:tc>
        <w:tc>
          <w:tcPr>
            <w:tcW w:w="993" w:type="dxa"/>
            <w:vAlign w:val="bottom"/>
          </w:tcPr>
          <w:p w14:paraId="4B9AA032" w14:textId="77777777" w:rsidR="00421776" w:rsidRPr="00AA3DCB" w:rsidRDefault="00421776" w:rsidP="00421776">
            <w:pPr>
              <w:pStyle w:val="TableHead"/>
              <w:jc w:val="right"/>
              <w:rPr>
                <w:lang w:val="en-GB" w:eastAsia="en-GB"/>
              </w:rPr>
            </w:pPr>
            <w:r w:rsidRPr="00AA3DCB">
              <w:rPr>
                <w:lang w:val="en-GB" w:eastAsia="en-GB"/>
              </w:rPr>
              <w:t>Notes</w:t>
            </w:r>
          </w:p>
        </w:tc>
        <w:tc>
          <w:tcPr>
            <w:tcW w:w="1610" w:type="dxa"/>
            <w:vAlign w:val="bottom"/>
          </w:tcPr>
          <w:p w14:paraId="06008DF6" w14:textId="77777777" w:rsidR="00421776" w:rsidRPr="00AA3DCB" w:rsidRDefault="00421776" w:rsidP="00421776">
            <w:pPr>
              <w:pStyle w:val="TableHead"/>
              <w:jc w:val="center"/>
              <w:rPr>
                <w:bCs/>
                <w:lang w:val="en-GB" w:eastAsia="en-GB"/>
              </w:rPr>
            </w:pPr>
            <w:r>
              <w:rPr>
                <w:bCs/>
                <w:lang w:val="en-GB" w:eastAsia="en-GB"/>
              </w:rPr>
              <w:t>2014</w:t>
            </w:r>
          </w:p>
        </w:tc>
        <w:tc>
          <w:tcPr>
            <w:tcW w:w="1542" w:type="dxa"/>
            <w:vAlign w:val="bottom"/>
          </w:tcPr>
          <w:p w14:paraId="5E52CA24" w14:textId="77777777" w:rsidR="00421776" w:rsidRPr="00AA3DCB" w:rsidRDefault="00421776" w:rsidP="00421776">
            <w:pPr>
              <w:pStyle w:val="TableHead"/>
              <w:jc w:val="center"/>
              <w:rPr>
                <w:bCs/>
                <w:lang w:val="en-GB" w:eastAsia="en-GB"/>
              </w:rPr>
            </w:pPr>
            <w:r>
              <w:rPr>
                <w:bCs/>
                <w:lang w:val="en-GB" w:eastAsia="en-GB"/>
              </w:rPr>
              <w:t>2013</w:t>
            </w:r>
          </w:p>
        </w:tc>
      </w:tr>
      <w:tr w:rsidR="00421776" w:rsidRPr="00994305" w14:paraId="0F733F1C" w14:textId="77777777" w:rsidTr="004853AE">
        <w:tc>
          <w:tcPr>
            <w:tcW w:w="4008" w:type="dxa"/>
            <w:shd w:val="clear" w:color="auto" w:fill="auto"/>
          </w:tcPr>
          <w:p w14:paraId="0D1B2709" w14:textId="77777777" w:rsidR="00421776" w:rsidRPr="00AA3DCB" w:rsidRDefault="00421776" w:rsidP="00421776">
            <w:pPr>
              <w:pStyle w:val="TableRowHead"/>
              <w:rPr>
                <w:rFonts w:ascii="Gill Sans" w:hAnsi="Gill Sans"/>
                <w:sz w:val="24"/>
              </w:rPr>
            </w:pPr>
          </w:p>
        </w:tc>
        <w:tc>
          <w:tcPr>
            <w:tcW w:w="993" w:type="dxa"/>
            <w:vAlign w:val="bottom"/>
          </w:tcPr>
          <w:p w14:paraId="65B52DA1" w14:textId="77777777" w:rsidR="00421776" w:rsidRPr="00AA3DCB" w:rsidRDefault="00421776" w:rsidP="00421776">
            <w:pPr>
              <w:spacing w:after="0"/>
              <w:jc w:val="center"/>
              <w:rPr>
                <w:rFonts w:cs="Arial"/>
                <w:lang w:val="en-GB" w:eastAsia="en-GB"/>
              </w:rPr>
            </w:pPr>
          </w:p>
        </w:tc>
        <w:tc>
          <w:tcPr>
            <w:tcW w:w="1610" w:type="dxa"/>
            <w:vAlign w:val="bottom"/>
          </w:tcPr>
          <w:p w14:paraId="72A45D84" w14:textId="77777777" w:rsidR="00421776" w:rsidRPr="00AA3DCB" w:rsidRDefault="00421776" w:rsidP="00421776">
            <w:pPr>
              <w:spacing w:after="0"/>
              <w:jc w:val="center"/>
              <w:rPr>
                <w:rFonts w:cs="Arial"/>
                <w:b/>
                <w:bCs/>
                <w:lang w:val="en-GB" w:eastAsia="en-GB"/>
              </w:rPr>
            </w:pPr>
            <w:r w:rsidRPr="00AA3DCB">
              <w:rPr>
                <w:rFonts w:cs="Arial"/>
                <w:b/>
                <w:bCs/>
                <w:lang w:val="en-GB" w:eastAsia="en-GB"/>
              </w:rPr>
              <w:t>€</w:t>
            </w:r>
          </w:p>
        </w:tc>
        <w:tc>
          <w:tcPr>
            <w:tcW w:w="1542" w:type="dxa"/>
            <w:vAlign w:val="bottom"/>
          </w:tcPr>
          <w:p w14:paraId="26A47D9A" w14:textId="77777777" w:rsidR="00421776" w:rsidRPr="00AA3DCB" w:rsidRDefault="00421776" w:rsidP="00421776">
            <w:pPr>
              <w:spacing w:after="0"/>
              <w:jc w:val="center"/>
              <w:rPr>
                <w:rFonts w:cs="Arial"/>
                <w:b/>
                <w:bCs/>
                <w:lang w:val="en-GB" w:eastAsia="en-GB"/>
              </w:rPr>
            </w:pPr>
            <w:r w:rsidRPr="00AA3DCB">
              <w:rPr>
                <w:rFonts w:cs="Arial"/>
                <w:b/>
                <w:bCs/>
                <w:lang w:val="en-GB" w:eastAsia="en-GB"/>
              </w:rPr>
              <w:t>€</w:t>
            </w:r>
          </w:p>
        </w:tc>
      </w:tr>
      <w:tr w:rsidR="00002A40" w:rsidRPr="00994305" w14:paraId="064252A8" w14:textId="77777777" w:rsidTr="004853AE">
        <w:tc>
          <w:tcPr>
            <w:tcW w:w="4008" w:type="dxa"/>
            <w:shd w:val="clear" w:color="auto" w:fill="auto"/>
            <w:vAlign w:val="bottom"/>
          </w:tcPr>
          <w:p w14:paraId="5348D78F"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Fixed Assets</w:t>
            </w:r>
          </w:p>
        </w:tc>
        <w:tc>
          <w:tcPr>
            <w:tcW w:w="993" w:type="dxa"/>
            <w:vAlign w:val="bottom"/>
          </w:tcPr>
          <w:p w14:paraId="2C82603E" w14:textId="77777777" w:rsidR="00002A40" w:rsidRPr="00AA3DCB" w:rsidRDefault="00002A40" w:rsidP="000B279D">
            <w:pPr>
              <w:spacing w:after="0"/>
              <w:jc w:val="center"/>
              <w:rPr>
                <w:rFonts w:cs="Arial"/>
                <w:lang w:val="en-GB" w:eastAsia="en-GB"/>
              </w:rPr>
            </w:pPr>
            <w:r w:rsidRPr="00AA3DCB">
              <w:rPr>
                <w:rFonts w:cs="Arial"/>
                <w:lang w:val="en-GB" w:eastAsia="en-GB"/>
              </w:rPr>
              <w:t>7</w:t>
            </w:r>
          </w:p>
        </w:tc>
        <w:tc>
          <w:tcPr>
            <w:tcW w:w="1610" w:type="dxa"/>
            <w:vAlign w:val="bottom"/>
          </w:tcPr>
          <w:p w14:paraId="20B2F574" w14:textId="77777777" w:rsidR="00002A40" w:rsidRPr="007E6734" w:rsidRDefault="00002A40" w:rsidP="000B279D">
            <w:pPr>
              <w:spacing w:after="0"/>
              <w:jc w:val="right"/>
              <w:rPr>
                <w:rFonts w:cs="Arial"/>
                <w:b/>
                <w:lang w:val="en-GB" w:eastAsia="en-GB"/>
              </w:rPr>
            </w:pPr>
            <w:r>
              <w:rPr>
                <w:rFonts w:cs="Arial"/>
                <w:b/>
                <w:lang w:val="en-GB" w:eastAsia="en-GB"/>
              </w:rPr>
              <w:t>2,807,709</w:t>
            </w:r>
          </w:p>
        </w:tc>
        <w:tc>
          <w:tcPr>
            <w:tcW w:w="1542" w:type="dxa"/>
            <w:vAlign w:val="bottom"/>
          </w:tcPr>
          <w:p w14:paraId="0C7F2F32" w14:textId="77777777" w:rsidR="00002A40" w:rsidRPr="007E6734" w:rsidRDefault="00002A40" w:rsidP="000B279D">
            <w:pPr>
              <w:spacing w:after="0"/>
              <w:jc w:val="right"/>
              <w:rPr>
                <w:rFonts w:cs="Arial"/>
                <w:b/>
                <w:lang w:val="en-GB" w:eastAsia="en-GB"/>
              </w:rPr>
            </w:pPr>
            <w:r w:rsidRPr="007E6734">
              <w:rPr>
                <w:rFonts w:cs="Arial"/>
                <w:b/>
                <w:lang w:val="en-GB" w:eastAsia="en-GB"/>
              </w:rPr>
              <w:t xml:space="preserve">2,869,467 </w:t>
            </w:r>
          </w:p>
        </w:tc>
      </w:tr>
      <w:tr w:rsidR="00002A40" w:rsidRPr="00994305" w14:paraId="2454DF32" w14:textId="77777777" w:rsidTr="001354ED">
        <w:tc>
          <w:tcPr>
            <w:tcW w:w="8153" w:type="dxa"/>
            <w:gridSpan w:val="4"/>
            <w:shd w:val="clear" w:color="auto" w:fill="auto"/>
            <w:vAlign w:val="bottom"/>
          </w:tcPr>
          <w:p w14:paraId="3969A111" w14:textId="77777777" w:rsidR="00002A40" w:rsidRPr="00AA3DCB" w:rsidRDefault="00002A40" w:rsidP="000B279D">
            <w:pPr>
              <w:pStyle w:val="TableHead"/>
              <w:rPr>
                <w:sz w:val="24"/>
                <w:lang w:val="en-GB" w:eastAsia="en-GB"/>
              </w:rPr>
            </w:pPr>
            <w:r w:rsidRPr="00AA3DCB">
              <w:rPr>
                <w:sz w:val="24"/>
                <w:lang w:val="en-GB" w:eastAsia="en-GB"/>
              </w:rPr>
              <w:t>Current Assets</w:t>
            </w:r>
          </w:p>
        </w:tc>
      </w:tr>
      <w:tr w:rsidR="00002A40" w:rsidRPr="00994305" w14:paraId="3B01BB7B" w14:textId="77777777" w:rsidTr="004853AE">
        <w:tc>
          <w:tcPr>
            <w:tcW w:w="4008" w:type="dxa"/>
            <w:shd w:val="clear" w:color="auto" w:fill="auto"/>
            <w:vAlign w:val="bottom"/>
          </w:tcPr>
          <w:p w14:paraId="670348B8"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 xml:space="preserve">Debtors And Prepayments </w:t>
            </w:r>
          </w:p>
        </w:tc>
        <w:tc>
          <w:tcPr>
            <w:tcW w:w="993" w:type="dxa"/>
            <w:vAlign w:val="bottom"/>
          </w:tcPr>
          <w:p w14:paraId="0409A698" w14:textId="77777777" w:rsidR="00002A40" w:rsidRPr="00AA3DCB" w:rsidRDefault="00002A40" w:rsidP="000B279D">
            <w:pPr>
              <w:spacing w:after="0"/>
              <w:jc w:val="center"/>
              <w:rPr>
                <w:rFonts w:cs="Arial"/>
                <w:lang w:val="en-GB" w:eastAsia="en-GB"/>
              </w:rPr>
            </w:pPr>
            <w:r w:rsidRPr="00AA3DCB">
              <w:rPr>
                <w:rFonts w:cs="Arial"/>
                <w:lang w:val="en-GB" w:eastAsia="en-GB"/>
              </w:rPr>
              <w:t>12</w:t>
            </w:r>
          </w:p>
        </w:tc>
        <w:tc>
          <w:tcPr>
            <w:tcW w:w="1610" w:type="dxa"/>
            <w:vAlign w:val="bottom"/>
          </w:tcPr>
          <w:p w14:paraId="0148D057" w14:textId="77777777" w:rsidR="00002A40" w:rsidRPr="005F23DA" w:rsidRDefault="00002A40" w:rsidP="000B279D">
            <w:pPr>
              <w:spacing w:after="0"/>
              <w:jc w:val="right"/>
              <w:rPr>
                <w:rFonts w:cs="Arial"/>
                <w:lang w:val="en-GB" w:eastAsia="en-GB"/>
              </w:rPr>
            </w:pPr>
            <w:r>
              <w:rPr>
                <w:rFonts w:cs="Arial"/>
                <w:lang w:val="en-GB" w:eastAsia="en-GB"/>
              </w:rPr>
              <w:t>305,399</w:t>
            </w:r>
          </w:p>
        </w:tc>
        <w:tc>
          <w:tcPr>
            <w:tcW w:w="1542" w:type="dxa"/>
            <w:vAlign w:val="bottom"/>
          </w:tcPr>
          <w:p w14:paraId="616D5925" w14:textId="77777777" w:rsidR="00002A40" w:rsidRPr="005F23DA" w:rsidRDefault="00002A40" w:rsidP="000B279D">
            <w:pPr>
              <w:spacing w:after="0"/>
              <w:jc w:val="right"/>
              <w:rPr>
                <w:rFonts w:cs="Arial"/>
                <w:lang w:val="en-GB" w:eastAsia="en-GB"/>
              </w:rPr>
            </w:pPr>
            <w:r w:rsidRPr="005F23DA">
              <w:rPr>
                <w:rFonts w:cs="Arial"/>
                <w:lang w:val="en-GB" w:eastAsia="en-GB"/>
              </w:rPr>
              <w:t xml:space="preserve">259,475 </w:t>
            </w:r>
          </w:p>
        </w:tc>
      </w:tr>
      <w:tr w:rsidR="00002A40" w:rsidRPr="00994305" w14:paraId="24372F9F" w14:textId="77777777" w:rsidTr="004853AE">
        <w:tc>
          <w:tcPr>
            <w:tcW w:w="4008" w:type="dxa"/>
            <w:shd w:val="clear" w:color="auto" w:fill="auto"/>
            <w:vAlign w:val="bottom"/>
          </w:tcPr>
          <w:p w14:paraId="4C823739"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 xml:space="preserve">Cash At Bank </w:t>
            </w:r>
            <w:proofErr w:type="gramStart"/>
            <w:r w:rsidRPr="00AA3DCB">
              <w:rPr>
                <w:rFonts w:ascii="Gill Sans" w:hAnsi="Gill Sans"/>
                <w:sz w:val="24"/>
                <w:lang w:val="en-GB" w:eastAsia="en-GB"/>
              </w:rPr>
              <w:t>And</w:t>
            </w:r>
            <w:proofErr w:type="gramEnd"/>
            <w:r w:rsidRPr="00AA3DCB">
              <w:rPr>
                <w:rFonts w:ascii="Gill Sans" w:hAnsi="Gill Sans"/>
                <w:sz w:val="24"/>
                <w:lang w:val="en-GB" w:eastAsia="en-GB"/>
              </w:rPr>
              <w:t xml:space="preserve"> On Hand </w:t>
            </w:r>
          </w:p>
        </w:tc>
        <w:tc>
          <w:tcPr>
            <w:tcW w:w="993" w:type="dxa"/>
            <w:vAlign w:val="bottom"/>
          </w:tcPr>
          <w:p w14:paraId="3A8D61DF" w14:textId="77777777" w:rsidR="00002A40" w:rsidRPr="00AA3DCB" w:rsidRDefault="00002A40" w:rsidP="000B279D">
            <w:pPr>
              <w:spacing w:after="0"/>
              <w:jc w:val="center"/>
              <w:rPr>
                <w:rFonts w:cs="Arial"/>
                <w:lang w:val="en-GB" w:eastAsia="en-GB"/>
              </w:rPr>
            </w:pPr>
            <w:r w:rsidRPr="00AA3DCB">
              <w:rPr>
                <w:rFonts w:cs="Arial"/>
                <w:lang w:val="en-GB" w:eastAsia="en-GB"/>
              </w:rPr>
              <w:t>9(b)</w:t>
            </w:r>
          </w:p>
        </w:tc>
        <w:tc>
          <w:tcPr>
            <w:tcW w:w="1610" w:type="dxa"/>
            <w:vAlign w:val="bottom"/>
          </w:tcPr>
          <w:p w14:paraId="5CF06B85" w14:textId="77777777" w:rsidR="00002A40" w:rsidRPr="00AA3DCB" w:rsidRDefault="00002A40" w:rsidP="000B279D">
            <w:pPr>
              <w:spacing w:after="0"/>
              <w:jc w:val="right"/>
              <w:rPr>
                <w:rFonts w:cs="Arial"/>
                <w:lang w:val="en-GB" w:eastAsia="en-GB"/>
              </w:rPr>
            </w:pPr>
            <w:r>
              <w:rPr>
                <w:rFonts w:cs="Arial"/>
                <w:lang w:val="en-GB" w:eastAsia="en-GB"/>
              </w:rPr>
              <w:t>1,984</w:t>
            </w:r>
          </w:p>
        </w:tc>
        <w:tc>
          <w:tcPr>
            <w:tcW w:w="1542" w:type="dxa"/>
            <w:vAlign w:val="bottom"/>
          </w:tcPr>
          <w:p w14:paraId="0E59C069" w14:textId="77777777" w:rsidR="00002A40" w:rsidRPr="00AA3DCB" w:rsidRDefault="00002A40" w:rsidP="000B279D">
            <w:pPr>
              <w:spacing w:after="0"/>
              <w:jc w:val="right"/>
              <w:rPr>
                <w:rFonts w:cs="Arial"/>
                <w:lang w:val="en-GB" w:eastAsia="en-GB"/>
              </w:rPr>
            </w:pPr>
            <w:r>
              <w:rPr>
                <w:rFonts w:cs="Arial"/>
                <w:lang w:val="en-GB" w:eastAsia="en-GB"/>
              </w:rPr>
              <w:t>2,323</w:t>
            </w:r>
            <w:r w:rsidRPr="00AA3DCB">
              <w:rPr>
                <w:rFonts w:cs="Arial"/>
                <w:lang w:val="en-GB" w:eastAsia="en-GB"/>
              </w:rPr>
              <w:t xml:space="preserve"> </w:t>
            </w:r>
          </w:p>
        </w:tc>
      </w:tr>
      <w:tr w:rsidR="00002A40" w:rsidRPr="00994305" w14:paraId="16C43919" w14:textId="77777777" w:rsidTr="004853AE">
        <w:tc>
          <w:tcPr>
            <w:tcW w:w="4008" w:type="dxa"/>
            <w:shd w:val="clear" w:color="auto" w:fill="auto"/>
            <w:vAlign w:val="bottom"/>
          </w:tcPr>
          <w:p w14:paraId="742AB86E" w14:textId="77777777" w:rsidR="00002A40" w:rsidRPr="00AA3DCB" w:rsidRDefault="00002A40" w:rsidP="000B279D">
            <w:pPr>
              <w:spacing w:after="0"/>
              <w:rPr>
                <w:rFonts w:cs="Arial"/>
                <w:lang w:val="en-GB" w:eastAsia="en-GB"/>
              </w:rPr>
            </w:pPr>
          </w:p>
        </w:tc>
        <w:tc>
          <w:tcPr>
            <w:tcW w:w="993" w:type="dxa"/>
            <w:vAlign w:val="bottom"/>
          </w:tcPr>
          <w:p w14:paraId="25F253B7" w14:textId="77777777" w:rsidR="00002A40" w:rsidRPr="00AA3DCB" w:rsidRDefault="00002A40" w:rsidP="000B279D">
            <w:pPr>
              <w:spacing w:after="0"/>
              <w:jc w:val="center"/>
              <w:rPr>
                <w:rFonts w:cs="Arial"/>
                <w:lang w:val="en-GB" w:eastAsia="en-GB"/>
              </w:rPr>
            </w:pPr>
          </w:p>
        </w:tc>
        <w:tc>
          <w:tcPr>
            <w:tcW w:w="1610" w:type="dxa"/>
            <w:vAlign w:val="bottom"/>
          </w:tcPr>
          <w:p w14:paraId="5C8261C7" w14:textId="77777777" w:rsidR="00002A40" w:rsidRPr="007E6734" w:rsidRDefault="00002A40" w:rsidP="000B279D">
            <w:pPr>
              <w:spacing w:after="0"/>
              <w:jc w:val="right"/>
              <w:rPr>
                <w:rFonts w:cs="Arial"/>
                <w:b/>
                <w:lang w:val="en-GB" w:eastAsia="en-GB"/>
              </w:rPr>
            </w:pPr>
            <w:r>
              <w:rPr>
                <w:rFonts w:cs="Arial"/>
                <w:b/>
                <w:lang w:val="en-GB" w:eastAsia="en-GB"/>
              </w:rPr>
              <w:t>307,383</w:t>
            </w:r>
          </w:p>
        </w:tc>
        <w:tc>
          <w:tcPr>
            <w:tcW w:w="1542" w:type="dxa"/>
            <w:vAlign w:val="bottom"/>
          </w:tcPr>
          <w:p w14:paraId="10EE0861" w14:textId="77777777" w:rsidR="00002A40" w:rsidRPr="007E6734" w:rsidRDefault="00002A40" w:rsidP="000B279D">
            <w:pPr>
              <w:spacing w:after="0"/>
              <w:jc w:val="right"/>
              <w:rPr>
                <w:rFonts w:cs="Arial"/>
                <w:b/>
                <w:lang w:val="en-GB" w:eastAsia="en-GB"/>
              </w:rPr>
            </w:pPr>
            <w:r w:rsidRPr="007E6734">
              <w:rPr>
                <w:rFonts w:cs="Arial"/>
                <w:b/>
                <w:lang w:val="en-GB" w:eastAsia="en-GB"/>
              </w:rPr>
              <w:t xml:space="preserve">261,798 </w:t>
            </w:r>
          </w:p>
        </w:tc>
      </w:tr>
      <w:tr w:rsidR="00002A40" w:rsidRPr="00994305" w14:paraId="2749FDD2" w14:textId="77777777" w:rsidTr="001354ED">
        <w:tc>
          <w:tcPr>
            <w:tcW w:w="8153" w:type="dxa"/>
            <w:gridSpan w:val="4"/>
            <w:shd w:val="clear" w:color="auto" w:fill="auto"/>
            <w:vAlign w:val="bottom"/>
          </w:tcPr>
          <w:p w14:paraId="00CF2EFB" w14:textId="77777777" w:rsidR="00002A40" w:rsidRPr="00AA3DCB" w:rsidRDefault="00002A40" w:rsidP="000B279D">
            <w:pPr>
              <w:pStyle w:val="TableHead"/>
              <w:rPr>
                <w:sz w:val="24"/>
                <w:lang w:val="en-GB" w:eastAsia="en-GB"/>
              </w:rPr>
            </w:pPr>
            <w:r w:rsidRPr="00AA3DCB">
              <w:rPr>
                <w:sz w:val="24"/>
                <w:lang w:val="en-GB" w:eastAsia="en-GB"/>
              </w:rPr>
              <w:t>Current Liabilities</w:t>
            </w:r>
          </w:p>
        </w:tc>
      </w:tr>
      <w:tr w:rsidR="00002A40" w:rsidRPr="00994305" w14:paraId="1BE8B093" w14:textId="77777777" w:rsidTr="004853AE">
        <w:tc>
          <w:tcPr>
            <w:tcW w:w="4008" w:type="dxa"/>
            <w:shd w:val="clear" w:color="auto" w:fill="auto"/>
            <w:vAlign w:val="bottom"/>
          </w:tcPr>
          <w:p w14:paraId="5C9B2254"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 xml:space="preserve">Creditors And Accruals </w:t>
            </w:r>
          </w:p>
        </w:tc>
        <w:tc>
          <w:tcPr>
            <w:tcW w:w="993" w:type="dxa"/>
            <w:vAlign w:val="bottom"/>
          </w:tcPr>
          <w:p w14:paraId="4680C8F8" w14:textId="77777777" w:rsidR="00002A40" w:rsidRPr="00AA3DCB" w:rsidRDefault="00002A40" w:rsidP="000B279D">
            <w:pPr>
              <w:spacing w:after="0"/>
              <w:jc w:val="center"/>
              <w:rPr>
                <w:rFonts w:cs="Arial"/>
                <w:lang w:val="en-GB" w:eastAsia="en-GB"/>
              </w:rPr>
            </w:pPr>
            <w:r w:rsidRPr="00AA3DCB">
              <w:rPr>
                <w:rFonts w:cs="Arial"/>
                <w:lang w:val="en-GB" w:eastAsia="en-GB"/>
              </w:rPr>
              <w:t>11</w:t>
            </w:r>
          </w:p>
        </w:tc>
        <w:tc>
          <w:tcPr>
            <w:tcW w:w="1610" w:type="dxa"/>
            <w:vAlign w:val="bottom"/>
          </w:tcPr>
          <w:p w14:paraId="55AAA929" w14:textId="77777777" w:rsidR="00002A40" w:rsidRPr="005F23DA" w:rsidRDefault="00002A40" w:rsidP="000B279D">
            <w:pPr>
              <w:spacing w:after="0"/>
              <w:jc w:val="right"/>
              <w:rPr>
                <w:rFonts w:cs="Arial"/>
                <w:lang w:val="en-GB" w:eastAsia="en-GB"/>
              </w:rPr>
            </w:pPr>
            <w:r>
              <w:rPr>
                <w:rFonts w:cs="Arial"/>
                <w:lang w:val="en-GB" w:eastAsia="en-GB"/>
              </w:rPr>
              <w:t>38,537</w:t>
            </w:r>
          </w:p>
        </w:tc>
        <w:tc>
          <w:tcPr>
            <w:tcW w:w="1542" w:type="dxa"/>
            <w:vAlign w:val="bottom"/>
          </w:tcPr>
          <w:p w14:paraId="0F286649" w14:textId="77777777" w:rsidR="00002A40" w:rsidRPr="005F23DA" w:rsidRDefault="00002A40" w:rsidP="000B279D">
            <w:pPr>
              <w:spacing w:after="0"/>
              <w:jc w:val="right"/>
              <w:rPr>
                <w:rFonts w:cs="Arial"/>
                <w:lang w:val="en-GB" w:eastAsia="en-GB"/>
              </w:rPr>
            </w:pPr>
            <w:r w:rsidRPr="005F23DA">
              <w:rPr>
                <w:rFonts w:cs="Arial"/>
                <w:lang w:val="en-GB" w:eastAsia="en-GB"/>
              </w:rPr>
              <w:t xml:space="preserve">64,130 </w:t>
            </w:r>
          </w:p>
        </w:tc>
      </w:tr>
      <w:tr w:rsidR="00002A40" w:rsidRPr="00994305" w14:paraId="713B0ADB" w14:textId="77777777" w:rsidTr="004853AE">
        <w:tc>
          <w:tcPr>
            <w:tcW w:w="4008" w:type="dxa"/>
            <w:shd w:val="clear" w:color="auto" w:fill="auto"/>
            <w:vAlign w:val="bottom"/>
          </w:tcPr>
          <w:p w14:paraId="48CAB7C4" w14:textId="77777777" w:rsidR="00002A40" w:rsidRPr="00AA3DCB" w:rsidRDefault="00002A40" w:rsidP="000B279D">
            <w:pPr>
              <w:spacing w:after="0"/>
              <w:rPr>
                <w:rFonts w:cs="Arial"/>
                <w:lang w:val="en-GB" w:eastAsia="en-GB"/>
              </w:rPr>
            </w:pPr>
          </w:p>
        </w:tc>
        <w:tc>
          <w:tcPr>
            <w:tcW w:w="993" w:type="dxa"/>
            <w:vAlign w:val="bottom"/>
          </w:tcPr>
          <w:p w14:paraId="23F8B52B" w14:textId="77777777" w:rsidR="00002A40" w:rsidRPr="00AA3DCB" w:rsidRDefault="00002A40" w:rsidP="000B279D">
            <w:pPr>
              <w:spacing w:after="0"/>
              <w:jc w:val="center"/>
              <w:rPr>
                <w:rFonts w:cs="Arial"/>
                <w:lang w:val="en-GB" w:eastAsia="en-GB"/>
              </w:rPr>
            </w:pPr>
            <w:r w:rsidRPr="00AA3DCB">
              <w:rPr>
                <w:rFonts w:cs="Arial"/>
                <w:lang w:val="en-GB" w:eastAsia="en-GB"/>
              </w:rPr>
              <w:t xml:space="preserve"> </w:t>
            </w:r>
          </w:p>
        </w:tc>
        <w:tc>
          <w:tcPr>
            <w:tcW w:w="1610" w:type="dxa"/>
            <w:vAlign w:val="bottom"/>
          </w:tcPr>
          <w:p w14:paraId="174AF9BB" w14:textId="77777777" w:rsidR="00002A40" w:rsidRPr="007E6734" w:rsidRDefault="00002A40" w:rsidP="000B279D">
            <w:pPr>
              <w:spacing w:after="0"/>
              <w:jc w:val="right"/>
              <w:rPr>
                <w:rFonts w:cs="Arial"/>
                <w:b/>
                <w:lang w:val="en-GB" w:eastAsia="en-GB"/>
              </w:rPr>
            </w:pPr>
            <w:r>
              <w:rPr>
                <w:rFonts w:cs="Arial"/>
                <w:b/>
                <w:lang w:val="en-GB" w:eastAsia="en-GB"/>
              </w:rPr>
              <w:t>38,537</w:t>
            </w:r>
          </w:p>
        </w:tc>
        <w:tc>
          <w:tcPr>
            <w:tcW w:w="1542" w:type="dxa"/>
            <w:vAlign w:val="bottom"/>
          </w:tcPr>
          <w:p w14:paraId="325B3CDF" w14:textId="77777777" w:rsidR="00002A40" w:rsidRPr="007E6734" w:rsidRDefault="00002A40" w:rsidP="000B279D">
            <w:pPr>
              <w:spacing w:after="0"/>
              <w:jc w:val="right"/>
              <w:rPr>
                <w:rFonts w:cs="Arial"/>
                <w:b/>
                <w:lang w:val="en-GB" w:eastAsia="en-GB"/>
              </w:rPr>
            </w:pPr>
            <w:r w:rsidRPr="007E6734">
              <w:rPr>
                <w:rFonts w:cs="Arial"/>
                <w:b/>
                <w:lang w:val="en-GB" w:eastAsia="en-GB"/>
              </w:rPr>
              <w:t xml:space="preserve">64,130 </w:t>
            </w:r>
          </w:p>
        </w:tc>
      </w:tr>
      <w:tr w:rsidR="00002A40" w:rsidRPr="00994305" w14:paraId="47F22AEE" w14:textId="77777777" w:rsidTr="004853AE">
        <w:tc>
          <w:tcPr>
            <w:tcW w:w="4008" w:type="dxa"/>
            <w:shd w:val="clear" w:color="auto" w:fill="auto"/>
            <w:vAlign w:val="bottom"/>
          </w:tcPr>
          <w:p w14:paraId="011C5738"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Net Current Assets</w:t>
            </w:r>
          </w:p>
        </w:tc>
        <w:tc>
          <w:tcPr>
            <w:tcW w:w="993" w:type="dxa"/>
            <w:vAlign w:val="bottom"/>
          </w:tcPr>
          <w:p w14:paraId="374AA2F0" w14:textId="77777777" w:rsidR="00002A40" w:rsidRPr="00AA3DCB" w:rsidRDefault="00002A40" w:rsidP="000B279D">
            <w:pPr>
              <w:spacing w:after="0"/>
              <w:jc w:val="center"/>
              <w:rPr>
                <w:rFonts w:cs="Arial"/>
                <w:lang w:val="en-GB" w:eastAsia="en-GB"/>
              </w:rPr>
            </w:pPr>
            <w:r w:rsidRPr="00AA3DCB">
              <w:rPr>
                <w:rFonts w:cs="Arial"/>
                <w:lang w:val="en-GB" w:eastAsia="en-GB"/>
              </w:rPr>
              <w:t xml:space="preserve"> </w:t>
            </w:r>
          </w:p>
        </w:tc>
        <w:tc>
          <w:tcPr>
            <w:tcW w:w="1610" w:type="dxa"/>
            <w:vAlign w:val="bottom"/>
          </w:tcPr>
          <w:p w14:paraId="45598F61" w14:textId="77777777" w:rsidR="00002A40" w:rsidRPr="007E6734" w:rsidRDefault="00002A40" w:rsidP="000B279D">
            <w:pPr>
              <w:spacing w:after="0"/>
              <w:jc w:val="right"/>
              <w:rPr>
                <w:rFonts w:cs="Arial"/>
                <w:b/>
                <w:lang w:val="en-GB" w:eastAsia="en-GB"/>
              </w:rPr>
            </w:pPr>
            <w:r>
              <w:rPr>
                <w:rFonts w:cs="Arial"/>
                <w:b/>
                <w:lang w:val="en-GB" w:eastAsia="en-GB"/>
              </w:rPr>
              <w:t>268,846</w:t>
            </w:r>
          </w:p>
        </w:tc>
        <w:tc>
          <w:tcPr>
            <w:tcW w:w="1542" w:type="dxa"/>
            <w:vAlign w:val="bottom"/>
          </w:tcPr>
          <w:p w14:paraId="17DE5867" w14:textId="77777777" w:rsidR="00002A40" w:rsidRPr="007E6734" w:rsidRDefault="00002A40" w:rsidP="000B279D">
            <w:pPr>
              <w:spacing w:after="0"/>
              <w:jc w:val="right"/>
              <w:rPr>
                <w:rFonts w:cs="Arial"/>
                <w:b/>
                <w:lang w:val="en-GB" w:eastAsia="en-GB"/>
              </w:rPr>
            </w:pPr>
            <w:r w:rsidRPr="007E6734">
              <w:rPr>
                <w:rFonts w:cs="Arial"/>
                <w:b/>
                <w:lang w:val="en-GB" w:eastAsia="en-GB"/>
              </w:rPr>
              <w:t xml:space="preserve">197,668 </w:t>
            </w:r>
          </w:p>
        </w:tc>
      </w:tr>
      <w:tr w:rsidR="00002A40" w:rsidRPr="00994305" w14:paraId="3660F4FD" w14:textId="77777777" w:rsidTr="004853AE">
        <w:tc>
          <w:tcPr>
            <w:tcW w:w="4008" w:type="dxa"/>
            <w:shd w:val="clear" w:color="auto" w:fill="auto"/>
            <w:vAlign w:val="bottom"/>
          </w:tcPr>
          <w:p w14:paraId="3065B930"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Total Assets Less Current Liabilities Before Pensions</w:t>
            </w:r>
          </w:p>
        </w:tc>
        <w:tc>
          <w:tcPr>
            <w:tcW w:w="993" w:type="dxa"/>
            <w:vAlign w:val="bottom"/>
          </w:tcPr>
          <w:p w14:paraId="497E4047" w14:textId="77777777" w:rsidR="00002A40" w:rsidRPr="00AA3DCB" w:rsidRDefault="00002A40" w:rsidP="000B279D">
            <w:pPr>
              <w:spacing w:after="0"/>
              <w:jc w:val="center"/>
              <w:rPr>
                <w:rFonts w:cs="Arial"/>
                <w:lang w:val="en-GB" w:eastAsia="en-GB"/>
              </w:rPr>
            </w:pPr>
          </w:p>
        </w:tc>
        <w:tc>
          <w:tcPr>
            <w:tcW w:w="1610" w:type="dxa"/>
            <w:vAlign w:val="bottom"/>
          </w:tcPr>
          <w:p w14:paraId="0B74B578" w14:textId="77777777" w:rsidR="00002A40" w:rsidRPr="005F23DA" w:rsidRDefault="00002A40" w:rsidP="000B279D">
            <w:pPr>
              <w:spacing w:after="0"/>
              <w:jc w:val="right"/>
              <w:rPr>
                <w:rFonts w:cs="Arial"/>
                <w:lang w:val="en-GB" w:eastAsia="en-GB"/>
              </w:rPr>
            </w:pPr>
            <w:r>
              <w:rPr>
                <w:rFonts w:cs="Arial"/>
                <w:lang w:val="en-GB" w:eastAsia="en-GB"/>
              </w:rPr>
              <w:t>3,076,555</w:t>
            </w:r>
          </w:p>
        </w:tc>
        <w:tc>
          <w:tcPr>
            <w:tcW w:w="1542" w:type="dxa"/>
            <w:vAlign w:val="bottom"/>
          </w:tcPr>
          <w:p w14:paraId="17626F9F" w14:textId="77777777" w:rsidR="00002A40" w:rsidRPr="005F23DA" w:rsidRDefault="00002A40" w:rsidP="000B279D">
            <w:pPr>
              <w:spacing w:after="0"/>
              <w:jc w:val="right"/>
              <w:rPr>
                <w:rFonts w:cs="Arial"/>
                <w:lang w:val="en-GB" w:eastAsia="en-GB"/>
              </w:rPr>
            </w:pPr>
            <w:r w:rsidRPr="005F23DA">
              <w:rPr>
                <w:rFonts w:cs="Arial"/>
                <w:lang w:val="en-GB" w:eastAsia="en-GB"/>
              </w:rPr>
              <w:t xml:space="preserve">3,067,135 </w:t>
            </w:r>
          </w:p>
        </w:tc>
      </w:tr>
      <w:tr w:rsidR="00002A40" w:rsidRPr="00994305" w14:paraId="1E5C1914" w14:textId="77777777" w:rsidTr="004853AE">
        <w:tc>
          <w:tcPr>
            <w:tcW w:w="4008" w:type="dxa"/>
            <w:shd w:val="clear" w:color="auto" w:fill="auto"/>
            <w:vAlign w:val="bottom"/>
          </w:tcPr>
          <w:p w14:paraId="40A359AA"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 xml:space="preserve">Deferred Funding Asset </w:t>
            </w:r>
            <w:proofErr w:type="gramStart"/>
            <w:r w:rsidRPr="00AA3DCB">
              <w:rPr>
                <w:rFonts w:ascii="Gill Sans" w:hAnsi="Gill Sans"/>
                <w:sz w:val="24"/>
                <w:lang w:val="en-GB" w:eastAsia="en-GB"/>
              </w:rPr>
              <w:t>For</w:t>
            </w:r>
            <w:proofErr w:type="gramEnd"/>
            <w:r w:rsidRPr="00AA3DCB">
              <w:rPr>
                <w:rFonts w:ascii="Gill Sans" w:hAnsi="Gill Sans"/>
                <w:sz w:val="24"/>
                <w:lang w:val="en-GB" w:eastAsia="en-GB"/>
              </w:rPr>
              <w:t xml:space="preserve"> Pensions</w:t>
            </w:r>
          </w:p>
        </w:tc>
        <w:tc>
          <w:tcPr>
            <w:tcW w:w="993" w:type="dxa"/>
            <w:vAlign w:val="bottom"/>
          </w:tcPr>
          <w:p w14:paraId="55B39ABC" w14:textId="77777777" w:rsidR="00002A40" w:rsidRPr="00AA3DCB" w:rsidRDefault="00002A40" w:rsidP="000B279D">
            <w:pPr>
              <w:spacing w:after="0"/>
              <w:jc w:val="center"/>
              <w:rPr>
                <w:rFonts w:cs="Arial"/>
                <w:lang w:val="en-GB" w:eastAsia="en-GB"/>
              </w:rPr>
            </w:pPr>
            <w:r w:rsidRPr="00AA3DCB">
              <w:rPr>
                <w:rFonts w:cs="Arial"/>
                <w:lang w:val="en-GB" w:eastAsia="en-GB"/>
              </w:rPr>
              <w:t>10(d)</w:t>
            </w:r>
          </w:p>
        </w:tc>
        <w:tc>
          <w:tcPr>
            <w:tcW w:w="1610" w:type="dxa"/>
            <w:vAlign w:val="bottom"/>
          </w:tcPr>
          <w:p w14:paraId="6643FF2D" w14:textId="77777777" w:rsidR="00002A40" w:rsidRPr="00AA3DCB" w:rsidRDefault="00002A40" w:rsidP="000B279D">
            <w:pPr>
              <w:spacing w:after="0"/>
              <w:jc w:val="right"/>
              <w:rPr>
                <w:rFonts w:cs="Arial"/>
                <w:lang w:val="en-GB" w:eastAsia="en-GB"/>
              </w:rPr>
            </w:pPr>
            <w:r>
              <w:rPr>
                <w:rFonts w:cs="Arial"/>
                <w:lang w:val="en-GB" w:eastAsia="en-GB"/>
              </w:rPr>
              <w:t>(16,6</w:t>
            </w:r>
            <w:r w:rsidRPr="00AA3DCB">
              <w:rPr>
                <w:rFonts w:cs="Arial"/>
                <w:lang w:val="en-GB" w:eastAsia="en-GB"/>
              </w:rPr>
              <w:t>00,000)</w:t>
            </w:r>
          </w:p>
        </w:tc>
        <w:tc>
          <w:tcPr>
            <w:tcW w:w="1542" w:type="dxa"/>
            <w:vAlign w:val="bottom"/>
          </w:tcPr>
          <w:p w14:paraId="59A15C3B" w14:textId="77777777" w:rsidR="00002A40" w:rsidRPr="00AA3DCB" w:rsidRDefault="00002A40" w:rsidP="000B279D">
            <w:pPr>
              <w:spacing w:after="0"/>
              <w:jc w:val="right"/>
              <w:rPr>
                <w:rFonts w:cs="Arial"/>
                <w:lang w:val="en-GB" w:eastAsia="en-GB"/>
              </w:rPr>
            </w:pPr>
            <w:r>
              <w:rPr>
                <w:rFonts w:cs="Arial"/>
                <w:lang w:val="en-GB" w:eastAsia="en-GB"/>
              </w:rPr>
              <w:t>(16,8</w:t>
            </w:r>
            <w:r w:rsidRPr="00AA3DCB">
              <w:rPr>
                <w:rFonts w:cs="Arial"/>
                <w:lang w:val="en-GB" w:eastAsia="en-GB"/>
              </w:rPr>
              <w:t>00,000)</w:t>
            </w:r>
          </w:p>
        </w:tc>
      </w:tr>
      <w:tr w:rsidR="00002A40" w:rsidRPr="00994305" w14:paraId="7357D40C" w14:textId="77777777" w:rsidTr="004853AE">
        <w:tc>
          <w:tcPr>
            <w:tcW w:w="4008" w:type="dxa"/>
            <w:shd w:val="clear" w:color="auto" w:fill="auto"/>
            <w:vAlign w:val="bottom"/>
          </w:tcPr>
          <w:p w14:paraId="4E3ADF58"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Pension Liabilities</w:t>
            </w:r>
          </w:p>
        </w:tc>
        <w:tc>
          <w:tcPr>
            <w:tcW w:w="993" w:type="dxa"/>
            <w:vAlign w:val="bottom"/>
          </w:tcPr>
          <w:p w14:paraId="43970CF5" w14:textId="77777777" w:rsidR="00002A40" w:rsidRPr="00AA3DCB" w:rsidRDefault="00002A40" w:rsidP="000B279D">
            <w:pPr>
              <w:spacing w:after="0"/>
              <w:jc w:val="center"/>
              <w:rPr>
                <w:rFonts w:cs="Arial"/>
                <w:lang w:val="en-GB" w:eastAsia="en-GB"/>
              </w:rPr>
            </w:pPr>
            <w:r w:rsidRPr="00AA3DCB">
              <w:rPr>
                <w:rFonts w:cs="Arial"/>
                <w:lang w:val="en-GB" w:eastAsia="en-GB"/>
              </w:rPr>
              <w:t>10(e)</w:t>
            </w:r>
          </w:p>
        </w:tc>
        <w:tc>
          <w:tcPr>
            <w:tcW w:w="1610" w:type="dxa"/>
            <w:vAlign w:val="bottom"/>
          </w:tcPr>
          <w:p w14:paraId="14D8F29E" w14:textId="77777777" w:rsidR="00002A40" w:rsidRPr="00AA3DCB" w:rsidRDefault="00002A40" w:rsidP="000B279D">
            <w:pPr>
              <w:spacing w:after="0"/>
              <w:jc w:val="right"/>
              <w:rPr>
                <w:rFonts w:cs="Arial"/>
                <w:lang w:val="en-GB" w:eastAsia="en-GB"/>
              </w:rPr>
            </w:pPr>
            <w:r w:rsidRPr="00AA3DCB">
              <w:rPr>
                <w:rFonts w:cs="Arial"/>
                <w:lang w:val="en-GB" w:eastAsia="en-GB"/>
              </w:rPr>
              <w:t>16,</w:t>
            </w:r>
            <w:r>
              <w:rPr>
                <w:rFonts w:cs="Arial"/>
                <w:lang w:val="en-GB" w:eastAsia="en-GB"/>
              </w:rPr>
              <w:t>6</w:t>
            </w:r>
            <w:r w:rsidRPr="00AA3DCB">
              <w:rPr>
                <w:rFonts w:cs="Arial"/>
                <w:lang w:val="en-GB" w:eastAsia="en-GB"/>
              </w:rPr>
              <w:t xml:space="preserve">00,000 </w:t>
            </w:r>
          </w:p>
        </w:tc>
        <w:tc>
          <w:tcPr>
            <w:tcW w:w="1542" w:type="dxa"/>
            <w:vAlign w:val="bottom"/>
          </w:tcPr>
          <w:p w14:paraId="61E0422E" w14:textId="77777777" w:rsidR="00002A40" w:rsidRPr="00AA3DCB" w:rsidRDefault="00002A40" w:rsidP="000B279D">
            <w:pPr>
              <w:spacing w:after="0"/>
              <w:jc w:val="right"/>
              <w:rPr>
                <w:rFonts w:cs="Arial"/>
                <w:lang w:val="en-GB" w:eastAsia="en-GB"/>
              </w:rPr>
            </w:pPr>
            <w:r w:rsidRPr="00AA3DCB">
              <w:rPr>
                <w:rFonts w:cs="Arial"/>
                <w:lang w:val="en-GB" w:eastAsia="en-GB"/>
              </w:rPr>
              <w:t>16,</w:t>
            </w:r>
            <w:r>
              <w:rPr>
                <w:rFonts w:cs="Arial"/>
                <w:lang w:val="en-GB" w:eastAsia="en-GB"/>
              </w:rPr>
              <w:t>8</w:t>
            </w:r>
            <w:r w:rsidRPr="00AA3DCB">
              <w:rPr>
                <w:rFonts w:cs="Arial"/>
                <w:lang w:val="en-GB" w:eastAsia="en-GB"/>
              </w:rPr>
              <w:t xml:space="preserve">00,000 </w:t>
            </w:r>
          </w:p>
        </w:tc>
      </w:tr>
      <w:tr w:rsidR="00002A40" w:rsidRPr="00994305" w14:paraId="1BD59669" w14:textId="77777777" w:rsidTr="004853AE">
        <w:tc>
          <w:tcPr>
            <w:tcW w:w="4008" w:type="dxa"/>
            <w:shd w:val="clear" w:color="auto" w:fill="auto"/>
            <w:vAlign w:val="bottom"/>
          </w:tcPr>
          <w:p w14:paraId="0B6EBB6F" w14:textId="77777777" w:rsidR="00002A40" w:rsidRPr="00AA3DCB" w:rsidRDefault="00002A40" w:rsidP="000B279D">
            <w:pPr>
              <w:pStyle w:val="TableRowHead"/>
              <w:rPr>
                <w:rFonts w:ascii="Gill Sans" w:hAnsi="Gill Sans"/>
                <w:sz w:val="24"/>
                <w:lang w:val="en-GB" w:eastAsia="en-GB"/>
              </w:rPr>
            </w:pPr>
          </w:p>
        </w:tc>
        <w:tc>
          <w:tcPr>
            <w:tcW w:w="993" w:type="dxa"/>
            <w:vAlign w:val="bottom"/>
          </w:tcPr>
          <w:p w14:paraId="32195A88" w14:textId="77777777" w:rsidR="00002A40" w:rsidRPr="00AA3DCB" w:rsidRDefault="00002A40" w:rsidP="000B279D">
            <w:pPr>
              <w:spacing w:after="0"/>
              <w:jc w:val="center"/>
              <w:rPr>
                <w:rFonts w:cs="Arial"/>
                <w:lang w:val="en-GB" w:eastAsia="en-GB"/>
              </w:rPr>
            </w:pPr>
          </w:p>
        </w:tc>
        <w:tc>
          <w:tcPr>
            <w:tcW w:w="1610" w:type="dxa"/>
            <w:vAlign w:val="bottom"/>
          </w:tcPr>
          <w:p w14:paraId="11B2D8A5" w14:textId="77777777" w:rsidR="00002A40" w:rsidRPr="007E6734" w:rsidRDefault="00002A40" w:rsidP="000B279D">
            <w:pPr>
              <w:spacing w:after="0"/>
              <w:jc w:val="right"/>
              <w:rPr>
                <w:rFonts w:cs="Arial"/>
                <w:b/>
                <w:lang w:val="en-GB" w:eastAsia="en-GB"/>
              </w:rPr>
            </w:pPr>
            <w:r>
              <w:rPr>
                <w:rFonts w:cs="Arial"/>
                <w:b/>
                <w:lang w:val="en-GB" w:eastAsia="en-GB"/>
              </w:rPr>
              <w:t>3,076,555</w:t>
            </w:r>
          </w:p>
        </w:tc>
        <w:tc>
          <w:tcPr>
            <w:tcW w:w="1542" w:type="dxa"/>
            <w:vAlign w:val="bottom"/>
          </w:tcPr>
          <w:p w14:paraId="152DDF20" w14:textId="77777777" w:rsidR="00002A40" w:rsidRPr="007E6734" w:rsidRDefault="00002A40" w:rsidP="000B279D">
            <w:pPr>
              <w:spacing w:after="0"/>
              <w:jc w:val="right"/>
              <w:rPr>
                <w:rFonts w:cs="Arial"/>
                <w:b/>
                <w:lang w:val="en-GB" w:eastAsia="en-GB"/>
              </w:rPr>
            </w:pPr>
            <w:r w:rsidRPr="007E6734">
              <w:rPr>
                <w:rFonts w:cs="Arial"/>
                <w:b/>
                <w:lang w:val="en-GB" w:eastAsia="en-GB"/>
              </w:rPr>
              <w:t xml:space="preserve">3,067,135 </w:t>
            </w:r>
          </w:p>
        </w:tc>
      </w:tr>
      <w:tr w:rsidR="00002A40" w:rsidRPr="00994305" w14:paraId="2174FDA9" w14:textId="77777777" w:rsidTr="001354ED">
        <w:tc>
          <w:tcPr>
            <w:tcW w:w="8153" w:type="dxa"/>
            <w:gridSpan w:val="4"/>
            <w:shd w:val="clear" w:color="auto" w:fill="auto"/>
            <w:vAlign w:val="bottom"/>
          </w:tcPr>
          <w:p w14:paraId="6BF7EE11" w14:textId="77777777" w:rsidR="00002A40" w:rsidRPr="00A8372F" w:rsidRDefault="00002A40" w:rsidP="000B279D">
            <w:pPr>
              <w:pStyle w:val="TableHead"/>
              <w:rPr>
                <w:rFonts w:cs="Arial"/>
                <w:sz w:val="24"/>
                <w:lang w:val="en-GB" w:eastAsia="en-GB"/>
              </w:rPr>
            </w:pPr>
            <w:r w:rsidRPr="00A8372F">
              <w:rPr>
                <w:sz w:val="24"/>
                <w:lang w:val="en-GB" w:eastAsia="en-GB"/>
              </w:rPr>
              <w:t>Represented By:</w:t>
            </w:r>
          </w:p>
        </w:tc>
      </w:tr>
      <w:tr w:rsidR="00002A40" w:rsidRPr="00994305" w14:paraId="3231EDB3" w14:textId="77777777" w:rsidTr="004853AE">
        <w:tc>
          <w:tcPr>
            <w:tcW w:w="4008" w:type="dxa"/>
            <w:shd w:val="clear" w:color="auto" w:fill="auto"/>
            <w:vAlign w:val="bottom"/>
          </w:tcPr>
          <w:p w14:paraId="2033FD0F" w14:textId="77777777" w:rsidR="00002A40" w:rsidRPr="00AA3DCB" w:rsidRDefault="00002A40" w:rsidP="000B279D">
            <w:pPr>
              <w:pStyle w:val="TableRowHead"/>
              <w:rPr>
                <w:rFonts w:ascii="Gill Sans" w:hAnsi="Gill Sans"/>
                <w:sz w:val="24"/>
                <w:lang w:val="en-GB" w:eastAsia="en-GB"/>
              </w:rPr>
            </w:pPr>
            <w:r w:rsidRPr="00AA3DCB">
              <w:rPr>
                <w:rFonts w:ascii="Gill Sans" w:hAnsi="Gill Sans"/>
                <w:sz w:val="24"/>
                <w:lang w:val="en-GB" w:eastAsia="en-GB"/>
              </w:rPr>
              <w:t xml:space="preserve">Capital Account </w:t>
            </w:r>
          </w:p>
        </w:tc>
        <w:tc>
          <w:tcPr>
            <w:tcW w:w="993" w:type="dxa"/>
            <w:vAlign w:val="bottom"/>
          </w:tcPr>
          <w:p w14:paraId="057FF8ED" w14:textId="77777777" w:rsidR="00002A40" w:rsidRPr="00AA3DCB" w:rsidRDefault="00002A40" w:rsidP="000B279D">
            <w:pPr>
              <w:spacing w:after="0"/>
              <w:jc w:val="center"/>
              <w:rPr>
                <w:rFonts w:cs="Arial"/>
                <w:lang w:val="en-GB" w:eastAsia="en-GB"/>
              </w:rPr>
            </w:pPr>
            <w:r w:rsidRPr="00AA3DCB">
              <w:rPr>
                <w:rFonts w:cs="Arial"/>
                <w:lang w:val="en-GB" w:eastAsia="en-GB"/>
              </w:rPr>
              <w:t>8</w:t>
            </w:r>
          </w:p>
        </w:tc>
        <w:tc>
          <w:tcPr>
            <w:tcW w:w="1610" w:type="dxa"/>
            <w:vAlign w:val="bottom"/>
          </w:tcPr>
          <w:p w14:paraId="197D52B9" w14:textId="77777777" w:rsidR="00002A40" w:rsidRPr="00AA3DCB" w:rsidRDefault="00002A40" w:rsidP="000B279D">
            <w:pPr>
              <w:spacing w:after="0"/>
              <w:jc w:val="right"/>
              <w:rPr>
                <w:rFonts w:cs="Arial"/>
                <w:lang w:val="en-GB" w:eastAsia="en-GB"/>
              </w:rPr>
            </w:pPr>
            <w:r>
              <w:rPr>
                <w:rFonts w:cs="Arial"/>
                <w:lang w:val="en-GB" w:eastAsia="en-GB"/>
              </w:rPr>
              <w:t>2,807,709</w:t>
            </w:r>
          </w:p>
        </w:tc>
        <w:tc>
          <w:tcPr>
            <w:tcW w:w="1542" w:type="dxa"/>
            <w:vAlign w:val="bottom"/>
          </w:tcPr>
          <w:p w14:paraId="77DB46A4" w14:textId="77777777" w:rsidR="00002A40" w:rsidRPr="00AA3DCB" w:rsidRDefault="00002A40" w:rsidP="000B279D">
            <w:pPr>
              <w:spacing w:after="0"/>
              <w:jc w:val="right"/>
              <w:rPr>
                <w:rFonts w:cs="Arial"/>
                <w:lang w:val="en-GB" w:eastAsia="en-GB"/>
              </w:rPr>
            </w:pPr>
            <w:r>
              <w:rPr>
                <w:rFonts w:cs="Arial"/>
                <w:lang w:val="en-GB" w:eastAsia="en-GB"/>
              </w:rPr>
              <w:t>2</w:t>
            </w:r>
            <w:r w:rsidRPr="00AA3DCB">
              <w:rPr>
                <w:rFonts w:cs="Arial"/>
                <w:lang w:val="en-GB" w:eastAsia="en-GB"/>
              </w:rPr>
              <w:t>,</w:t>
            </w:r>
            <w:r>
              <w:rPr>
                <w:rFonts w:cs="Arial"/>
                <w:lang w:val="en-GB" w:eastAsia="en-GB"/>
              </w:rPr>
              <w:t>869</w:t>
            </w:r>
            <w:r w:rsidRPr="00AA3DCB">
              <w:rPr>
                <w:rFonts w:cs="Arial"/>
                <w:lang w:val="en-GB" w:eastAsia="en-GB"/>
              </w:rPr>
              <w:t>,</w:t>
            </w:r>
            <w:r>
              <w:rPr>
                <w:rFonts w:cs="Arial"/>
                <w:lang w:val="en-GB" w:eastAsia="en-GB"/>
              </w:rPr>
              <w:t>467</w:t>
            </w:r>
            <w:r w:rsidRPr="00AA3DCB">
              <w:rPr>
                <w:rFonts w:cs="Arial"/>
                <w:lang w:val="en-GB" w:eastAsia="en-GB"/>
              </w:rPr>
              <w:t xml:space="preserve"> </w:t>
            </w:r>
          </w:p>
        </w:tc>
      </w:tr>
      <w:tr w:rsidR="00002A40" w:rsidRPr="00994305" w14:paraId="487C2779" w14:textId="77777777" w:rsidTr="004853AE">
        <w:tc>
          <w:tcPr>
            <w:tcW w:w="4008" w:type="dxa"/>
            <w:shd w:val="clear" w:color="auto" w:fill="auto"/>
          </w:tcPr>
          <w:p w14:paraId="4078CA10" w14:textId="77777777" w:rsidR="00002A40" w:rsidRPr="00AA3DCB" w:rsidRDefault="00002A40" w:rsidP="000B279D">
            <w:pPr>
              <w:pStyle w:val="TableRowHead"/>
              <w:rPr>
                <w:rFonts w:ascii="Gill Sans" w:hAnsi="Gill Sans"/>
                <w:sz w:val="24"/>
              </w:rPr>
            </w:pPr>
            <w:r>
              <w:rPr>
                <w:rFonts w:ascii="Gill Sans" w:hAnsi="Gill Sans"/>
                <w:sz w:val="24"/>
                <w:lang w:val="en-GB" w:eastAsia="en-GB"/>
              </w:rPr>
              <w:t>Retained Surplus on</w:t>
            </w:r>
            <w:r w:rsidRPr="00AA3DCB">
              <w:rPr>
                <w:rFonts w:ascii="Gill Sans" w:hAnsi="Gill Sans"/>
                <w:sz w:val="24"/>
                <w:lang w:val="en-GB" w:eastAsia="en-GB"/>
              </w:rPr>
              <w:t xml:space="preserve"> Income </w:t>
            </w:r>
            <w:proofErr w:type="gramStart"/>
            <w:r w:rsidRPr="00AA3DCB">
              <w:rPr>
                <w:rFonts w:ascii="Gill Sans" w:hAnsi="Gill Sans"/>
                <w:sz w:val="24"/>
                <w:lang w:val="en-GB" w:eastAsia="en-GB"/>
              </w:rPr>
              <w:t>And</w:t>
            </w:r>
            <w:proofErr w:type="gramEnd"/>
            <w:r w:rsidRPr="00AA3DCB">
              <w:rPr>
                <w:rFonts w:ascii="Gill Sans" w:hAnsi="Gill Sans"/>
                <w:sz w:val="24"/>
                <w:lang w:val="en-GB" w:eastAsia="en-GB"/>
              </w:rPr>
              <w:t xml:space="preserve"> Expenditure Account</w:t>
            </w:r>
          </w:p>
        </w:tc>
        <w:tc>
          <w:tcPr>
            <w:tcW w:w="993" w:type="dxa"/>
            <w:vAlign w:val="bottom"/>
          </w:tcPr>
          <w:p w14:paraId="74ECA013" w14:textId="77777777" w:rsidR="00002A40" w:rsidRPr="00AA3DCB" w:rsidRDefault="00002A40" w:rsidP="000B279D">
            <w:pPr>
              <w:spacing w:after="0"/>
              <w:jc w:val="center"/>
              <w:rPr>
                <w:rFonts w:cs="Arial"/>
                <w:lang w:val="en-GB" w:eastAsia="en-GB"/>
              </w:rPr>
            </w:pPr>
            <w:r>
              <w:rPr>
                <w:rFonts w:cs="Arial"/>
                <w:lang w:val="en-GB" w:eastAsia="en-GB"/>
              </w:rPr>
              <w:t>13</w:t>
            </w:r>
          </w:p>
        </w:tc>
        <w:tc>
          <w:tcPr>
            <w:tcW w:w="1610" w:type="dxa"/>
            <w:vAlign w:val="bottom"/>
          </w:tcPr>
          <w:p w14:paraId="34C5F80F" w14:textId="77777777" w:rsidR="00002A40" w:rsidRPr="005F23DA" w:rsidRDefault="00002A40" w:rsidP="000B279D">
            <w:pPr>
              <w:spacing w:after="0"/>
              <w:jc w:val="right"/>
              <w:rPr>
                <w:rFonts w:cs="Arial"/>
                <w:lang w:val="en-GB" w:eastAsia="en-GB"/>
              </w:rPr>
            </w:pPr>
            <w:r>
              <w:rPr>
                <w:rFonts w:cs="Arial"/>
                <w:lang w:val="en-GB" w:eastAsia="en-GB"/>
              </w:rPr>
              <w:t>268,846</w:t>
            </w:r>
          </w:p>
        </w:tc>
        <w:tc>
          <w:tcPr>
            <w:tcW w:w="1542" w:type="dxa"/>
            <w:vAlign w:val="bottom"/>
          </w:tcPr>
          <w:p w14:paraId="29CA145E" w14:textId="77777777" w:rsidR="00002A40" w:rsidRPr="005F23DA" w:rsidRDefault="00002A40" w:rsidP="000B279D">
            <w:pPr>
              <w:spacing w:after="0"/>
              <w:jc w:val="right"/>
              <w:rPr>
                <w:rFonts w:cs="Arial"/>
                <w:lang w:val="en-GB" w:eastAsia="en-GB"/>
              </w:rPr>
            </w:pPr>
            <w:r w:rsidRPr="005F23DA">
              <w:rPr>
                <w:rFonts w:cs="Arial"/>
                <w:lang w:val="en-GB" w:eastAsia="en-GB"/>
              </w:rPr>
              <w:t xml:space="preserve">197,668 </w:t>
            </w:r>
          </w:p>
        </w:tc>
      </w:tr>
      <w:tr w:rsidR="00002A40" w:rsidRPr="00994305" w14:paraId="06C63CDB" w14:textId="77777777" w:rsidTr="004853AE">
        <w:tc>
          <w:tcPr>
            <w:tcW w:w="4008" w:type="dxa"/>
            <w:shd w:val="clear" w:color="auto" w:fill="auto"/>
          </w:tcPr>
          <w:p w14:paraId="5E03382E" w14:textId="77777777" w:rsidR="00002A40" w:rsidRPr="00AA3DCB" w:rsidRDefault="00002A40" w:rsidP="000B279D">
            <w:pPr>
              <w:pStyle w:val="TableRowHead"/>
              <w:rPr>
                <w:rFonts w:ascii="Gill Sans" w:hAnsi="Gill Sans"/>
                <w:sz w:val="24"/>
              </w:rPr>
            </w:pPr>
          </w:p>
        </w:tc>
        <w:tc>
          <w:tcPr>
            <w:tcW w:w="993" w:type="dxa"/>
            <w:vAlign w:val="bottom"/>
          </w:tcPr>
          <w:p w14:paraId="3C8F13C7" w14:textId="77777777" w:rsidR="00002A40" w:rsidRPr="00AA3DCB" w:rsidRDefault="00002A40" w:rsidP="000B279D">
            <w:pPr>
              <w:spacing w:after="0"/>
              <w:jc w:val="center"/>
              <w:rPr>
                <w:rFonts w:cs="Arial"/>
                <w:lang w:val="en-GB" w:eastAsia="en-GB"/>
              </w:rPr>
            </w:pPr>
          </w:p>
        </w:tc>
        <w:tc>
          <w:tcPr>
            <w:tcW w:w="1610" w:type="dxa"/>
            <w:vAlign w:val="bottom"/>
          </w:tcPr>
          <w:p w14:paraId="57F695AE" w14:textId="77777777" w:rsidR="00002A40" w:rsidRPr="007E6734" w:rsidRDefault="00002A40" w:rsidP="000B279D">
            <w:pPr>
              <w:spacing w:after="0"/>
              <w:jc w:val="right"/>
              <w:rPr>
                <w:rFonts w:cs="Arial"/>
                <w:b/>
                <w:lang w:val="en-GB" w:eastAsia="en-GB"/>
              </w:rPr>
            </w:pPr>
            <w:r>
              <w:rPr>
                <w:rFonts w:cs="Arial"/>
                <w:b/>
                <w:lang w:val="en-GB" w:eastAsia="en-GB"/>
              </w:rPr>
              <w:t>3,076,555</w:t>
            </w:r>
          </w:p>
        </w:tc>
        <w:tc>
          <w:tcPr>
            <w:tcW w:w="1542" w:type="dxa"/>
            <w:vAlign w:val="bottom"/>
          </w:tcPr>
          <w:p w14:paraId="29D90CA1" w14:textId="77777777" w:rsidR="00002A40" w:rsidRPr="007E6734" w:rsidRDefault="00002A40" w:rsidP="000B279D">
            <w:pPr>
              <w:spacing w:after="0"/>
              <w:jc w:val="right"/>
              <w:rPr>
                <w:rFonts w:cs="Arial"/>
                <w:b/>
                <w:lang w:val="en-GB" w:eastAsia="en-GB"/>
              </w:rPr>
            </w:pPr>
            <w:r w:rsidRPr="007E6734">
              <w:rPr>
                <w:rFonts w:cs="Arial"/>
                <w:b/>
                <w:lang w:val="en-GB" w:eastAsia="en-GB"/>
              </w:rPr>
              <w:t xml:space="preserve">3,067,135 </w:t>
            </w:r>
          </w:p>
        </w:tc>
      </w:tr>
    </w:tbl>
    <w:p w14:paraId="7E195228" w14:textId="77777777" w:rsidR="00002A40" w:rsidRDefault="00002A40" w:rsidP="00002A40">
      <w:pPr>
        <w:rPr>
          <w:lang w:val="en-GB" w:eastAsia="en-GB"/>
        </w:rPr>
      </w:pPr>
      <w:r>
        <w:rPr>
          <w:lang w:val="en-GB" w:eastAsia="en-GB"/>
        </w:rPr>
        <w:br/>
      </w:r>
      <w:bookmarkStart w:id="41" w:name="_Toc335836392"/>
      <w:bookmarkStart w:id="42" w:name="_Toc335983438"/>
      <w:bookmarkStart w:id="43" w:name="_Toc335986607"/>
      <w:r w:rsidRPr="00002A40">
        <w:rPr>
          <w:lang w:val="en-GB" w:eastAsia="en-GB"/>
        </w:rPr>
        <w:t>The Statement of Accounting Policies, the Cash Flow Statement, and Notes 1 to 16 form part of these Financial Statements.</w:t>
      </w:r>
    </w:p>
    <w:p w14:paraId="2C71B601" w14:textId="77777777" w:rsidR="00DC35FA" w:rsidRDefault="00DC35FA" w:rsidP="00002A40">
      <w:pPr>
        <w:ind w:left="1440" w:hanging="1440"/>
        <w:rPr>
          <w:lang w:val="en-GB" w:eastAsia="en-GB"/>
        </w:rPr>
      </w:pPr>
      <w:r w:rsidRPr="00DC35FA">
        <w:rPr>
          <w:lang w:val="en-GB" w:eastAsia="en-GB"/>
        </w:rPr>
        <w:t>Signed:</w:t>
      </w:r>
      <w:r w:rsidRPr="00DC35FA">
        <w:rPr>
          <w:lang w:val="en-GB" w:eastAsia="en-GB"/>
        </w:rPr>
        <w:tab/>
      </w:r>
      <w:r>
        <w:rPr>
          <w:lang w:val="en-GB" w:eastAsia="en-GB"/>
        </w:rPr>
        <w:t>________________</w:t>
      </w:r>
      <w:r>
        <w:rPr>
          <w:lang w:val="en-GB" w:eastAsia="en-GB"/>
        </w:rPr>
        <w:br/>
      </w:r>
      <w:r w:rsidRPr="00DC35FA">
        <w:rPr>
          <w:lang w:val="en-GB" w:eastAsia="en-GB"/>
        </w:rPr>
        <w:t>Helen Guinan</w:t>
      </w:r>
      <w:r>
        <w:rPr>
          <w:lang w:val="en-GB" w:eastAsia="en-GB"/>
        </w:rPr>
        <w:br/>
      </w:r>
      <w:r w:rsidRPr="00DC35FA">
        <w:rPr>
          <w:lang w:val="en-GB" w:eastAsia="en-GB"/>
        </w:rPr>
        <w:t>Chairperson</w:t>
      </w:r>
    </w:p>
    <w:p w14:paraId="21600661" w14:textId="77777777" w:rsidR="00DC35FA" w:rsidRPr="00DC35FA" w:rsidRDefault="00DC35FA" w:rsidP="00DC35FA">
      <w:pPr>
        <w:keepLines/>
        <w:spacing w:after="120"/>
        <w:ind w:left="1440" w:hanging="1440"/>
        <w:rPr>
          <w:lang w:val="en-GB" w:eastAsia="en-GB"/>
        </w:rPr>
      </w:pPr>
      <w:r w:rsidRPr="00DC35FA">
        <w:rPr>
          <w:lang w:val="en-GB" w:eastAsia="en-GB"/>
        </w:rPr>
        <w:t xml:space="preserve">Signed: </w:t>
      </w:r>
      <w:r w:rsidRPr="00DC35FA">
        <w:rPr>
          <w:lang w:val="en-GB" w:eastAsia="en-GB"/>
        </w:rPr>
        <w:tab/>
      </w:r>
      <w:r>
        <w:rPr>
          <w:lang w:val="en-GB" w:eastAsia="en-GB"/>
        </w:rPr>
        <w:t>________________</w:t>
      </w:r>
      <w:r>
        <w:rPr>
          <w:lang w:val="en-GB" w:eastAsia="en-GB"/>
        </w:rPr>
        <w:br/>
      </w:r>
      <w:r w:rsidRPr="00DC35FA">
        <w:rPr>
          <w:lang w:val="en-GB" w:eastAsia="en-GB"/>
        </w:rPr>
        <w:t xml:space="preserve">Frank </w:t>
      </w:r>
      <w:proofErr w:type="spellStart"/>
      <w:r w:rsidRPr="00DC35FA">
        <w:rPr>
          <w:lang w:val="en-GB" w:eastAsia="en-GB"/>
        </w:rPr>
        <w:t>Cunneen</w:t>
      </w:r>
      <w:proofErr w:type="spellEnd"/>
      <w:r>
        <w:rPr>
          <w:lang w:val="en-GB" w:eastAsia="en-GB"/>
        </w:rPr>
        <w:br/>
      </w:r>
      <w:r w:rsidRPr="00DC35FA">
        <w:rPr>
          <w:lang w:val="en-GB" w:eastAsia="en-GB"/>
        </w:rPr>
        <w:t>Authority Member</w:t>
      </w:r>
    </w:p>
    <w:p w14:paraId="7BE16BAF" w14:textId="77777777" w:rsidR="00DC35FA" w:rsidRPr="00DC35FA" w:rsidRDefault="00DC35FA" w:rsidP="00CB6FF6">
      <w:pPr>
        <w:ind w:left="1440" w:hanging="1440"/>
        <w:rPr>
          <w:lang w:val="en-GB" w:eastAsia="en-GB"/>
        </w:rPr>
      </w:pPr>
      <w:r w:rsidRPr="00DC35FA">
        <w:rPr>
          <w:lang w:val="en-GB" w:eastAsia="en-GB"/>
        </w:rPr>
        <w:t>Signed:</w:t>
      </w:r>
      <w:r w:rsidRPr="00DC35FA">
        <w:rPr>
          <w:lang w:val="en-GB" w:eastAsia="en-GB"/>
        </w:rPr>
        <w:tab/>
      </w:r>
      <w:r>
        <w:rPr>
          <w:lang w:val="en-GB" w:eastAsia="en-GB"/>
        </w:rPr>
        <w:t>________________</w:t>
      </w:r>
      <w:r w:rsidR="00CB6FF6">
        <w:rPr>
          <w:lang w:val="en-GB" w:eastAsia="en-GB"/>
        </w:rPr>
        <w:br/>
      </w:r>
      <w:r w:rsidRPr="00DC35FA">
        <w:rPr>
          <w:lang w:val="en-GB" w:eastAsia="en-GB"/>
        </w:rPr>
        <w:t>Siobhan Barron</w:t>
      </w:r>
      <w:r>
        <w:rPr>
          <w:lang w:val="en-GB" w:eastAsia="en-GB"/>
        </w:rPr>
        <w:br/>
      </w:r>
      <w:r w:rsidRPr="00DC35FA">
        <w:rPr>
          <w:lang w:val="en-GB" w:eastAsia="en-GB"/>
        </w:rPr>
        <w:t>Director</w:t>
      </w:r>
    </w:p>
    <w:p w14:paraId="11ED1E79" w14:textId="77777777" w:rsidR="00DC35FA" w:rsidRPr="00B76E94" w:rsidRDefault="00DC35FA" w:rsidP="00CB6FF6">
      <w:pPr>
        <w:rPr>
          <w:lang w:val="en-GB" w:eastAsia="en-GB"/>
        </w:rPr>
      </w:pPr>
      <w:r w:rsidRPr="00DC35FA">
        <w:rPr>
          <w:lang w:val="en-GB" w:eastAsia="en-GB"/>
        </w:rPr>
        <w:t>Date:</w:t>
      </w:r>
      <w:r w:rsidRPr="00DC35FA">
        <w:rPr>
          <w:lang w:val="en-GB" w:eastAsia="en-GB"/>
        </w:rPr>
        <w:tab/>
      </w:r>
      <w:r w:rsidRPr="00DC35FA">
        <w:rPr>
          <w:lang w:val="en-GB" w:eastAsia="en-GB"/>
        </w:rPr>
        <w:tab/>
      </w:r>
      <w:r>
        <w:rPr>
          <w:lang w:val="en-GB" w:eastAsia="en-GB"/>
        </w:rPr>
        <w:t>________________</w:t>
      </w:r>
    </w:p>
    <w:p w14:paraId="50B6D236" w14:textId="77777777" w:rsidR="00421776" w:rsidRDefault="00421776" w:rsidP="00AD28EF">
      <w:pPr>
        <w:pStyle w:val="Heading2"/>
        <w:rPr>
          <w:lang w:val="en-GB" w:eastAsia="en-GB"/>
        </w:rPr>
      </w:pPr>
      <w:r w:rsidRPr="00A8372F">
        <w:rPr>
          <w:lang w:val="en-GB" w:eastAsia="en-GB"/>
        </w:rPr>
        <w:lastRenderedPageBreak/>
        <w:t>Cash Flow Statement for the year ended 31 December 201</w:t>
      </w:r>
      <w:bookmarkEnd w:id="41"/>
      <w:bookmarkEnd w:id="42"/>
      <w:bookmarkEnd w:id="43"/>
      <w:r>
        <w:rPr>
          <w:lang w:val="en-GB" w:eastAsia="en-GB"/>
        </w:rPr>
        <w:t>4</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409"/>
        <w:gridCol w:w="1139"/>
        <w:gridCol w:w="1139"/>
        <w:gridCol w:w="1234"/>
      </w:tblGrid>
      <w:tr w:rsidR="00002A40" w:rsidRPr="00A8372F" w14:paraId="560E7253" w14:textId="77777777" w:rsidTr="00002A40">
        <w:trPr>
          <w:tblHeader/>
        </w:trPr>
        <w:tc>
          <w:tcPr>
            <w:tcW w:w="4548" w:type="dxa"/>
            <w:shd w:val="clear" w:color="auto" w:fill="auto"/>
            <w:vAlign w:val="bottom"/>
          </w:tcPr>
          <w:p w14:paraId="10AB3BAF" w14:textId="77777777" w:rsidR="00002A40" w:rsidRPr="00E8422D" w:rsidRDefault="00002A40" w:rsidP="000B279D">
            <w:pPr>
              <w:pStyle w:val="TableRowHead"/>
              <w:rPr>
                <w:rFonts w:ascii="Gill Sans" w:hAnsi="Gill Sans"/>
                <w:sz w:val="24"/>
                <w:lang w:val="en-GB" w:eastAsia="en-GB"/>
              </w:rPr>
            </w:pPr>
          </w:p>
        </w:tc>
        <w:tc>
          <w:tcPr>
            <w:tcW w:w="1169" w:type="dxa"/>
            <w:shd w:val="clear" w:color="auto" w:fill="auto"/>
            <w:vAlign w:val="bottom"/>
          </w:tcPr>
          <w:p w14:paraId="141D68CA" w14:textId="77777777" w:rsidR="00002A40" w:rsidRPr="00E8422D" w:rsidRDefault="00002A40" w:rsidP="000B279D">
            <w:pPr>
              <w:pStyle w:val="TableHead"/>
              <w:jc w:val="right"/>
              <w:rPr>
                <w:sz w:val="24"/>
                <w:lang w:val="en-GB" w:eastAsia="en-GB"/>
              </w:rPr>
            </w:pPr>
            <w:r w:rsidRPr="00E8422D">
              <w:rPr>
                <w:sz w:val="24"/>
                <w:lang w:val="en-GB" w:eastAsia="en-GB"/>
              </w:rPr>
              <w:t>Notes</w:t>
            </w:r>
          </w:p>
        </w:tc>
        <w:tc>
          <w:tcPr>
            <w:tcW w:w="1169" w:type="dxa"/>
            <w:shd w:val="clear" w:color="auto" w:fill="auto"/>
            <w:vAlign w:val="bottom"/>
          </w:tcPr>
          <w:p w14:paraId="4749DA69" w14:textId="77777777" w:rsidR="00002A40" w:rsidRPr="00E8422D" w:rsidRDefault="00002A40" w:rsidP="000B279D">
            <w:pPr>
              <w:pStyle w:val="TableHead"/>
              <w:jc w:val="center"/>
              <w:rPr>
                <w:bCs/>
                <w:sz w:val="24"/>
                <w:lang w:val="en-GB" w:eastAsia="en-GB"/>
              </w:rPr>
            </w:pPr>
            <w:r>
              <w:rPr>
                <w:bCs/>
                <w:sz w:val="24"/>
                <w:lang w:val="en-GB" w:eastAsia="en-GB"/>
              </w:rPr>
              <w:t>2014</w:t>
            </w:r>
          </w:p>
        </w:tc>
        <w:tc>
          <w:tcPr>
            <w:tcW w:w="1267" w:type="dxa"/>
            <w:shd w:val="clear" w:color="auto" w:fill="auto"/>
            <w:vAlign w:val="bottom"/>
          </w:tcPr>
          <w:p w14:paraId="774CBD7E" w14:textId="77777777" w:rsidR="00002A40" w:rsidRPr="00E8422D" w:rsidRDefault="00002A40" w:rsidP="000B279D">
            <w:pPr>
              <w:pStyle w:val="TableHead"/>
              <w:jc w:val="center"/>
              <w:rPr>
                <w:bCs/>
                <w:sz w:val="24"/>
                <w:lang w:val="en-GB" w:eastAsia="en-GB"/>
              </w:rPr>
            </w:pPr>
            <w:r>
              <w:rPr>
                <w:bCs/>
                <w:sz w:val="24"/>
                <w:lang w:val="en-GB" w:eastAsia="en-GB"/>
              </w:rPr>
              <w:t>2013</w:t>
            </w:r>
          </w:p>
        </w:tc>
      </w:tr>
      <w:tr w:rsidR="00002A40" w:rsidRPr="00A8372F" w14:paraId="2C166144" w14:textId="77777777" w:rsidTr="00002A40">
        <w:tc>
          <w:tcPr>
            <w:tcW w:w="4548" w:type="dxa"/>
            <w:shd w:val="clear" w:color="auto" w:fill="auto"/>
            <w:vAlign w:val="bottom"/>
          </w:tcPr>
          <w:p w14:paraId="0344B532" w14:textId="77777777" w:rsidR="00002A40" w:rsidRPr="00E8422D" w:rsidRDefault="00002A40" w:rsidP="000B279D">
            <w:pPr>
              <w:pStyle w:val="TableRowHead"/>
              <w:rPr>
                <w:rFonts w:ascii="Gill Sans" w:hAnsi="Gill Sans"/>
                <w:sz w:val="24"/>
                <w:lang w:val="en-GB" w:eastAsia="en-GB"/>
              </w:rPr>
            </w:pPr>
          </w:p>
        </w:tc>
        <w:tc>
          <w:tcPr>
            <w:tcW w:w="1169" w:type="dxa"/>
            <w:shd w:val="clear" w:color="auto" w:fill="auto"/>
            <w:vAlign w:val="bottom"/>
          </w:tcPr>
          <w:p w14:paraId="7DE7E6DF" w14:textId="77777777" w:rsidR="00002A40" w:rsidRPr="00E8422D" w:rsidRDefault="00002A40" w:rsidP="000B279D">
            <w:pPr>
              <w:spacing w:after="0"/>
              <w:jc w:val="center"/>
              <w:rPr>
                <w:rFonts w:cs="Arial"/>
                <w:lang w:val="en-GB" w:eastAsia="en-GB"/>
              </w:rPr>
            </w:pPr>
          </w:p>
        </w:tc>
        <w:tc>
          <w:tcPr>
            <w:tcW w:w="1169" w:type="dxa"/>
            <w:shd w:val="clear" w:color="auto" w:fill="auto"/>
            <w:vAlign w:val="bottom"/>
          </w:tcPr>
          <w:p w14:paraId="4491038E" w14:textId="77777777" w:rsidR="00002A40" w:rsidRPr="00143040" w:rsidRDefault="00002A40" w:rsidP="000B279D">
            <w:pPr>
              <w:spacing w:after="0"/>
              <w:jc w:val="center"/>
              <w:rPr>
                <w:rFonts w:cs="Arial"/>
                <w:b/>
                <w:lang w:val="en-GB" w:eastAsia="en-GB"/>
              </w:rPr>
            </w:pPr>
            <w:r w:rsidRPr="00143040">
              <w:rPr>
                <w:rFonts w:cs="Arial"/>
                <w:b/>
                <w:lang w:val="en-GB" w:eastAsia="en-GB"/>
              </w:rPr>
              <w:t>€</w:t>
            </w:r>
          </w:p>
        </w:tc>
        <w:tc>
          <w:tcPr>
            <w:tcW w:w="1267" w:type="dxa"/>
            <w:shd w:val="clear" w:color="auto" w:fill="auto"/>
            <w:vAlign w:val="bottom"/>
          </w:tcPr>
          <w:p w14:paraId="0A4249D0" w14:textId="77777777" w:rsidR="00002A40" w:rsidRPr="00143040" w:rsidRDefault="00002A40" w:rsidP="000B279D">
            <w:pPr>
              <w:spacing w:after="0"/>
              <w:jc w:val="center"/>
              <w:rPr>
                <w:rFonts w:cs="Arial"/>
                <w:b/>
                <w:lang w:val="en-GB" w:eastAsia="en-GB"/>
              </w:rPr>
            </w:pPr>
            <w:r w:rsidRPr="00143040">
              <w:rPr>
                <w:rFonts w:cs="Arial"/>
                <w:b/>
                <w:lang w:val="en-GB" w:eastAsia="en-GB"/>
              </w:rPr>
              <w:t>€</w:t>
            </w:r>
          </w:p>
        </w:tc>
      </w:tr>
      <w:tr w:rsidR="00002A40" w:rsidRPr="00A8372F" w14:paraId="31923EBA" w14:textId="77777777" w:rsidTr="00002A40">
        <w:tc>
          <w:tcPr>
            <w:tcW w:w="4548" w:type="dxa"/>
            <w:shd w:val="clear" w:color="auto" w:fill="auto"/>
            <w:vAlign w:val="bottom"/>
          </w:tcPr>
          <w:p w14:paraId="719E4A16" w14:textId="77777777" w:rsidR="00002A40" w:rsidRPr="00E8422D" w:rsidRDefault="00002A40" w:rsidP="000B279D">
            <w:pPr>
              <w:pStyle w:val="TableRowHead"/>
              <w:rPr>
                <w:rFonts w:ascii="Gill Sans" w:hAnsi="Gill Sans"/>
                <w:sz w:val="24"/>
                <w:lang w:val="en-GB" w:eastAsia="en-GB"/>
              </w:rPr>
            </w:pPr>
            <w:r w:rsidRPr="00E8422D">
              <w:rPr>
                <w:rFonts w:ascii="Gill Sans" w:hAnsi="Gill Sans"/>
                <w:sz w:val="24"/>
                <w:lang w:val="en-GB" w:eastAsia="en-GB"/>
              </w:rPr>
              <w:t xml:space="preserve">Net Cash Outflow </w:t>
            </w:r>
            <w:proofErr w:type="gramStart"/>
            <w:r w:rsidRPr="00E8422D">
              <w:rPr>
                <w:rFonts w:ascii="Gill Sans" w:hAnsi="Gill Sans"/>
                <w:sz w:val="24"/>
                <w:lang w:val="en-GB" w:eastAsia="en-GB"/>
              </w:rPr>
              <w:t>From</w:t>
            </w:r>
            <w:proofErr w:type="gramEnd"/>
            <w:r w:rsidRPr="00E8422D">
              <w:rPr>
                <w:rFonts w:ascii="Gill Sans" w:hAnsi="Gill Sans"/>
                <w:sz w:val="24"/>
                <w:lang w:val="en-GB" w:eastAsia="en-GB"/>
              </w:rPr>
              <w:t xml:space="preserve"> Operating Activities</w:t>
            </w:r>
          </w:p>
        </w:tc>
        <w:tc>
          <w:tcPr>
            <w:tcW w:w="1169" w:type="dxa"/>
            <w:shd w:val="clear" w:color="auto" w:fill="auto"/>
            <w:vAlign w:val="bottom"/>
          </w:tcPr>
          <w:p w14:paraId="608D2CC5" w14:textId="77777777" w:rsidR="00002A40" w:rsidRPr="00E8422D" w:rsidRDefault="00002A40" w:rsidP="000B279D">
            <w:pPr>
              <w:pStyle w:val="TableCell"/>
              <w:rPr>
                <w:sz w:val="24"/>
                <w:lang w:val="en-GB" w:eastAsia="en-GB"/>
              </w:rPr>
            </w:pPr>
            <w:r w:rsidRPr="00E8422D">
              <w:rPr>
                <w:sz w:val="24"/>
                <w:lang w:val="en-GB" w:eastAsia="en-GB"/>
              </w:rPr>
              <w:t>9a</w:t>
            </w:r>
          </w:p>
        </w:tc>
        <w:tc>
          <w:tcPr>
            <w:tcW w:w="1169" w:type="dxa"/>
            <w:shd w:val="clear" w:color="auto" w:fill="auto"/>
            <w:vAlign w:val="bottom"/>
          </w:tcPr>
          <w:p w14:paraId="22FB684C" w14:textId="77777777" w:rsidR="00002A40" w:rsidRPr="00E8422D" w:rsidRDefault="00002A40" w:rsidP="000B279D">
            <w:pPr>
              <w:pStyle w:val="TableCell"/>
              <w:rPr>
                <w:sz w:val="24"/>
                <w:lang w:val="en-GB" w:eastAsia="en-GB"/>
              </w:rPr>
            </w:pPr>
            <w:r>
              <w:rPr>
                <w:sz w:val="24"/>
                <w:lang w:val="en-GB" w:eastAsia="en-GB"/>
              </w:rPr>
              <w:t>4,840</w:t>
            </w:r>
          </w:p>
        </w:tc>
        <w:tc>
          <w:tcPr>
            <w:tcW w:w="1267" w:type="dxa"/>
            <w:shd w:val="clear" w:color="auto" w:fill="auto"/>
            <w:vAlign w:val="bottom"/>
          </w:tcPr>
          <w:p w14:paraId="21DCE036" w14:textId="77777777" w:rsidR="00002A40" w:rsidRPr="00E8422D" w:rsidRDefault="00002A40" w:rsidP="000B279D">
            <w:pPr>
              <w:pStyle w:val="TableCell"/>
              <w:rPr>
                <w:sz w:val="24"/>
                <w:lang w:val="en-GB" w:eastAsia="en-GB"/>
              </w:rPr>
            </w:pPr>
            <w:r>
              <w:rPr>
                <w:sz w:val="24"/>
                <w:lang w:val="en-GB" w:eastAsia="en-GB"/>
              </w:rPr>
              <w:t>(6</w:t>
            </w:r>
            <w:r w:rsidRPr="00E8422D">
              <w:rPr>
                <w:sz w:val="24"/>
                <w:lang w:val="en-GB" w:eastAsia="en-GB"/>
              </w:rPr>
              <w:t>,</w:t>
            </w:r>
            <w:r>
              <w:rPr>
                <w:sz w:val="24"/>
                <w:lang w:val="en-GB" w:eastAsia="en-GB"/>
              </w:rPr>
              <w:t>038)</w:t>
            </w:r>
          </w:p>
        </w:tc>
      </w:tr>
      <w:tr w:rsidR="00002A40" w:rsidRPr="00A8372F" w14:paraId="26617A13" w14:textId="77777777" w:rsidTr="00002A40">
        <w:tc>
          <w:tcPr>
            <w:tcW w:w="8153" w:type="dxa"/>
            <w:gridSpan w:val="4"/>
            <w:shd w:val="clear" w:color="auto" w:fill="auto"/>
            <w:vAlign w:val="bottom"/>
          </w:tcPr>
          <w:p w14:paraId="527D2782" w14:textId="77777777" w:rsidR="00002A40" w:rsidRPr="00E8422D" w:rsidRDefault="00002A40" w:rsidP="000B279D">
            <w:pPr>
              <w:pStyle w:val="TableCell"/>
              <w:jc w:val="left"/>
              <w:rPr>
                <w:sz w:val="24"/>
                <w:lang w:val="en-GB" w:eastAsia="en-GB"/>
              </w:rPr>
            </w:pPr>
            <w:r w:rsidRPr="00E8422D">
              <w:rPr>
                <w:b/>
                <w:sz w:val="24"/>
                <w:lang w:val="en-GB" w:eastAsia="en-GB"/>
              </w:rPr>
              <w:t xml:space="preserve">Returns On Investments </w:t>
            </w:r>
            <w:proofErr w:type="gramStart"/>
            <w:r w:rsidRPr="00E8422D">
              <w:rPr>
                <w:b/>
                <w:sz w:val="24"/>
                <w:lang w:val="en-GB" w:eastAsia="en-GB"/>
              </w:rPr>
              <w:t>And</w:t>
            </w:r>
            <w:proofErr w:type="gramEnd"/>
            <w:r w:rsidRPr="00E8422D">
              <w:rPr>
                <w:b/>
                <w:sz w:val="24"/>
                <w:lang w:val="en-GB" w:eastAsia="en-GB"/>
              </w:rPr>
              <w:t xml:space="preserve"> Servicing Of Finance</w:t>
            </w:r>
          </w:p>
        </w:tc>
      </w:tr>
      <w:tr w:rsidR="00002A40" w:rsidRPr="00A8372F" w14:paraId="3C45183A" w14:textId="77777777" w:rsidTr="00002A40">
        <w:tc>
          <w:tcPr>
            <w:tcW w:w="4548" w:type="dxa"/>
            <w:shd w:val="clear" w:color="auto" w:fill="auto"/>
            <w:vAlign w:val="bottom"/>
          </w:tcPr>
          <w:p w14:paraId="0494E833" w14:textId="77777777" w:rsidR="00002A40" w:rsidRPr="00E8422D" w:rsidRDefault="00002A40" w:rsidP="000B279D">
            <w:pPr>
              <w:pStyle w:val="TableRowHead"/>
              <w:rPr>
                <w:rFonts w:ascii="Gill Sans" w:hAnsi="Gill Sans"/>
                <w:sz w:val="24"/>
                <w:lang w:val="en-GB" w:eastAsia="en-GB"/>
              </w:rPr>
            </w:pPr>
            <w:r w:rsidRPr="00E8422D">
              <w:rPr>
                <w:rFonts w:ascii="Gill Sans" w:hAnsi="Gill Sans"/>
                <w:sz w:val="24"/>
                <w:lang w:val="en-GB" w:eastAsia="en-GB"/>
              </w:rPr>
              <w:t xml:space="preserve">Interest Received </w:t>
            </w:r>
          </w:p>
        </w:tc>
        <w:tc>
          <w:tcPr>
            <w:tcW w:w="1169" w:type="dxa"/>
            <w:shd w:val="clear" w:color="auto" w:fill="auto"/>
            <w:vAlign w:val="bottom"/>
          </w:tcPr>
          <w:p w14:paraId="5F9C8FF8" w14:textId="77777777" w:rsidR="00002A40" w:rsidRPr="00E8422D" w:rsidRDefault="00002A40" w:rsidP="000B279D">
            <w:pPr>
              <w:pStyle w:val="TableCell"/>
              <w:rPr>
                <w:sz w:val="24"/>
                <w:lang w:val="en-GB" w:eastAsia="en-GB"/>
              </w:rPr>
            </w:pPr>
          </w:p>
        </w:tc>
        <w:tc>
          <w:tcPr>
            <w:tcW w:w="1169" w:type="dxa"/>
            <w:shd w:val="clear" w:color="auto" w:fill="auto"/>
            <w:vAlign w:val="bottom"/>
          </w:tcPr>
          <w:p w14:paraId="144BF3B7" w14:textId="77777777" w:rsidR="00002A40" w:rsidRPr="00E8422D" w:rsidRDefault="00002A40" w:rsidP="000B279D">
            <w:pPr>
              <w:pStyle w:val="TableCell"/>
              <w:rPr>
                <w:sz w:val="24"/>
                <w:lang w:val="en-GB" w:eastAsia="en-GB"/>
              </w:rPr>
            </w:pPr>
            <w:r>
              <w:rPr>
                <w:sz w:val="24"/>
                <w:lang w:val="en-GB" w:eastAsia="en-GB"/>
              </w:rPr>
              <w:t>0</w:t>
            </w:r>
            <w:r w:rsidRPr="00E8422D">
              <w:rPr>
                <w:sz w:val="24"/>
                <w:lang w:val="en-GB" w:eastAsia="en-GB"/>
              </w:rPr>
              <w:t xml:space="preserve"> </w:t>
            </w:r>
          </w:p>
        </w:tc>
        <w:tc>
          <w:tcPr>
            <w:tcW w:w="1267" w:type="dxa"/>
            <w:shd w:val="clear" w:color="auto" w:fill="auto"/>
            <w:vAlign w:val="bottom"/>
          </w:tcPr>
          <w:p w14:paraId="40D1660F" w14:textId="77777777" w:rsidR="00002A40" w:rsidRPr="00E8422D" w:rsidRDefault="00002A40" w:rsidP="000B279D">
            <w:pPr>
              <w:pStyle w:val="TableCell"/>
              <w:rPr>
                <w:sz w:val="24"/>
                <w:lang w:val="en-GB" w:eastAsia="en-GB"/>
              </w:rPr>
            </w:pPr>
            <w:r>
              <w:rPr>
                <w:sz w:val="24"/>
                <w:lang w:val="en-GB" w:eastAsia="en-GB"/>
              </w:rPr>
              <w:t>1</w:t>
            </w:r>
            <w:r w:rsidRPr="00E8422D">
              <w:rPr>
                <w:sz w:val="24"/>
                <w:lang w:val="en-GB" w:eastAsia="en-GB"/>
              </w:rPr>
              <w:t xml:space="preserve"> </w:t>
            </w:r>
          </w:p>
        </w:tc>
      </w:tr>
      <w:tr w:rsidR="00002A40" w:rsidRPr="00A8372F" w14:paraId="183D2452" w14:textId="77777777" w:rsidTr="00002A40">
        <w:tc>
          <w:tcPr>
            <w:tcW w:w="4548" w:type="dxa"/>
            <w:shd w:val="clear" w:color="auto" w:fill="auto"/>
            <w:vAlign w:val="bottom"/>
          </w:tcPr>
          <w:p w14:paraId="41BF4D8D" w14:textId="77777777" w:rsidR="00002A40" w:rsidRPr="00E8422D" w:rsidRDefault="00002A40" w:rsidP="000B279D">
            <w:pPr>
              <w:pStyle w:val="TableRowHead"/>
              <w:rPr>
                <w:rFonts w:ascii="Gill Sans" w:hAnsi="Gill Sans"/>
                <w:sz w:val="24"/>
                <w:lang w:val="en-GB" w:eastAsia="en-GB"/>
              </w:rPr>
            </w:pPr>
            <w:r w:rsidRPr="00E8422D">
              <w:rPr>
                <w:rFonts w:ascii="Gill Sans" w:hAnsi="Gill Sans"/>
                <w:sz w:val="24"/>
                <w:lang w:val="en-GB" w:eastAsia="en-GB"/>
              </w:rPr>
              <w:t xml:space="preserve">Net Inflow </w:t>
            </w:r>
            <w:proofErr w:type="gramStart"/>
            <w:r w:rsidRPr="00E8422D">
              <w:rPr>
                <w:rFonts w:ascii="Gill Sans" w:hAnsi="Gill Sans"/>
                <w:sz w:val="24"/>
                <w:lang w:val="en-GB" w:eastAsia="en-GB"/>
              </w:rPr>
              <w:t>From</w:t>
            </w:r>
            <w:proofErr w:type="gramEnd"/>
            <w:r w:rsidRPr="00E8422D">
              <w:rPr>
                <w:rFonts w:ascii="Gill Sans" w:hAnsi="Gill Sans"/>
                <w:sz w:val="24"/>
                <w:lang w:val="en-GB" w:eastAsia="en-GB"/>
              </w:rPr>
              <w:t xml:space="preserve"> Returns On Investments And Servicing Of Finance </w:t>
            </w:r>
          </w:p>
        </w:tc>
        <w:tc>
          <w:tcPr>
            <w:tcW w:w="1169" w:type="dxa"/>
            <w:shd w:val="clear" w:color="auto" w:fill="auto"/>
            <w:vAlign w:val="bottom"/>
          </w:tcPr>
          <w:p w14:paraId="630EE3F3" w14:textId="77777777" w:rsidR="00002A40" w:rsidRPr="00E8422D" w:rsidRDefault="00002A40" w:rsidP="000B279D">
            <w:pPr>
              <w:pStyle w:val="TableCell"/>
              <w:rPr>
                <w:sz w:val="24"/>
                <w:lang w:val="en-GB" w:eastAsia="en-GB"/>
              </w:rPr>
            </w:pPr>
          </w:p>
        </w:tc>
        <w:tc>
          <w:tcPr>
            <w:tcW w:w="1169" w:type="dxa"/>
            <w:shd w:val="clear" w:color="auto" w:fill="auto"/>
            <w:vAlign w:val="bottom"/>
          </w:tcPr>
          <w:p w14:paraId="4D4BD74A" w14:textId="77777777" w:rsidR="00002A40" w:rsidRPr="00E8422D" w:rsidRDefault="00002A40" w:rsidP="000B279D">
            <w:pPr>
              <w:pStyle w:val="TableCell"/>
              <w:rPr>
                <w:sz w:val="24"/>
                <w:lang w:val="en-GB" w:eastAsia="en-GB"/>
              </w:rPr>
            </w:pPr>
            <w:r>
              <w:rPr>
                <w:sz w:val="24"/>
                <w:lang w:val="en-GB" w:eastAsia="en-GB"/>
              </w:rPr>
              <w:t>0</w:t>
            </w:r>
            <w:r w:rsidRPr="00E8422D">
              <w:rPr>
                <w:sz w:val="24"/>
                <w:lang w:val="en-GB" w:eastAsia="en-GB"/>
              </w:rPr>
              <w:t xml:space="preserve"> </w:t>
            </w:r>
          </w:p>
        </w:tc>
        <w:tc>
          <w:tcPr>
            <w:tcW w:w="1267" w:type="dxa"/>
            <w:shd w:val="clear" w:color="auto" w:fill="auto"/>
            <w:vAlign w:val="bottom"/>
          </w:tcPr>
          <w:p w14:paraId="718F0EF1" w14:textId="77777777" w:rsidR="00002A40" w:rsidRPr="00E8422D" w:rsidRDefault="00002A40" w:rsidP="000B279D">
            <w:pPr>
              <w:pStyle w:val="TableCell"/>
              <w:rPr>
                <w:sz w:val="24"/>
                <w:lang w:val="en-GB" w:eastAsia="en-GB"/>
              </w:rPr>
            </w:pPr>
            <w:r>
              <w:rPr>
                <w:sz w:val="24"/>
                <w:lang w:val="en-GB" w:eastAsia="en-GB"/>
              </w:rPr>
              <w:t>1</w:t>
            </w:r>
            <w:r w:rsidRPr="00E8422D">
              <w:rPr>
                <w:sz w:val="24"/>
                <w:lang w:val="en-GB" w:eastAsia="en-GB"/>
              </w:rPr>
              <w:t xml:space="preserve"> </w:t>
            </w:r>
          </w:p>
        </w:tc>
      </w:tr>
      <w:tr w:rsidR="00002A40" w:rsidRPr="00A8372F" w14:paraId="327056CE" w14:textId="77777777" w:rsidTr="00002A40">
        <w:tc>
          <w:tcPr>
            <w:tcW w:w="8153" w:type="dxa"/>
            <w:gridSpan w:val="4"/>
            <w:shd w:val="clear" w:color="auto" w:fill="auto"/>
            <w:vAlign w:val="bottom"/>
          </w:tcPr>
          <w:p w14:paraId="7CA71F7F" w14:textId="77777777" w:rsidR="00002A40" w:rsidRPr="00E8422D" w:rsidRDefault="00002A40" w:rsidP="00002A40">
            <w:pPr>
              <w:pStyle w:val="TableCell"/>
              <w:jc w:val="left"/>
              <w:rPr>
                <w:sz w:val="24"/>
                <w:lang w:val="en-GB" w:eastAsia="en-GB"/>
              </w:rPr>
            </w:pPr>
            <w:r w:rsidRPr="00002A40">
              <w:rPr>
                <w:b/>
                <w:sz w:val="24"/>
                <w:lang w:val="en-GB" w:eastAsia="en-GB"/>
              </w:rPr>
              <w:t>Investing</w:t>
            </w:r>
            <w:r w:rsidRPr="00E8422D">
              <w:rPr>
                <w:b/>
                <w:bCs/>
                <w:sz w:val="24"/>
                <w:lang w:val="en-GB" w:eastAsia="en-GB"/>
              </w:rPr>
              <w:t xml:space="preserve"> Activities</w:t>
            </w:r>
          </w:p>
        </w:tc>
      </w:tr>
      <w:tr w:rsidR="00002A40" w:rsidRPr="00A8372F" w14:paraId="17E5953C" w14:textId="77777777" w:rsidTr="00002A40">
        <w:tc>
          <w:tcPr>
            <w:tcW w:w="4548" w:type="dxa"/>
            <w:shd w:val="clear" w:color="auto" w:fill="auto"/>
            <w:vAlign w:val="bottom"/>
          </w:tcPr>
          <w:p w14:paraId="1ABEE67E" w14:textId="77777777" w:rsidR="00002A40" w:rsidRPr="00E8422D" w:rsidRDefault="00002A40" w:rsidP="000B279D">
            <w:pPr>
              <w:pStyle w:val="TableRowHead"/>
              <w:rPr>
                <w:rFonts w:ascii="Gill Sans" w:hAnsi="Gill Sans"/>
                <w:sz w:val="24"/>
                <w:lang w:val="en-GB" w:eastAsia="en-GB"/>
              </w:rPr>
            </w:pPr>
            <w:r w:rsidRPr="00E8422D">
              <w:rPr>
                <w:rFonts w:ascii="Gill Sans" w:hAnsi="Gill Sans"/>
                <w:sz w:val="24"/>
                <w:lang w:val="en-GB" w:eastAsia="en-GB"/>
              </w:rPr>
              <w:t>Purchase Of Fixed Assets</w:t>
            </w:r>
          </w:p>
        </w:tc>
        <w:tc>
          <w:tcPr>
            <w:tcW w:w="1169" w:type="dxa"/>
            <w:shd w:val="clear" w:color="auto" w:fill="auto"/>
            <w:vAlign w:val="bottom"/>
          </w:tcPr>
          <w:p w14:paraId="289D3875" w14:textId="77777777" w:rsidR="00002A40" w:rsidRPr="00E8422D" w:rsidRDefault="00002A40" w:rsidP="000B279D">
            <w:pPr>
              <w:pStyle w:val="TableCell"/>
              <w:rPr>
                <w:sz w:val="24"/>
                <w:lang w:val="en-GB" w:eastAsia="en-GB"/>
              </w:rPr>
            </w:pPr>
            <w:r>
              <w:rPr>
                <w:sz w:val="24"/>
                <w:lang w:val="en-GB" w:eastAsia="en-GB"/>
              </w:rPr>
              <w:t>7</w:t>
            </w:r>
          </w:p>
        </w:tc>
        <w:tc>
          <w:tcPr>
            <w:tcW w:w="1169" w:type="dxa"/>
            <w:shd w:val="clear" w:color="auto" w:fill="auto"/>
            <w:vAlign w:val="bottom"/>
          </w:tcPr>
          <w:p w14:paraId="328B9B53" w14:textId="77777777" w:rsidR="00002A40" w:rsidRPr="00E8422D" w:rsidRDefault="00002A40" w:rsidP="000B279D">
            <w:pPr>
              <w:pStyle w:val="TableCell"/>
              <w:rPr>
                <w:sz w:val="24"/>
                <w:lang w:val="en-GB" w:eastAsia="en-GB"/>
              </w:rPr>
            </w:pPr>
            <w:r>
              <w:rPr>
                <w:sz w:val="24"/>
                <w:lang w:val="en-GB" w:eastAsia="en-GB"/>
              </w:rPr>
              <w:t>(5,179)</w:t>
            </w:r>
          </w:p>
        </w:tc>
        <w:tc>
          <w:tcPr>
            <w:tcW w:w="1267" w:type="dxa"/>
            <w:shd w:val="clear" w:color="auto" w:fill="auto"/>
            <w:vAlign w:val="bottom"/>
          </w:tcPr>
          <w:p w14:paraId="30D2892F" w14:textId="77777777" w:rsidR="00002A40" w:rsidRPr="00E8422D" w:rsidRDefault="00002A40" w:rsidP="000B279D">
            <w:pPr>
              <w:pStyle w:val="TableCell"/>
              <w:rPr>
                <w:sz w:val="24"/>
                <w:lang w:val="en-GB" w:eastAsia="en-GB"/>
              </w:rPr>
            </w:pPr>
            <w:r>
              <w:rPr>
                <w:sz w:val="24"/>
                <w:lang w:val="en-GB" w:eastAsia="en-GB"/>
              </w:rPr>
              <w:t>0</w:t>
            </w:r>
          </w:p>
        </w:tc>
      </w:tr>
      <w:tr w:rsidR="00002A40" w:rsidRPr="00A8372F" w14:paraId="7E8DF875" w14:textId="77777777" w:rsidTr="00002A40">
        <w:tc>
          <w:tcPr>
            <w:tcW w:w="4548" w:type="dxa"/>
            <w:shd w:val="clear" w:color="auto" w:fill="auto"/>
            <w:vAlign w:val="bottom"/>
          </w:tcPr>
          <w:p w14:paraId="5D9AEB5F" w14:textId="77777777" w:rsidR="00002A40" w:rsidRPr="00E8422D" w:rsidRDefault="00002A40" w:rsidP="000B279D">
            <w:pPr>
              <w:pStyle w:val="TableRowHead"/>
              <w:rPr>
                <w:rFonts w:ascii="Gill Sans" w:hAnsi="Gill Sans"/>
                <w:sz w:val="24"/>
                <w:lang w:val="en-GB" w:eastAsia="en-GB"/>
              </w:rPr>
            </w:pPr>
            <w:r w:rsidRPr="00E8422D">
              <w:rPr>
                <w:rFonts w:ascii="Gill Sans" w:hAnsi="Gill Sans"/>
                <w:sz w:val="24"/>
                <w:lang w:val="en-GB" w:eastAsia="en-GB"/>
              </w:rPr>
              <w:t xml:space="preserve">Proceeds On Disposal </w:t>
            </w:r>
            <w:proofErr w:type="gramStart"/>
            <w:r w:rsidRPr="00E8422D">
              <w:rPr>
                <w:rFonts w:ascii="Gill Sans" w:hAnsi="Gill Sans"/>
                <w:sz w:val="24"/>
                <w:lang w:val="en-GB" w:eastAsia="en-GB"/>
              </w:rPr>
              <w:t>Of</w:t>
            </w:r>
            <w:proofErr w:type="gramEnd"/>
            <w:r w:rsidRPr="00E8422D">
              <w:rPr>
                <w:rFonts w:ascii="Gill Sans" w:hAnsi="Gill Sans"/>
                <w:sz w:val="24"/>
                <w:lang w:val="en-GB" w:eastAsia="en-GB"/>
              </w:rPr>
              <w:t xml:space="preserve"> Fixed Assets </w:t>
            </w:r>
          </w:p>
        </w:tc>
        <w:tc>
          <w:tcPr>
            <w:tcW w:w="1169" w:type="dxa"/>
            <w:shd w:val="clear" w:color="auto" w:fill="auto"/>
            <w:vAlign w:val="bottom"/>
          </w:tcPr>
          <w:p w14:paraId="1B448DC8" w14:textId="77777777" w:rsidR="00002A40" w:rsidRPr="00E8422D" w:rsidRDefault="00002A40" w:rsidP="000B279D">
            <w:pPr>
              <w:pStyle w:val="TableCell"/>
              <w:rPr>
                <w:sz w:val="24"/>
                <w:lang w:val="en-GB" w:eastAsia="en-GB"/>
              </w:rPr>
            </w:pPr>
          </w:p>
        </w:tc>
        <w:tc>
          <w:tcPr>
            <w:tcW w:w="1169" w:type="dxa"/>
            <w:shd w:val="clear" w:color="auto" w:fill="auto"/>
            <w:vAlign w:val="bottom"/>
          </w:tcPr>
          <w:p w14:paraId="2FFFE535" w14:textId="77777777" w:rsidR="00002A40" w:rsidRPr="00E8422D" w:rsidRDefault="00002A40" w:rsidP="000B279D">
            <w:pPr>
              <w:pStyle w:val="TableCell"/>
              <w:rPr>
                <w:sz w:val="24"/>
                <w:lang w:val="en-GB" w:eastAsia="en-GB"/>
              </w:rPr>
            </w:pPr>
            <w:r w:rsidRPr="00E8422D">
              <w:rPr>
                <w:sz w:val="24"/>
                <w:lang w:val="en-GB" w:eastAsia="en-GB"/>
              </w:rPr>
              <w:t xml:space="preserve">0 </w:t>
            </w:r>
          </w:p>
        </w:tc>
        <w:tc>
          <w:tcPr>
            <w:tcW w:w="1267" w:type="dxa"/>
            <w:shd w:val="clear" w:color="auto" w:fill="auto"/>
            <w:vAlign w:val="bottom"/>
          </w:tcPr>
          <w:p w14:paraId="0708FAE6" w14:textId="77777777" w:rsidR="00002A40" w:rsidRPr="00E8422D" w:rsidRDefault="00002A40" w:rsidP="000B279D">
            <w:pPr>
              <w:pStyle w:val="TableCell"/>
              <w:rPr>
                <w:sz w:val="24"/>
                <w:lang w:val="en-GB" w:eastAsia="en-GB"/>
              </w:rPr>
            </w:pPr>
            <w:r w:rsidRPr="00E8422D">
              <w:rPr>
                <w:sz w:val="24"/>
                <w:lang w:val="en-GB" w:eastAsia="en-GB"/>
              </w:rPr>
              <w:t xml:space="preserve">0 </w:t>
            </w:r>
          </w:p>
        </w:tc>
      </w:tr>
      <w:tr w:rsidR="00002A40" w:rsidRPr="00A8372F" w14:paraId="12FF7453" w14:textId="77777777" w:rsidTr="00002A40">
        <w:tc>
          <w:tcPr>
            <w:tcW w:w="4548" w:type="dxa"/>
            <w:shd w:val="clear" w:color="auto" w:fill="auto"/>
            <w:vAlign w:val="bottom"/>
          </w:tcPr>
          <w:p w14:paraId="27819578" w14:textId="77777777" w:rsidR="00002A40" w:rsidRPr="00E8422D" w:rsidRDefault="00002A40" w:rsidP="000B279D">
            <w:pPr>
              <w:pStyle w:val="TableRowHead"/>
              <w:rPr>
                <w:rFonts w:ascii="Gill Sans" w:hAnsi="Gill Sans"/>
                <w:sz w:val="24"/>
                <w:lang w:val="en-GB" w:eastAsia="en-GB"/>
              </w:rPr>
            </w:pPr>
            <w:r w:rsidRPr="00E8422D">
              <w:rPr>
                <w:rFonts w:ascii="Gill Sans" w:hAnsi="Gill Sans"/>
                <w:sz w:val="24"/>
                <w:lang w:val="en-GB" w:eastAsia="en-GB"/>
              </w:rPr>
              <w:t xml:space="preserve">Net Cash Outflow </w:t>
            </w:r>
            <w:proofErr w:type="gramStart"/>
            <w:r w:rsidRPr="00E8422D">
              <w:rPr>
                <w:rFonts w:ascii="Gill Sans" w:hAnsi="Gill Sans"/>
                <w:sz w:val="24"/>
                <w:lang w:val="en-GB" w:eastAsia="en-GB"/>
              </w:rPr>
              <w:t>From</w:t>
            </w:r>
            <w:proofErr w:type="gramEnd"/>
            <w:r w:rsidRPr="00E8422D">
              <w:rPr>
                <w:rFonts w:ascii="Gill Sans" w:hAnsi="Gill Sans"/>
                <w:sz w:val="24"/>
                <w:lang w:val="en-GB" w:eastAsia="en-GB"/>
              </w:rPr>
              <w:t xml:space="preserve"> Investing Activities</w:t>
            </w:r>
          </w:p>
        </w:tc>
        <w:tc>
          <w:tcPr>
            <w:tcW w:w="1169" w:type="dxa"/>
            <w:shd w:val="clear" w:color="auto" w:fill="auto"/>
            <w:vAlign w:val="bottom"/>
          </w:tcPr>
          <w:p w14:paraId="314FE4E7" w14:textId="77777777" w:rsidR="00002A40" w:rsidRPr="00E8422D" w:rsidRDefault="00002A40" w:rsidP="000B279D">
            <w:pPr>
              <w:pStyle w:val="TableCell"/>
              <w:rPr>
                <w:sz w:val="24"/>
                <w:lang w:val="en-GB" w:eastAsia="en-GB"/>
              </w:rPr>
            </w:pPr>
          </w:p>
        </w:tc>
        <w:tc>
          <w:tcPr>
            <w:tcW w:w="1169" w:type="dxa"/>
            <w:shd w:val="clear" w:color="auto" w:fill="auto"/>
            <w:vAlign w:val="bottom"/>
          </w:tcPr>
          <w:p w14:paraId="610D3042" w14:textId="77777777" w:rsidR="00002A40" w:rsidRPr="00E8422D" w:rsidRDefault="00002A40" w:rsidP="000B279D">
            <w:pPr>
              <w:pStyle w:val="TableCell"/>
              <w:rPr>
                <w:sz w:val="24"/>
                <w:lang w:val="en-GB" w:eastAsia="en-GB"/>
              </w:rPr>
            </w:pPr>
            <w:r>
              <w:rPr>
                <w:sz w:val="24"/>
                <w:lang w:val="en-GB" w:eastAsia="en-GB"/>
              </w:rPr>
              <w:t>0</w:t>
            </w:r>
          </w:p>
        </w:tc>
        <w:tc>
          <w:tcPr>
            <w:tcW w:w="1267" w:type="dxa"/>
            <w:shd w:val="clear" w:color="auto" w:fill="auto"/>
            <w:vAlign w:val="bottom"/>
          </w:tcPr>
          <w:p w14:paraId="5201329C" w14:textId="77777777" w:rsidR="00002A40" w:rsidRPr="00E8422D" w:rsidRDefault="00002A40" w:rsidP="000B279D">
            <w:pPr>
              <w:pStyle w:val="TableCell"/>
              <w:rPr>
                <w:sz w:val="24"/>
                <w:lang w:val="en-GB" w:eastAsia="en-GB"/>
              </w:rPr>
            </w:pPr>
            <w:r>
              <w:rPr>
                <w:sz w:val="24"/>
                <w:lang w:val="en-GB" w:eastAsia="en-GB"/>
              </w:rPr>
              <w:t>0</w:t>
            </w:r>
          </w:p>
        </w:tc>
      </w:tr>
      <w:tr w:rsidR="00002A40" w:rsidRPr="00A8372F" w14:paraId="3E5575A9" w14:textId="77777777" w:rsidTr="00002A40">
        <w:tc>
          <w:tcPr>
            <w:tcW w:w="8153" w:type="dxa"/>
            <w:gridSpan w:val="4"/>
            <w:shd w:val="clear" w:color="auto" w:fill="auto"/>
            <w:vAlign w:val="bottom"/>
          </w:tcPr>
          <w:p w14:paraId="6D1E4BF9" w14:textId="77777777" w:rsidR="00002A40" w:rsidRPr="00E8422D" w:rsidRDefault="00002A40" w:rsidP="000B279D">
            <w:pPr>
              <w:pStyle w:val="TableCell"/>
              <w:rPr>
                <w:sz w:val="24"/>
                <w:lang w:val="en-GB" w:eastAsia="en-GB"/>
              </w:rPr>
            </w:pPr>
          </w:p>
        </w:tc>
      </w:tr>
      <w:tr w:rsidR="00002A40" w:rsidRPr="00A8372F" w14:paraId="2FE31394" w14:textId="77777777" w:rsidTr="00002A40">
        <w:tc>
          <w:tcPr>
            <w:tcW w:w="4548" w:type="dxa"/>
            <w:shd w:val="clear" w:color="auto" w:fill="auto"/>
            <w:vAlign w:val="bottom"/>
          </w:tcPr>
          <w:p w14:paraId="6F8FA4F1" w14:textId="77777777" w:rsidR="00002A40" w:rsidRPr="00E8422D" w:rsidRDefault="00002A40" w:rsidP="000B279D">
            <w:pPr>
              <w:pStyle w:val="TableRowHead"/>
              <w:rPr>
                <w:rFonts w:ascii="Gill Sans" w:hAnsi="Gill Sans"/>
                <w:sz w:val="24"/>
                <w:lang w:val="en-GB" w:eastAsia="en-GB"/>
              </w:rPr>
            </w:pPr>
            <w:r>
              <w:rPr>
                <w:rFonts w:ascii="Gill Sans" w:hAnsi="Gill Sans"/>
                <w:sz w:val="24"/>
                <w:lang w:val="en-GB" w:eastAsia="en-GB"/>
              </w:rPr>
              <w:t>Increase / (</w:t>
            </w:r>
            <w:r w:rsidRPr="00E8422D">
              <w:rPr>
                <w:rFonts w:ascii="Gill Sans" w:hAnsi="Gill Sans"/>
                <w:sz w:val="24"/>
                <w:lang w:val="en-GB" w:eastAsia="en-GB"/>
              </w:rPr>
              <w:t>Decrease</w:t>
            </w:r>
            <w:r>
              <w:rPr>
                <w:rFonts w:ascii="Gill Sans" w:hAnsi="Gill Sans"/>
                <w:sz w:val="24"/>
                <w:lang w:val="en-GB" w:eastAsia="en-GB"/>
              </w:rPr>
              <w:t>)</w:t>
            </w:r>
            <w:r w:rsidRPr="00E8422D">
              <w:rPr>
                <w:rFonts w:ascii="Gill Sans" w:hAnsi="Gill Sans"/>
                <w:sz w:val="24"/>
                <w:lang w:val="en-GB" w:eastAsia="en-GB"/>
              </w:rPr>
              <w:t xml:space="preserve"> In Cash </w:t>
            </w:r>
            <w:proofErr w:type="gramStart"/>
            <w:r w:rsidRPr="00E8422D">
              <w:rPr>
                <w:rFonts w:ascii="Gill Sans" w:hAnsi="Gill Sans"/>
                <w:sz w:val="24"/>
                <w:lang w:val="en-GB" w:eastAsia="en-GB"/>
              </w:rPr>
              <w:t>At</w:t>
            </w:r>
            <w:proofErr w:type="gramEnd"/>
            <w:r w:rsidRPr="00E8422D">
              <w:rPr>
                <w:rFonts w:ascii="Gill Sans" w:hAnsi="Gill Sans"/>
                <w:sz w:val="24"/>
                <w:lang w:val="en-GB" w:eastAsia="en-GB"/>
              </w:rPr>
              <w:t xml:space="preserve"> Bank And In Hand</w:t>
            </w:r>
          </w:p>
        </w:tc>
        <w:tc>
          <w:tcPr>
            <w:tcW w:w="1169" w:type="dxa"/>
            <w:shd w:val="clear" w:color="auto" w:fill="auto"/>
            <w:vAlign w:val="bottom"/>
          </w:tcPr>
          <w:p w14:paraId="74B79581" w14:textId="77777777" w:rsidR="00002A40" w:rsidRPr="00E8422D" w:rsidRDefault="00002A40" w:rsidP="000B279D">
            <w:pPr>
              <w:pStyle w:val="TableCell"/>
              <w:rPr>
                <w:sz w:val="24"/>
                <w:lang w:val="en-GB" w:eastAsia="en-GB"/>
              </w:rPr>
            </w:pPr>
            <w:r>
              <w:rPr>
                <w:sz w:val="24"/>
                <w:lang w:val="en-GB" w:eastAsia="en-GB"/>
              </w:rPr>
              <w:t>9b</w:t>
            </w:r>
          </w:p>
        </w:tc>
        <w:tc>
          <w:tcPr>
            <w:tcW w:w="1169" w:type="dxa"/>
            <w:shd w:val="clear" w:color="auto" w:fill="auto"/>
            <w:vAlign w:val="bottom"/>
          </w:tcPr>
          <w:p w14:paraId="41EF5BB1" w14:textId="77777777" w:rsidR="00002A40" w:rsidRPr="00FB5D96" w:rsidRDefault="00002A40" w:rsidP="000B279D">
            <w:pPr>
              <w:pStyle w:val="TableCell"/>
              <w:rPr>
                <w:sz w:val="24"/>
                <w:highlight w:val="yellow"/>
                <w:lang w:val="en-GB" w:eastAsia="en-GB"/>
              </w:rPr>
            </w:pPr>
            <w:r w:rsidRPr="00DF75A2">
              <w:rPr>
                <w:sz w:val="24"/>
                <w:lang w:val="en-GB" w:eastAsia="en-GB"/>
              </w:rPr>
              <w:t>(339</w:t>
            </w:r>
            <w:r>
              <w:rPr>
                <w:sz w:val="24"/>
                <w:lang w:val="en-GB" w:eastAsia="en-GB"/>
              </w:rPr>
              <w:t>)</w:t>
            </w:r>
          </w:p>
        </w:tc>
        <w:tc>
          <w:tcPr>
            <w:tcW w:w="1267" w:type="dxa"/>
            <w:shd w:val="clear" w:color="auto" w:fill="auto"/>
            <w:vAlign w:val="bottom"/>
          </w:tcPr>
          <w:p w14:paraId="169D6973" w14:textId="77777777" w:rsidR="00002A40" w:rsidRPr="00FB5D96" w:rsidRDefault="00002A40" w:rsidP="000B279D">
            <w:pPr>
              <w:pStyle w:val="TableCell"/>
              <w:rPr>
                <w:sz w:val="24"/>
                <w:highlight w:val="yellow"/>
                <w:lang w:val="en-GB" w:eastAsia="en-GB"/>
              </w:rPr>
            </w:pPr>
            <w:r w:rsidRPr="00DF75A2">
              <w:rPr>
                <w:sz w:val="24"/>
                <w:lang w:val="en-GB" w:eastAsia="en-GB"/>
              </w:rPr>
              <w:t>(6,037)</w:t>
            </w:r>
          </w:p>
        </w:tc>
      </w:tr>
    </w:tbl>
    <w:p w14:paraId="3572F473" w14:textId="77777777" w:rsidR="00421776" w:rsidRDefault="00002A40" w:rsidP="00AD28EF">
      <w:pPr>
        <w:rPr>
          <w:lang w:val="en-GB" w:eastAsia="en-GB"/>
        </w:rPr>
      </w:pPr>
      <w:r>
        <w:rPr>
          <w:lang w:val="en-GB" w:eastAsia="en-GB"/>
        </w:rPr>
        <w:br/>
      </w:r>
      <w:r w:rsidRPr="00002A40">
        <w:rPr>
          <w:lang w:val="en-GB" w:eastAsia="en-GB"/>
        </w:rPr>
        <w:t>The Statement of Accounting Policies, the Cash Flow Statement and Notes 1 to 16 form part of these Financial Statements.</w:t>
      </w:r>
    </w:p>
    <w:p w14:paraId="1618B7E5" w14:textId="77777777" w:rsidR="00DC35FA" w:rsidRPr="00DC35FA" w:rsidRDefault="00DC35FA" w:rsidP="00DC35FA">
      <w:pPr>
        <w:keepLines/>
        <w:spacing w:after="120"/>
        <w:ind w:left="1440" w:hanging="1440"/>
        <w:rPr>
          <w:lang w:val="en-GB" w:eastAsia="en-GB"/>
        </w:rPr>
      </w:pPr>
      <w:bookmarkStart w:id="44" w:name="_Toc335836393"/>
      <w:bookmarkStart w:id="45" w:name="_Toc335983439"/>
      <w:bookmarkStart w:id="46" w:name="_Toc335986608"/>
      <w:r w:rsidRPr="00DC35FA">
        <w:rPr>
          <w:lang w:val="en-GB" w:eastAsia="en-GB"/>
        </w:rPr>
        <w:t>Signed:</w:t>
      </w:r>
      <w:r w:rsidRPr="00DC35FA">
        <w:rPr>
          <w:lang w:val="en-GB" w:eastAsia="en-GB"/>
        </w:rPr>
        <w:tab/>
      </w:r>
      <w:r>
        <w:rPr>
          <w:lang w:val="en-GB" w:eastAsia="en-GB"/>
        </w:rPr>
        <w:t>________________</w:t>
      </w:r>
      <w:r>
        <w:rPr>
          <w:lang w:val="en-GB" w:eastAsia="en-GB"/>
        </w:rPr>
        <w:br/>
      </w:r>
      <w:r w:rsidRPr="00DC35FA">
        <w:rPr>
          <w:lang w:val="en-GB" w:eastAsia="en-GB"/>
        </w:rPr>
        <w:t>Helen Guinan</w:t>
      </w:r>
      <w:r>
        <w:rPr>
          <w:lang w:val="en-GB" w:eastAsia="en-GB"/>
        </w:rPr>
        <w:br/>
      </w:r>
      <w:r w:rsidRPr="00DC35FA">
        <w:rPr>
          <w:lang w:val="en-GB" w:eastAsia="en-GB"/>
        </w:rPr>
        <w:t>Chairperson</w:t>
      </w:r>
    </w:p>
    <w:p w14:paraId="4D53970B" w14:textId="77777777" w:rsidR="00DC35FA" w:rsidRPr="00DC35FA" w:rsidRDefault="00DC35FA" w:rsidP="00DC35FA">
      <w:pPr>
        <w:keepLines/>
        <w:spacing w:after="120"/>
        <w:ind w:left="1440" w:hanging="1440"/>
        <w:rPr>
          <w:lang w:val="en-GB" w:eastAsia="en-GB"/>
        </w:rPr>
      </w:pPr>
      <w:r w:rsidRPr="00DC35FA">
        <w:rPr>
          <w:lang w:val="en-GB" w:eastAsia="en-GB"/>
        </w:rPr>
        <w:t xml:space="preserve">Signed: </w:t>
      </w:r>
      <w:r w:rsidRPr="00DC35FA">
        <w:rPr>
          <w:lang w:val="en-GB" w:eastAsia="en-GB"/>
        </w:rPr>
        <w:tab/>
      </w:r>
      <w:r>
        <w:rPr>
          <w:lang w:val="en-GB" w:eastAsia="en-GB"/>
        </w:rPr>
        <w:t>________________</w:t>
      </w:r>
      <w:r>
        <w:rPr>
          <w:lang w:val="en-GB" w:eastAsia="en-GB"/>
        </w:rPr>
        <w:br/>
      </w:r>
      <w:r w:rsidRPr="00DC35FA">
        <w:rPr>
          <w:lang w:val="en-GB" w:eastAsia="en-GB"/>
        </w:rPr>
        <w:t xml:space="preserve">Frank </w:t>
      </w:r>
      <w:proofErr w:type="spellStart"/>
      <w:r w:rsidRPr="00DC35FA">
        <w:rPr>
          <w:lang w:val="en-GB" w:eastAsia="en-GB"/>
        </w:rPr>
        <w:t>Cunneen</w:t>
      </w:r>
      <w:proofErr w:type="spellEnd"/>
      <w:r>
        <w:rPr>
          <w:lang w:val="en-GB" w:eastAsia="en-GB"/>
        </w:rPr>
        <w:br/>
      </w:r>
      <w:r w:rsidRPr="00DC35FA">
        <w:rPr>
          <w:lang w:val="en-GB" w:eastAsia="en-GB"/>
        </w:rPr>
        <w:t>Authority Member</w:t>
      </w:r>
    </w:p>
    <w:p w14:paraId="1AD66C72" w14:textId="77777777" w:rsidR="00DC35FA" w:rsidRPr="00DC35FA" w:rsidRDefault="00DC35FA" w:rsidP="00CB6FF6">
      <w:pPr>
        <w:ind w:left="1440" w:hanging="1440"/>
        <w:rPr>
          <w:lang w:val="en-GB" w:eastAsia="en-GB"/>
        </w:rPr>
      </w:pPr>
      <w:r w:rsidRPr="00DC35FA">
        <w:rPr>
          <w:lang w:val="en-GB" w:eastAsia="en-GB"/>
        </w:rPr>
        <w:t>Signed:</w:t>
      </w:r>
      <w:r w:rsidRPr="00DC35FA">
        <w:rPr>
          <w:lang w:val="en-GB" w:eastAsia="en-GB"/>
        </w:rPr>
        <w:tab/>
      </w:r>
      <w:r>
        <w:rPr>
          <w:lang w:val="en-GB" w:eastAsia="en-GB"/>
        </w:rPr>
        <w:t>________________</w:t>
      </w:r>
      <w:r w:rsidR="00CB6FF6">
        <w:rPr>
          <w:lang w:val="en-GB" w:eastAsia="en-GB"/>
        </w:rPr>
        <w:br/>
      </w:r>
      <w:r w:rsidRPr="00DC35FA">
        <w:rPr>
          <w:lang w:val="en-GB" w:eastAsia="en-GB"/>
        </w:rPr>
        <w:t>Siobhan Barron</w:t>
      </w:r>
      <w:r>
        <w:rPr>
          <w:lang w:val="en-GB" w:eastAsia="en-GB"/>
        </w:rPr>
        <w:br/>
      </w:r>
      <w:r w:rsidRPr="00DC35FA">
        <w:rPr>
          <w:lang w:val="en-GB" w:eastAsia="en-GB"/>
        </w:rPr>
        <w:t>Director</w:t>
      </w:r>
    </w:p>
    <w:p w14:paraId="2F0B1706" w14:textId="77777777" w:rsidR="00DC35FA" w:rsidRPr="00B76E94" w:rsidRDefault="00DC35FA" w:rsidP="00CB6FF6">
      <w:pPr>
        <w:rPr>
          <w:lang w:val="en-GB" w:eastAsia="en-GB"/>
        </w:rPr>
      </w:pPr>
      <w:r w:rsidRPr="00DC35FA">
        <w:rPr>
          <w:lang w:val="en-GB" w:eastAsia="en-GB"/>
        </w:rPr>
        <w:t>Date:</w:t>
      </w:r>
      <w:r w:rsidRPr="00DC35FA">
        <w:rPr>
          <w:lang w:val="en-GB" w:eastAsia="en-GB"/>
        </w:rPr>
        <w:tab/>
      </w:r>
      <w:r w:rsidRPr="00DC35FA">
        <w:rPr>
          <w:lang w:val="en-GB" w:eastAsia="en-GB"/>
        </w:rPr>
        <w:tab/>
      </w:r>
      <w:r>
        <w:rPr>
          <w:lang w:val="en-GB" w:eastAsia="en-GB"/>
        </w:rPr>
        <w:t>________________</w:t>
      </w:r>
    </w:p>
    <w:p w14:paraId="577F1134" w14:textId="77777777" w:rsidR="00DC35FA" w:rsidRPr="00CB6FF6" w:rsidRDefault="00DC35FA">
      <w:pPr>
        <w:spacing w:after="0"/>
      </w:pPr>
    </w:p>
    <w:p w14:paraId="40C3D16E" w14:textId="77777777" w:rsidR="00421776" w:rsidRDefault="00421776" w:rsidP="00BB5C89">
      <w:pPr>
        <w:pStyle w:val="Heading2"/>
        <w:rPr>
          <w:lang w:val="en-GB" w:eastAsia="en-GB"/>
        </w:rPr>
      </w:pPr>
      <w:r w:rsidRPr="003C04D3">
        <w:rPr>
          <w:lang w:val="en-GB" w:eastAsia="en-GB"/>
        </w:rPr>
        <w:lastRenderedPageBreak/>
        <w:t>Notes to Financial Statements for the year ended 3</w:t>
      </w:r>
      <w:r>
        <w:rPr>
          <w:lang w:val="en-GB" w:eastAsia="en-GB"/>
        </w:rPr>
        <w:t>1st December</w:t>
      </w:r>
      <w:r w:rsidRPr="003C04D3">
        <w:rPr>
          <w:lang w:val="en-GB" w:eastAsia="en-GB"/>
        </w:rPr>
        <w:t xml:space="preserve"> 201</w:t>
      </w:r>
      <w:bookmarkEnd w:id="44"/>
      <w:bookmarkEnd w:id="45"/>
      <w:bookmarkEnd w:id="46"/>
      <w:r>
        <w:rPr>
          <w:lang w:val="en-GB" w:eastAsia="en-GB"/>
        </w:rPr>
        <w:t>4</w:t>
      </w:r>
    </w:p>
    <w:p w14:paraId="33464520" w14:textId="77777777" w:rsidR="00421776" w:rsidRDefault="00421776" w:rsidP="00BB5C89">
      <w:pPr>
        <w:pStyle w:val="Heading3"/>
        <w:rPr>
          <w:lang w:val="en-GB" w:eastAsia="en-GB"/>
        </w:rPr>
      </w:pPr>
      <w:bookmarkStart w:id="47" w:name="_Toc335836394"/>
      <w:r w:rsidRPr="003C04D3">
        <w:rPr>
          <w:lang w:val="en-GB" w:eastAsia="en-GB"/>
        </w:rPr>
        <w:t xml:space="preserve">1. </w:t>
      </w:r>
      <w:r w:rsidRPr="00071E0A">
        <w:rPr>
          <w:lang w:val="en-GB" w:eastAsia="en-GB"/>
        </w:rPr>
        <w:t>These Financial Statements cover the year ended 31</w:t>
      </w:r>
      <w:r w:rsidR="006A65D8">
        <w:rPr>
          <w:lang w:val="en-GB" w:eastAsia="en-GB"/>
        </w:rPr>
        <w:t>st</w:t>
      </w:r>
      <w:r w:rsidRPr="00E731E7">
        <w:t xml:space="preserve"> </w:t>
      </w:r>
      <w:r w:rsidRPr="00071E0A">
        <w:rPr>
          <w:lang w:val="en-GB" w:eastAsia="en-GB"/>
        </w:rPr>
        <w:t>December 201</w:t>
      </w:r>
      <w:bookmarkEnd w:id="47"/>
      <w:r>
        <w:rPr>
          <w:lang w:val="en-GB" w:eastAsia="en-GB"/>
        </w:rPr>
        <w:t>4.</w:t>
      </w:r>
    </w:p>
    <w:p w14:paraId="29D6A023" w14:textId="77777777" w:rsidR="00421776" w:rsidRPr="003C04D3" w:rsidRDefault="00421776" w:rsidP="00BB5C89">
      <w:pPr>
        <w:pStyle w:val="Heading3"/>
        <w:rPr>
          <w:lang w:val="en-GB" w:eastAsia="en-GB"/>
        </w:rPr>
      </w:pPr>
      <w:bookmarkStart w:id="48" w:name="_Toc335836395"/>
      <w:r w:rsidRPr="003C04D3">
        <w:rPr>
          <w:lang w:val="en-GB" w:eastAsia="en-GB"/>
        </w:rPr>
        <w:t>2. I</w:t>
      </w:r>
      <w:r>
        <w:rPr>
          <w:lang w:val="en-GB" w:eastAsia="en-GB"/>
        </w:rPr>
        <w:t>ncome</w:t>
      </w:r>
      <w:bookmarkEnd w:id="48"/>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194"/>
        <w:gridCol w:w="1453"/>
        <w:gridCol w:w="1274"/>
      </w:tblGrid>
      <w:tr w:rsidR="00002A40" w:rsidRPr="003C04D3" w14:paraId="272E72E4" w14:textId="77777777" w:rsidTr="00002A40">
        <w:trPr>
          <w:tblHeader/>
        </w:trPr>
        <w:tc>
          <w:tcPr>
            <w:tcW w:w="5416" w:type="dxa"/>
            <w:shd w:val="clear" w:color="auto" w:fill="auto"/>
            <w:vAlign w:val="bottom"/>
          </w:tcPr>
          <w:p w14:paraId="29CA2B71" w14:textId="77777777" w:rsidR="00002A40" w:rsidRPr="003C04D3" w:rsidRDefault="00002A40" w:rsidP="000B279D">
            <w:pPr>
              <w:pStyle w:val="TableRowHead"/>
              <w:rPr>
                <w:rFonts w:ascii="Gill Sans" w:hAnsi="Gill Sans"/>
                <w:sz w:val="24"/>
                <w:lang w:val="en-GB" w:eastAsia="en-GB"/>
              </w:rPr>
            </w:pPr>
          </w:p>
        </w:tc>
        <w:tc>
          <w:tcPr>
            <w:tcW w:w="1463" w:type="dxa"/>
            <w:shd w:val="clear" w:color="auto" w:fill="auto"/>
            <w:vAlign w:val="bottom"/>
          </w:tcPr>
          <w:p w14:paraId="4BF167E4" w14:textId="77777777" w:rsidR="00002A40" w:rsidRPr="00D33CA8" w:rsidRDefault="00002A40" w:rsidP="000B279D">
            <w:pPr>
              <w:pStyle w:val="TableHead"/>
              <w:jc w:val="center"/>
              <w:rPr>
                <w:lang w:val="en-GB" w:eastAsia="en-GB"/>
              </w:rPr>
            </w:pPr>
            <w:r w:rsidRPr="00D33CA8">
              <w:rPr>
                <w:lang w:val="en-GB" w:eastAsia="en-GB"/>
              </w:rPr>
              <w:t>2014</w:t>
            </w:r>
          </w:p>
        </w:tc>
        <w:tc>
          <w:tcPr>
            <w:tcW w:w="1274" w:type="dxa"/>
            <w:shd w:val="clear" w:color="auto" w:fill="auto"/>
            <w:vAlign w:val="bottom"/>
          </w:tcPr>
          <w:p w14:paraId="072B6781" w14:textId="77777777" w:rsidR="00002A40" w:rsidRPr="00D33CA8" w:rsidRDefault="00002A40" w:rsidP="000B279D">
            <w:pPr>
              <w:pStyle w:val="TableHead"/>
              <w:jc w:val="center"/>
              <w:rPr>
                <w:lang w:val="en-GB" w:eastAsia="en-GB"/>
              </w:rPr>
            </w:pPr>
            <w:r w:rsidRPr="00D33CA8">
              <w:rPr>
                <w:lang w:val="en-GB" w:eastAsia="en-GB"/>
              </w:rPr>
              <w:t>2013</w:t>
            </w:r>
          </w:p>
        </w:tc>
      </w:tr>
      <w:tr w:rsidR="00002A40" w:rsidRPr="003C04D3" w14:paraId="64436D82" w14:textId="77777777" w:rsidTr="00002A40">
        <w:tc>
          <w:tcPr>
            <w:tcW w:w="5416" w:type="dxa"/>
            <w:shd w:val="clear" w:color="auto" w:fill="auto"/>
            <w:vAlign w:val="bottom"/>
          </w:tcPr>
          <w:p w14:paraId="3BFA630E" w14:textId="77777777" w:rsidR="00002A40" w:rsidRPr="003C04D3" w:rsidRDefault="00002A40" w:rsidP="000B279D">
            <w:pPr>
              <w:pStyle w:val="TableRowHead"/>
              <w:rPr>
                <w:rFonts w:ascii="Gill Sans" w:hAnsi="Gill Sans"/>
                <w:bCs/>
                <w:sz w:val="24"/>
                <w:lang w:val="en-GB" w:eastAsia="en-GB"/>
              </w:rPr>
            </w:pPr>
          </w:p>
        </w:tc>
        <w:tc>
          <w:tcPr>
            <w:tcW w:w="1463" w:type="dxa"/>
            <w:shd w:val="clear" w:color="auto" w:fill="auto"/>
            <w:vAlign w:val="bottom"/>
          </w:tcPr>
          <w:p w14:paraId="0FB6DBD7" w14:textId="77777777" w:rsidR="00002A40" w:rsidRPr="00D33CA8" w:rsidRDefault="00002A40" w:rsidP="000B279D">
            <w:pPr>
              <w:spacing w:after="0"/>
              <w:jc w:val="center"/>
              <w:rPr>
                <w:rFonts w:cs="Arial"/>
                <w:b/>
                <w:lang w:val="en-GB" w:eastAsia="en-GB"/>
              </w:rPr>
            </w:pPr>
            <w:r w:rsidRPr="00D33CA8">
              <w:rPr>
                <w:rFonts w:cs="Arial"/>
                <w:b/>
                <w:lang w:val="en-GB" w:eastAsia="en-GB"/>
              </w:rPr>
              <w:t>€</w:t>
            </w:r>
          </w:p>
        </w:tc>
        <w:tc>
          <w:tcPr>
            <w:tcW w:w="1274" w:type="dxa"/>
            <w:shd w:val="clear" w:color="auto" w:fill="auto"/>
            <w:vAlign w:val="bottom"/>
          </w:tcPr>
          <w:p w14:paraId="751C9314" w14:textId="77777777" w:rsidR="00002A40" w:rsidRPr="00D33CA8" w:rsidRDefault="00002A40" w:rsidP="000B279D">
            <w:pPr>
              <w:spacing w:after="0"/>
              <w:jc w:val="center"/>
              <w:rPr>
                <w:rFonts w:cs="Arial"/>
                <w:b/>
                <w:lang w:val="en-GB" w:eastAsia="en-GB"/>
              </w:rPr>
            </w:pPr>
            <w:r w:rsidRPr="00D33CA8">
              <w:rPr>
                <w:rFonts w:cs="Arial"/>
                <w:b/>
                <w:lang w:val="en-GB" w:eastAsia="en-GB"/>
              </w:rPr>
              <w:t>€</w:t>
            </w:r>
          </w:p>
        </w:tc>
      </w:tr>
      <w:tr w:rsidR="00002A40" w:rsidRPr="003C04D3" w14:paraId="1ACC5AB0" w14:textId="77777777" w:rsidTr="00002A40">
        <w:tc>
          <w:tcPr>
            <w:tcW w:w="8153" w:type="dxa"/>
            <w:gridSpan w:val="3"/>
            <w:shd w:val="clear" w:color="auto" w:fill="auto"/>
            <w:vAlign w:val="bottom"/>
          </w:tcPr>
          <w:p w14:paraId="09CD0F30" w14:textId="77777777" w:rsidR="00002A40" w:rsidRPr="003C04D3" w:rsidRDefault="00002A40" w:rsidP="000B279D">
            <w:pPr>
              <w:spacing w:after="0"/>
              <w:rPr>
                <w:rFonts w:cs="Arial"/>
                <w:lang w:val="en-GB" w:eastAsia="en-GB"/>
              </w:rPr>
            </w:pPr>
            <w:r w:rsidRPr="003C04D3">
              <w:rPr>
                <w:b/>
                <w:lang w:val="en-GB" w:eastAsia="en-GB"/>
              </w:rPr>
              <w:t>2 (a) Grant Income</w:t>
            </w:r>
          </w:p>
        </w:tc>
      </w:tr>
      <w:tr w:rsidR="00002A40" w:rsidRPr="003C04D3" w14:paraId="10065B65" w14:textId="77777777" w:rsidTr="00002A40">
        <w:tc>
          <w:tcPr>
            <w:tcW w:w="5416" w:type="dxa"/>
            <w:shd w:val="clear" w:color="auto" w:fill="auto"/>
            <w:vAlign w:val="bottom"/>
          </w:tcPr>
          <w:p w14:paraId="2CBFD8E5" w14:textId="77777777" w:rsidR="00002A40" w:rsidRPr="00B26F67" w:rsidRDefault="00002A40" w:rsidP="000B279D">
            <w:pPr>
              <w:pStyle w:val="TableRowHead"/>
              <w:rPr>
                <w:rFonts w:ascii="Gill Sans" w:hAnsi="Gill Sans"/>
                <w:b w:val="0"/>
                <w:color w:val="0D0D0D"/>
                <w:sz w:val="24"/>
                <w:lang w:val="en-GB" w:eastAsia="en-GB"/>
              </w:rPr>
            </w:pPr>
            <w:r w:rsidRPr="00B26F67">
              <w:rPr>
                <w:rFonts w:ascii="Gill Sans" w:hAnsi="Gill Sans"/>
                <w:b w:val="0"/>
                <w:color w:val="0D0D0D"/>
                <w:sz w:val="24"/>
                <w:lang w:val="en-GB" w:eastAsia="en-GB"/>
              </w:rPr>
              <w:t>Total Amount paid by Department of Justice and Equality on behalf of NDA is drawn down under vote 24 subhead D11</w:t>
            </w:r>
          </w:p>
        </w:tc>
        <w:tc>
          <w:tcPr>
            <w:tcW w:w="1463" w:type="dxa"/>
            <w:shd w:val="clear" w:color="auto" w:fill="auto"/>
            <w:vAlign w:val="bottom"/>
          </w:tcPr>
          <w:p w14:paraId="56F0A38E" w14:textId="77777777" w:rsidR="00002A40" w:rsidRPr="003C04D3" w:rsidRDefault="00002A40" w:rsidP="000B279D">
            <w:pPr>
              <w:pStyle w:val="TableCell"/>
              <w:rPr>
                <w:sz w:val="24"/>
                <w:lang w:val="en-GB" w:eastAsia="en-GB"/>
              </w:rPr>
            </w:pPr>
            <w:r>
              <w:rPr>
                <w:sz w:val="24"/>
                <w:lang w:val="en-GB" w:eastAsia="en-GB"/>
              </w:rPr>
              <w:t>3,240,600</w:t>
            </w:r>
          </w:p>
        </w:tc>
        <w:tc>
          <w:tcPr>
            <w:tcW w:w="1274" w:type="dxa"/>
            <w:shd w:val="clear" w:color="auto" w:fill="auto"/>
            <w:vAlign w:val="bottom"/>
          </w:tcPr>
          <w:p w14:paraId="68BF5AAC" w14:textId="77777777" w:rsidR="00002A40" w:rsidRPr="003C04D3" w:rsidRDefault="00002A40" w:rsidP="000B279D">
            <w:pPr>
              <w:pStyle w:val="TableCell"/>
              <w:rPr>
                <w:sz w:val="24"/>
                <w:lang w:val="en-GB" w:eastAsia="en-GB"/>
              </w:rPr>
            </w:pPr>
            <w:r w:rsidRPr="003C04D3">
              <w:rPr>
                <w:sz w:val="24"/>
                <w:lang w:val="en-GB" w:eastAsia="en-GB"/>
              </w:rPr>
              <w:t>3,</w:t>
            </w:r>
            <w:r>
              <w:rPr>
                <w:sz w:val="24"/>
                <w:lang w:val="en-GB" w:eastAsia="en-GB"/>
              </w:rPr>
              <w:t>426</w:t>
            </w:r>
            <w:r w:rsidRPr="003C04D3">
              <w:rPr>
                <w:sz w:val="24"/>
                <w:lang w:val="en-GB" w:eastAsia="en-GB"/>
              </w:rPr>
              <w:t>,</w:t>
            </w:r>
            <w:r>
              <w:rPr>
                <w:sz w:val="24"/>
                <w:lang w:val="en-GB" w:eastAsia="en-GB"/>
              </w:rPr>
              <w:t>814</w:t>
            </w:r>
            <w:r w:rsidRPr="003C04D3">
              <w:rPr>
                <w:sz w:val="24"/>
                <w:lang w:val="en-GB" w:eastAsia="en-GB"/>
              </w:rPr>
              <w:t xml:space="preserve"> </w:t>
            </w:r>
          </w:p>
        </w:tc>
      </w:tr>
      <w:tr w:rsidR="00002A40" w:rsidRPr="003C04D3" w14:paraId="1E82B51C" w14:textId="77777777" w:rsidTr="00002A40">
        <w:tc>
          <w:tcPr>
            <w:tcW w:w="5416" w:type="dxa"/>
            <w:shd w:val="clear" w:color="auto" w:fill="auto"/>
            <w:vAlign w:val="bottom"/>
          </w:tcPr>
          <w:p w14:paraId="5EECDC2D" w14:textId="77777777" w:rsidR="00002A40" w:rsidRPr="003C04D3" w:rsidRDefault="00002A40" w:rsidP="000B279D">
            <w:pPr>
              <w:pStyle w:val="TableRowHead"/>
              <w:rPr>
                <w:rFonts w:ascii="Gill Sans" w:hAnsi="Gill Sans"/>
                <w:sz w:val="24"/>
                <w:lang w:val="en-GB" w:eastAsia="en-GB"/>
              </w:rPr>
            </w:pPr>
          </w:p>
        </w:tc>
        <w:tc>
          <w:tcPr>
            <w:tcW w:w="1463" w:type="dxa"/>
            <w:shd w:val="clear" w:color="auto" w:fill="auto"/>
            <w:vAlign w:val="bottom"/>
          </w:tcPr>
          <w:p w14:paraId="3FC783D0" w14:textId="77777777" w:rsidR="00002A40" w:rsidRPr="000D3DCC" w:rsidRDefault="00002A40" w:rsidP="000B279D">
            <w:pPr>
              <w:pStyle w:val="TableCell"/>
              <w:rPr>
                <w:b/>
                <w:sz w:val="24"/>
                <w:lang w:val="en-GB" w:eastAsia="en-GB"/>
              </w:rPr>
            </w:pPr>
            <w:r w:rsidRPr="000D3DCC">
              <w:rPr>
                <w:b/>
                <w:sz w:val="24"/>
                <w:lang w:val="en-GB" w:eastAsia="en-GB"/>
              </w:rPr>
              <w:t>3,2</w:t>
            </w:r>
            <w:r>
              <w:rPr>
                <w:b/>
                <w:sz w:val="24"/>
                <w:lang w:val="en-GB" w:eastAsia="en-GB"/>
              </w:rPr>
              <w:t>40</w:t>
            </w:r>
            <w:r w:rsidRPr="000D3DCC">
              <w:rPr>
                <w:b/>
                <w:sz w:val="24"/>
                <w:lang w:val="en-GB" w:eastAsia="en-GB"/>
              </w:rPr>
              <w:t>,</w:t>
            </w:r>
            <w:r>
              <w:rPr>
                <w:b/>
                <w:sz w:val="24"/>
                <w:lang w:val="en-GB" w:eastAsia="en-GB"/>
              </w:rPr>
              <w:t>600</w:t>
            </w:r>
          </w:p>
        </w:tc>
        <w:tc>
          <w:tcPr>
            <w:tcW w:w="1274" w:type="dxa"/>
            <w:shd w:val="clear" w:color="auto" w:fill="auto"/>
            <w:vAlign w:val="bottom"/>
          </w:tcPr>
          <w:p w14:paraId="641897C1" w14:textId="77777777" w:rsidR="00002A40" w:rsidRPr="000D3DCC" w:rsidRDefault="00002A40" w:rsidP="000B279D">
            <w:pPr>
              <w:pStyle w:val="TableCell"/>
              <w:rPr>
                <w:b/>
                <w:sz w:val="24"/>
                <w:lang w:val="en-GB" w:eastAsia="en-GB"/>
              </w:rPr>
            </w:pPr>
            <w:r w:rsidRPr="000D3DCC">
              <w:rPr>
                <w:b/>
                <w:sz w:val="24"/>
                <w:lang w:val="en-GB" w:eastAsia="en-GB"/>
              </w:rPr>
              <w:t xml:space="preserve">3,426,814 </w:t>
            </w:r>
          </w:p>
        </w:tc>
      </w:tr>
      <w:tr w:rsidR="00002A40" w:rsidRPr="003C04D3" w14:paraId="7542550A" w14:textId="77777777" w:rsidTr="00002A40">
        <w:tc>
          <w:tcPr>
            <w:tcW w:w="8153" w:type="dxa"/>
            <w:gridSpan w:val="3"/>
            <w:shd w:val="clear" w:color="auto" w:fill="auto"/>
            <w:vAlign w:val="bottom"/>
          </w:tcPr>
          <w:p w14:paraId="176ABF87" w14:textId="77777777" w:rsidR="00002A40" w:rsidRPr="003C04D3" w:rsidRDefault="00002A40" w:rsidP="000B279D">
            <w:pPr>
              <w:pStyle w:val="TableCell"/>
              <w:jc w:val="left"/>
              <w:rPr>
                <w:sz w:val="24"/>
                <w:lang w:val="en-GB" w:eastAsia="en-GB"/>
              </w:rPr>
            </w:pPr>
            <w:r w:rsidRPr="003C04D3">
              <w:rPr>
                <w:b/>
                <w:sz w:val="24"/>
                <w:lang w:val="en-GB" w:eastAsia="en-GB"/>
              </w:rPr>
              <w:t>2 (b) Other Income</w:t>
            </w:r>
          </w:p>
        </w:tc>
      </w:tr>
      <w:tr w:rsidR="00002A40" w:rsidRPr="003C04D3" w14:paraId="1B335384" w14:textId="77777777" w:rsidTr="00002A40">
        <w:tc>
          <w:tcPr>
            <w:tcW w:w="5416" w:type="dxa"/>
            <w:shd w:val="clear" w:color="auto" w:fill="auto"/>
            <w:vAlign w:val="bottom"/>
          </w:tcPr>
          <w:p w14:paraId="0CC546EA" w14:textId="77777777" w:rsidR="00002A40" w:rsidRPr="00B26F67" w:rsidRDefault="00002A40" w:rsidP="000B279D">
            <w:pPr>
              <w:pStyle w:val="TableRowHead"/>
              <w:rPr>
                <w:rFonts w:ascii="Gill Sans" w:hAnsi="Gill Sans"/>
                <w:b w:val="0"/>
                <w:sz w:val="24"/>
                <w:lang w:val="en-GB" w:eastAsia="en-GB"/>
              </w:rPr>
            </w:pPr>
            <w:r w:rsidRPr="00B26F67">
              <w:rPr>
                <w:rFonts w:ascii="Gill Sans" w:hAnsi="Gill Sans"/>
                <w:b w:val="0"/>
                <w:sz w:val="24"/>
                <w:lang w:val="en-GB" w:eastAsia="en-GB"/>
              </w:rPr>
              <w:t>Bank Interest</w:t>
            </w:r>
          </w:p>
        </w:tc>
        <w:tc>
          <w:tcPr>
            <w:tcW w:w="1463" w:type="dxa"/>
            <w:shd w:val="clear" w:color="auto" w:fill="auto"/>
            <w:vAlign w:val="bottom"/>
          </w:tcPr>
          <w:p w14:paraId="073E303D" w14:textId="77777777" w:rsidR="00002A40" w:rsidRPr="003C04D3" w:rsidRDefault="00002A40" w:rsidP="000B279D">
            <w:pPr>
              <w:pStyle w:val="TableCell"/>
              <w:rPr>
                <w:sz w:val="24"/>
                <w:lang w:val="en-GB" w:eastAsia="en-GB"/>
              </w:rPr>
            </w:pPr>
            <w:r>
              <w:rPr>
                <w:sz w:val="24"/>
                <w:lang w:val="en-GB" w:eastAsia="en-GB"/>
              </w:rPr>
              <w:t>0</w:t>
            </w:r>
          </w:p>
        </w:tc>
        <w:tc>
          <w:tcPr>
            <w:tcW w:w="1274" w:type="dxa"/>
            <w:shd w:val="clear" w:color="auto" w:fill="auto"/>
            <w:vAlign w:val="bottom"/>
          </w:tcPr>
          <w:p w14:paraId="77CD5498" w14:textId="77777777" w:rsidR="00002A40" w:rsidRPr="003C04D3" w:rsidRDefault="00002A40" w:rsidP="000B279D">
            <w:pPr>
              <w:pStyle w:val="TableCell"/>
              <w:rPr>
                <w:sz w:val="24"/>
                <w:lang w:val="en-GB" w:eastAsia="en-GB"/>
              </w:rPr>
            </w:pPr>
            <w:r>
              <w:rPr>
                <w:sz w:val="24"/>
                <w:lang w:val="en-GB" w:eastAsia="en-GB"/>
              </w:rPr>
              <w:t>1</w:t>
            </w:r>
            <w:r w:rsidRPr="003C04D3">
              <w:rPr>
                <w:sz w:val="24"/>
                <w:lang w:val="en-GB" w:eastAsia="en-GB"/>
              </w:rPr>
              <w:t xml:space="preserve"> </w:t>
            </w:r>
          </w:p>
        </w:tc>
      </w:tr>
      <w:tr w:rsidR="00002A40" w:rsidRPr="003C04D3" w14:paraId="0B348201" w14:textId="77777777" w:rsidTr="00002A40">
        <w:tc>
          <w:tcPr>
            <w:tcW w:w="5416" w:type="dxa"/>
            <w:shd w:val="clear" w:color="auto" w:fill="auto"/>
            <w:vAlign w:val="bottom"/>
          </w:tcPr>
          <w:p w14:paraId="1B17B204" w14:textId="77777777" w:rsidR="00002A40" w:rsidRPr="00B26F67" w:rsidRDefault="00002A40" w:rsidP="000B279D">
            <w:pPr>
              <w:pStyle w:val="TableRowHead"/>
              <w:rPr>
                <w:rFonts w:ascii="Gill Sans" w:hAnsi="Gill Sans"/>
                <w:b w:val="0"/>
                <w:sz w:val="24"/>
                <w:lang w:val="en-GB" w:eastAsia="en-GB"/>
              </w:rPr>
            </w:pPr>
            <w:r w:rsidRPr="00B26F67">
              <w:rPr>
                <w:rFonts w:ascii="Gill Sans" w:hAnsi="Gill Sans"/>
                <w:b w:val="0"/>
                <w:sz w:val="24"/>
                <w:lang w:val="en-GB" w:eastAsia="en-GB"/>
              </w:rPr>
              <w:t xml:space="preserve">Department of Social </w:t>
            </w:r>
            <w:r w:rsidRPr="00B26F67">
              <w:rPr>
                <w:rFonts w:ascii="Gill Sans" w:hAnsi="Gill Sans"/>
                <w:b w:val="0"/>
                <w:color w:val="0D0D0D"/>
                <w:sz w:val="24"/>
                <w:lang w:val="en-GB" w:eastAsia="en-GB"/>
              </w:rPr>
              <w:t>Protection</w:t>
            </w:r>
          </w:p>
        </w:tc>
        <w:tc>
          <w:tcPr>
            <w:tcW w:w="1463" w:type="dxa"/>
            <w:shd w:val="clear" w:color="auto" w:fill="auto"/>
            <w:vAlign w:val="bottom"/>
          </w:tcPr>
          <w:p w14:paraId="77150CBB" w14:textId="77777777" w:rsidR="00002A40" w:rsidRPr="003C04D3" w:rsidRDefault="00002A40" w:rsidP="000B279D">
            <w:pPr>
              <w:pStyle w:val="TableCell"/>
              <w:rPr>
                <w:sz w:val="24"/>
                <w:lang w:val="en-GB" w:eastAsia="en-GB"/>
              </w:rPr>
            </w:pPr>
            <w:r>
              <w:rPr>
                <w:sz w:val="24"/>
                <w:lang w:val="en-GB" w:eastAsia="en-GB"/>
              </w:rPr>
              <w:t>7,082</w:t>
            </w:r>
          </w:p>
        </w:tc>
        <w:tc>
          <w:tcPr>
            <w:tcW w:w="1274" w:type="dxa"/>
            <w:shd w:val="clear" w:color="auto" w:fill="auto"/>
            <w:vAlign w:val="bottom"/>
          </w:tcPr>
          <w:p w14:paraId="7D96547F" w14:textId="77777777" w:rsidR="00002A40" w:rsidRPr="003C04D3" w:rsidRDefault="00002A40" w:rsidP="000B279D">
            <w:pPr>
              <w:pStyle w:val="TableCell"/>
              <w:rPr>
                <w:sz w:val="24"/>
                <w:lang w:val="en-GB" w:eastAsia="en-GB"/>
              </w:rPr>
            </w:pPr>
            <w:r>
              <w:rPr>
                <w:sz w:val="24"/>
                <w:lang w:val="en-GB" w:eastAsia="en-GB"/>
              </w:rPr>
              <w:t>12</w:t>
            </w:r>
            <w:r w:rsidRPr="003C04D3">
              <w:rPr>
                <w:sz w:val="24"/>
                <w:lang w:val="en-GB" w:eastAsia="en-GB"/>
              </w:rPr>
              <w:t>,</w:t>
            </w:r>
            <w:r>
              <w:rPr>
                <w:sz w:val="24"/>
                <w:lang w:val="en-GB" w:eastAsia="en-GB"/>
              </w:rPr>
              <w:t>113</w:t>
            </w:r>
            <w:r w:rsidRPr="003C04D3">
              <w:rPr>
                <w:sz w:val="24"/>
                <w:lang w:val="en-GB" w:eastAsia="en-GB"/>
              </w:rPr>
              <w:t xml:space="preserve"> </w:t>
            </w:r>
          </w:p>
        </w:tc>
      </w:tr>
      <w:tr w:rsidR="00002A40" w:rsidRPr="003C04D3" w14:paraId="39AA1A02" w14:textId="77777777" w:rsidTr="00002A40">
        <w:tc>
          <w:tcPr>
            <w:tcW w:w="5416" w:type="dxa"/>
            <w:shd w:val="clear" w:color="auto" w:fill="auto"/>
            <w:vAlign w:val="bottom"/>
          </w:tcPr>
          <w:p w14:paraId="786C0932" w14:textId="77777777" w:rsidR="00002A40" w:rsidRPr="00B26F67" w:rsidRDefault="00002A40" w:rsidP="000B279D">
            <w:pPr>
              <w:pStyle w:val="TableRowHead"/>
              <w:rPr>
                <w:rFonts w:ascii="Gill Sans" w:hAnsi="Gill Sans"/>
                <w:b w:val="0"/>
                <w:sz w:val="24"/>
                <w:lang w:val="en-GB" w:eastAsia="en-GB"/>
              </w:rPr>
            </w:pPr>
            <w:r w:rsidRPr="00B26F67">
              <w:rPr>
                <w:rFonts w:ascii="Gill Sans" w:hAnsi="Gill Sans"/>
                <w:b w:val="0"/>
                <w:sz w:val="24"/>
                <w:lang w:val="en-GB" w:eastAsia="en-GB"/>
              </w:rPr>
              <w:t>Sundry</w:t>
            </w:r>
          </w:p>
        </w:tc>
        <w:tc>
          <w:tcPr>
            <w:tcW w:w="1463" w:type="dxa"/>
            <w:shd w:val="clear" w:color="auto" w:fill="auto"/>
            <w:vAlign w:val="bottom"/>
          </w:tcPr>
          <w:p w14:paraId="63A9C324" w14:textId="77777777" w:rsidR="00002A40" w:rsidRPr="003C04D3" w:rsidRDefault="00002A40" w:rsidP="000B279D">
            <w:pPr>
              <w:pStyle w:val="TableCell"/>
              <w:rPr>
                <w:sz w:val="24"/>
                <w:lang w:val="en-GB" w:eastAsia="en-GB"/>
              </w:rPr>
            </w:pPr>
            <w:r>
              <w:rPr>
                <w:sz w:val="24"/>
                <w:lang w:val="en-GB" w:eastAsia="en-GB"/>
              </w:rPr>
              <w:t>15,275</w:t>
            </w:r>
          </w:p>
        </w:tc>
        <w:tc>
          <w:tcPr>
            <w:tcW w:w="1274" w:type="dxa"/>
            <w:shd w:val="clear" w:color="auto" w:fill="auto"/>
            <w:vAlign w:val="bottom"/>
          </w:tcPr>
          <w:p w14:paraId="02B01F36" w14:textId="77777777" w:rsidR="00002A40" w:rsidRPr="003C04D3" w:rsidRDefault="00002A40" w:rsidP="000B279D">
            <w:pPr>
              <w:pStyle w:val="TableCell"/>
              <w:rPr>
                <w:sz w:val="24"/>
                <w:lang w:val="en-GB" w:eastAsia="en-GB"/>
              </w:rPr>
            </w:pPr>
            <w:r>
              <w:rPr>
                <w:sz w:val="24"/>
                <w:lang w:val="en-GB" w:eastAsia="en-GB"/>
              </w:rPr>
              <w:t>17,752</w:t>
            </w:r>
            <w:r w:rsidRPr="003C04D3">
              <w:rPr>
                <w:sz w:val="24"/>
                <w:lang w:val="en-GB" w:eastAsia="en-GB"/>
              </w:rPr>
              <w:t xml:space="preserve"> </w:t>
            </w:r>
          </w:p>
        </w:tc>
      </w:tr>
      <w:tr w:rsidR="00002A40" w:rsidRPr="003C04D3" w14:paraId="0B2C3866" w14:textId="77777777" w:rsidTr="00002A40">
        <w:tc>
          <w:tcPr>
            <w:tcW w:w="5416" w:type="dxa"/>
            <w:shd w:val="clear" w:color="auto" w:fill="auto"/>
            <w:vAlign w:val="bottom"/>
          </w:tcPr>
          <w:p w14:paraId="4DB48BD4" w14:textId="77777777" w:rsidR="00002A40" w:rsidRPr="003C04D3" w:rsidRDefault="00002A40" w:rsidP="000B279D">
            <w:pPr>
              <w:pStyle w:val="TableRowHead"/>
              <w:rPr>
                <w:rFonts w:ascii="Gill Sans" w:hAnsi="Gill Sans"/>
                <w:sz w:val="24"/>
                <w:lang w:val="en-GB" w:eastAsia="en-GB"/>
              </w:rPr>
            </w:pPr>
          </w:p>
        </w:tc>
        <w:tc>
          <w:tcPr>
            <w:tcW w:w="1463" w:type="dxa"/>
            <w:shd w:val="clear" w:color="auto" w:fill="auto"/>
            <w:vAlign w:val="bottom"/>
          </w:tcPr>
          <w:p w14:paraId="22653157" w14:textId="77777777" w:rsidR="00002A40" w:rsidRPr="000D3DCC" w:rsidRDefault="00002A40" w:rsidP="000B279D">
            <w:pPr>
              <w:pStyle w:val="TableCell"/>
              <w:rPr>
                <w:b/>
                <w:sz w:val="24"/>
                <w:lang w:val="en-GB" w:eastAsia="en-GB"/>
              </w:rPr>
            </w:pPr>
            <w:r>
              <w:rPr>
                <w:b/>
                <w:sz w:val="24"/>
                <w:lang w:val="en-GB" w:eastAsia="en-GB"/>
              </w:rPr>
              <w:t>22,357</w:t>
            </w:r>
          </w:p>
        </w:tc>
        <w:tc>
          <w:tcPr>
            <w:tcW w:w="1274" w:type="dxa"/>
            <w:shd w:val="clear" w:color="auto" w:fill="auto"/>
            <w:vAlign w:val="bottom"/>
          </w:tcPr>
          <w:p w14:paraId="1F228A9C" w14:textId="77777777" w:rsidR="00002A40" w:rsidRPr="000D3DCC" w:rsidRDefault="00002A40" w:rsidP="000B279D">
            <w:pPr>
              <w:pStyle w:val="TableCell"/>
              <w:rPr>
                <w:b/>
                <w:sz w:val="24"/>
                <w:lang w:val="en-GB" w:eastAsia="en-GB"/>
              </w:rPr>
            </w:pPr>
            <w:r>
              <w:rPr>
                <w:b/>
                <w:sz w:val="24"/>
                <w:lang w:val="en-GB" w:eastAsia="en-GB"/>
              </w:rPr>
              <w:t>29,866</w:t>
            </w:r>
            <w:r w:rsidRPr="000D3DCC">
              <w:rPr>
                <w:b/>
                <w:sz w:val="24"/>
                <w:lang w:val="en-GB" w:eastAsia="en-GB"/>
              </w:rPr>
              <w:t xml:space="preserve"> </w:t>
            </w:r>
          </w:p>
        </w:tc>
      </w:tr>
    </w:tbl>
    <w:p w14:paraId="3A7C5D99" w14:textId="77777777" w:rsidR="001354ED" w:rsidRDefault="001354ED" w:rsidP="001354ED">
      <w:bookmarkStart w:id="49" w:name="_Toc335836396"/>
    </w:p>
    <w:p w14:paraId="501F876E" w14:textId="77777777" w:rsidR="00421776" w:rsidRDefault="00421776" w:rsidP="00BB5C89">
      <w:pPr>
        <w:pStyle w:val="Heading3"/>
      </w:pPr>
      <w:r w:rsidRPr="00D12562">
        <w:t xml:space="preserve">3. </w:t>
      </w:r>
      <w:r>
        <w:t>Projects a</w:t>
      </w:r>
      <w:r w:rsidRPr="00D12562">
        <w:t>nd Commissioned Work</w:t>
      </w:r>
      <w:bookmarkEnd w:id="49"/>
    </w:p>
    <w:p w14:paraId="649B606C" w14:textId="77777777" w:rsidR="00421776" w:rsidRPr="00A20D04" w:rsidRDefault="00002A40" w:rsidP="00421776">
      <w:r w:rsidRPr="00002A40">
        <w:t>The National Disability Authority spent €</w:t>
      </w:r>
      <w:r w:rsidR="004853AE">
        <w:t>374,920</w:t>
      </w:r>
      <w:r w:rsidRPr="00002A40">
        <w:t xml:space="preserve"> (2013: €509,596) on projects and commissioned work. Actual spends have been classified under the following subheadings</w:t>
      </w:r>
      <w:r w:rsidR="00BB5C89">
        <w:t>:</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565"/>
        <w:gridCol w:w="1189"/>
        <w:gridCol w:w="1167"/>
      </w:tblGrid>
      <w:tr w:rsidR="00002A40" w:rsidRPr="002635EB" w14:paraId="5E1C9C37"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37CF0ACB" w14:textId="77777777" w:rsidR="00002A40" w:rsidRPr="002635EB" w:rsidRDefault="00002A40" w:rsidP="000B279D">
            <w:pPr>
              <w:spacing w:after="0"/>
              <w:rPr>
                <w:rFonts w:cs="Arial"/>
                <w:b/>
                <w:bCs/>
                <w:lang w:val="en-GB" w:eastAsia="en-GB"/>
              </w:rPr>
            </w:pPr>
          </w:p>
        </w:tc>
        <w:tc>
          <w:tcPr>
            <w:tcW w:w="1220" w:type="dxa"/>
            <w:tcBorders>
              <w:top w:val="single" w:sz="6" w:space="0" w:color="000000"/>
              <w:left w:val="single" w:sz="6" w:space="0" w:color="000000"/>
              <w:bottom w:val="single" w:sz="6" w:space="0" w:color="000000"/>
              <w:right w:val="single" w:sz="6" w:space="0" w:color="000000"/>
            </w:tcBorders>
            <w:vAlign w:val="bottom"/>
          </w:tcPr>
          <w:p w14:paraId="1CDDD561" w14:textId="77777777" w:rsidR="00002A40" w:rsidRPr="003E097D" w:rsidRDefault="00002A40" w:rsidP="000B279D">
            <w:pPr>
              <w:spacing w:after="0"/>
              <w:jc w:val="center"/>
              <w:rPr>
                <w:rFonts w:cs="Arial"/>
                <w:b/>
                <w:bCs/>
                <w:lang w:val="en-GB" w:eastAsia="en-GB"/>
              </w:rPr>
            </w:pPr>
            <w:r w:rsidRPr="003E097D">
              <w:rPr>
                <w:rFonts w:cs="Arial"/>
                <w:b/>
                <w:bCs/>
                <w:lang w:val="en-GB" w:eastAsia="en-GB"/>
              </w:rPr>
              <w:t>2014</w:t>
            </w:r>
          </w:p>
        </w:tc>
        <w:tc>
          <w:tcPr>
            <w:tcW w:w="1197" w:type="dxa"/>
            <w:tcBorders>
              <w:top w:val="single" w:sz="6" w:space="0" w:color="000000"/>
              <w:left w:val="single" w:sz="6" w:space="0" w:color="000000"/>
              <w:bottom w:val="single" w:sz="6" w:space="0" w:color="000000"/>
              <w:right w:val="single" w:sz="6" w:space="0" w:color="000000"/>
            </w:tcBorders>
            <w:vAlign w:val="bottom"/>
          </w:tcPr>
          <w:p w14:paraId="054FB698" w14:textId="77777777" w:rsidR="00002A40" w:rsidRPr="003E097D" w:rsidRDefault="00002A40" w:rsidP="000B279D">
            <w:pPr>
              <w:spacing w:after="0"/>
              <w:jc w:val="center"/>
              <w:rPr>
                <w:rFonts w:cs="Arial"/>
                <w:b/>
                <w:bCs/>
                <w:lang w:val="en-GB" w:eastAsia="en-GB"/>
              </w:rPr>
            </w:pPr>
            <w:r w:rsidRPr="003E097D">
              <w:rPr>
                <w:rFonts w:cs="Arial"/>
                <w:b/>
                <w:bCs/>
                <w:lang w:val="en-GB" w:eastAsia="en-GB"/>
              </w:rPr>
              <w:t>2013</w:t>
            </w:r>
          </w:p>
        </w:tc>
      </w:tr>
      <w:tr w:rsidR="00002A40" w:rsidRPr="002635EB" w14:paraId="4DE4206F"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0AA1D043" w14:textId="77777777" w:rsidR="00002A40" w:rsidRPr="002635EB" w:rsidRDefault="00002A40" w:rsidP="000B279D">
            <w:pPr>
              <w:spacing w:after="0"/>
              <w:rPr>
                <w:rFonts w:cs="Arial"/>
                <w:b/>
                <w:bCs/>
                <w:lang w:val="en-GB" w:eastAsia="en-GB"/>
              </w:rPr>
            </w:pPr>
          </w:p>
        </w:tc>
        <w:tc>
          <w:tcPr>
            <w:tcW w:w="1220" w:type="dxa"/>
            <w:tcBorders>
              <w:top w:val="single" w:sz="6" w:space="0" w:color="000000"/>
              <w:left w:val="single" w:sz="6" w:space="0" w:color="000000"/>
              <w:bottom w:val="single" w:sz="6" w:space="0" w:color="000000"/>
              <w:right w:val="single" w:sz="6" w:space="0" w:color="000000"/>
            </w:tcBorders>
            <w:vAlign w:val="bottom"/>
          </w:tcPr>
          <w:p w14:paraId="7CBF4B7D" w14:textId="77777777" w:rsidR="00002A40" w:rsidRPr="003E097D" w:rsidRDefault="00002A40" w:rsidP="000B279D">
            <w:pPr>
              <w:spacing w:after="0"/>
              <w:jc w:val="center"/>
              <w:rPr>
                <w:rFonts w:cs="Arial"/>
                <w:b/>
                <w:lang w:val="en-GB" w:eastAsia="en-GB"/>
              </w:rPr>
            </w:pPr>
            <w:r w:rsidRPr="003E097D">
              <w:rPr>
                <w:rFonts w:cs="Arial"/>
                <w:b/>
                <w:lang w:val="en-GB" w:eastAsia="en-GB"/>
              </w:rPr>
              <w:t>€</w:t>
            </w:r>
          </w:p>
        </w:tc>
        <w:tc>
          <w:tcPr>
            <w:tcW w:w="1197" w:type="dxa"/>
            <w:tcBorders>
              <w:top w:val="single" w:sz="6" w:space="0" w:color="000000"/>
              <w:left w:val="single" w:sz="6" w:space="0" w:color="000000"/>
              <w:bottom w:val="single" w:sz="6" w:space="0" w:color="000000"/>
              <w:right w:val="single" w:sz="6" w:space="0" w:color="000000"/>
            </w:tcBorders>
            <w:vAlign w:val="bottom"/>
          </w:tcPr>
          <w:p w14:paraId="51C0009B" w14:textId="77777777" w:rsidR="00002A40" w:rsidRPr="003E097D" w:rsidRDefault="00002A40" w:rsidP="000B279D">
            <w:pPr>
              <w:spacing w:after="0"/>
              <w:jc w:val="center"/>
              <w:rPr>
                <w:rFonts w:cs="Arial"/>
                <w:b/>
                <w:lang w:val="en-GB" w:eastAsia="en-GB"/>
              </w:rPr>
            </w:pPr>
            <w:r w:rsidRPr="003E097D">
              <w:rPr>
                <w:rFonts w:cs="Arial"/>
                <w:b/>
                <w:lang w:val="en-GB" w:eastAsia="en-GB"/>
              </w:rPr>
              <w:t>€</w:t>
            </w:r>
          </w:p>
        </w:tc>
      </w:tr>
      <w:tr w:rsidR="00002A40" w:rsidRPr="002635EB" w14:paraId="626E043C"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43BD3244" w14:textId="77777777" w:rsidR="00002A40" w:rsidRPr="00822E1E" w:rsidRDefault="00002A40" w:rsidP="000B279D">
            <w:pPr>
              <w:spacing w:after="0"/>
              <w:rPr>
                <w:rFonts w:cs="Arial"/>
                <w:b/>
                <w:lang w:val="en-GB" w:eastAsia="en-GB"/>
              </w:rPr>
            </w:pPr>
            <w:r>
              <w:rPr>
                <w:rFonts w:cs="Arial"/>
                <w:b/>
                <w:lang w:val="en-GB" w:eastAsia="en-GB"/>
              </w:rPr>
              <w:t>Research</w:t>
            </w:r>
          </w:p>
        </w:tc>
        <w:tc>
          <w:tcPr>
            <w:tcW w:w="1220" w:type="dxa"/>
            <w:tcBorders>
              <w:top w:val="single" w:sz="6" w:space="0" w:color="000000"/>
              <w:left w:val="single" w:sz="6" w:space="0" w:color="000000"/>
              <w:bottom w:val="single" w:sz="6" w:space="0" w:color="000000"/>
              <w:right w:val="single" w:sz="6" w:space="0" w:color="000000"/>
            </w:tcBorders>
            <w:vAlign w:val="bottom"/>
          </w:tcPr>
          <w:p w14:paraId="4C3E42C7" w14:textId="77777777" w:rsidR="00002A40" w:rsidRPr="002635EB" w:rsidRDefault="00002A40" w:rsidP="000B279D">
            <w:pPr>
              <w:spacing w:after="0"/>
              <w:jc w:val="right"/>
              <w:rPr>
                <w:rFonts w:cs="Arial"/>
                <w:lang w:val="en-GB" w:eastAsia="en-GB"/>
              </w:rPr>
            </w:pPr>
            <w:r>
              <w:rPr>
                <w:rFonts w:cs="Arial"/>
                <w:lang w:val="en-GB" w:eastAsia="en-GB"/>
              </w:rPr>
              <w:t>158,584</w:t>
            </w:r>
          </w:p>
        </w:tc>
        <w:tc>
          <w:tcPr>
            <w:tcW w:w="1197" w:type="dxa"/>
            <w:tcBorders>
              <w:top w:val="single" w:sz="6" w:space="0" w:color="000000"/>
              <w:left w:val="single" w:sz="6" w:space="0" w:color="000000"/>
              <w:bottom w:val="single" w:sz="6" w:space="0" w:color="000000"/>
              <w:right w:val="single" w:sz="6" w:space="0" w:color="000000"/>
            </w:tcBorders>
            <w:vAlign w:val="bottom"/>
          </w:tcPr>
          <w:p w14:paraId="0B94B199" w14:textId="77777777" w:rsidR="00002A40" w:rsidRPr="002635EB" w:rsidRDefault="00002A40" w:rsidP="000B279D">
            <w:pPr>
              <w:spacing w:after="0"/>
              <w:jc w:val="right"/>
              <w:rPr>
                <w:rFonts w:cs="Arial"/>
                <w:lang w:val="en-GB" w:eastAsia="en-GB"/>
              </w:rPr>
            </w:pPr>
            <w:r>
              <w:rPr>
                <w:rFonts w:cs="Arial"/>
                <w:lang w:val="en-GB" w:eastAsia="en-GB"/>
              </w:rPr>
              <w:t>274,122</w:t>
            </w:r>
          </w:p>
        </w:tc>
      </w:tr>
      <w:tr w:rsidR="00002A40" w:rsidRPr="002635EB" w14:paraId="1234B72B"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31A560D8" w14:textId="77777777" w:rsidR="00002A40" w:rsidRPr="00822E1E" w:rsidRDefault="00002A40" w:rsidP="000B279D">
            <w:pPr>
              <w:spacing w:after="0"/>
              <w:rPr>
                <w:rFonts w:cs="Arial"/>
                <w:b/>
                <w:lang w:val="en-GB" w:eastAsia="en-GB"/>
              </w:rPr>
            </w:pPr>
            <w:r>
              <w:rPr>
                <w:rFonts w:cs="Arial"/>
                <w:b/>
                <w:lang w:val="en-GB" w:eastAsia="en-GB"/>
              </w:rPr>
              <w:t>Information Resources</w:t>
            </w:r>
          </w:p>
        </w:tc>
        <w:tc>
          <w:tcPr>
            <w:tcW w:w="1220" w:type="dxa"/>
            <w:tcBorders>
              <w:top w:val="single" w:sz="6" w:space="0" w:color="000000"/>
              <w:left w:val="single" w:sz="6" w:space="0" w:color="000000"/>
              <w:bottom w:val="single" w:sz="6" w:space="0" w:color="000000"/>
              <w:right w:val="single" w:sz="6" w:space="0" w:color="000000"/>
            </w:tcBorders>
            <w:vAlign w:val="bottom"/>
          </w:tcPr>
          <w:p w14:paraId="3080F94A" w14:textId="77777777" w:rsidR="00002A40" w:rsidRPr="002635EB" w:rsidRDefault="00002A40" w:rsidP="000B279D">
            <w:pPr>
              <w:spacing w:after="0"/>
              <w:jc w:val="right"/>
              <w:rPr>
                <w:rFonts w:cs="Arial"/>
                <w:lang w:val="en-GB" w:eastAsia="en-GB"/>
              </w:rPr>
            </w:pPr>
            <w:r>
              <w:rPr>
                <w:rFonts w:cs="Arial"/>
                <w:lang w:val="en-GB" w:eastAsia="en-GB"/>
              </w:rPr>
              <w:t>58,676</w:t>
            </w:r>
          </w:p>
        </w:tc>
        <w:tc>
          <w:tcPr>
            <w:tcW w:w="1197" w:type="dxa"/>
            <w:tcBorders>
              <w:top w:val="single" w:sz="6" w:space="0" w:color="000000"/>
              <w:left w:val="single" w:sz="6" w:space="0" w:color="000000"/>
              <w:bottom w:val="single" w:sz="6" w:space="0" w:color="000000"/>
              <w:right w:val="single" w:sz="6" w:space="0" w:color="000000"/>
            </w:tcBorders>
            <w:vAlign w:val="bottom"/>
          </w:tcPr>
          <w:p w14:paraId="5EE855E9" w14:textId="77777777" w:rsidR="00002A40" w:rsidRPr="002635EB" w:rsidRDefault="00002A40" w:rsidP="000B279D">
            <w:pPr>
              <w:spacing w:after="0"/>
              <w:jc w:val="right"/>
              <w:rPr>
                <w:rFonts w:cs="Arial"/>
                <w:lang w:val="en-GB" w:eastAsia="en-GB"/>
              </w:rPr>
            </w:pPr>
            <w:r>
              <w:rPr>
                <w:rFonts w:cs="Arial"/>
                <w:lang w:val="en-GB" w:eastAsia="en-GB"/>
              </w:rPr>
              <w:t>27,382</w:t>
            </w:r>
          </w:p>
        </w:tc>
      </w:tr>
      <w:tr w:rsidR="00002A40" w:rsidRPr="002635EB" w14:paraId="55AAD804"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0B63B934" w14:textId="77777777" w:rsidR="00002A40" w:rsidRPr="00822E1E" w:rsidRDefault="00002A40" w:rsidP="000B279D">
            <w:pPr>
              <w:spacing w:after="0"/>
              <w:rPr>
                <w:rFonts w:cs="Arial"/>
                <w:b/>
                <w:lang w:val="en-GB" w:eastAsia="en-GB"/>
              </w:rPr>
            </w:pPr>
            <w:r>
              <w:rPr>
                <w:rFonts w:cs="Arial"/>
                <w:b/>
                <w:lang w:val="en-GB" w:eastAsia="en-GB"/>
              </w:rPr>
              <w:t>Universal Design Promotion</w:t>
            </w:r>
          </w:p>
        </w:tc>
        <w:tc>
          <w:tcPr>
            <w:tcW w:w="1220" w:type="dxa"/>
            <w:tcBorders>
              <w:top w:val="single" w:sz="6" w:space="0" w:color="000000"/>
              <w:left w:val="single" w:sz="6" w:space="0" w:color="000000"/>
              <w:bottom w:val="single" w:sz="6" w:space="0" w:color="000000"/>
              <w:right w:val="single" w:sz="6" w:space="0" w:color="000000"/>
            </w:tcBorders>
            <w:vAlign w:val="bottom"/>
          </w:tcPr>
          <w:p w14:paraId="0BC4A56F" w14:textId="77777777" w:rsidR="00002A40" w:rsidRPr="002635EB" w:rsidRDefault="00002A40" w:rsidP="000B279D">
            <w:pPr>
              <w:spacing w:after="0"/>
              <w:jc w:val="right"/>
              <w:rPr>
                <w:rFonts w:cs="Arial"/>
                <w:lang w:val="en-GB" w:eastAsia="en-GB"/>
              </w:rPr>
            </w:pPr>
            <w:r>
              <w:rPr>
                <w:rFonts w:cs="Arial"/>
                <w:lang w:val="en-GB" w:eastAsia="en-GB"/>
              </w:rPr>
              <w:t>52,063</w:t>
            </w:r>
          </w:p>
        </w:tc>
        <w:tc>
          <w:tcPr>
            <w:tcW w:w="1197" w:type="dxa"/>
            <w:tcBorders>
              <w:top w:val="single" w:sz="6" w:space="0" w:color="000000"/>
              <w:left w:val="single" w:sz="6" w:space="0" w:color="000000"/>
              <w:bottom w:val="single" w:sz="6" w:space="0" w:color="000000"/>
              <w:right w:val="single" w:sz="6" w:space="0" w:color="000000"/>
            </w:tcBorders>
            <w:vAlign w:val="bottom"/>
          </w:tcPr>
          <w:p w14:paraId="120B46E1" w14:textId="77777777" w:rsidR="00002A40" w:rsidRPr="002635EB" w:rsidRDefault="00002A40" w:rsidP="000B279D">
            <w:pPr>
              <w:spacing w:after="0"/>
              <w:jc w:val="right"/>
              <w:rPr>
                <w:rFonts w:cs="Arial"/>
                <w:lang w:val="en-GB" w:eastAsia="en-GB"/>
              </w:rPr>
            </w:pPr>
            <w:r>
              <w:rPr>
                <w:rFonts w:cs="Arial"/>
                <w:lang w:val="en-GB" w:eastAsia="en-GB"/>
              </w:rPr>
              <w:t>66,676</w:t>
            </w:r>
          </w:p>
        </w:tc>
      </w:tr>
      <w:tr w:rsidR="00002A40" w:rsidRPr="002635EB" w14:paraId="4E874FB2"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162DE6B9" w14:textId="77777777" w:rsidR="00002A40" w:rsidRPr="00822E1E" w:rsidRDefault="00002A40" w:rsidP="000B279D">
            <w:pPr>
              <w:spacing w:after="0"/>
              <w:rPr>
                <w:rFonts w:cs="Arial"/>
                <w:b/>
                <w:lang w:val="en-GB" w:eastAsia="en-GB"/>
              </w:rPr>
            </w:pPr>
            <w:r>
              <w:rPr>
                <w:rFonts w:cs="Arial"/>
                <w:b/>
                <w:lang w:val="en-GB" w:eastAsia="en-GB"/>
              </w:rPr>
              <w:t xml:space="preserve">Corporate Services </w:t>
            </w:r>
          </w:p>
        </w:tc>
        <w:tc>
          <w:tcPr>
            <w:tcW w:w="1220" w:type="dxa"/>
            <w:tcBorders>
              <w:top w:val="single" w:sz="6" w:space="0" w:color="000000"/>
              <w:left w:val="single" w:sz="6" w:space="0" w:color="000000"/>
              <w:bottom w:val="single" w:sz="6" w:space="0" w:color="000000"/>
              <w:right w:val="single" w:sz="6" w:space="0" w:color="000000"/>
            </w:tcBorders>
            <w:vAlign w:val="bottom"/>
          </w:tcPr>
          <w:p w14:paraId="79F915CE" w14:textId="77777777" w:rsidR="00002A40" w:rsidRPr="002635EB" w:rsidRDefault="00002A40" w:rsidP="000B279D">
            <w:pPr>
              <w:spacing w:after="0"/>
              <w:jc w:val="right"/>
              <w:rPr>
                <w:rFonts w:cs="Arial"/>
                <w:lang w:val="en-GB" w:eastAsia="en-GB"/>
              </w:rPr>
            </w:pPr>
            <w:r>
              <w:rPr>
                <w:rFonts w:cs="Arial"/>
                <w:lang w:val="en-GB" w:eastAsia="en-GB"/>
              </w:rPr>
              <w:t>51,941</w:t>
            </w:r>
          </w:p>
        </w:tc>
        <w:tc>
          <w:tcPr>
            <w:tcW w:w="1197" w:type="dxa"/>
            <w:tcBorders>
              <w:top w:val="single" w:sz="6" w:space="0" w:color="000000"/>
              <w:left w:val="single" w:sz="6" w:space="0" w:color="000000"/>
              <w:bottom w:val="single" w:sz="6" w:space="0" w:color="000000"/>
              <w:right w:val="single" w:sz="6" w:space="0" w:color="000000"/>
            </w:tcBorders>
            <w:vAlign w:val="bottom"/>
          </w:tcPr>
          <w:p w14:paraId="63C66E6E" w14:textId="77777777" w:rsidR="00002A40" w:rsidRPr="002635EB" w:rsidRDefault="00002A40" w:rsidP="000B279D">
            <w:pPr>
              <w:spacing w:after="0"/>
              <w:jc w:val="right"/>
              <w:rPr>
                <w:rFonts w:cs="Arial"/>
                <w:lang w:val="en-GB" w:eastAsia="en-GB"/>
              </w:rPr>
            </w:pPr>
            <w:r>
              <w:rPr>
                <w:rFonts w:cs="Arial"/>
                <w:lang w:val="en-GB" w:eastAsia="en-GB"/>
              </w:rPr>
              <w:t>53,126</w:t>
            </w:r>
          </w:p>
        </w:tc>
      </w:tr>
      <w:tr w:rsidR="00002A40" w:rsidRPr="002635EB" w14:paraId="1D146B40"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3809426C" w14:textId="77777777" w:rsidR="00002A40" w:rsidRPr="00822E1E" w:rsidRDefault="00002A40" w:rsidP="000B279D">
            <w:pPr>
              <w:spacing w:after="0"/>
              <w:rPr>
                <w:rFonts w:cs="Arial"/>
                <w:b/>
                <w:lang w:val="en-GB" w:eastAsia="en-GB"/>
              </w:rPr>
            </w:pPr>
            <w:r>
              <w:rPr>
                <w:rFonts w:cs="Arial"/>
                <w:b/>
                <w:lang w:val="en-GB" w:eastAsia="en-GB"/>
              </w:rPr>
              <w:t>Standards and Guidelines</w:t>
            </w:r>
          </w:p>
        </w:tc>
        <w:tc>
          <w:tcPr>
            <w:tcW w:w="1220" w:type="dxa"/>
            <w:tcBorders>
              <w:top w:val="single" w:sz="6" w:space="0" w:color="000000"/>
              <w:left w:val="single" w:sz="6" w:space="0" w:color="000000"/>
              <w:bottom w:val="single" w:sz="6" w:space="0" w:color="000000"/>
              <w:right w:val="single" w:sz="6" w:space="0" w:color="000000"/>
            </w:tcBorders>
            <w:vAlign w:val="bottom"/>
          </w:tcPr>
          <w:p w14:paraId="5645EC25" w14:textId="77777777" w:rsidR="00002A40" w:rsidRPr="002635EB" w:rsidRDefault="00002A40" w:rsidP="000B279D">
            <w:pPr>
              <w:spacing w:after="0"/>
              <w:jc w:val="right"/>
              <w:rPr>
                <w:rFonts w:cs="Arial"/>
                <w:lang w:val="en-GB" w:eastAsia="en-GB"/>
              </w:rPr>
            </w:pPr>
            <w:r>
              <w:rPr>
                <w:rFonts w:cs="Arial"/>
                <w:lang w:val="en-GB" w:eastAsia="en-GB"/>
              </w:rPr>
              <w:t>25,942</w:t>
            </w:r>
          </w:p>
        </w:tc>
        <w:tc>
          <w:tcPr>
            <w:tcW w:w="1197" w:type="dxa"/>
            <w:tcBorders>
              <w:top w:val="single" w:sz="6" w:space="0" w:color="000000"/>
              <w:left w:val="single" w:sz="6" w:space="0" w:color="000000"/>
              <w:bottom w:val="single" w:sz="6" w:space="0" w:color="000000"/>
              <w:right w:val="single" w:sz="6" w:space="0" w:color="000000"/>
            </w:tcBorders>
            <w:vAlign w:val="bottom"/>
          </w:tcPr>
          <w:p w14:paraId="53812926" w14:textId="77777777" w:rsidR="00002A40" w:rsidRPr="002635EB" w:rsidRDefault="00002A40" w:rsidP="000B279D">
            <w:pPr>
              <w:spacing w:after="0"/>
              <w:jc w:val="right"/>
              <w:rPr>
                <w:rFonts w:cs="Arial"/>
                <w:lang w:val="en-GB" w:eastAsia="en-GB"/>
              </w:rPr>
            </w:pPr>
            <w:r>
              <w:rPr>
                <w:rFonts w:cs="Arial"/>
                <w:lang w:val="en-GB" w:eastAsia="en-GB"/>
              </w:rPr>
              <w:t>23,667</w:t>
            </w:r>
          </w:p>
        </w:tc>
      </w:tr>
      <w:tr w:rsidR="00002A40" w:rsidRPr="002635EB" w14:paraId="193A15D8"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336344ED" w14:textId="77777777" w:rsidR="00002A40" w:rsidRPr="00822E1E" w:rsidRDefault="00002A40" w:rsidP="000B279D">
            <w:pPr>
              <w:spacing w:after="0"/>
              <w:rPr>
                <w:rFonts w:cs="Arial"/>
                <w:b/>
                <w:lang w:val="en-GB" w:eastAsia="en-GB"/>
              </w:rPr>
            </w:pPr>
            <w:r>
              <w:rPr>
                <w:rFonts w:cs="Arial"/>
                <w:b/>
                <w:lang w:val="en-GB" w:eastAsia="en-GB"/>
              </w:rPr>
              <w:t>Conferences and Seminars</w:t>
            </w:r>
          </w:p>
        </w:tc>
        <w:tc>
          <w:tcPr>
            <w:tcW w:w="1220" w:type="dxa"/>
            <w:tcBorders>
              <w:top w:val="single" w:sz="6" w:space="0" w:color="000000"/>
              <w:left w:val="single" w:sz="6" w:space="0" w:color="000000"/>
              <w:bottom w:val="single" w:sz="6" w:space="0" w:color="000000"/>
              <w:right w:val="single" w:sz="6" w:space="0" w:color="000000"/>
            </w:tcBorders>
            <w:vAlign w:val="bottom"/>
          </w:tcPr>
          <w:p w14:paraId="0258074D" w14:textId="77777777" w:rsidR="00002A40" w:rsidRPr="002635EB" w:rsidRDefault="00002A40" w:rsidP="000B279D">
            <w:pPr>
              <w:spacing w:after="0"/>
              <w:jc w:val="right"/>
              <w:rPr>
                <w:rFonts w:cs="Arial"/>
                <w:lang w:val="en-GB" w:eastAsia="en-GB"/>
              </w:rPr>
            </w:pPr>
            <w:r>
              <w:rPr>
                <w:rFonts w:cs="Arial"/>
                <w:lang w:val="en-GB" w:eastAsia="en-GB"/>
              </w:rPr>
              <w:t>18,560</w:t>
            </w:r>
          </w:p>
        </w:tc>
        <w:tc>
          <w:tcPr>
            <w:tcW w:w="1197" w:type="dxa"/>
            <w:tcBorders>
              <w:top w:val="single" w:sz="6" w:space="0" w:color="000000"/>
              <w:left w:val="single" w:sz="6" w:space="0" w:color="000000"/>
              <w:bottom w:val="single" w:sz="6" w:space="0" w:color="000000"/>
              <w:right w:val="single" w:sz="6" w:space="0" w:color="000000"/>
            </w:tcBorders>
            <w:vAlign w:val="bottom"/>
          </w:tcPr>
          <w:p w14:paraId="061CC83A" w14:textId="77777777" w:rsidR="00002A40" w:rsidRPr="002635EB" w:rsidRDefault="00002A40" w:rsidP="000B279D">
            <w:pPr>
              <w:spacing w:after="0"/>
              <w:jc w:val="right"/>
              <w:rPr>
                <w:rFonts w:cs="Arial"/>
                <w:lang w:val="en-GB" w:eastAsia="en-GB"/>
              </w:rPr>
            </w:pPr>
            <w:r>
              <w:rPr>
                <w:rFonts w:cs="Arial"/>
                <w:lang w:val="en-GB" w:eastAsia="en-GB"/>
              </w:rPr>
              <w:t>57,542</w:t>
            </w:r>
          </w:p>
        </w:tc>
      </w:tr>
      <w:tr w:rsidR="00002A40" w:rsidRPr="002635EB" w14:paraId="73121425"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6464AF7D" w14:textId="77777777" w:rsidR="00002A40" w:rsidRPr="00822E1E" w:rsidRDefault="00002A40" w:rsidP="000B279D">
            <w:pPr>
              <w:spacing w:after="0"/>
              <w:rPr>
                <w:rFonts w:cs="Arial"/>
                <w:b/>
                <w:lang w:val="en-GB" w:eastAsia="en-GB"/>
              </w:rPr>
            </w:pPr>
            <w:r>
              <w:rPr>
                <w:rFonts w:cs="Arial"/>
                <w:b/>
                <w:lang w:val="en-GB" w:eastAsia="en-GB"/>
              </w:rPr>
              <w:t>Consultation</w:t>
            </w:r>
          </w:p>
        </w:tc>
        <w:tc>
          <w:tcPr>
            <w:tcW w:w="1220" w:type="dxa"/>
            <w:tcBorders>
              <w:top w:val="single" w:sz="6" w:space="0" w:color="000000"/>
              <w:left w:val="single" w:sz="6" w:space="0" w:color="000000"/>
              <w:bottom w:val="single" w:sz="6" w:space="0" w:color="000000"/>
              <w:right w:val="single" w:sz="6" w:space="0" w:color="000000"/>
            </w:tcBorders>
            <w:vAlign w:val="bottom"/>
          </w:tcPr>
          <w:p w14:paraId="05AD2990" w14:textId="77777777" w:rsidR="00002A40" w:rsidRPr="002635EB" w:rsidRDefault="00002A40" w:rsidP="000B279D">
            <w:pPr>
              <w:spacing w:after="0"/>
              <w:jc w:val="right"/>
              <w:rPr>
                <w:rFonts w:cs="Arial"/>
                <w:lang w:val="en-GB" w:eastAsia="en-GB"/>
              </w:rPr>
            </w:pPr>
            <w:r>
              <w:rPr>
                <w:rFonts w:cs="Arial"/>
                <w:lang w:val="en-GB" w:eastAsia="en-GB"/>
              </w:rPr>
              <w:t>6,</w:t>
            </w:r>
            <w:r w:rsidR="00FF7B9F">
              <w:rPr>
                <w:rFonts w:cs="Arial"/>
                <w:lang w:val="en-GB" w:eastAsia="en-GB"/>
              </w:rPr>
              <w:t>780</w:t>
            </w:r>
          </w:p>
        </w:tc>
        <w:tc>
          <w:tcPr>
            <w:tcW w:w="1197" w:type="dxa"/>
            <w:tcBorders>
              <w:top w:val="single" w:sz="6" w:space="0" w:color="000000"/>
              <w:left w:val="single" w:sz="6" w:space="0" w:color="000000"/>
              <w:bottom w:val="single" w:sz="6" w:space="0" w:color="000000"/>
              <w:right w:val="single" w:sz="6" w:space="0" w:color="000000"/>
            </w:tcBorders>
            <w:vAlign w:val="bottom"/>
          </w:tcPr>
          <w:p w14:paraId="5F203EB2" w14:textId="77777777" w:rsidR="00002A40" w:rsidRPr="002635EB" w:rsidRDefault="00002A40" w:rsidP="000B279D">
            <w:pPr>
              <w:spacing w:after="0"/>
              <w:jc w:val="right"/>
              <w:rPr>
                <w:rFonts w:cs="Arial"/>
                <w:lang w:val="en-GB" w:eastAsia="en-GB"/>
              </w:rPr>
            </w:pPr>
            <w:r>
              <w:rPr>
                <w:rFonts w:cs="Arial"/>
                <w:lang w:val="en-GB" w:eastAsia="en-GB"/>
              </w:rPr>
              <w:t>4,084</w:t>
            </w:r>
          </w:p>
        </w:tc>
      </w:tr>
      <w:tr w:rsidR="00002A40" w:rsidRPr="002635EB" w14:paraId="61CE3AA6"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179BB559" w14:textId="77777777" w:rsidR="00002A40" w:rsidRPr="00822E1E" w:rsidRDefault="00002A40" w:rsidP="000B279D">
            <w:pPr>
              <w:spacing w:after="0"/>
              <w:rPr>
                <w:rFonts w:cs="Arial"/>
                <w:b/>
                <w:lang w:val="en-GB" w:eastAsia="en-GB"/>
              </w:rPr>
            </w:pPr>
            <w:r>
              <w:rPr>
                <w:rFonts w:cs="Arial"/>
                <w:b/>
                <w:lang w:val="en-GB" w:eastAsia="en-GB"/>
              </w:rPr>
              <w:t xml:space="preserve">Translation </w:t>
            </w:r>
          </w:p>
        </w:tc>
        <w:tc>
          <w:tcPr>
            <w:tcW w:w="1220" w:type="dxa"/>
            <w:tcBorders>
              <w:top w:val="single" w:sz="6" w:space="0" w:color="000000"/>
              <w:left w:val="single" w:sz="6" w:space="0" w:color="000000"/>
              <w:bottom w:val="single" w:sz="6" w:space="0" w:color="000000"/>
              <w:right w:val="single" w:sz="6" w:space="0" w:color="000000"/>
            </w:tcBorders>
            <w:vAlign w:val="bottom"/>
          </w:tcPr>
          <w:p w14:paraId="4B88CC02" w14:textId="77777777" w:rsidR="00002A40" w:rsidRPr="002635EB" w:rsidRDefault="00002A40" w:rsidP="000B279D">
            <w:pPr>
              <w:spacing w:after="0"/>
              <w:jc w:val="right"/>
              <w:rPr>
                <w:rFonts w:cs="Arial"/>
                <w:lang w:val="en-GB" w:eastAsia="en-GB"/>
              </w:rPr>
            </w:pPr>
            <w:r>
              <w:rPr>
                <w:rFonts w:cs="Arial"/>
                <w:lang w:val="en-GB" w:eastAsia="en-GB"/>
              </w:rPr>
              <w:t>2,374</w:t>
            </w:r>
          </w:p>
        </w:tc>
        <w:tc>
          <w:tcPr>
            <w:tcW w:w="1197" w:type="dxa"/>
            <w:tcBorders>
              <w:top w:val="single" w:sz="6" w:space="0" w:color="000000"/>
              <w:left w:val="single" w:sz="6" w:space="0" w:color="000000"/>
              <w:bottom w:val="single" w:sz="6" w:space="0" w:color="000000"/>
              <w:right w:val="single" w:sz="6" w:space="0" w:color="000000"/>
            </w:tcBorders>
            <w:vAlign w:val="bottom"/>
          </w:tcPr>
          <w:p w14:paraId="5A0736CD" w14:textId="77777777" w:rsidR="00002A40" w:rsidRPr="002635EB" w:rsidRDefault="00002A40" w:rsidP="000B279D">
            <w:pPr>
              <w:spacing w:after="0"/>
              <w:jc w:val="right"/>
              <w:rPr>
                <w:rFonts w:cs="Arial"/>
                <w:lang w:val="en-GB" w:eastAsia="en-GB"/>
              </w:rPr>
            </w:pPr>
            <w:r>
              <w:rPr>
                <w:rFonts w:cs="Arial"/>
                <w:lang w:val="en-GB" w:eastAsia="en-GB"/>
              </w:rPr>
              <w:t>2,997</w:t>
            </w:r>
          </w:p>
        </w:tc>
      </w:tr>
      <w:tr w:rsidR="00002A40" w:rsidRPr="002635EB" w14:paraId="33CE08EF"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3FACECE3" w14:textId="77777777" w:rsidR="00002A40" w:rsidRPr="00822E1E" w:rsidRDefault="00002A40" w:rsidP="000B279D">
            <w:pPr>
              <w:spacing w:after="0"/>
              <w:rPr>
                <w:rFonts w:cs="Arial"/>
                <w:b/>
                <w:lang w:val="en-GB" w:eastAsia="en-GB"/>
              </w:rPr>
            </w:pPr>
          </w:p>
        </w:tc>
        <w:tc>
          <w:tcPr>
            <w:tcW w:w="1220" w:type="dxa"/>
            <w:tcBorders>
              <w:top w:val="single" w:sz="6" w:space="0" w:color="000000"/>
              <w:left w:val="single" w:sz="6" w:space="0" w:color="000000"/>
              <w:bottom w:val="single" w:sz="6" w:space="0" w:color="000000"/>
              <w:right w:val="single" w:sz="6" w:space="0" w:color="000000"/>
            </w:tcBorders>
            <w:vAlign w:val="bottom"/>
          </w:tcPr>
          <w:p w14:paraId="6808A099" w14:textId="77777777" w:rsidR="00002A40" w:rsidRPr="002635EB" w:rsidRDefault="00002A40" w:rsidP="000B279D">
            <w:pPr>
              <w:spacing w:after="0"/>
              <w:jc w:val="right"/>
              <w:rPr>
                <w:rFonts w:cs="Arial"/>
                <w:lang w:val="en-GB" w:eastAsia="en-GB"/>
              </w:rPr>
            </w:pPr>
          </w:p>
        </w:tc>
        <w:tc>
          <w:tcPr>
            <w:tcW w:w="1197" w:type="dxa"/>
            <w:tcBorders>
              <w:top w:val="single" w:sz="6" w:space="0" w:color="000000"/>
              <w:left w:val="single" w:sz="6" w:space="0" w:color="000000"/>
              <w:bottom w:val="single" w:sz="6" w:space="0" w:color="000000"/>
              <w:right w:val="single" w:sz="6" w:space="0" w:color="000000"/>
            </w:tcBorders>
            <w:vAlign w:val="bottom"/>
          </w:tcPr>
          <w:p w14:paraId="2E05E925" w14:textId="77777777" w:rsidR="00002A40" w:rsidRPr="002635EB" w:rsidRDefault="00002A40" w:rsidP="000B279D">
            <w:pPr>
              <w:spacing w:after="0"/>
              <w:jc w:val="right"/>
              <w:rPr>
                <w:rFonts w:cs="Arial"/>
                <w:lang w:val="en-GB" w:eastAsia="en-GB"/>
              </w:rPr>
            </w:pPr>
          </w:p>
        </w:tc>
      </w:tr>
      <w:tr w:rsidR="00002A40" w:rsidRPr="002635EB" w14:paraId="075E9DEB" w14:textId="77777777" w:rsidTr="00002A40">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02398029" w14:textId="77777777" w:rsidR="00002A40" w:rsidRPr="002635EB" w:rsidRDefault="00002A40" w:rsidP="000B279D">
            <w:pPr>
              <w:spacing w:after="0"/>
              <w:rPr>
                <w:rFonts w:cs="Arial"/>
                <w:b/>
                <w:lang w:val="en-GB" w:eastAsia="en-GB"/>
              </w:rPr>
            </w:pPr>
            <w:r>
              <w:rPr>
                <w:rFonts w:cs="Arial"/>
                <w:b/>
                <w:lang w:val="en-GB" w:eastAsia="en-GB"/>
              </w:rPr>
              <w:t xml:space="preserve">Total </w:t>
            </w:r>
            <w:r w:rsidRPr="00076E20">
              <w:rPr>
                <w:b/>
              </w:rPr>
              <w:t>Projects and Commissioned Work</w:t>
            </w:r>
          </w:p>
        </w:tc>
        <w:tc>
          <w:tcPr>
            <w:tcW w:w="1220" w:type="dxa"/>
            <w:tcBorders>
              <w:top w:val="single" w:sz="6" w:space="0" w:color="000000"/>
              <w:left w:val="single" w:sz="6" w:space="0" w:color="000000"/>
              <w:bottom w:val="single" w:sz="6" w:space="0" w:color="000000"/>
              <w:right w:val="single" w:sz="6" w:space="0" w:color="000000"/>
            </w:tcBorders>
            <w:vAlign w:val="bottom"/>
          </w:tcPr>
          <w:p w14:paraId="72F6555F" w14:textId="77777777" w:rsidR="00002A40" w:rsidRPr="00076E20" w:rsidRDefault="004853AE" w:rsidP="000B279D">
            <w:pPr>
              <w:spacing w:after="0"/>
              <w:jc w:val="right"/>
              <w:rPr>
                <w:rFonts w:cs="Arial"/>
                <w:b/>
                <w:lang w:val="en-GB" w:eastAsia="en-GB"/>
              </w:rPr>
            </w:pPr>
            <w:r>
              <w:rPr>
                <w:rFonts w:cs="Arial"/>
                <w:b/>
                <w:lang w:val="en-GB" w:eastAsia="en-GB"/>
              </w:rPr>
              <w:t>374</w:t>
            </w:r>
            <w:r w:rsidR="00EC0307">
              <w:rPr>
                <w:rFonts w:cs="Arial"/>
                <w:b/>
                <w:lang w:val="en-GB" w:eastAsia="en-GB"/>
              </w:rPr>
              <w:t>,</w:t>
            </w:r>
            <w:r>
              <w:rPr>
                <w:rFonts w:cs="Arial"/>
                <w:b/>
                <w:lang w:val="en-GB" w:eastAsia="en-GB"/>
              </w:rPr>
              <w:t>920</w:t>
            </w:r>
          </w:p>
        </w:tc>
        <w:tc>
          <w:tcPr>
            <w:tcW w:w="1197" w:type="dxa"/>
            <w:tcBorders>
              <w:top w:val="single" w:sz="6" w:space="0" w:color="000000"/>
              <w:left w:val="single" w:sz="6" w:space="0" w:color="000000"/>
              <w:bottom w:val="single" w:sz="6" w:space="0" w:color="000000"/>
              <w:right w:val="single" w:sz="6" w:space="0" w:color="000000"/>
            </w:tcBorders>
            <w:vAlign w:val="bottom"/>
          </w:tcPr>
          <w:p w14:paraId="6F360B5B" w14:textId="77777777" w:rsidR="00002A40" w:rsidRPr="00076E20" w:rsidRDefault="00002A40" w:rsidP="000B279D">
            <w:pPr>
              <w:spacing w:after="0"/>
              <w:jc w:val="right"/>
              <w:rPr>
                <w:rFonts w:cs="Arial"/>
                <w:b/>
                <w:lang w:val="en-GB" w:eastAsia="en-GB"/>
              </w:rPr>
            </w:pPr>
            <w:r>
              <w:rPr>
                <w:rFonts w:cs="Arial"/>
                <w:b/>
                <w:lang w:val="en-GB" w:eastAsia="en-GB"/>
              </w:rPr>
              <w:t>509,596</w:t>
            </w:r>
          </w:p>
        </w:tc>
      </w:tr>
    </w:tbl>
    <w:p w14:paraId="53DCFD96" w14:textId="77777777" w:rsidR="00002A40" w:rsidRDefault="00002A40" w:rsidP="00002A40">
      <w:pPr>
        <w:rPr>
          <w:lang w:val="en-GB" w:eastAsia="en-GB"/>
        </w:rPr>
      </w:pPr>
      <w:bookmarkStart w:id="50" w:name="_Toc335836397"/>
    </w:p>
    <w:p w14:paraId="5FF94CB1" w14:textId="77777777" w:rsidR="00421776" w:rsidRDefault="00421776" w:rsidP="00BB5C89">
      <w:pPr>
        <w:pStyle w:val="Heading3"/>
        <w:rPr>
          <w:lang w:val="en-GB" w:eastAsia="en-GB"/>
        </w:rPr>
      </w:pPr>
      <w:r w:rsidRPr="009A0453">
        <w:rPr>
          <w:lang w:val="en-GB" w:eastAsia="en-GB"/>
        </w:rPr>
        <w:t>4. Payroll Costs</w:t>
      </w:r>
      <w:bookmarkEnd w:id="5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331"/>
        <w:gridCol w:w="1244"/>
        <w:gridCol w:w="1346"/>
      </w:tblGrid>
      <w:tr w:rsidR="00002A40" w:rsidRPr="004961A0" w14:paraId="5E6ECA8D" w14:textId="77777777" w:rsidTr="00002A40">
        <w:trPr>
          <w:tblHeader/>
        </w:trPr>
        <w:tc>
          <w:tcPr>
            <w:tcW w:w="5495" w:type="dxa"/>
            <w:shd w:val="clear" w:color="auto" w:fill="auto"/>
            <w:vAlign w:val="bottom"/>
          </w:tcPr>
          <w:p w14:paraId="79FFFD09" w14:textId="77777777" w:rsidR="00002A40" w:rsidRPr="004961A0" w:rsidRDefault="00002A40" w:rsidP="000B279D">
            <w:pPr>
              <w:spacing w:after="0"/>
              <w:rPr>
                <w:rFonts w:cs="Arial"/>
                <w:lang w:val="en-GB" w:eastAsia="en-GB"/>
              </w:rPr>
            </w:pPr>
          </w:p>
        </w:tc>
        <w:tc>
          <w:tcPr>
            <w:tcW w:w="1276" w:type="dxa"/>
            <w:shd w:val="clear" w:color="auto" w:fill="auto"/>
            <w:vAlign w:val="bottom"/>
          </w:tcPr>
          <w:p w14:paraId="6C9B4132" w14:textId="77777777" w:rsidR="00002A40" w:rsidRPr="0003167E" w:rsidRDefault="00002A40" w:rsidP="000B279D">
            <w:pPr>
              <w:pStyle w:val="TableHead"/>
              <w:jc w:val="center"/>
              <w:rPr>
                <w:lang w:val="en-GB" w:eastAsia="en-GB"/>
              </w:rPr>
            </w:pPr>
            <w:r w:rsidRPr="0003167E">
              <w:rPr>
                <w:lang w:val="en-GB" w:eastAsia="en-GB"/>
              </w:rPr>
              <w:t>2014</w:t>
            </w:r>
          </w:p>
        </w:tc>
        <w:tc>
          <w:tcPr>
            <w:tcW w:w="1382" w:type="dxa"/>
            <w:shd w:val="clear" w:color="auto" w:fill="auto"/>
            <w:vAlign w:val="bottom"/>
          </w:tcPr>
          <w:p w14:paraId="1B210FFB" w14:textId="77777777" w:rsidR="00002A40" w:rsidRPr="0003167E" w:rsidRDefault="00002A40" w:rsidP="000B279D">
            <w:pPr>
              <w:pStyle w:val="TableHead"/>
              <w:jc w:val="center"/>
              <w:rPr>
                <w:lang w:val="en-GB" w:eastAsia="en-GB"/>
              </w:rPr>
            </w:pPr>
            <w:r w:rsidRPr="0003167E">
              <w:rPr>
                <w:lang w:val="en-GB" w:eastAsia="en-GB"/>
              </w:rPr>
              <w:t>2013</w:t>
            </w:r>
          </w:p>
        </w:tc>
      </w:tr>
      <w:tr w:rsidR="00002A40" w:rsidRPr="004961A0" w14:paraId="4CE8709E" w14:textId="77777777" w:rsidTr="00002A40">
        <w:tc>
          <w:tcPr>
            <w:tcW w:w="5495" w:type="dxa"/>
            <w:shd w:val="clear" w:color="auto" w:fill="auto"/>
            <w:vAlign w:val="bottom"/>
          </w:tcPr>
          <w:p w14:paraId="5B5D702B" w14:textId="77777777" w:rsidR="00002A40" w:rsidRPr="004961A0" w:rsidRDefault="00002A40" w:rsidP="000B279D">
            <w:pPr>
              <w:spacing w:after="0"/>
              <w:rPr>
                <w:rFonts w:cs="Arial"/>
                <w:lang w:val="en-GB" w:eastAsia="en-GB"/>
              </w:rPr>
            </w:pPr>
          </w:p>
        </w:tc>
        <w:tc>
          <w:tcPr>
            <w:tcW w:w="1276" w:type="dxa"/>
            <w:shd w:val="clear" w:color="auto" w:fill="auto"/>
            <w:vAlign w:val="bottom"/>
          </w:tcPr>
          <w:p w14:paraId="2AA4FF82" w14:textId="77777777" w:rsidR="00002A40" w:rsidRPr="0003167E" w:rsidRDefault="00002A40" w:rsidP="000B279D">
            <w:pPr>
              <w:spacing w:after="0"/>
              <w:jc w:val="center"/>
              <w:rPr>
                <w:rFonts w:cs="Arial"/>
                <w:b/>
                <w:lang w:val="en-GB" w:eastAsia="en-GB"/>
              </w:rPr>
            </w:pPr>
            <w:r w:rsidRPr="0003167E">
              <w:rPr>
                <w:rFonts w:cs="Arial"/>
                <w:b/>
                <w:lang w:val="en-GB" w:eastAsia="en-GB"/>
              </w:rPr>
              <w:t>€</w:t>
            </w:r>
          </w:p>
        </w:tc>
        <w:tc>
          <w:tcPr>
            <w:tcW w:w="1382" w:type="dxa"/>
            <w:shd w:val="clear" w:color="auto" w:fill="auto"/>
            <w:vAlign w:val="bottom"/>
          </w:tcPr>
          <w:p w14:paraId="16EAE88F" w14:textId="77777777" w:rsidR="00002A40" w:rsidRPr="0003167E" w:rsidRDefault="00002A40" w:rsidP="000B279D">
            <w:pPr>
              <w:spacing w:after="0"/>
              <w:jc w:val="center"/>
              <w:rPr>
                <w:rFonts w:cs="Arial"/>
                <w:b/>
                <w:lang w:val="en-GB" w:eastAsia="en-GB"/>
              </w:rPr>
            </w:pPr>
            <w:r w:rsidRPr="0003167E">
              <w:rPr>
                <w:rFonts w:cs="Arial"/>
                <w:b/>
                <w:lang w:val="en-GB" w:eastAsia="en-GB"/>
              </w:rPr>
              <w:t>€</w:t>
            </w:r>
          </w:p>
        </w:tc>
      </w:tr>
      <w:tr w:rsidR="00002A40" w:rsidRPr="004961A0" w14:paraId="04EDFF1D" w14:textId="77777777" w:rsidTr="00002A40">
        <w:tc>
          <w:tcPr>
            <w:tcW w:w="5495" w:type="dxa"/>
            <w:shd w:val="clear" w:color="auto" w:fill="auto"/>
            <w:vAlign w:val="bottom"/>
          </w:tcPr>
          <w:p w14:paraId="0C353FDC" w14:textId="77777777" w:rsidR="00002A40" w:rsidRPr="004961A0" w:rsidRDefault="00002A40" w:rsidP="000B279D">
            <w:pPr>
              <w:pStyle w:val="TableRowHead"/>
              <w:rPr>
                <w:rFonts w:ascii="Gill Sans" w:hAnsi="Gill Sans"/>
                <w:sz w:val="24"/>
                <w:lang w:val="en-GB" w:eastAsia="en-GB"/>
              </w:rPr>
            </w:pPr>
            <w:r w:rsidRPr="004961A0">
              <w:rPr>
                <w:rFonts w:ascii="Gill Sans" w:hAnsi="Gill Sans"/>
                <w:sz w:val="24"/>
                <w:lang w:val="en-GB" w:eastAsia="en-GB"/>
              </w:rPr>
              <w:lastRenderedPageBreak/>
              <w:t>NDA Staff Pay</w:t>
            </w:r>
          </w:p>
        </w:tc>
        <w:tc>
          <w:tcPr>
            <w:tcW w:w="1276" w:type="dxa"/>
            <w:shd w:val="clear" w:color="auto" w:fill="auto"/>
            <w:vAlign w:val="bottom"/>
          </w:tcPr>
          <w:p w14:paraId="71DF81F5" w14:textId="77777777" w:rsidR="00002A40" w:rsidRPr="00821780" w:rsidRDefault="00002A40" w:rsidP="000B279D">
            <w:pPr>
              <w:pStyle w:val="TableCell"/>
              <w:rPr>
                <w:sz w:val="24"/>
                <w:lang w:val="en-GB" w:eastAsia="en-GB"/>
              </w:rPr>
            </w:pPr>
            <w:r>
              <w:rPr>
                <w:sz w:val="24"/>
                <w:lang w:val="en-GB" w:eastAsia="en-GB"/>
              </w:rPr>
              <w:t>1,869,847</w:t>
            </w:r>
          </w:p>
        </w:tc>
        <w:tc>
          <w:tcPr>
            <w:tcW w:w="1382" w:type="dxa"/>
            <w:shd w:val="clear" w:color="auto" w:fill="auto"/>
            <w:vAlign w:val="bottom"/>
          </w:tcPr>
          <w:p w14:paraId="26898632" w14:textId="77777777" w:rsidR="00002A40" w:rsidRPr="00821780" w:rsidRDefault="00002A40" w:rsidP="000B279D">
            <w:pPr>
              <w:pStyle w:val="TableCell"/>
              <w:rPr>
                <w:sz w:val="24"/>
                <w:lang w:val="en-GB" w:eastAsia="en-GB"/>
              </w:rPr>
            </w:pPr>
            <w:r>
              <w:rPr>
                <w:sz w:val="24"/>
                <w:lang w:val="en-GB" w:eastAsia="en-GB"/>
              </w:rPr>
              <w:t>1</w:t>
            </w:r>
            <w:r w:rsidRPr="00821780">
              <w:rPr>
                <w:sz w:val="24"/>
                <w:lang w:val="en-GB" w:eastAsia="en-GB"/>
              </w:rPr>
              <w:t>,</w:t>
            </w:r>
            <w:r>
              <w:rPr>
                <w:sz w:val="24"/>
                <w:lang w:val="en-GB" w:eastAsia="en-GB"/>
              </w:rPr>
              <w:t>931</w:t>
            </w:r>
            <w:r w:rsidRPr="00821780">
              <w:rPr>
                <w:sz w:val="24"/>
                <w:lang w:val="en-GB" w:eastAsia="en-GB"/>
              </w:rPr>
              <w:t>,</w:t>
            </w:r>
            <w:r>
              <w:rPr>
                <w:sz w:val="24"/>
                <w:lang w:val="en-GB" w:eastAsia="en-GB"/>
              </w:rPr>
              <w:t>023</w:t>
            </w:r>
          </w:p>
        </w:tc>
      </w:tr>
      <w:tr w:rsidR="00002A40" w:rsidRPr="004961A0" w14:paraId="61E43691" w14:textId="77777777" w:rsidTr="00002A40">
        <w:tc>
          <w:tcPr>
            <w:tcW w:w="5495" w:type="dxa"/>
            <w:shd w:val="clear" w:color="auto" w:fill="auto"/>
            <w:vAlign w:val="bottom"/>
          </w:tcPr>
          <w:p w14:paraId="3960B1EF" w14:textId="77777777" w:rsidR="00002A40" w:rsidRPr="004961A0" w:rsidRDefault="00002A40" w:rsidP="000B279D">
            <w:pPr>
              <w:pStyle w:val="TableRowHead"/>
              <w:rPr>
                <w:rFonts w:ascii="Gill Sans" w:hAnsi="Gill Sans"/>
                <w:sz w:val="24"/>
                <w:lang w:val="en-GB" w:eastAsia="en-GB"/>
              </w:rPr>
            </w:pPr>
            <w:r w:rsidRPr="004961A0">
              <w:rPr>
                <w:rFonts w:ascii="Gill Sans" w:hAnsi="Gill Sans"/>
                <w:sz w:val="24"/>
                <w:lang w:val="en-GB" w:eastAsia="en-GB"/>
              </w:rPr>
              <w:t>Agency Staff</w:t>
            </w:r>
          </w:p>
        </w:tc>
        <w:tc>
          <w:tcPr>
            <w:tcW w:w="1276" w:type="dxa"/>
            <w:shd w:val="clear" w:color="auto" w:fill="auto"/>
            <w:vAlign w:val="bottom"/>
          </w:tcPr>
          <w:p w14:paraId="4D96F2B8" w14:textId="77777777" w:rsidR="00002A40" w:rsidRPr="004961A0" w:rsidRDefault="00002A40" w:rsidP="000B279D">
            <w:pPr>
              <w:pStyle w:val="TableCell"/>
              <w:rPr>
                <w:sz w:val="24"/>
                <w:lang w:val="en-GB" w:eastAsia="en-GB"/>
              </w:rPr>
            </w:pPr>
            <w:r>
              <w:rPr>
                <w:sz w:val="24"/>
                <w:lang w:val="en-GB" w:eastAsia="en-GB"/>
              </w:rPr>
              <w:t>3,644</w:t>
            </w:r>
          </w:p>
        </w:tc>
        <w:tc>
          <w:tcPr>
            <w:tcW w:w="1382" w:type="dxa"/>
            <w:shd w:val="clear" w:color="auto" w:fill="auto"/>
            <w:vAlign w:val="bottom"/>
          </w:tcPr>
          <w:p w14:paraId="32EA4EF7" w14:textId="77777777" w:rsidR="00002A40" w:rsidRPr="004961A0" w:rsidRDefault="00002A40" w:rsidP="000B279D">
            <w:pPr>
              <w:pStyle w:val="TableCell"/>
              <w:rPr>
                <w:sz w:val="24"/>
                <w:lang w:val="en-GB" w:eastAsia="en-GB"/>
              </w:rPr>
            </w:pPr>
            <w:r>
              <w:rPr>
                <w:sz w:val="24"/>
                <w:lang w:val="en-GB" w:eastAsia="en-GB"/>
              </w:rPr>
              <w:t>3</w:t>
            </w:r>
            <w:r w:rsidRPr="004961A0">
              <w:rPr>
                <w:sz w:val="24"/>
                <w:lang w:val="en-GB" w:eastAsia="en-GB"/>
              </w:rPr>
              <w:t>,</w:t>
            </w:r>
            <w:r>
              <w:rPr>
                <w:sz w:val="24"/>
                <w:lang w:val="en-GB" w:eastAsia="en-GB"/>
              </w:rPr>
              <w:t>984</w:t>
            </w:r>
            <w:r w:rsidRPr="004961A0">
              <w:rPr>
                <w:sz w:val="24"/>
                <w:lang w:val="en-GB" w:eastAsia="en-GB"/>
              </w:rPr>
              <w:t xml:space="preserve"> </w:t>
            </w:r>
          </w:p>
        </w:tc>
      </w:tr>
      <w:tr w:rsidR="00002A40" w:rsidRPr="004961A0" w14:paraId="50C3CDA7" w14:textId="77777777" w:rsidTr="00002A40">
        <w:tc>
          <w:tcPr>
            <w:tcW w:w="5495" w:type="dxa"/>
            <w:shd w:val="clear" w:color="auto" w:fill="auto"/>
            <w:vAlign w:val="bottom"/>
          </w:tcPr>
          <w:p w14:paraId="0B0E348B" w14:textId="77777777" w:rsidR="00002A40" w:rsidRPr="004961A0" w:rsidRDefault="00002A40" w:rsidP="000B279D">
            <w:pPr>
              <w:spacing w:after="0"/>
              <w:rPr>
                <w:rFonts w:cs="Arial"/>
                <w:lang w:val="en-GB" w:eastAsia="en-GB"/>
              </w:rPr>
            </w:pPr>
          </w:p>
        </w:tc>
        <w:tc>
          <w:tcPr>
            <w:tcW w:w="1276" w:type="dxa"/>
            <w:shd w:val="clear" w:color="auto" w:fill="auto"/>
            <w:vAlign w:val="bottom"/>
          </w:tcPr>
          <w:p w14:paraId="3B026022" w14:textId="77777777" w:rsidR="00002A40" w:rsidRPr="004961A0" w:rsidRDefault="00002A40" w:rsidP="000B279D">
            <w:pPr>
              <w:pStyle w:val="TableCell"/>
              <w:rPr>
                <w:b/>
                <w:sz w:val="24"/>
                <w:lang w:val="en-GB" w:eastAsia="en-GB"/>
              </w:rPr>
            </w:pPr>
            <w:r>
              <w:rPr>
                <w:b/>
                <w:sz w:val="24"/>
                <w:lang w:val="en-GB" w:eastAsia="en-GB"/>
              </w:rPr>
              <w:t>1,873,491</w:t>
            </w:r>
          </w:p>
        </w:tc>
        <w:tc>
          <w:tcPr>
            <w:tcW w:w="1382" w:type="dxa"/>
            <w:shd w:val="clear" w:color="auto" w:fill="auto"/>
            <w:vAlign w:val="bottom"/>
          </w:tcPr>
          <w:p w14:paraId="652ED58F" w14:textId="77777777" w:rsidR="00002A40" w:rsidRPr="004961A0" w:rsidRDefault="00002A40" w:rsidP="000B279D">
            <w:pPr>
              <w:pStyle w:val="TableCell"/>
              <w:rPr>
                <w:b/>
                <w:sz w:val="24"/>
                <w:lang w:val="en-GB" w:eastAsia="en-GB"/>
              </w:rPr>
            </w:pPr>
            <w:r>
              <w:rPr>
                <w:b/>
                <w:sz w:val="24"/>
                <w:lang w:val="en-GB" w:eastAsia="en-GB"/>
              </w:rPr>
              <w:t>1</w:t>
            </w:r>
            <w:r w:rsidRPr="004961A0">
              <w:rPr>
                <w:b/>
                <w:sz w:val="24"/>
                <w:lang w:val="en-GB" w:eastAsia="en-GB"/>
              </w:rPr>
              <w:t>,</w:t>
            </w:r>
            <w:r>
              <w:rPr>
                <w:b/>
                <w:sz w:val="24"/>
                <w:lang w:val="en-GB" w:eastAsia="en-GB"/>
              </w:rPr>
              <w:t>935</w:t>
            </w:r>
            <w:r w:rsidRPr="004961A0">
              <w:rPr>
                <w:b/>
                <w:sz w:val="24"/>
                <w:lang w:val="en-GB" w:eastAsia="en-GB"/>
              </w:rPr>
              <w:t>,</w:t>
            </w:r>
            <w:r>
              <w:rPr>
                <w:b/>
                <w:sz w:val="24"/>
                <w:lang w:val="en-GB" w:eastAsia="en-GB"/>
              </w:rPr>
              <w:t>007</w:t>
            </w:r>
            <w:r w:rsidRPr="004961A0">
              <w:rPr>
                <w:b/>
                <w:sz w:val="24"/>
                <w:lang w:val="en-GB" w:eastAsia="en-GB"/>
              </w:rPr>
              <w:t xml:space="preserve"> </w:t>
            </w:r>
          </w:p>
        </w:tc>
      </w:tr>
    </w:tbl>
    <w:p w14:paraId="02B55F6E" w14:textId="77777777" w:rsidR="00421776" w:rsidRDefault="001354ED" w:rsidP="006A65D8">
      <w:pPr>
        <w:rPr>
          <w:lang w:val="en-GB" w:eastAsia="en-GB"/>
        </w:rPr>
      </w:pPr>
      <w:r>
        <w:rPr>
          <w:lang w:val="en-GB" w:eastAsia="en-GB"/>
        </w:rPr>
        <w:br/>
      </w:r>
      <w:r w:rsidR="00421776" w:rsidRPr="009A0453">
        <w:rPr>
          <w:lang w:val="en-GB" w:eastAsia="en-GB"/>
        </w:rPr>
        <w:t>The average number of staff employed by th</w:t>
      </w:r>
      <w:r w:rsidR="00421776">
        <w:rPr>
          <w:lang w:val="en-GB" w:eastAsia="en-GB"/>
        </w:rPr>
        <w:t xml:space="preserve">e Authority in the year was </w:t>
      </w:r>
      <w:r w:rsidR="00421776" w:rsidRPr="00873079">
        <w:rPr>
          <w:lang w:val="en-GB" w:eastAsia="en-GB"/>
        </w:rPr>
        <w:t>33</w:t>
      </w:r>
      <w:r w:rsidR="00421776" w:rsidRPr="009A0453">
        <w:rPr>
          <w:lang w:val="en-GB" w:eastAsia="en-GB"/>
        </w:rPr>
        <w:t xml:space="preserve"> (201</w:t>
      </w:r>
      <w:r w:rsidR="00421776">
        <w:rPr>
          <w:lang w:val="en-GB" w:eastAsia="en-GB"/>
        </w:rPr>
        <w:t>3: 33</w:t>
      </w:r>
      <w:r w:rsidR="00421776" w:rsidRPr="009A0453">
        <w:rPr>
          <w:lang w:val="en-GB" w:eastAsia="en-GB"/>
        </w:rPr>
        <w:t>)</w:t>
      </w:r>
      <w:r w:rsidR="00421776">
        <w:rPr>
          <w:lang w:val="en-GB" w:eastAsia="en-GB"/>
        </w:rPr>
        <w:t>.</w:t>
      </w:r>
    </w:p>
    <w:p w14:paraId="031AB7B0" w14:textId="77777777" w:rsidR="00421776" w:rsidRPr="004961A0" w:rsidRDefault="00421776" w:rsidP="00BB5C89">
      <w:pPr>
        <w:pStyle w:val="Heading4"/>
      </w:pPr>
      <w:bookmarkStart w:id="51" w:name="_Toc335836398"/>
      <w:r w:rsidRPr="009A0453">
        <w:rPr>
          <w:lang w:val="en-GB" w:eastAsia="en-GB"/>
        </w:rPr>
        <w:t>Director</w:t>
      </w:r>
      <w:r w:rsidR="00320EA8">
        <w:rPr>
          <w:lang w:val="en-GB" w:eastAsia="en-GB"/>
        </w:rPr>
        <w:t>’</w:t>
      </w:r>
      <w:r w:rsidRPr="009A0453">
        <w:rPr>
          <w:lang w:val="en-GB" w:eastAsia="en-GB"/>
        </w:rPr>
        <w:t>s Remuneration</w:t>
      </w:r>
      <w:bookmarkEnd w:id="51"/>
    </w:p>
    <w:p w14:paraId="33057B4F" w14:textId="77777777" w:rsidR="00421776" w:rsidRDefault="00002A40" w:rsidP="006A65D8">
      <w:pPr>
        <w:rPr>
          <w:lang w:val="en-GB" w:eastAsia="en-GB"/>
        </w:rPr>
      </w:pPr>
      <w:r w:rsidRPr="00002A40">
        <w:t xml:space="preserve">The Director was paid a salary in 2014 of €95,816 (2013: €97,924) on the Civil Service Principal Officer Scale. No other payment was made in the year to the Director </w:t>
      </w:r>
      <w:proofErr w:type="gramStart"/>
      <w:r w:rsidRPr="00002A40">
        <w:t>in the nature of pay</w:t>
      </w:r>
      <w:proofErr w:type="gramEnd"/>
      <w:r w:rsidRPr="00002A40">
        <w:t xml:space="preserve">. The Director is a member of an unfunded defined benefit public sector scheme and her entitlements do </w:t>
      </w:r>
      <w:r w:rsidRPr="00772F8E">
        <w:t>not extend beyond the standard entitlements available under such a scheme</w:t>
      </w:r>
      <w:r w:rsidR="00421776" w:rsidRPr="00C31B12">
        <w:rPr>
          <w:lang w:val="en-GB" w:eastAsia="en-GB"/>
        </w:rPr>
        <w:t>.</w:t>
      </w:r>
    </w:p>
    <w:p w14:paraId="74586227" w14:textId="77777777" w:rsidR="00421776" w:rsidRDefault="00421776" w:rsidP="00BB5C89">
      <w:pPr>
        <w:pStyle w:val="Heading3"/>
        <w:rPr>
          <w:lang w:val="en-GB" w:eastAsia="en-GB"/>
        </w:rPr>
      </w:pPr>
      <w:bookmarkStart w:id="52" w:name="_Toc335836399"/>
      <w:r w:rsidRPr="004961A0">
        <w:rPr>
          <w:lang w:val="en-GB" w:eastAsia="en-GB"/>
        </w:rPr>
        <w:t>5. Administration Costs</w:t>
      </w:r>
      <w:bookmarkEnd w:id="52"/>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428"/>
        <w:gridCol w:w="1500"/>
        <w:gridCol w:w="1500"/>
        <w:gridCol w:w="1500"/>
      </w:tblGrid>
      <w:tr w:rsidR="000B279D" w:rsidRPr="004961A0" w14:paraId="64EDF2E3" w14:textId="77777777" w:rsidTr="0098479B">
        <w:trPr>
          <w:trHeight w:val="302"/>
          <w:tblHeader/>
        </w:trPr>
        <w:tc>
          <w:tcPr>
            <w:tcW w:w="4428" w:type="dxa"/>
            <w:shd w:val="clear" w:color="auto" w:fill="auto"/>
          </w:tcPr>
          <w:p w14:paraId="7DBA7045" w14:textId="77777777" w:rsidR="000B279D" w:rsidRPr="004961A0" w:rsidRDefault="000B279D" w:rsidP="000B279D">
            <w:pPr>
              <w:pStyle w:val="TableHead"/>
              <w:jc w:val="right"/>
            </w:pPr>
          </w:p>
        </w:tc>
        <w:tc>
          <w:tcPr>
            <w:tcW w:w="1500" w:type="dxa"/>
            <w:shd w:val="clear" w:color="auto" w:fill="auto"/>
          </w:tcPr>
          <w:p w14:paraId="7471FBE0" w14:textId="77777777" w:rsidR="000B279D" w:rsidRPr="0055051C" w:rsidRDefault="000B279D" w:rsidP="000B279D">
            <w:pPr>
              <w:pStyle w:val="TableHead"/>
              <w:jc w:val="right"/>
              <w:rPr>
                <w:sz w:val="24"/>
              </w:rPr>
            </w:pPr>
            <w:r w:rsidRPr="0055051C">
              <w:rPr>
                <w:sz w:val="24"/>
              </w:rPr>
              <w:t>Notes</w:t>
            </w:r>
          </w:p>
        </w:tc>
        <w:tc>
          <w:tcPr>
            <w:tcW w:w="1500" w:type="dxa"/>
            <w:shd w:val="clear" w:color="auto" w:fill="auto"/>
            <w:vAlign w:val="bottom"/>
          </w:tcPr>
          <w:p w14:paraId="53D8C778" w14:textId="77777777" w:rsidR="000B279D" w:rsidRPr="007D1646" w:rsidRDefault="000B279D" w:rsidP="000B279D">
            <w:pPr>
              <w:pStyle w:val="TableHead"/>
              <w:jc w:val="center"/>
              <w:rPr>
                <w:rFonts w:cs="Arial"/>
                <w:bCs/>
                <w:sz w:val="24"/>
                <w:lang w:val="en-GB" w:eastAsia="en-GB"/>
              </w:rPr>
            </w:pPr>
            <w:r w:rsidRPr="007D1646">
              <w:rPr>
                <w:rFonts w:cs="Arial"/>
                <w:bCs/>
                <w:sz w:val="24"/>
                <w:lang w:val="en-GB" w:eastAsia="en-GB"/>
              </w:rPr>
              <w:t>2014</w:t>
            </w:r>
          </w:p>
        </w:tc>
        <w:tc>
          <w:tcPr>
            <w:tcW w:w="1500" w:type="dxa"/>
            <w:shd w:val="clear" w:color="auto" w:fill="auto"/>
            <w:vAlign w:val="bottom"/>
          </w:tcPr>
          <w:p w14:paraId="3E69339D" w14:textId="77777777" w:rsidR="000B279D" w:rsidRPr="007D1646" w:rsidRDefault="000B279D" w:rsidP="000B279D">
            <w:pPr>
              <w:pStyle w:val="TableHead"/>
              <w:jc w:val="center"/>
              <w:rPr>
                <w:rFonts w:cs="Arial"/>
                <w:bCs/>
                <w:sz w:val="24"/>
                <w:lang w:val="en-GB" w:eastAsia="en-GB"/>
              </w:rPr>
            </w:pPr>
            <w:r w:rsidRPr="007D1646">
              <w:rPr>
                <w:rFonts w:cs="Arial"/>
                <w:bCs/>
                <w:sz w:val="24"/>
                <w:lang w:val="en-GB" w:eastAsia="en-GB"/>
              </w:rPr>
              <w:t>2013</w:t>
            </w:r>
          </w:p>
        </w:tc>
      </w:tr>
      <w:tr w:rsidR="000B279D" w:rsidRPr="004961A0" w14:paraId="10DF6A80" w14:textId="77777777" w:rsidTr="0098479B">
        <w:trPr>
          <w:trHeight w:val="302"/>
        </w:trPr>
        <w:tc>
          <w:tcPr>
            <w:tcW w:w="4428" w:type="dxa"/>
            <w:shd w:val="clear" w:color="auto" w:fill="auto"/>
          </w:tcPr>
          <w:p w14:paraId="178BDB0A" w14:textId="77777777" w:rsidR="000B279D" w:rsidRPr="004961A0" w:rsidRDefault="000B279D" w:rsidP="000B279D">
            <w:pPr>
              <w:pStyle w:val="TableRowHead"/>
            </w:pPr>
          </w:p>
        </w:tc>
        <w:tc>
          <w:tcPr>
            <w:tcW w:w="1500" w:type="dxa"/>
            <w:shd w:val="clear" w:color="auto" w:fill="auto"/>
          </w:tcPr>
          <w:p w14:paraId="6B5EC9AD" w14:textId="77777777" w:rsidR="000B279D" w:rsidRPr="004961A0" w:rsidRDefault="000B279D" w:rsidP="000B279D">
            <w:pPr>
              <w:pStyle w:val="TableCell"/>
            </w:pPr>
          </w:p>
        </w:tc>
        <w:tc>
          <w:tcPr>
            <w:tcW w:w="1500" w:type="dxa"/>
            <w:shd w:val="clear" w:color="auto" w:fill="auto"/>
            <w:vAlign w:val="bottom"/>
          </w:tcPr>
          <w:p w14:paraId="2E6BD0C9" w14:textId="77777777" w:rsidR="000B279D" w:rsidRPr="007D1646" w:rsidRDefault="000B279D" w:rsidP="000B279D">
            <w:pPr>
              <w:spacing w:after="0"/>
              <w:jc w:val="center"/>
              <w:rPr>
                <w:rFonts w:cs="Arial"/>
                <w:b/>
                <w:lang w:val="en-GB" w:eastAsia="en-GB"/>
              </w:rPr>
            </w:pPr>
            <w:r w:rsidRPr="007D1646">
              <w:rPr>
                <w:rFonts w:cs="Arial"/>
                <w:b/>
                <w:lang w:val="en-GB" w:eastAsia="en-GB"/>
              </w:rPr>
              <w:t>€</w:t>
            </w:r>
          </w:p>
        </w:tc>
        <w:tc>
          <w:tcPr>
            <w:tcW w:w="1500" w:type="dxa"/>
            <w:shd w:val="clear" w:color="auto" w:fill="auto"/>
            <w:vAlign w:val="bottom"/>
          </w:tcPr>
          <w:p w14:paraId="793567E3" w14:textId="77777777" w:rsidR="000B279D" w:rsidRPr="007D1646" w:rsidRDefault="000B279D" w:rsidP="000B279D">
            <w:pPr>
              <w:spacing w:after="0"/>
              <w:jc w:val="center"/>
              <w:rPr>
                <w:rFonts w:cs="Arial"/>
                <w:b/>
                <w:lang w:val="en-GB" w:eastAsia="en-GB"/>
              </w:rPr>
            </w:pPr>
            <w:r w:rsidRPr="007D1646">
              <w:rPr>
                <w:rFonts w:cs="Arial"/>
                <w:b/>
                <w:lang w:val="en-GB" w:eastAsia="en-GB"/>
              </w:rPr>
              <w:t>€</w:t>
            </w:r>
          </w:p>
        </w:tc>
      </w:tr>
      <w:tr w:rsidR="000B279D" w:rsidRPr="004961A0" w14:paraId="6D267060" w14:textId="77777777" w:rsidTr="0098479B">
        <w:trPr>
          <w:trHeight w:val="302"/>
        </w:trPr>
        <w:tc>
          <w:tcPr>
            <w:tcW w:w="4428" w:type="dxa"/>
            <w:shd w:val="clear" w:color="auto" w:fill="auto"/>
            <w:vAlign w:val="bottom"/>
          </w:tcPr>
          <w:p w14:paraId="66056DDD"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Travel costs</w:t>
            </w:r>
          </w:p>
        </w:tc>
        <w:tc>
          <w:tcPr>
            <w:tcW w:w="1500" w:type="dxa"/>
            <w:shd w:val="clear" w:color="auto" w:fill="auto"/>
            <w:vAlign w:val="bottom"/>
          </w:tcPr>
          <w:p w14:paraId="7954AE6B"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40B437BB" w14:textId="77777777" w:rsidR="000B279D" w:rsidRDefault="000B279D" w:rsidP="000B279D">
            <w:pPr>
              <w:pStyle w:val="TableCell"/>
              <w:rPr>
                <w:sz w:val="24"/>
                <w:lang w:val="en-GB" w:eastAsia="en-GB"/>
              </w:rPr>
            </w:pPr>
            <w:r>
              <w:rPr>
                <w:sz w:val="24"/>
                <w:lang w:val="en-GB" w:eastAsia="en-GB"/>
              </w:rPr>
              <w:t>13,937</w:t>
            </w:r>
          </w:p>
        </w:tc>
        <w:tc>
          <w:tcPr>
            <w:tcW w:w="1500" w:type="dxa"/>
            <w:shd w:val="clear" w:color="auto" w:fill="auto"/>
            <w:vAlign w:val="bottom"/>
          </w:tcPr>
          <w:p w14:paraId="5CCADA52" w14:textId="77777777" w:rsidR="000B279D" w:rsidRPr="000D0E62" w:rsidRDefault="000B279D" w:rsidP="000B279D">
            <w:pPr>
              <w:pStyle w:val="TableCell"/>
              <w:rPr>
                <w:sz w:val="24"/>
                <w:lang w:val="en-GB" w:eastAsia="en-GB"/>
              </w:rPr>
            </w:pPr>
            <w:r>
              <w:rPr>
                <w:sz w:val="24"/>
                <w:lang w:val="en-GB" w:eastAsia="en-GB"/>
              </w:rPr>
              <w:t>24,544</w:t>
            </w:r>
          </w:p>
        </w:tc>
      </w:tr>
      <w:tr w:rsidR="000B279D" w:rsidRPr="004961A0" w14:paraId="0D577EC0" w14:textId="77777777" w:rsidTr="0098479B">
        <w:trPr>
          <w:trHeight w:val="302"/>
        </w:trPr>
        <w:tc>
          <w:tcPr>
            <w:tcW w:w="4428" w:type="dxa"/>
            <w:shd w:val="clear" w:color="auto" w:fill="auto"/>
            <w:vAlign w:val="bottom"/>
          </w:tcPr>
          <w:p w14:paraId="76B204FD"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Staff Training, Recruitment and H&amp;S</w:t>
            </w:r>
          </w:p>
        </w:tc>
        <w:tc>
          <w:tcPr>
            <w:tcW w:w="1500" w:type="dxa"/>
            <w:shd w:val="clear" w:color="auto" w:fill="auto"/>
            <w:vAlign w:val="bottom"/>
          </w:tcPr>
          <w:p w14:paraId="26765054"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23F46814" w14:textId="77777777" w:rsidR="000B279D" w:rsidRDefault="000B279D" w:rsidP="000B279D">
            <w:pPr>
              <w:pStyle w:val="TableCell"/>
              <w:rPr>
                <w:sz w:val="24"/>
                <w:lang w:val="en-GB" w:eastAsia="en-GB"/>
              </w:rPr>
            </w:pPr>
            <w:r>
              <w:rPr>
                <w:sz w:val="24"/>
                <w:lang w:val="en-GB" w:eastAsia="en-GB"/>
              </w:rPr>
              <w:t>16,704</w:t>
            </w:r>
          </w:p>
        </w:tc>
        <w:tc>
          <w:tcPr>
            <w:tcW w:w="1500" w:type="dxa"/>
            <w:shd w:val="clear" w:color="auto" w:fill="auto"/>
            <w:vAlign w:val="bottom"/>
          </w:tcPr>
          <w:p w14:paraId="72499EA1" w14:textId="77777777" w:rsidR="000B279D" w:rsidRPr="000D0E62" w:rsidRDefault="000B279D" w:rsidP="000B279D">
            <w:pPr>
              <w:pStyle w:val="TableCell"/>
              <w:rPr>
                <w:sz w:val="24"/>
                <w:lang w:val="en-GB" w:eastAsia="en-GB"/>
              </w:rPr>
            </w:pPr>
            <w:r>
              <w:rPr>
                <w:sz w:val="24"/>
                <w:lang w:val="en-GB" w:eastAsia="en-GB"/>
              </w:rPr>
              <w:t>32,922</w:t>
            </w:r>
          </w:p>
        </w:tc>
      </w:tr>
      <w:tr w:rsidR="000B279D" w:rsidRPr="004961A0" w14:paraId="07E4C628" w14:textId="77777777" w:rsidTr="0098479B">
        <w:trPr>
          <w:trHeight w:val="302"/>
        </w:trPr>
        <w:tc>
          <w:tcPr>
            <w:tcW w:w="4428" w:type="dxa"/>
            <w:shd w:val="clear" w:color="auto" w:fill="auto"/>
            <w:vAlign w:val="bottom"/>
          </w:tcPr>
          <w:p w14:paraId="70A653C1"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Building related overheads</w:t>
            </w:r>
          </w:p>
        </w:tc>
        <w:tc>
          <w:tcPr>
            <w:tcW w:w="1500" w:type="dxa"/>
            <w:shd w:val="clear" w:color="auto" w:fill="auto"/>
            <w:vAlign w:val="bottom"/>
          </w:tcPr>
          <w:p w14:paraId="37E8024F"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5AAD5974" w14:textId="77777777" w:rsidR="000B279D" w:rsidRDefault="000B279D" w:rsidP="000B279D">
            <w:pPr>
              <w:pStyle w:val="TableCell"/>
              <w:rPr>
                <w:sz w:val="24"/>
                <w:lang w:val="en-GB" w:eastAsia="en-GB"/>
              </w:rPr>
            </w:pPr>
            <w:r>
              <w:rPr>
                <w:sz w:val="24"/>
                <w:lang w:val="en-GB" w:eastAsia="en-GB"/>
              </w:rPr>
              <w:t>87,819</w:t>
            </w:r>
          </w:p>
        </w:tc>
        <w:tc>
          <w:tcPr>
            <w:tcW w:w="1500" w:type="dxa"/>
            <w:shd w:val="clear" w:color="auto" w:fill="auto"/>
            <w:vAlign w:val="bottom"/>
          </w:tcPr>
          <w:p w14:paraId="474D9F4A" w14:textId="77777777" w:rsidR="000B279D" w:rsidRPr="000D0E62" w:rsidRDefault="000B279D" w:rsidP="000B279D">
            <w:pPr>
              <w:pStyle w:val="TableCell"/>
              <w:rPr>
                <w:sz w:val="24"/>
                <w:lang w:val="en-GB" w:eastAsia="en-GB"/>
              </w:rPr>
            </w:pPr>
            <w:r>
              <w:rPr>
                <w:sz w:val="24"/>
                <w:lang w:val="en-GB" w:eastAsia="en-GB"/>
              </w:rPr>
              <w:t>87,633</w:t>
            </w:r>
          </w:p>
        </w:tc>
      </w:tr>
      <w:tr w:rsidR="000B279D" w:rsidRPr="004961A0" w14:paraId="415AE826" w14:textId="77777777" w:rsidTr="0098479B">
        <w:trPr>
          <w:trHeight w:val="302"/>
        </w:trPr>
        <w:tc>
          <w:tcPr>
            <w:tcW w:w="4428" w:type="dxa"/>
            <w:shd w:val="clear" w:color="auto" w:fill="auto"/>
            <w:vAlign w:val="bottom"/>
          </w:tcPr>
          <w:p w14:paraId="6E92B210"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Rates</w:t>
            </w:r>
          </w:p>
        </w:tc>
        <w:tc>
          <w:tcPr>
            <w:tcW w:w="1500" w:type="dxa"/>
            <w:shd w:val="clear" w:color="auto" w:fill="auto"/>
            <w:vAlign w:val="bottom"/>
          </w:tcPr>
          <w:p w14:paraId="0CC5FF3C"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22DD582C" w14:textId="77777777" w:rsidR="000B279D" w:rsidRDefault="000B279D" w:rsidP="000B279D">
            <w:pPr>
              <w:pStyle w:val="TableCell"/>
              <w:rPr>
                <w:sz w:val="24"/>
                <w:lang w:val="en-GB" w:eastAsia="en-GB"/>
              </w:rPr>
            </w:pPr>
            <w:r>
              <w:rPr>
                <w:sz w:val="24"/>
                <w:lang w:val="en-GB" w:eastAsia="en-GB"/>
              </w:rPr>
              <w:t>52,197</w:t>
            </w:r>
          </w:p>
        </w:tc>
        <w:tc>
          <w:tcPr>
            <w:tcW w:w="1500" w:type="dxa"/>
            <w:shd w:val="clear" w:color="auto" w:fill="auto"/>
            <w:vAlign w:val="bottom"/>
          </w:tcPr>
          <w:p w14:paraId="208C4C61" w14:textId="77777777" w:rsidR="000B279D" w:rsidRPr="000D0E62" w:rsidRDefault="000B279D" w:rsidP="000B279D">
            <w:pPr>
              <w:pStyle w:val="TableCell"/>
              <w:rPr>
                <w:sz w:val="24"/>
                <w:lang w:val="en-GB" w:eastAsia="en-GB"/>
              </w:rPr>
            </w:pPr>
            <w:r>
              <w:rPr>
                <w:sz w:val="24"/>
                <w:lang w:val="en-GB" w:eastAsia="en-GB"/>
              </w:rPr>
              <w:t>68,490</w:t>
            </w:r>
          </w:p>
        </w:tc>
      </w:tr>
      <w:tr w:rsidR="000B279D" w:rsidRPr="004961A0" w14:paraId="1B48D13A" w14:textId="77777777" w:rsidTr="0098479B">
        <w:trPr>
          <w:trHeight w:val="302"/>
        </w:trPr>
        <w:tc>
          <w:tcPr>
            <w:tcW w:w="4428" w:type="dxa"/>
            <w:shd w:val="clear" w:color="auto" w:fill="auto"/>
            <w:vAlign w:val="bottom"/>
          </w:tcPr>
          <w:p w14:paraId="5788DB83" w14:textId="77777777" w:rsidR="000B279D" w:rsidRDefault="000B279D" w:rsidP="000B279D">
            <w:pPr>
              <w:pStyle w:val="TableRowHead"/>
              <w:rPr>
                <w:rFonts w:ascii="Gill Sans" w:hAnsi="Gill Sans"/>
                <w:sz w:val="24"/>
                <w:lang w:val="en-GB" w:eastAsia="en-GB"/>
              </w:rPr>
            </w:pPr>
            <w:r>
              <w:rPr>
                <w:rFonts w:ascii="Gill Sans" w:hAnsi="Gill Sans"/>
                <w:sz w:val="24"/>
                <w:lang w:val="en-GB" w:eastAsia="en-GB"/>
              </w:rPr>
              <w:t>Cleaning / Domestic</w:t>
            </w:r>
          </w:p>
        </w:tc>
        <w:tc>
          <w:tcPr>
            <w:tcW w:w="1500" w:type="dxa"/>
            <w:shd w:val="clear" w:color="auto" w:fill="auto"/>
            <w:vAlign w:val="bottom"/>
          </w:tcPr>
          <w:p w14:paraId="385A0509"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707FF8F1" w14:textId="77777777" w:rsidR="000B279D" w:rsidRDefault="000B279D" w:rsidP="000B279D">
            <w:pPr>
              <w:pStyle w:val="TableCell"/>
              <w:rPr>
                <w:sz w:val="24"/>
                <w:lang w:val="en-GB" w:eastAsia="en-GB"/>
              </w:rPr>
            </w:pPr>
            <w:r>
              <w:rPr>
                <w:sz w:val="24"/>
                <w:lang w:val="en-GB" w:eastAsia="en-GB"/>
              </w:rPr>
              <w:t>52,013</w:t>
            </w:r>
          </w:p>
        </w:tc>
        <w:tc>
          <w:tcPr>
            <w:tcW w:w="1500" w:type="dxa"/>
            <w:shd w:val="clear" w:color="auto" w:fill="auto"/>
            <w:vAlign w:val="bottom"/>
          </w:tcPr>
          <w:p w14:paraId="787E2B1C" w14:textId="77777777" w:rsidR="000B279D" w:rsidRDefault="000B279D" w:rsidP="000B279D">
            <w:pPr>
              <w:pStyle w:val="TableCell"/>
              <w:rPr>
                <w:sz w:val="24"/>
                <w:lang w:val="en-GB" w:eastAsia="en-GB"/>
              </w:rPr>
            </w:pPr>
            <w:r>
              <w:rPr>
                <w:sz w:val="24"/>
                <w:lang w:val="en-GB" w:eastAsia="en-GB"/>
              </w:rPr>
              <w:t>54,228</w:t>
            </w:r>
          </w:p>
        </w:tc>
      </w:tr>
      <w:tr w:rsidR="000B279D" w:rsidRPr="004961A0" w14:paraId="3E9C9C70" w14:textId="77777777" w:rsidTr="0098479B">
        <w:trPr>
          <w:trHeight w:val="302"/>
        </w:trPr>
        <w:tc>
          <w:tcPr>
            <w:tcW w:w="4428" w:type="dxa"/>
            <w:shd w:val="clear" w:color="auto" w:fill="auto"/>
            <w:vAlign w:val="bottom"/>
          </w:tcPr>
          <w:p w14:paraId="538F61E1" w14:textId="77777777" w:rsidR="000B279D" w:rsidRPr="0055051C" w:rsidRDefault="000B279D" w:rsidP="000B279D">
            <w:pPr>
              <w:pStyle w:val="TableRowHead"/>
              <w:rPr>
                <w:rFonts w:ascii="Gill Sans" w:hAnsi="Gill Sans"/>
                <w:sz w:val="24"/>
                <w:lang w:val="en-GB" w:eastAsia="en-GB"/>
              </w:rPr>
            </w:pPr>
            <w:r w:rsidRPr="0055051C">
              <w:rPr>
                <w:rFonts w:ascii="Gill Sans" w:hAnsi="Gill Sans"/>
                <w:sz w:val="24"/>
                <w:lang w:val="en-GB" w:eastAsia="en-GB"/>
              </w:rPr>
              <w:t>Authority Fees &amp; Expenses</w:t>
            </w:r>
          </w:p>
        </w:tc>
        <w:tc>
          <w:tcPr>
            <w:tcW w:w="1500" w:type="dxa"/>
            <w:shd w:val="clear" w:color="auto" w:fill="auto"/>
            <w:vAlign w:val="bottom"/>
          </w:tcPr>
          <w:p w14:paraId="3EAADD57" w14:textId="77777777" w:rsidR="000B279D" w:rsidRPr="0055051C" w:rsidRDefault="000B279D" w:rsidP="000B279D">
            <w:pPr>
              <w:pStyle w:val="TableCell"/>
              <w:rPr>
                <w:sz w:val="24"/>
                <w:lang w:val="en-GB" w:eastAsia="en-GB"/>
              </w:rPr>
            </w:pPr>
            <w:r w:rsidRPr="0055051C">
              <w:rPr>
                <w:sz w:val="24"/>
                <w:lang w:val="en-GB" w:eastAsia="en-GB"/>
              </w:rPr>
              <w:t>6</w:t>
            </w:r>
          </w:p>
        </w:tc>
        <w:tc>
          <w:tcPr>
            <w:tcW w:w="1500" w:type="dxa"/>
            <w:shd w:val="clear" w:color="auto" w:fill="auto"/>
            <w:vAlign w:val="bottom"/>
          </w:tcPr>
          <w:p w14:paraId="3BFA1BF6" w14:textId="77777777" w:rsidR="000B279D" w:rsidRPr="0055051C" w:rsidRDefault="000B279D" w:rsidP="000B279D">
            <w:pPr>
              <w:pStyle w:val="TableCell"/>
              <w:rPr>
                <w:sz w:val="24"/>
                <w:lang w:val="en-GB" w:eastAsia="en-GB"/>
              </w:rPr>
            </w:pPr>
            <w:r>
              <w:rPr>
                <w:sz w:val="24"/>
                <w:lang w:val="en-GB" w:eastAsia="en-GB"/>
              </w:rPr>
              <w:t>35,</w:t>
            </w:r>
            <w:r w:rsidR="00FF7B9F">
              <w:rPr>
                <w:sz w:val="24"/>
                <w:lang w:val="en-GB" w:eastAsia="en-GB"/>
              </w:rPr>
              <w:t>193</w:t>
            </w:r>
          </w:p>
        </w:tc>
        <w:tc>
          <w:tcPr>
            <w:tcW w:w="1500" w:type="dxa"/>
            <w:shd w:val="clear" w:color="auto" w:fill="auto"/>
            <w:vAlign w:val="bottom"/>
          </w:tcPr>
          <w:p w14:paraId="050F7F8B" w14:textId="77777777" w:rsidR="000B279D" w:rsidRPr="0055051C" w:rsidRDefault="000B279D" w:rsidP="000B279D">
            <w:pPr>
              <w:pStyle w:val="TableCell"/>
              <w:rPr>
                <w:sz w:val="24"/>
                <w:lang w:val="en-GB" w:eastAsia="en-GB"/>
              </w:rPr>
            </w:pPr>
            <w:r>
              <w:rPr>
                <w:sz w:val="24"/>
                <w:lang w:val="en-GB" w:eastAsia="en-GB"/>
              </w:rPr>
              <w:t>68</w:t>
            </w:r>
            <w:r w:rsidRPr="0055051C">
              <w:rPr>
                <w:sz w:val="24"/>
                <w:lang w:val="en-GB" w:eastAsia="en-GB"/>
              </w:rPr>
              <w:t>,</w:t>
            </w:r>
            <w:r>
              <w:rPr>
                <w:sz w:val="24"/>
                <w:lang w:val="en-GB" w:eastAsia="en-GB"/>
              </w:rPr>
              <w:t>26</w:t>
            </w:r>
            <w:r w:rsidRPr="000D0E62">
              <w:rPr>
                <w:sz w:val="24"/>
                <w:lang w:val="en-GB" w:eastAsia="en-GB"/>
              </w:rPr>
              <w:t>7</w:t>
            </w:r>
          </w:p>
        </w:tc>
      </w:tr>
      <w:tr w:rsidR="000B279D" w:rsidRPr="004961A0" w14:paraId="72B465AC" w14:textId="77777777" w:rsidTr="0098479B">
        <w:trPr>
          <w:trHeight w:val="302"/>
        </w:trPr>
        <w:tc>
          <w:tcPr>
            <w:tcW w:w="4428" w:type="dxa"/>
            <w:shd w:val="clear" w:color="auto" w:fill="auto"/>
            <w:vAlign w:val="bottom"/>
          </w:tcPr>
          <w:p w14:paraId="192A3D39" w14:textId="77777777" w:rsidR="000B279D" w:rsidRDefault="000B279D" w:rsidP="000B279D">
            <w:pPr>
              <w:pStyle w:val="TableRowHead"/>
              <w:rPr>
                <w:rFonts w:ascii="Gill Sans" w:hAnsi="Gill Sans"/>
                <w:sz w:val="24"/>
                <w:lang w:val="en-GB" w:eastAsia="en-GB"/>
              </w:rPr>
            </w:pPr>
            <w:r>
              <w:rPr>
                <w:rFonts w:ascii="Gill Sans" w:hAnsi="Gill Sans"/>
                <w:sz w:val="24"/>
                <w:lang w:val="en-GB" w:eastAsia="en-GB"/>
              </w:rPr>
              <w:t>Postage and Phones</w:t>
            </w:r>
          </w:p>
        </w:tc>
        <w:tc>
          <w:tcPr>
            <w:tcW w:w="1500" w:type="dxa"/>
            <w:shd w:val="clear" w:color="auto" w:fill="auto"/>
            <w:vAlign w:val="bottom"/>
          </w:tcPr>
          <w:p w14:paraId="047B6098"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0C355321" w14:textId="77777777" w:rsidR="000B279D" w:rsidRDefault="000B279D" w:rsidP="000B279D">
            <w:pPr>
              <w:pStyle w:val="TableCell"/>
              <w:rPr>
                <w:sz w:val="24"/>
                <w:lang w:val="en-GB" w:eastAsia="en-GB"/>
              </w:rPr>
            </w:pPr>
            <w:r>
              <w:rPr>
                <w:sz w:val="24"/>
                <w:lang w:val="en-GB" w:eastAsia="en-GB"/>
              </w:rPr>
              <w:t>22,446</w:t>
            </w:r>
          </w:p>
        </w:tc>
        <w:tc>
          <w:tcPr>
            <w:tcW w:w="1500" w:type="dxa"/>
            <w:shd w:val="clear" w:color="auto" w:fill="auto"/>
            <w:vAlign w:val="bottom"/>
          </w:tcPr>
          <w:p w14:paraId="74C2DD65" w14:textId="77777777" w:rsidR="000B279D" w:rsidRDefault="000B279D" w:rsidP="000B279D">
            <w:pPr>
              <w:pStyle w:val="TableCell"/>
              <w:rPr>
                <w:sz w:val="24"/>
                <w:lang w:val="en-GB" w:eastAsia="en-GB"/>
              </w:rPr>
            </w:pPr>
            <w:r>
              <w:rPr>
                <w:sz w:val="24"/>
                <w:lang w:val="en-GB" w:eastAsia="en-GB"/>
              </w:rPr>
              <w:t>22,565</w:t>
            </w:r>
          </w:p>
        </w:tc>
      </w:tr>
      <w:tr w:rsidR="000B279D" w:rsidRPr="004961A0" w14:paraId="126AA2FB" w14:textId="77777777" w:rsidTr="0098479B">
        <w:trPr>
          <w:trHeight w:val="302"/>
        </w:trPr>
        <w:tc>
          <w:tcPr>
            <w:tcW w:w="4428" w:type="dxa"/>
            <w:shd w:val="clear" w:color="auto" w:fill="auto"/>
            <w:vAlign w:val="bottom"/>
          </w:tcPr>
          <w:p w14:paraId="0DAD6C9A"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Office running costs</w:t>
            </w:r>
          </w:p>
        </w:tc>
        <w:tc>
          <w:tcPr>
            <w:tcW w:w="1500" w:type="dxa"/>
            <w:shd w:val="clear" w:color="auto" w:fill="auto"/>
            <w:vAlign w:val="bottom"/>
          </w:tcPr>
          <w:p w14:paraId="512BFFD3"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20021E1E" w14:textId="77777777" w:rsidR="000B279D" w:rsidRDefault="000B279D" w:rsidP="000B279D">
            <w:pPr>
              <w:pStyle w:val="TableCell"/>
              <w:rPr>
                <w:sz w:val="24"/>
                <w:lang w:val="en-GB" w:eastAsia="en-GB"/>
              </w:rPr>
            </w:pPr>
            <w:r>
              <w:rPr>
                <w:sz w:val="24"/>
                <w:lang w:val="en-GB" w:eastAsia="en-GB"/>
              </w:rPr>
              <w:t>26,831</w:t>
            </w:r>
          </w:p>
        </w:tc>
        <w:tc>
          <w:tcPr>
            <w:tcW w:w="1500" w:type="dxa"/>
            <w:shd w:val="clear" w:color="auto" w:fill="auto"/>
            <w:vAlign w:val="bottom"/>
          </w:tcPr>
          <w:p w14:paraId="0C4A1DEC" w14:textId="77777777" w:rsidR="000B279D" w:rsidRPr="000D0E62" w:rsidRDefault="000B279D" w:rsidP="000B279D">
            <w:pPr>
              <w:pStyle w:val="TableCell"/>
              <w:rPr>
                <w:sz w:val="24"/>
                <w:lang w:val="en-GB" w:eastAsia="en-GB"/>
              </w:rPr>
            </w:pPr>
            <w:r>
              <w:rPr>
                <w:sz w:val="24"/>
                <w:lang w:val="en-GB" w:eastAsia="en-GB"/>
              </w:rPr>
              <w:t>43,675</w:t>
            </w:r>
          </w:p>
        </w:tc>
      </w:tr>
      <w:tr w:rsidR="000B279D" w:rsidRPr="004961A0" w14:paraId="50BD0C0D" w14:textId="77777777" w:rsidTr="0098479B">
        <w:trPr>
          <w:trHeight w:val="302"/>
        </w:trPr>
        <w:tc>
          <w:tcPr>
            <w:tcW w:w="4428" w:type="dxa"/>
            <w:shd w:val="clear" w:color="auto" w:fill="auto"/>
            <w:vAlign w:val="bottom"/>
          </w:tcPr>
          <w:p w14:paraId="1FFB2C29"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Library</w:t>
            </w:r>
          </w:p>
        </w:tc>
        <w:tc>
          <w:tcPr>
            <w:tcW w:w="1500" w:type="dxa"/>
            <w:shd w:val="clear" w:color="auto" w:fill="auto"/>
            <w:vAlign w:val="bottom"/>
          </w:tcPr>
          <w:p w14:paraId="01D9E47C"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1F1F1661" w14:textId="77777777" w:rsidR="000B279D" w:rsidRDefault="000B279D" w:rsidP="000B279D">
            <w:pPr>
              <w:pStyle w:val="TableCell"/>
              <w:rPr>
                <w:sz w:val="24"/>
                <w:lang w:val="en-GB" w:eastAsia="en-GB"/>
              </w:rPr>
            </w:pPr>
            <w:r>
              <w:rPr>
                <w:sz w:val="24"/>
                <w:lang w:val="en-GB" w:eastAsia="en-GB"/>
              </w:rPr>
              <w:t>7,869</w:t>
            </w:r>
          </w:p>
        </w:tc>
        <w:tc>
          <w:tcPr>
            <w:tcW w:w="1500" w:type="dxa"/>
            <w:shd w:val="clear" w:color="auto" w:fill="auto"/>
            <w:vAlign w:val="bottom"/>
          </w:tcPr>
          <w:p w14:paraId="06AA5CF6" w14:textId="77777777" w:rsidR="000B279D" w:rsidRPr="000D0E62" w:rsidRDefault="000B279D" w:rsidP="000B279D">
            <w:pPr>
              <w:pStyle w:val="TableCell"/>
              <w:rPr>
                <w:sz w:val="24"/>
                <w:lang w:val="en-GB" w:eastAsia="en-GB"/>
              </w:rPr>
            </w:pPr>
            <w:r>
              <w:rPr>
                <w:sz w:val="24"/>
                <w:lang w:val="en-GB" w:eastAsia="en-GB"/>
              </w:rPr>
              <w:t>19,141</w:t>
            </w:r>
          </w:p>
        </w:tc>
      </w:tr>
      <w:tr w:rsidR="000B279D" w:rsidRPr="004961A0" w14:paraId="01E7B6FC" w14:textId="77777777" w:rsidTr="0098479B">
        <w:trPr>
          <w:trHeight w:val="302"/>
        </w:trPr>
        <w:tc>
          <w:tcPr>
            <w:tcW w:w="4428" w:type="dxa"/>
            <w:shd w:val="clear" w:color="auto" w:fill="auto"/>
            <w:vAlign w:val="bottom"/>
          </w:tcPr>
          <w:p w14:paraId="7F8441E2"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IT Costs</w:t>
            </w:r>
          </w:p>
        </w:tc>
        <w:tc>
          <w:tcPr>
            <w:tcW w:w="1500" w:type="dxa"/>
            <w:shd w:val="clear" w:color="auto" w:fill="auto"/>
            <w:vAlign w:val="bottom"/>
          </w:tcPr>
          <w:p w14:paraId="0FE08247"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32F284FB" w14:textId="77777777" w:rsidR="000B279D" w:rsidRDefault="000B279D" w:rsidP="000B279D">
            <w:pPr>
              <w:pStyle w:val="TableCell"/>
              <w:rPr>
                <w:sz w:val="24"/>
                <w:lang w:val="en-GB" w:eastAsia="en-GB"/>
              </w:rPr>
            </w:pPr>
            <w:r>
              <w:rPr>
                <w:sz w:val="24"/>
                <w:lang w:val="en-GB" w:eastAsia="en-GB"/>
              </w:rPr>
              <w:t>95,669</w:t>
            </w:r>
          </w:p>
        </w:tc>
        <w:tc>
          <w:tcPr>
            <w:tcW w:w="1500" w:type="dxa"/>
            <w:shd w:val="clear" w:color="auto" w:fill="auto"/>
            <w:vAlign w:val="bottom"/>
          </w:tcPr>
          <w:p w14:paraId="1CE46AF3" w14:textId="77777777" w:rsidR="000B279D" w:rsidRPr="000D0E62" w:rsidRDefault="000B279D" w:rsidP="000B279D">
            <w:pPr>
              <w:pStyle w:val="TableCell"/>
              <w:rPr>
                <w:sz w:val="24"/>
                <w:lang w:val="en-GB" w:eastAsia="en-GB"/>
              </w:rPr>
            </w:pPr>
            <w:r>
              <w:rPr>
                <w:sz w:val="24"/>
                <w:lang w:val="en-GB" w:eastAsia="en-GB"/>
              </w:rPr>
              <w:t>84,508</w:t>
            </w:r>
          </w:p>
        </w:tc>
      </w:tr>
      <w:tr w:rsidR="000B279D" w:rsidRPr="004961A0" w14:paraId="3A90981C" w14:textId="77777777" w:rsidTr="0098479B">
        <w:trPr>
          <w:trHeight w:val="302"/>
        </w:trPr>
        <w:tc>
          <w:tcPr>
            <w:tcW w:w="4428" w:type="dxa"/>
            <w:shd w:val="clear" w:color="auto" w:fill="auto"/>
            <w:vAlign w:val="bottom"/>
          </w:tcPr>
          <w:p w14:paraId="316398B2" w14:textId="77777777" w:rsidR="000B279D" w:rsidRDefault="000B279D" w:rsidP="000B279D">
            <w:pPr>
              <w:pStyle w:val="TableRowHead"/>
              <w:rPr>
                <w:rFonts w:ascii="Gill Sans" w:hAnsi="Gill Sans"/>
                <w:sz w:val="24"/>
                <w:lang w:val="en-GB" w:eastAsia="en-GB"/>
              </w:rPr>
            </w:pPr>
            <w:r>
              <w:rPr>
                <w:rFonts w:ascii="Gill Sans" w:hAnsi="Gill Sans"/>
                <w:sz w:val="24"/>
                <w:lang w:val="en-GB" w:eastAsia="en-GB"/>
              </w:rPr>
              <w:t>Professional Fees</w:t>
            </w:r>
          </w:p>
        </w:tc>
        <w:tc>
          <w:tcPr>
            <w:tcW w:w="1500" w:type="dxa"/>
            <w:shd w:val="clear" w:color="auto" w:fill="auto"/>
            <w:vAlign w:val="bottom"/>
          </w:tcPr>
          <w:p w14:paraId="54E5B284"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0AFE583C" w14:textId="77777777" w:rsidR="000B279D" w:rsidRDefault="001D746D" w:rsidP="000B279D">
            <w:pPr>
              <w:pStyle w:val="TableCell"/>
              <w:rPr>
                <w:sz w:val="24"/>
                <w:lang w:val="en-GB" w:eastAsia="en-GB"/>
              </w:rPr>
            </w:pPr>
            <w:r>
              <w:rPr>
                <w:sz w:val="24"/>
                <w:lang w:val="en-GB" w:eastAsia="en-GB"/>
              </w:rPr>
              <w:t xml:space="preserve"> 12,787 </w:t>
            </w:r>
          </w:p>
        </w:tc>
        <w:tc>
          <w:tcPr>
            <w:tcW w:w="1500" w:type="dxa"/>
            <w:shd w:val="clear" w:color="auto" w:fill="auto"/>
            <w:vAlign w:val="bottom"/>
          </w:tcPr>
          <w:p w14:paraId="5A8BA6F3" w14:textId="77777777" w:rsidR="004712B7" w:rsidRDefault="00D00624">
            <w:pPr>
              <w:pStyle w:val="TableCell"/>
              <w:rPr>
                <w:sz w:val="24"/>
                <w:lang w:val="en-GB" w:eastAsia="en-GB"/>
              </w:rPr>
            </w:pPr>
            <w:r>
              <w:rPr>
                <w:sz w:val="24"/>
                <w:lang w:val="en-GB" w:eastAsia="en-GB"/>
              </w:rPr>
              <w:t xml:space="preserve"> </w:t>
            </w:r>
            <w:r w:rsidR="005778DC">
              <w:rPr>
                <w:sz w:val="24"/>
                <w:lang w:val="en-GB" w:eastAsia="en-GB"/>
              </w:rPr>
              <w:t>22,867</w:t>
            </w:r>
          </w:p>
        </w:tc>
      </w:tr>
      <w:tr w:rsidR="001D746D" w:rsidRPr="004961A0" w14:paraId="4EDA2B4B" w14:textId="77777777" w:rsidTr="0098479B">
        <w:trPr>
          <w:trHeight w:val="302"/>
        </w:trPr>
        <w:tc>
          <w:tcPr>
            <w:tcW w:w="4428" w:type="dxa"/>
            <w:shd w:val="clear" w:color="auto" w:fill="auto"/>
            <w:vAlign w:val="bottom"/>
          </w:tcPr>
          <w:p w14:paraId="58285039" w14:textId="77777777" w:rsidR="001D746D" w:rsidRDefault="001D746D" w:rsidP="000B279D">
            <w:pPr>
              <w:pStyle w:val="TableRowHead"/>
              <w:rPr>
                <w:rFonts w:ascii="Gill Sans" w:hAnsi="Gill Sans"/>
                <w:sz w:val="24"/>
                <w:lang w:val="en-GB" w:eastAsia="en-GB"/>
              </w:rPr>
            </w:pPr>
            <w:r>
              <w:rPr>
                <w:rFonts w:ascii="Gill Sans" w:hAnsi="Gill Sans"/>
                <w:sz w:val="24"/>
                <w:lang w:val="en-GB" w:eastAsia="en-GB"/>
              </w:rPr>
              <w:t>Audit Fees</w:t>
            </w:r>
          </w:p>
        </w:tc>
        <w:tc>
          <w:tcPr>
            <w:tcW w:w="1500" w:type="dxa"/>
            <w:shd w:val="clear" w:color="auto" w:fill="auto"/>
            <w:vAlign w:val="bottom"/>
          </w:tcPr>
          <w:p w14:paraId="1D9A83AF" w14:textId="77777777" w:rsidR="001D746D" w:rsidRPr="0055051C" w:rsidRDefault="001D746D" w:rsidP="000B279D">
            <w:pPr>
              <w:pStyle w:val="TableCell"/>
              <w:rPr>
                <w:sz w:val="24"/>
                <w:lang w:val="en-GB" w:eastAsia="en-GB"/>
              </w:rPr>
            </w:pPr>
          </w:p>
        </w:tc>
        <w:tc>
          <w:tcPr>
            <w:tcW w:w="1500" w:type="dxa"/>
            <w:shd w:val="clear" w:color="auto" w:fill="auto"/>
            <w:vAlign w:val="bottom"/>
          </w:tcPr>
          <w:p w14:paraId="4BBA9668" w14:textId="77777777" w:rsidR="001D746D" w:rsidRDefault="001D746D" w:rsidP="000B279D">
            <w:pPr>
              <w:pStyle w:val="TableCell"/>
              <w:rPr>
                <w:sz w:val="24"/>
                <w:lang w:val="en-GB" w:eastAsia="en-GB"/>
              </w:rPr>
            </w:pPr>
            <w:r>
              <w:rPr>
                <w:sz w:val="24"/>
                <w:lang w:val="en-GB" w:eastAsia="en-GB"/>
              </w:rPr>
              <w:t>16,600</w:t>
            </w:r>
          </w:p>
        </w:tc>
        <w:tc>
          <w:tcPr>
            <w:tcW w:w="1500" w:type="dxa"/>
            <w:shd w:val="clear" w:color="auto" w:fill="auto"/>
            <w:vAlign w:val="bottom"/>
          </w:tcPr>
          <w:p w14:paraId="5028F8B6" w14:textId="77777777" w:rsidR="001D746D" w:rsidRDefault="001D746D" w:rsidP="000B279D">
            <w:pPr>
              <w:pStyle w:val="TableCell"/>
              <w:rPr>
                <w:sz w:val="24"/>
                <w:lang w:val="en-GB" w:eastAsia="en-GB"/>
              </w:rPr>
            </w:pPr>
            <w:r>
              <w:rPr>
                <w:sz w:val="24"/>
                <w:lang w:val="en-GB" w:eastAsia="en-GB"/>
              </w:rPr>
              <w:t>16,620</w:t>
            </w:r>
          </w:p>
        </w:tc>
      </w:tr>
      <w:tr w:rsidR="000B279D" w:rsidRPr="004961A0" w14:paraId="107D83A3" w14:textId="77777777" w:rsidTr="0098479B">
        <w:trPr>
          <w:trHeight w:val="302"/>
        </w:trPr>
        <w:tc>
          <w:tcPr>
            <w:tcW w:w="4428" w:type="dxa"/>
            <w:shd w:val="clear" w:color="auto" w:fill="auto"/>
            <w:vAlign w:val="bottom"/>
          </w:tcPr>
          <w:p w14:paraId="22BBB989" w14:textId="77777777" w:rsidR="000B279D" w:rsidRPr="0055051C" w:rsidRDefault="000B279D" w:rsidP="000B279D">
            <w:pPr>
              <w:pStyle w:val="TableRowHead"/>
              <w:rPr>
                <w:rFonts w:ascii="Gill Sans" w:hAnsi="Gill Sans"/>
                <w:sz w:val="24"/>
                <w:lang w:val="en-GB" w:eastAsia="en-GB"/>
              </w:rPr>
            </w:pPr>
            <w:r>
              <w:rPr>
                <w:rFonts w:ascii="Gill Sans" w:hAnsi="Gill Sans"/>
                <w:sz w:val="24"/>
                <w:lang w:val="en-GB" w:eastAsia="en-GB"/>
              </w:rPr>
              <w:t>Building Repairs</w:t>
            </w:r>
          </w:p>
        </w:tc>
        <w:tc>
          <w:tcPr>
            <w:tcW w:w="1500" w:type="dxa"/>
            <w:shd w:val="clear" w:color="auto" w:fill="auto"/>
            <w:vAlign w:val="bottom"/>
          </w:tcPr>
          <w:p w14:paraId="16C975B8" w14:textId="77777777" w:rsidR="000B279D" w:rsidRPr="0055051C" w:rsidRDefault="000B279D" w:rsidP="000B279D">
            <w:pPr>
              <w:pStyle w:val="TableCell"/>
              <w:rPr>
                <w:sz w:val="24"/>
                <w:lang w:val="en-GB" w:eastAsia="en-GB"/>
              </w:rPr>
            </w:pPr>
          </w:p>
        </w:tc>
        <w:tc>
          <w:tcPr>
            <w:tcW w:w="1500" w:type="dxa"/>
            <w:shd w:val="clear" w:color="auto" w:fill="auto"/>
            <w:vAlign w:val="bottom"/>
          </w:tcPr>
          <w:p w14:paraId="49B5C91E" w14:textId="77777777" w:rsidR="000B279D" w:rsidRPr="0055051C" w:rsidRDefault="000B279D" w:rsidP="000B279D">
            <w:pPr>
              <w:pStyle w:val="TableCell"/>
              <w:rPr>
                <w:sz w:val="24"/>
                <w:lang w:val="en-GB" w:eastAsia="en-GB"/>
              </w:rPr>
            </w:pPr>
            <w:r>
              <w:rPr>
                <w:sz w:val="24"/>
                <w:lang w:val="en-GB" w:eastAsia="en-GB"/>
              </w:rPr>
              <w:t>39,914</w:t>
            </w:r>
          </w:p>
        </w:tc>
        <w:tc>
          <w:tcPr>
            <w:tcW w:w="1500" w:type="dxa"/>
            <w:shd w:val="clear" w:color="auto" w:fill="auto"/>
            <w:vAlign w:val="bottom"/>
          </w:tcPr>
          <w:p w14:paraId="5DF1635B" w14:textId="77777777" w:rsidR="000B279D" w:rsidRPr="0055051C" w:rsidRDefault="000B279D" w:rsidP="000B279D">
            <w:pPr>
              <w:pStyle w:val="TableCell"/>
              <w:rPr>
                <w:sz w:val="24"/>
                <w:lang w:val="en-GB" w:eastAsia="en-GB"/>
              </w:rPr>
            </w:pPr>
            <w:r>
              <w:rPr>
                <w:sz w:val="24"/>
                <w:lang w:val="en-GB" w:eastAsia="en-GB"/>
              </w:rPr>
              <w:t>0</w:t>
            </w:r>
          </w:p>
        </w:tc>
      </w:tr>
      <w:tr w:rsidR="000B279D" w:rsidRPr="008358AD" w14:paraId="52D40B49" w14:textId="77777777" w:rsidTr="0098479B">
        <w:trPr>
          <w:trHeight w:val="302"/>
        </w:trPr>
        <w:tc>
          <w:tcPr>
            <w:tcW w:w="442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A2FB512" w14:textId="77777777" w:rsidR="000B279D" w:rsidRPr="0055051C" w:rsidRDefault="000B279D" w:rsidP="000B279D">
            <w:pPr>
              <w:pStyle w:val="TableRowHead"/>
              <w:rPr>
                <w:rFonts w:ascii="Gill Sans" w:hAnsi="Gill Sans"/>
                <w:sz w:val="24"/>
                <w:lang w:val="en-GB" w:eastAsia="en-GB"/>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3423780" w14:textId="77777777" w:rsidR="000B279D" w:rsidRPr="0055051C" w:rsidRDefault="000B279D" w:rsidP="000B279D">
            <w:pPr>
              <w:pStyle w:val="TableCell"/>
              <w:rPr>
                <w:sz w:val="24"/>
                <w:lang w:val="en-GB" w:eastAsia="en-GB"/>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E57F9AD" w14:textId="77777777" w:rsidR="000B279D" w:rsidRPr="00B77674" w:rsidRDefault="004853AE" w:rsidP="000B279D">
            <w:pPr>
              <w:pStyle w:val="TableCell"/>
              <w:rPr>
                <w:b/>
                <w:sz w:val="24"/>
                <w:lang w:val="en-GB" w:eastAsia="en-GB"/>
              </w:rPr>
            </w:pPr>
            <w:r>
              <w:rPr>
                <w:b/>
                <w:sz w:val="24"/>
                <w:lang w:val="en-GB" w:eastAsia="en-GB"/>
              </w:rPr>
              <w:t>479</w:t>
            </w:r>
            <w:r w:rsidR="00213552">
              <w:rPr>
                <w:b/>
                <w:sz w:val="24"/>
                <w:lang w:val="en-GB" w:eastAsia="en-GB"/>
              </w:rPr>
              <w:t>,</w:t>
            </w:r>
            <w:r>
              <w:rPr>
                <w:b/>
                <w:sz w:val="24"/>
                <w:lang w:val="en-GB" w:eastAsia="en-GB"/>
              </w:rPr>
              <w:t>979</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1222F7" w14:textId="77777777" w:rsidR="000B279D" w:rsidRPr="00B77674" w:rsidRDefault="000B279D" w:rsidP="000B279D">
            <w:pPr>
              <w:pStyle w:val="TableCell"/>
              <w:rPr>
                <w:b/>
                <w:sz w:val="24"/>
                <w:lang w:val="en-GB" w:eastAsia="en-GB"/>
              </w:rPr>
            </w:pPr>
            <w:r w:rsidRPr="00B77674">
              <w:rPr>
                <w:b/>
                <w:sz w:val="24"/>
                <w:lang w:val="en-GB" w:eastAsia="en-GB"/>
              </w:rPr>
              <w:t>545,460</w:t>
            </w:r>
          </w:p>
        </w:tc>
      </w:tr>
    </w:tbl>
    <w:p w14:paraId="2BC1DA25" w14:textId="77777777" w:rsidR="001354ED" w:rsidRDefault="001354ED" w:rsidP="001354ED">
      <w:pPr>
        <w:rPr>
          <w:lang w:val="en-GB" w:eastAsia="en-GB"/>
        </w:rPr>
      </w:pPr>
      <w:bookmarkStart w:id="53" w:name="_Toc335836400"/>
    </w:p>
    <w:p w14:paraId="46DA90C3" w14:textId="77777777" w:rsidR="00421776" w:rsidRPr="0055051C" w:rsidRDefault="00421776" w:rsidP="00BB5C89">
      <w:pPr>
        <w:pStyle w:val="Heading3"/>
        <w:rPr>
          <w:lang w:val="en-GB" w:eastAsia="en-GB"/>
        </w:rPr>
      </w:pPr>
      <w:r w:rsidRPr="0055051C">
        <w:rPr>
          <w:lang w:val="en-GB" w:eastAsia="en-GB"/>
        </w:rPr>
        <w:t xml:space="preserve">6. </w:t>
      </w:r>
      <w:r>
        <w:rPr>
          <w:lang w:val="en-GB" w:eastAsia="en-GB"/>
        </w:rPr>
        <w:t>Authority Fees and Expenses</w:t>
      </w:r>
      <w:bookmarkEnd w:id="53"/>
    </w:p>
    <w:p w14:paraId="49F06214" w14:textId="77777777" w:rsidR="00421776" w:rsidRDefault="00421776" w:rsidP="00421776">
      <w:pPr>
        <w:rPr>
          <w:rFonts w:cs="Gill Sans"/>
          <w:lang w:val="en-GB" w:eastAsia="en-GB"/>
        </w:rPr>
      </w:pPr>
      <w:r w:rsidRPr="0055051C">
        <w:rPr>
          <w:lang w:val="en-GB" w:eastAsia="en-GB"/>
        </w:rPr>
        <w:t xml:space="preserve">Expenditure of </w:t>
      </w:r>
      <w:r w:rsidRPr="0055051C">
        <w:rPr>
          <w:rFonts w:cs="Arial"/>
          <w:lang w:val="en-GB" w:eastAsia="en-GB"/>
        </w:rPr>
        <w:t>€</w:t>
      </w:r>
      <w:r w:rsidR="004853AE">
        <w:rPr>
          <w:rFonts w:cs="Arial"/>
          <w:lang w:val="en-GB" w:eastAsia="en-GB"/>
        </w:rPr>
        <w:t>35,193</w:t>
      </w:r>
      <w:r w:rsidRPr="0055051C">
        <w:rPr>
          <w:lang w:val="en-GB" w:eastAsia="en-GB"/>
        </w:rPr>
        <w:t xml:space="preserve"> </w:t>
      </w:r>
      <w:r>
        <w:rPr>
          <w:lang w:val="en-GB" w:eastAsia="en-GB"/>
        </w:rPr>
        <w:t>(</w:t>
      </w:r>
      <w:r w:rsidRPr="0055051C">
        <w:rPr>
          <w:rFonts w:cs="Arial"/>
          <w:lang w:val="en-GB" w:eastAsia="en-GB"/>
        </w:rPr>
        <w:t>€</w:t>
      </w:r>
      <w:r>
        <w:rPr>
          <w:rFonts w:cs="Arial"/>
          <w:lang w:val="en-GB" w:eastAsia="en-GB"/>
        </w:rPr>
        <w:t>68</w:t>
      </w:r>
      <w:r w:rsidRPr="0055051C">
        <w:rPr>
          <w:lang w:val="en-GB" w:eastAsia="en-GB"/>
        </w:rPr>
        <w:t>,</w:t>
      </w:r>
      <w:r>
        <w:rPr>
          <w:lang w:val="en-GB" w:eastAsia="en-GB"/>
        </w:rPr>
        <w:t>267</w:t>
      </w:r>
      <w:r w:rsidRPr="0055051C">
        <w:rPr>
          <w:lang w:val="en-GB" w:eastAsia="en-GB"/>
        </w:rPr>
        <w:t xml:space="preserve"> </w:t>
      </w:r>
      <w:r>
        <w:rPr>
          <w:rFonts w:cs="Gill Sans"/>
          <w:lang w:val="en-GB" w:eastAsia="en-GB"/>
        </w:rPr>
        <w:t>in 2013</w:t>
      </w:r>
      <w:r w:rsidRPr="0055051C">
        <w:rPr>
          <w:rFonts w:cs="Gill Sans"/>
          <w:lang w:val="en-GB" w:eastAsia="en-GB"/>
        </w:rPr>
        <w:t>) in respect of the Authority Fees was paid.</w:t>
      </w:r>
      <w:r>
        <w:rPr>
          <w:rFonts w:cs="Gill Sans"/>
          <w:lang w:val="en-GB" w:eastAsia="en-GB"/>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994"/>
        <w:gridCol w:w="1527"/>
        <w:gridCol w:w="1700"/>
        <w:gridCol w:w="1700"/>
      </w:tblGrid>
      <w:tr w:rsidR="00421776" w:rsidRPr="008358AD" w14:paraId="567100EA" w14:textId="77777777" w:rsidTr="0098479B">
        <w:trPr>
          <w:tblHeader/>
        </w:trPr>
        <w:tc>
          <w:tcPr>
            <w:tcW w:w="3085" w:type="dxa"/>
            <w:shd w:val="clear" w:color="auto" w:fill="auto"/>
          </w:tcPr>
          <w:p w14:paraId="25EF7FEB" w14:textId="77777777" w:rsidR="00421776" w:rsidRPr="008358AD" w:rsidRDefault="00421776" w:rsidP="00421776">
            <w:pPr>
              <w:pStyle w:val="TableHead"/>
              <w:rPr>
                <w:lang w:val="en-GB" w:eastAsia="en-GB"/>
              </w:rPr>
            </w:pPr>
            <w:r w:rsidRPr="008358AD">
              <w:rPr>
                <w:lang w:val="en-GB" w:eastAsia="en-GB"/>
              </w:rPr>
              <w:lastRenderedPageBreak/>
              <w:t>Authority Member</w:t>
            </w:r>
          </w:p>
        </w:tc>
        <w:tc>
          <w:tcPr>
            <w:tcW w:w="1570" w:type="dxa"/>
            <w:shd w:val="clear" w:color="auto" w:fill="auto"/>
          </w:tcPr>
          <w:p w14:paraId="700B2E5D" w14:textId="77777777" w:rsidR="00421776" w:rsidRPr="008358AD" w:rsidRDefault="00421776" w:rsidP="00421776">
            <w:pPr>
              <w:pStyle w:val="TableHead"/>
              <w:rPr>
                <w:lang w:val="en-GB" w:eastAsia="en-GB"/>
              </w:rPr>
            </w:pPr>
            <w:r w:rsidRPr="008358AD">
              <w:rPr>
                <w:lang w:val="en-GB" w:eastAsia="en-GB"/>
              </w:rPr>
              <w:t>Fees</w:t>
            </w:r>
          </w:p>
        </w:tc>
        <w:tc>
          <w:tcPr>
            <w:tcW w:w="1749" w:type="dxa"/>
            <w:shd w:val="clear" w:color="auto" w:fill="auto"/>
          </w:tcPr>
          <w:p w14:paraId="77FE9760" w14:textId="77777777" w:rsidR="00421776" w:rsidRPr="008358AD" w:rsidRDefault="00421776" w:rsidP="00421776">
            <w:pPr>
              <w:pStyle w:val="TableHead"/>
              <w:rPr>
                <w:lang w:val="en-GB" w:eastAsia="en-GB"/>
              </w:rPr>
            </w:pPr>
            <w:r w:rsidRPr="008358AD">
              <w:rPr>
                <w:lang w:val="en-GB" w:eastAsia="en-GB"/>
              </w:rPr>
              <w:t>Expenses paid to or on behalf of</w:t>
            </w:r>
          </w:p>
        </w:tc>
        <w:tc>
          <w:tcPr>
            <w:tcW w:w="1749" w:type="dxa"/>
            <w:shd w:val="clear" w:color="auto" w:fill="auto"/>
          </w:tcPr>
          <w:p w14:paraId="7D0225CC" w14:textId="77777777" w:rsidR="00421776" w:rsidRPr="008358AD" w:rsidRDefault="00421776" w:rsidP="00421776">
            <w:pPr>
              <w:pStyle w:val="TableHead"/>
              <w:rPr>
                <w:lang w:val="en-GB" w:eastAsia="en-GB"/>
              </w:rPr>
            </w:pPr>
            <w:r>
              <w:rPr>
                <w:lang w:val="en-GB" w:eastAsia="en-GB"/>
              </w:rPr>
              <w:t>Total</w:t>
            </w:r>
          </w:p>
        </w:tc>
      </w:tr>
      <w:tr w:rsidR="000B279D" w:rsidRPr="008358AD" w14:paraId="6CA3406D" w14:textId="77777777" w:rsidTr="000B279D">
        <w:tc>
          <w:tcPr>
            <w:tcW w:w="3085" w:type="dxa"/>
            <w:shd w:val="clear" w:color="auto" w:fill="auto"/>
          </w:tcPr>
          <w:p w14:paraId="483CE9F3" w14:textId="77777777" w:rsidR="000B279D" w:rsidRPr="000B279D" w:rsidRDefault="000B279D" w:rsidP="000B279D">
            <w:pPr>
              <w:pStyle w:val="TableRowHead"/>
              <w:rPr>
                <w:rFonts w:ascii="Gill Sans" w:hAnsi="Gill Sans"/>
                <w:bCs/>
                <w:sz w:val="24"/>
              </w:rPr>
            </w:pPr>
            <w:r w:rsidRPr="000B279D">
              <w:rPr>
                <w:rFonts w:ascii="Gill Sans" w:hAnsi="Gill Sans"/>
                <w:bCs/>
                <w:sz w:val="24"/>
              </w:rPr>
              <w:t>Ms. Helen Guinan</w:t>
            </w:r>
          </w:p>
        </w:tc>
        <w:tc>
          <w:tcPr>
            <w:tcW w:w="1570" w:type="dxa"/>
            <w:shd w:val="clear" w:color="auto" w:fill="auto"/>
          </w:tcPr>
          <w:p w14:paraId="63E7DA0E" w14:textId="77777777" w:rsidR="000B279D" w:rsidRPr="00B94841" w:rsidRDefault="000B279D" w:rsidP="000B279D">
            <w:pPr>
              <w:pStyle w:val="TableCell"/>
            </w:pPr>
            <w:r w:rsidRPr="00B94841">
              <w:t>€4,489</w:t>
            </w:r>
          </w:p>
        </w:tc>
        <w:tc>
          <w:tcPr>
            <w:tcW w:w="1749" w:type="dxa"/>
            <w:shd w:val="clear" w:color="auto" w:fill="auto"/>
          </w:tcPr>
          <w:p w14:paraId="50A52F90" w14:textId="77777777" w:rsidR="000B279D" w:rsidRPr="00B94841" w:rsidRDefault="000B279D" w:rsidP="000B279D">
            <w:pPr>
              <w:pStyle w:val="TableCell"/>
            </w:pPr>
            <w:r w:rsidRPr="00B94841">
              <w:t>€1,612</w:t>
            </w:r>
          </w:p>
        </w:tc>
        <w:tc>
          <w:tcPr>
            <w:tcW w:w="1749" w:type="dxa"/>
            <w:shd w:val="clear" w:color="auto" w:fill="auto"/>
          </w:tcPr>
          <w:p w14:paraId="6C1E9767" w14:textId="77777777" w:rsidR="000B279D" w:rsidRPr="00B94841" w:rsidRDefault="000B279D" w:rsidP="000B279D">
            <w:pPr>
              <w:pStyle w:val="TableCell"/>
            </w:pPr>
          </w:p>
        </w:tc>
      </w:tr>
      <w:tr w:rsidR="000B279D" w:rsidRPr="008358AD" w14:paraId="06006A81" w14:textId="77777777" w:rsidTr="000B279D">
        <w:tc>
          <w:tcPr>
            <w:tcW w:w="3085" w:type="dxa"/>
            <w:shd w:val="clear" w:color="auto" w:fill="auto"/>
          </w:tcPr>
          <w:p w14:paraId="4DEB9919" w14:textId="77777777" w:rsidR="000B279D" w:rsidRPr="000B279D" w:rsidRDefault="000B279D" w:rsidP="000B279D">
            <w:pPr>
              <w:pStyle w:val="TableRowHead"/>
              <w:rPr>
                <w:rFonts w:ascii="Gill Sans" w:hAnsi="Gill Sans"/>
                <w:bCs/>
                <w:sz w:val="24"/>
              </w:rPr>
            </w:pPr>
            <w:r w:rsidRPr="000B279D">
              <w:rPr>
                <w:rFonts w:ascii="Gill Sans" w:hAnsi="Gill Sans"/>
                <w:bCs/>
                <w:sz w:val="24"/>
              </w:rPr>
              <w:t>Ms. Orla Barry</w:t>
            </w:r>
          </w:p>
        </w:tc>
        <w:tc>
          <w:tcPr>
            <w:tcW w:w="1570" w:type="dxa"/>
            <w:shd w:val="clear" w:color="auto" w:fill="auto"/>
          </w:tcPr>
          <w:p w14:paraId="625D2587" w14:textId="77777777" w:rsidR="000B279D" w:rsidRPr="00B94841" w:rsidRDefault="000B279D" w:rsidP="000B279D">
            <w:pPr>
              <w:pStyle w:val="TableCell"/>
            </w:pPr>
            <w:r w:rsidRPr="00B94841">
              <w:t>€0</w:t>
            </w:r>
          </w:p>
        </w:tc>
        <w:tc>
          <w:tcPr>
            <w:tcW w:w="1749" w:type="dxa"/>
            <w:shd w:val="clear" w:color="auto" w:fill="auto"/>
          </w:tcPr>
          <w:p w14:paraId="2A7596E4" w14:textId="77777777" w:rsidR="000B279D" w:rsidRPr="00B94841" w:rsidRDefault="000B279D" w:rsidP="000B279D">
            <w:pPr>
              <w:pStyle w:val="TableCell"/>
            </w:pPr>
          </w:p>
        </w:tc>
        <w:tc>
          <w:tcPr>
            <w:tcW w:w="1749" w:type="dxa"/>
            <w:shd w:val="clear" w:color="auto" w:fill="auto"/>
          </w:tcPr>
          <w:p w14:paraId="7C2A836A" w14:textId="77777777" w:rsidR="000B279D" w:rsidRPr="00B94841" w:rsidRDefault="000B279D" w:rsidP="000B279D">
            <w:pPr>
              <w:pStyle w:val="TableCell"/>
            </w:pPr>
          </w:p>
        </w:tc>
      </w:tr>
      <w:tr w:rsidR="000B279D" w:rsidRPr="008358AD" w14:paraId="4BCB3C7D" w14:textId="77777777" w:rsidTr="000B279D">
        <w:tc>
          <w:tcPr>
            <w:tcW w:w="3085" w:type="dxa"/>
            <w:shd w:val="clear" w:color="auto" w:fill="auto"/>
          </w:tcPr>
          <w:p w14:paraId="5902870A" w14:textId="77777777" w:rsidR="000B279D" w:rsidRPr="000B279D" w:rsidRDefault="000B279D" w:rsidP="000B279D">
            <w:pPr>
              <w:pStyle w:val="TableRowHead"/>
              <w:rPr>
                <w:rFonts w:ascii="Gill Sans" w:hAnsi="Gill Sans"/>
                <w:bCs/>
                <w:sz w:val="24"/>
              </w:rPr>
            </w:pPr>
            <w:r w:rsidRPr="000B279D">
              <w:rPr>
                <w:rFonts w:ascii="Gill Sans" w:hAnsi="Gill Sans"/>
                <w:bCs/>
                <w:sz w:val="24"/>
              </w:rPr>
              <w:t xml:space="preserve">Mr. Frank </w:t>
            </w:r>
            <w:proofErr w:type="spellStart"/>
            <w:r w:rsidRPr="000B279D">
              <w:rPr>
                <w:rFonts w:ascii="Gill Sans" w:hAnsi="Gill Sans"/>
                <w:bCs/>
                <w:sz w:val="24"/>
              </w:rPr>
              <w:t>Cunneen</w:t>
            </w:r>
            <w:proofErr w:type="spellEnd"/>
          </w:p>
        </w:tc>
        <w:tc>
          <w:tcPr>
            <w:tcW w:w="1570" w:type="dxa"/>
            <w:shd w:val="clear" w:color="auto" w:fill="auto"/>
          </w:tcPr>
          <w:p w14:paraId="510382F8" w14:textId="77777777" w:rsidR="000B279D" w:rsidRPr="00B94841" w:rsidRDefault="000B279D" w:rsidP="000B279D">
            <w:pPr>
              <w:pStyle w:val="TableCell"/>
            </w:pPr>
            <w:r w:rsidRPr="00B94841">
              <w:t>€2,993</w:t>
            </w:r>
          </w:p>
        </w:tc>
        <w:tc>
          <w:tcPr>
            <w:tcW w:w="1749" w:type="dxa"/>
            <w:shd w:val="clear" w:color="auto" w:fill="auto"/>
          </w:tcPr>
          <w:p w14:paraId="0EC432FF" w14:textId="77777777" w:rsidR="000B279D" w:rsidRPr="00B94841" w:rsidRDefault="000B279D" w:rsidP="000B279D">
            <w:pPr>
              <w:pStyle w:val="TableCell"/>
            </w:pPr>
            <w:r w:rsidRPr="00B94841">
              <w:t xml:space="preserve"> </w:t>
            </w:r>
          </w:p>
        </w:tc>
        <w:tc>
          <w:tcPr>
            <w:tcW w:w="1749" w:type="dxa"/>
            <w:shd w:val="clear" w:color="auto" w:fill="auto"/>
          </w:tcPr>
          <w:p w14:paraId="17E51E61" w14:textId="77777777" w:rsidR="000B279D" w:rsidRPr="00B94841" w:rsidRDefault="000B279D" w:rsidP="000B279D">
            <w:pPr>
              <w:pStyle w:val="TableCell"/>
            </w:pPr>
          </w:p>
        </w:tc>
      </w:tr>
      <w:tr w:rsidR="000B279D" w:rsidRPr="008358AD" w14:paraId="0EB5643E" w14:textId="77777777" w:rsidTr="000B279D">
        <w:tc>
          <w:tcPr>
            <w:tcW w:w="3085" w:type="dxa"/>
            <w:shd w:val="clear" w:color="auto" w:fill="auto"/>
          </w:tcPr>
          <w:p w14:paraId="4EDC6BAA" w14:textId="77777777" w:rsidR="000B279D" w:rsidRPr="000B279D" w:rsidRDefault="000B279D" w:rsidP="000B279D">
            <w:pPr>
              <w:pStyle w:val="TableRowHead"/>
              <w:rPr>
                <w:rFonts w:ascii="Gill Sans" w:hAnsi="Gill Sans"/>
                <w:bCs/>
                <w:sz w:val="24"/>
              </w:rPr>
            </w:pPr>
            <w:r w:rsidRPr="000B279D">
              <w:rPr>
                <w:rFonts w:ascii="Gill Sans" w:hAnsi="Gill Sans"/>
                <w:bCs/>
                <w:sz w:val="24"/>
              </w:rPr>
              <w:t>Mr. Des Kenny</w:t>
            </w:r>
          </w:p>
        </w:tc>
        <w:tc>
          <w:tcPr>
            <w:tcW w:w="1570" w:type="dxa"/>
            <w:shd w:val="clear" w:color="auto" w:fill="auto"/>
          </w:tcPr>
          <w:p w14:paraId="791B33F1" w14:textId="77777777" w:rsidR="000B279D" w:rsidRPr="00B94841" w:rsidRDefault="000B279D" w:rsidP="000B279D">
            <w:pPr>
              <w:pStyle w:val="TableCell"/>
            </w:pPr>
            <w:r w:rsidRPr="00B94841">
              <w:t>€2,993</w:t>
            </w:r>
          </w:p>
        </w:tc>
        <w:tc>
          <w:tcPr>
            <w:tcW w:w="1749" w:type="dxa"/>
            <w:shd w:val="clear" w:color="auto" w:fill="auto"/>
          </w:tcPr>
          <w:p w14:paraId="23A4A6EE" w14:textId="77777777" w:rsidR="000B279D" w:rsidRPr="00B94841" w:rsidRDefault="000B279D" w:rsidP="000B279D">
            <w:pPr>
              <w:pStyle w:val="TableCell"/>
            </w:pPr>
            <w:r w:rsidRPr="00B94841">
              <w:t xml:space="preserve"> </w:t>
            </w:r>
          </w:p>
        </w:tc>
        <w:tc>
          <w:tcPr>
            <w:tcW w:w="1749" w:type="dxa"/>
            <w:shd w:val="clear" w:color="auto" w:fill="auto"/>
          </w:tcPr>
          <w:p w14:paraId="7EA4AE08" w14:textId="77777777" w:rsidR="000B279D" w:rsidRPr="00B94841" w:rsidRDefault="000B279D" w:rsidP="000B279D">
            <w:pPr>
              <w:pStyle w:val="TableCell"/>
            </w:pPr>
          </w:p>
        </w:tc>
      </w:tr>
      <w:tr w:rsidR="000B279D" w:rsidRPr="008358AD" w14:paraId="6CD185BE" w14:textId="77777777" w:rsidTr="000B279D">
        <w:tc>
          <w:tcPr>
            <w:tcW w:w="3085" w:type="dxa"/>
            <w:shd w:val="clear" w:color="auto" w:fill="auto"/>
          </w:tcPr>
          <w:p w14:paraId="5FD35166" w14:textId="77777777" w:rsidR="000B279D" w:rsidRPr="000B279D" w:rsidRDefault="000B279D" w:rsidP="000B279D">
            <w:pPr>
              <w:pStyle w:val="TableRowHead"/>
              <w:rPr>
                <w:rFonts w:ascii="Gill Sans" w:hAnsi="Gill Sans"/>
                <w:bCs/>
                <w:sz w:val="24"/>
              </w:rPr>
            </w:pPr>
            <w:r w:rsidRPr="000B279D">
              <w:rPr>
                <w:rFonts w:ascii="Gill Sans" w:hAnsi="Gill Sans"/>
                <w:bCs/>
                <w:sz w:val="24"/>
              </w:rPr>
              <w:t xml:space="preserve">Ms. Ruthann La </w:t>
            </w:r>
            <w:proofErr w:type="spellStart"/>
            <w:r w:rsidRPr="000B279D">
              <w:rPr>
                <w:rFonts w:ascii="Gill Sans" w:hAnsi="Gill Sans"/>
                <w:bCs/>
                <w:sz w:val="24"/>
              </w:rPr>
              <w:t>Malfa</w:t>
            </w:r>
            <w:proofErr w:type="spellEnd"/>
          </w:p>
        </w:tc>
        <w:tc>
          <w:tcPr>
            <w:tcW w:w="1570" w:type="dxa"/>
            <w:shd w:val="clear" w:color="auto" w:fill="auto"/>
          </w:tcPr>
          <w:p w14:paraId="48E69CB5" w14:textId="77777777" w:rsidR="000B279D" w:rsidRPr="00B94841" w:rsidRDefault="000B279D" w:rsidP="000B279D">
            <w:pPr>
              <w:pStyle w:val="TableCell"/>
            </w:pPr>
            <w:r w:rsidRPr="00B94841">
              <w:t>€2,993</w:t>
            </w:r>
          </w:p>
        </w:tc>
        <w:tc>
          <w:tcPr>
            <w:tcW w:w="1749" w:type="dxa"/>
            <w:shd w:val="clear" w:color="auto" w:fill="auto"/>
          </w:tcPr>
          <w:p w14:paraId="52169FBF" w14:textId="77777777" w:rsidR="000B279D" w:rsidRPr="00B94841" w:rsidRDefault="000B279D" w:rsidP="000B279D">
            <w:pPr>
              <w:pStyle w:val="TableCell"/>
            </w:pPr>
            <w:r w:rsidRPr="00B94841">
              <w:t xml:space="preserve"> </w:t>
            </w:r>
          </w:p>
        </w:tc>
        <w:tc>
          <w:tcPr>
            <w:tcW w:w="1749" w:type="dxa"/>
            <w:shd w:val="clear" w:color="auto" w:fill="auto"/>
          </w:tcPr>
          <w:p w14:paraId="48FB53FA" w14:textId="77777777" w:rsidR="000B279D" w:rsidRPr="00B94841" w:rsidRDefault="000B279D" w:rsidP="000B279D">
            <w:pPr>
              <w:pStyle w:val="TableCell"/>
            </w:pPr>
          </w:p>
        </w:tc>
      </w:tr>
      <w:tr w:rsidR="000B279D" w:rsidRPr="008358AD" w14:paraId="5EBD5B05" w14:textId="77777777" w:rsidTr="000B279D">
        <w:tc>
          <w:tcPr>
            <w:tcW w:w="3085" w:type="dxa"/>
            <w:shd w:val="clear" w:color="auto" w:fill="auto"/>
          </w:tcPr>
          <w:p w14:paraId="3D04C7C1" w14:textId="77777777" w:rsidR="000B279D" w:rsidRPr="000B279D" w:rsidRDefault="000B279D" w:rsidP="000B279D">
            <w:pPr>
              <w:pStyle w:val="TableRowHead"/>
              <w:rPr>
                <w:rFonts w:ascii="Gill Sans" w:hAnsi="Gill Sans"/>
                <w:bCs/>
                <w:sz w:val="24"/>
              </w:rPr>
            </w:pPr>
            <w:r w:rsidRPr="000B279D">
              <w:rPr>
                <w:rFonts w:ascii="Gill Sans" w:hAnsi="Gill Sans"/>
                <w:bCs/>
                <w:sz w:val="24"/>
              </w:rPr>
              <w:t>Ms. Mary Lavelle</w:t>
            </w:r>
          </w:p>
        </w:tc>
        <w:tc>
          <w:tcPr>
            <w:tcW w:w="1570" w:type="dxa"/>
            <w:shd w:val="clear" w:color="auto" w:fill="auto"/>
          </w:tcPr>
          <w:p w14:paraId="7B700928" w14:textId="77777777" w:rsidR="000B279D" w:rsidRPr="00B94841" w:rsidRDefault="000B279D" w:rsidP="000B279D">
            <w:pPr>
              <w:pStyle w:val="TableCell"/>
            </w:pPr>
            <w:r w:rsidRPr="00B94841">
              <w:t>€2,993</w:t>
            </w:r>
          </w:p>
        </w:tc>
        <w:tc>
          <w:tcPr>
            <w:tcW w:w="1749" w:type="dxa"/>
            <w:shd w:val="clear" w:color="auto" w:fill="auto"/>
          </w:tcPr>
          <w:p w14:paraId="141C3FC4" w14:textId="77777777" w:rsidR="000B279D" w:rsidRPr="00B94841" w:rsidRDefault="000B279D" w:rsidP="000B279D">
            <w:pPr>
              <w:pStyle w:val="TableCell"/>
            </w:pPr>
            <w:r w:rsidRPr="00B94841">
              <w:t xml:space="preserve"> </w:t>
            </w:r>
          </w:p>
        </w:tc>
        <w:tc>
          <w:tcPr>
            <w:tcW w:w="1749" w:type="dxa"/>
            <w:shd w:val="clear" w:color="auto" w:fill="auto"/>
          </w:tcPr>
          <w:p w14:paraId="1AC6FBFA" w14:textId="77777777" w:rsidR="000B279D" w:rsidRPr="00B94841" w:rsidRDefault="000B279D" w:rsidP="000B279D">
            <w:pPr>
              <w:pStyle w:val="TableCell"/>
            </w:pPr>
          </w:p>
        </w:tc>
      </w:tr>
      <w:tr w:rsidR="000B279D" w:rsidRPr="008358AD" w14:paraId="1F137337" w14:textId="77777777" w:rsidTr="000B279D">
        <w:tc>
          <w:tcPr>
            <w:tcW w:w="3085" w:type="dxa"/>
            <w:shd w:val="clear" w:color="auto" w:fill="auto"/>
          </w:tcPr>
          <w:p w14:paraId="2159A74F" w14:textId="77777777" w:rsidR="000B279D" w:rsidRPr="000B279D" w:rsidRDefault="000B279D" w:rsidP="000B279D">
            <w:pPr>
              <w:pStyle w:val="TableRowHead"/>
              <w:rPr>
                <w:rFonts w:ascii="Gill Sans" w:hAnsi="Gill Sans"/>
                <w:bCs/>
                <w:sz w:val="24"/>
              </w:rPr>
            </w:pPr>
            <w:r w:rsidRPr="000B279D">
              <w:rPr>
                <w:rFonts w:ascii="Gill Sans" w:hAnsi="Gill Sans"/>
                <w:bCs/>
                <w:sz w:val="24"/>
              </w:rPr>
              <w:t>Ms. Teresa McDonnell</w:t>
            </w:r>
          </w:p>
        </w:tc>
        <w:tc>
          <w:tcPr>
            <w:tcW w:w="1570" w:type="dxa"/>
            <w:shd w:val="clear" w:color="auto" w:fill="auto"/>
          </w:tcPr>
          <w:p w14:paraId="07744909" w14:textId="77777777" w:rsidR="000B279D" w:rsidRPr="00B94841" w:rsidRDefault="000B279D" w:rsidP="000B279D">
            <w:pPr>
              <w:pStyle w:val="TableCell"/>
            </w:pPr>
            <w:r w:rsidRPr="00B94841">
              <w:t>€2,993</w:t>
            </w:r>
          </w:p>
        </w:tc>
        <w:tc>
          <w:tcPr>
            <w:tcW w:w="1749" w:type="dxa"/>
            <w:shd w:val="clear" w:color="auto" w:fill="auto"/>
          </w:tcPr>
          <w:p w14:paraId="13228EC0" w14:textId="77777777" w:rsidR="000B279D" w:rsidRPr="00B94841" w:rsidRDefault="000B279D" w:rsidP="000B279D">
            <w:pPr>
              <w:pStyle w:val="TableCell"/>
            </w:pPr>
            <w:r w:rsidRPr="00B94841">
              <w:t>€57</w:t>
            </w:r>
          </w:p>
        </w:tc>
        <w:tc>
          <w:tcPr>
            <w:tcW w:w="1749" w:type="dxa"/>
            <w:shd w:val="clear" w:color="auto" w:fill="auto"/>
          </w:tcPr>
          <w:p w14:paraId="2FCB233C" w14:textId="77777777" w:rsidR="000B279D" w:rsidRPr="00B94841" w:rsidRDefault="000B279D" w:rsidP="000B279D">
            <w:pPr>
              <w:pStyle w:val="TableCell"/>
            </w:pPr>
          </w:p>
        </w:tc>
      </w:tr>
      <w:tr w:rsidR="000B279D" w:rsidRPr="008358AD" w14:paraId="52CD0E26" w14:textId="77777777" w:rsidTr="000B279D">
        <w:tc>
          <w:tcPr>
            <w:tcW w:w="3085" w:type="dxa"/>
            <w:shd w:val="clear" w:color="auto" w:fill="auto"/>
          </w:tcPr>
          <w:p w14:paraId="4837C438" w14:textId="77777777" w:rsidR="000B279D" w:rsidRPr="000B279D" w:rsidRDefault="000B279D" w:rsidP="000B279D">
            <w:pPr>
              <w:pStyle w:val="TableRowHead"/>
              <w:rPr>
                <w:rFonts w:ascii="Gill Sans" w:hAnsi="Gill Sans"/>
                <w:bCs/>
                <w:sz w:val="24"/>
              </w:rPr>
            </w:pPr>
            <w:r w:rsidRPr="000B279D">
              <w:rPr>
                <w:rFonts w:ascii="Gill Sans" w:hAnsi="Gill Sans"/>
                <w:bCs/>
                <w:sz w:val="24"/>
              </w:rPr>
              <w:t xml:space="preserve">Mr. </w:t>
            </w:r>
            <w:proofErr w:type="spellStart"/>
            <w:r w:rsidRPr="000B279D">
              <w:rPr>
                <w:rFonts w:ascii="Gill Sans" w:hAnsi="Gill Sans"/>
                <w:bCs/>
                <w:sz w:val="24"/>
              </w:rPr>
              <w:t>Deagl</w:t>
            </w:r>
            <w:r w:rsidR="00721075">
              <w:rPr>
                <w:rFonts w:ascii="Gill Sans" w:hAnsi="Gill Sans"/>
                <w:bCs/>
                <w:sz w:val="24"/>
              </w:rPr>
              <w:t>á</w:t>
            </w:r>
            <w:r w:rsidRPr="000B279D">
              <w:rPr>
                <w:rFonts w:ascii="Gill Sans" w:hAnsi="Gill Sans"/>
                <w:bCs/>
                <w:sz w:val="24"/>
              </w:rPr>
              <w:t>n</w:t>
            </w:r>
            <w:proofErr w:type="spellEnd"/>
            <w:r w:rsidRPr="000B279D">
              <w:rPr>
                <w:rFonts w:ascii="Gill Sans" w:hAnsi="Gill Sans"/>
                <w:bCs/>
                <w:sz w:val="24"/>
              </w:rPr>
              <w:t xml:space="preserve"> </w:t>
            </w:r>
            <w:proofErr w:type="spellStart"/>
            <w:r w:rsidRPr="000B279D">
              <w:rPr>
                <w:rFonts w:ascii="Gill Sans" w:hAnsi="Gill Sans"/>
                <w:bCs/>
                <w:sz w:val="24"/>
              </w:rPr>
              <w:t>O’Briain</w:t>
            </w:r>
            <w:proofErr w:type="spellEnd"/>
          </w:p>
        </w:tc>
        <w:tc>
          <w:tcPr>
            <w:tcW w:w="1570" w:type="dxa"/>
            <w:shd w:val="clear" w:color="auto" w:fill="auto"/>
          </w:tcPr>
          <w:p w14:paraId="1E6F7DE0" w14:textId="77777777" w:rsidR="000B279D" w:rsidRPr="00B94841" w:rsidRDefault="000B279D" w:rsidP="000B279D">
            <w:pPr>
              <w:pStyle w:val="TableCell"/>
            </w:pPr>
            <w:r w:rsidRPr="00B94841">
              <w:t>€0</w:t>
            </w:r>
          </w:p>
        </w:tc>
        <w:tc>
          <w:tcPr>
            <w:tcW w:w="1749" w:type="dxa"/>
            <w:shd w:val="clear" w:color="auto" w:fill="auto"/>
          </w:tcPr>
          <w:p w14:paraId="363CB292" w14:textId="77777777" w:rsidR="000B279D" w:rsidRPr="00B94841" w:rsidRDefault="000B279D" w:rsidP="000B279D">
            <w:pPr>
              <w:pStyle w:val="TableCell"/>
            </w:pPr>
          </w:p>
        </w:tc>
        <w:tc>
          <w:tcPr>
            <w:tcW w:w="1749" w:type="dxa"/>
            <w:shd w:val="clear" w:color="auto" w:fill="auto"/>
          </w:tcPr>
          <w:p w14:paraId="519B6DB8" w14:textId="77777777" w:rsidR="000B279D" w:rsidRPr="00B94841" w:rsidRDefault="000B279D" w:rsidP="000B279D">
            <w:pPr>
              <w:pStyle w:val="TableCell"/>
            </w:pPr>
          </w:p>
        </w:tc>
      </w:tr>
      <w:tr w:rsidR="000B279D" w:rsidRPr="008358AD" w14:paraId="566C4471" w14:textId="77777777" w:rsidTr="000B279D">
        <w:tc>
          <w:tcPr>
            <w:tcW w:w="3085" w:type="dxa"/>
            <w:shd w:val="clear" w:color="auto" w:fill="auto"/>
          </w:tcPr>
          <w:p w14:paraId="1FA4ADA2" w14:textId="77777777" w:rsidR="000B279D" w:rsidRPr="000B279D" w:rsidRDefault="000B279D" w:rsidP="000B279D">
            <w:pPr>
              <w:pStyle w:val="TableRowHead"/>
              <w:rPr>
                <w:rFonts w:ascii="Gill Sans" w:hAnsi="Gill Sans"/>
                <w:bCs/>
                <w:sz w:val="24"/>
              </w:rPr>
            </w:pPr>
            <w:r w:rsidRPr="000B279D">
              <w:rPr>
                <w:rFonts w:ascii="Gill Sans" w:hAnsi="Gill Sans"/>
                <w:bCs/>
                <w:sz w:val="24"/>
              </w:rPr>
              <w:t>Ms. Deirdre O’Connor</w:t>
            </w:r>
          </w:p>
        </w:tc>
        <w:tc>
          <w:tcPr>
            <w:tcW w:w="1570" w:type="dxa"/>
            <w:shd w:val="clear" w:color="auto" w:fill="auto"/>
          </w:tcPr>
          <w:p w14:paraId="0BA5F3ED" w14:textId="77777777" w:rsidR="000B279D" w:rsidRPr="00B94841" w:rsidRDefault="000B279D" w:rsidP="000B279D">
            <w:pPr>
              <w:pStyle w:val="TableCell"/>
            </w:pPr>
            <w:r w:rsidRPr="00B94841">
              <w:t>€2,993</w:t>
            </w:r>
          </w:p>
        </w:tc>
        <w:tc>
          <w:tcPr>
            <w:tcW w:w="1749" w:type="dxa"/>
            <w:shd w:val="clear" w:color="auto" w:fill="auto"/>
          </w:tcPr>
          <w:p w14:paraId="788B76ED" w14:textId="77777777" w:rsidR="000B279D" w:rsidRPr="00B94841" w:rsidRDefault="000B279D" w:rsidP="000B279D">
            <w:pPr>
              <w:pStyle w:val="TableCell"/>
            </w:pPr>
            <w:r w:rsidRPr="00B94841">
              <w:t xml:space="preserve"> </w:t>
            </w:r>
          </w:p>
        </w:tc>
        <w:tc>
          <w:tcPr>
            <w:tcW w:w="1749" w:type="dxa"/>
            <w:shd w:val="clear" w:color="auto" w:fill="auto"/>
          </w:tcPr>
          <w:p w14:paraId="195E6C45" w14:textId="77777777" w:rsidR="000B279D" w:rsidRPr="00B94841" w:rsidRDefault="000B279D" w:rsidP="000B279D">
            <w:pPr>
              <w:pStyle w:val="TableCell"/>
            </w:pPr>
          </w:p>
        </w:tc>
      </w:tr>
      <w:tr w:rsidR="000B279D" w:rsidRPr="008358AD" w14:paraId="35B2064F" w14:textId="77777777" w:rsidTr="000B279D">
        <w:tc>
          <w:tcPr>
            <w:tcW w:w="3085" w:type="dxa"/>
            <w:shd w:val="clear" w:color="auto" w:fill="auto"/>
          </w:tcPr>
          <w:p w14:paraId="128A97CB" w14:textId="77777777" w:rsidR="000B279D" w:rsidRPr="000B279D" w:rsidRDefault="000B279D" w:rsidP="000B279D">
            <w:pPr>
              <w:pStyle w:val="TableRowHead"/>
              <w:rPr>
                <w:rFonts w:ascii="Gill Sans" w:hAnsi="Gill Sans"/>
                <w:bCs/>
                <w:sz w:val="24"/>
              </w:rPr>
            </w:pPr>
            <w:r w:rsidRPr="000B279D">
              <w:rPr>
                <w:rFonts w:ascii="Gill Sans" w:hAnsi="Gill Sans"/>
                <w:bCs/>
                <w:sz w:val="24"/>
              </w:rPr>
              <w:t xml:space="preserve">Mr. James O’Grady </w:t>
            </w:r>
          </w:p>
        </w:tc>
        <w:tc>
          <w:tcPr>
            <w:tcW w:w="1570" w:type="dxa"/>
            <w:shd w:val="clear" w:color="auto" w:fill="auto"/>
          </w:tcPr>
          <w:p w14:paraId="69EDFA12" w14:textId="77777777" w:rsidR="000B279D" w:rsidRPr="00B94841" w:rsidRDefault="000B279D" w:rsidP="000B279D">
            <w:pPr>
              <w:pStyle w:val="TableCell"/>
            </w:pPr>
            <w:r w:rsidRPr="00B94841">
              <w:t>€2,993</w:t>
            </w:r>
          </w:p>
        </w:tc>
        <w:tc>
          <w:tcPr>
            <w:tcW w:w="1749" w:type="dxa"/>
            <w:shd w:val="clear" w:color="auto" w:fill="auto"/>
          </w:tcPr>
          <w:p w14:paraId="699F6EA3" w14:textId="77777777" w:rsidR="000B279D" w:rsidRPr="00B94841" w:rsidRDefault="000B279D" w:rsidP="000B279D">
            <w:pPr>
              <w:pStyle w:val="TableCell"/>
            </w:pPr>
            <w:r w:rsidRPr="00B94841">
              <w:t xml:space="preserve"> </w:t>
            </w:r>
          </w:p>
        </w:tc>
        <w:tc>
          <w:tcPr>
            <w:tcW w:w="1749" w:type="dxa"/>
            <w:shd w:val="clear" w:color="auto" w:fill="auto"/>
          </w:tcPr>
          <w:p w14:paraId="246444D9" w14:textId="77777777" w:rsidR="000B279D" w:rsidRPr="00B94841" w:rsidRDefault="000B279D" w:rsidP="000B279D">
            <w:pPr>
              <w:pStyle w:val="TableCell"/>
            </w:pPr>
          </w:p>
        </w:tc>
      </w:tr>
      <w:tr w:rsidR="000B279D" w:rsidRPr="008358AD" w14:paraId="0BEC6EAE" w14:textId="77777777" w:rsidTr="000B279D">
        <w:tc>
          <w:tcPr>
            <w:tcW w:w="3085" w:type="dxa"/>
            <w:shd w:val="clear" w:color="auto" w:fill="auto"/>
          </w:tcPr>
          <w:p w14:paraId="09A8D780" w14:textId="77777777" w:rsidR="000B279D" w:rsidRPr="000B279D" w:rsidRDefault="000B279D" w:rsidP="000B279D">
            <w:pPr>
              <w:pStyle w:val="TableRowHead"/>
              <w:rPr>
                <w:rFonts w:ascii="Gill Sans" w:hAnsi="Gill Sans"/>
                <w:bCs/>
                <w:sz w:val="24"/>
              </w:rPr>
            </w:pPr>
            <w:r w:rsidRPr="000B279D">
              <w:rPr>
                <w:rFonts w:ascii="Gill Sans" w:hAnsi="Gill Sans"/>
                <w:bCs/>
                <w:sz w:val="24"/>
              </w:rPr>
              <w:t xml:space="preserve">Mr. </w:t>
            </w:r>
            <w:proofErr w:type="spellStart"/>
            <w:r w:rsidRPr="000B279D">
              <w:rPr>
                <w:rFonts w:ascii="Gill Sans" w:hAnsi="Gill Sans"/>
                <w:bCs/>
                <w:sz w:val="24"/>
              </w:rPr>
              <w:t>Donie</w:t>
            </w:r>
            <w:proofErr w:type="spellEnd"/>
            <w:r w:rsidRPr="000B279D">
              <w:rPr>
                <w:rFonts w:ascii="Gill Sans" w:hAnsi="Gill Sans"/>
                <w:bCs/>
                <w:sz w:val="24"/>
              </w:rPr>
              <w:t xml:space="preserve"> O’Leary</w:t>
            </w:r>
          </w:p>
        </w:tc>
        <w:tc>
          <w:tcPr>
            <w:tcW w:w="1570" w:type="dxa"/>
            <w:shd w:val="clear" w:color="auto" w:fill="auto"/>
          </w:tcPr>
          <w:p w14:paraId="2D5FF1F6" w14:textId="77777777" w:rsidR="000B279D" w:rsidRPr="00B94841" w:rsidRDefault="000B279D" w:rsidP="000B279D">
            <w:pPr>
              <w:pStyle w:val="TableCell"/>
            </w:pPr>
            <w:r w:rsidRPr="00B94841">
              <w:t>€2,993</w:t>
            </w:r>
          </w:p>
        </w:tc>
        <w:tc>
          <w:tcPr>
            <w:tcW w:w="1749" w:type="dxa"/>
            <w:shd w:val="clear" w:color="auto" w:fill="auto"/>
          </w:tcPr>
          <w:p w14:paraId="54D24781" w14:textId="77777777" w:rsidR="000B279D" w:rsidRPr="00B94841" w:rsidRDefault="00FF7B9F" w:rsidP="000B279D">
            <w:pPr>
              <w:pStyle w:val="TableCell"/>
            </w:pPr>
            <w:r>
              <w:t>€643</w:t>
            </w:r>
          </w:p>
        </w:tc>
        <w:tc>
          <w:tcPr>
            <w:tcW w:w="1749" w:type="dxa"/>
            <w:shd w:val="clear" w:color="auto" w:fill="auto"/>
          </w:tcPr>
          <w:p w14:paraId="220DF13D" w14:textId="77777777" w:rsidR="000B279D" w:rsidRPr="00B94841" w:rsidRDefault="000B279D" w:rsidP="000B279D">
            <w:pPr>
              <w:pStyle w:val="TableCell"/>
            </w:pPr>
          </w:p>
        </w:tc>
      </w:tr>
      <w:tr w:rsidR="000B279D" w:rsidRPr="008358AD" w14:paraId="306DD95F" w14:textId="77777777" w:rsidTr="000B279D">
        <w:tc>
          <w:tcPr>
            <w:tcW w:w="3085" w:type="dxa"/>
            <w:shd w:val="clear" w:color="auto" w:fill="auto"/>
          </w:tcPr>
          <w:p w14:paraId="085EC190" w14:textId="77777777" w:rsidR="000B279D" w:rsidRPr="000B279D" w:rsidRDefault="000B279D" w:rsidP="000B279D">
            <w:pPr>
              <w:pStyle w:val="TableRowHead"/>
              <w:rPr>
                <w:rFonts w:ascii="Gill Sans" w:hAnsi="Gill Sans"/>
                <w:bCs/>
                <w:sz w:val="24"/>
              </w:rPr>
            </w:pPr>
            <w:r w:rsidRPr="000B279D">
              <w:rPr>
                <w:rFonts w:ascii="Gill Sans" w:hAnsi="Gill Sans"/>
                <w:bCs/>
                <w:sz w:val="24"/>
              </w:rPr>
              <w:t>Ms. Alison Ryan</w:t>
            </w:r>
          </w:p>
        </w:tc>
        <w:tc>
          <w:tcPr>
            <w:tcW w:w="1570" w:type="dxa"/>
            <w:tcBorders>
              <w:bottom w:val="single" w:sz="2" w:space="0" w:color="000000"/>
            </w:tcBorders>
            <w:shd w:val="clear" w:color="auto" w:fill="auto"/>
          </w:tcPr>
          <w:p w14:paraId="36345534" w14:textId="77777777" w:rsidR="000B279D" w:rsidRPr="00B94841" w:rsidRDefault="000B279D" w:rsidP="000B279D">
            <w:pPr>
              <w:pStyle w:val="TableCell"/>
            </w:pPr>
            <w:r w:rsidRPr="00B94841">
              <w:t>€2,993</w:t>
            </w:r>
          </w:p>
        </w:tc>
        <w:tc>
          <w:tcPr>
            <w:tcW w:w="1749" w:type="dxa"/>
            <w:tcBorders>
              <w:bottom w:val="single" w:sz="2" w:space="0" w:color="000000"/>
            </w:tcBorders>
            <w:shd w:val="clear" w:color="auto" w:fill="auto"/>
          </w:tcPr>
          <w:p w14:paraId="10B585F5" w14:textId="77777777" w:rsidR="000B279D" w:rsidRPr="00B94841" w:rsidRDefault="000B279D" w:rsidP="000B279D">
            <w:pPr>
              <w:pStyle w:val="TableCell"/>
            </w:pPr>
            <w:r w:rsidRPr="00B94841">
              <w:t>€172</w:t>
            </w:r>
          </w:p>
        </w:tc>
        <w:tc>
          <w:tcPr>
            <w:tcW w:w="1749" w:type="dxa"/>
            <w:shd w:val="clear" w:color="auto" w:fill="auto"/>
          </w:tcPr>
          <w:p w14:paraId="1EE0C838" w14:textId="77777777" w:rsidR="000B279D" w:rsidRPr="00B94841" w:rsidRDefault="000B279D" w:rsidP="000B279D">
            <w:pPr>
              <w:pStyle w:val="TableCell"/>
            </w:pPr>
          </w:p>
        </w:tc>
      </w:tr>
      <w:tr w:rsidR="000B279D" w:rsidRPr="008358AD" w14:paraId="70856D78" w14:textId="77777777" w:rsidTr="000B279D">
        <w:tc>
          <w:tcPr>
            <w:tcW w:w="3085" w:type="dxa"/>
            <w:tcBorders>
              <w:right w:val="single" w:sz="2" w:space="0" w:color="000000"/>
            </w:tcBorders>
            <w:shd w:val="clear" w:color="auto" w:fill="auto"/>
          </w:tcPr>
          <w:p w14:paraId="0138E0DD" w14:textId="77777777" w:rsidR="000B279D" w:rsidRPr="000B279D" w:rsidRDefault="000B279D" w:rsidP="00EC0307">
            <w:pPr>
              <w:pStyle w:val="TableRowHead"/>
              <w:rPr>
                <w:rFonts w:ascii="Gill Sans" w:hAnsi="Gill Sans"/>
                <w:bCs/>
                <w:sz w:val="24"/>
              </w:rPr>
            </w:pPr>
            <w:r w:rsidRPr="000B279D">
              <w:rPr>
                <w:rFonts w:ascii="Gill Sans" w:hAnsi="Gill Sans"/>
                <w:bCs/>
                <w:sz w:val="24"/>
              </w:rPr>
              <w:t xml:space="preserve">Mr. </w:t>
            </w:r>
            <w:proofErr w:type="spellStart"/>
            <w:r w:rsidRPr="000B279D">
              <w:rPr>
                <w:rFonts w:ascii="Gill Sans" w:hAnsi="Gill Sans"/>
                <w:bCs/>
                <w:sz w:val="24"/>
              </w:rPr>
              <w:t>D</w:t>
            </w:r>
            <w:r w:rsidR="00EC0307">
              <w:rPr>
                <w:rFonts w:ascii="Gill Sans" w:hAnsi="Gill Sans"/>
                <w:bCs/>
                <w:sz w:val="24"/>
              </w:rPr>
              <w:t>ó</w:t>
            </w:r>
            <w:r w:rsidRPr="000B279D">
              <w:rPr>
                <w:rFonts w:ascii="Gill Sans" w:hAnsi="Gill Sans"/>
                <w:bCs/>
                <w:sz w:val="24"/>
              </w:rPr>
              <w:t>nal</w:t>
            </w:r>
            <w:proofErr w:type="spellEnd"/>
            <w:r w:rsidRPr="000B279D">
              <w:rPr>
                <w:rFonts w:ascii="Gill Sans" w:hAnsi="Gill Sans"/>
                <w:bCs/>
                <w:sz w:val="24"/>
              </w:rPr>
              <w:t xml:space="preserve"> Rice</w:t>
            </w:r>
          </w:p>
        </w:tc>
        <w:tc>
          <w:tcPr>
            <w:tcW w:w="1570" w:type="dxa"/>
            <w:tcBorders>
              <w:top w:val="single" w:sz="2" w:space="0" w:color="000000"/>
              <w:left w:val="single" w:sz="2" w:space="0" w:color="000000"/>
              <w:bottom w:val="single" w:sz="18" w:space="0" w:color="000000"/>
              <w:right w:val="single" w:sz="2" w:space="0" w:color="000000"/>
            </w:tcBorders>
            <w:shd w:val="clear" w:color="auto" w:fill="auto"/>
          </w:tcPr>
          <w:p w14:paraId="7E173F78" w14:textId="77777777" w:rsidR="000B279D" w:rsidRPr="00B94841" w:rsidRDefault="000B279D" w:rsidP="000B279D">
            <w:pPr>
              <w:pStyle w:val="TableCell"/>
            </w:pPr>
            <w:r w:rsidRPr="00B94841">
              <w:t>€0</w:t>
            </w:r>
          </w:p>
        </w:tc>
        <w:tc>
          <w:tcPr>
            <w:tcW w:w="1749" w:type="dxa"/>
            <w:tcBorders>
              <w:top w:val="single" w:sz="2" w:space="0" w:color="000000"/>
              <w:left w:val="single" w:sz="2" w:space="0" w:color="000000"/>
              <w:bottom w:val="single" w:sz="18" w:space="0" w:color="000000"/>
              <w:right w:val="single" w:sz="2" w:space="0" w:color="000000"/>
            </w:tcBorders>
            <w:shd w:val="clear" w:color="auto" w:fill="auto"/>
          </w:tcPr>
          <w:p w14:paraId="5CEADFD8" w14:textId="77777777" w:rsidR="000B279D" w:rsidRPr="00B94841" w:rsidRDefault="000B279D" w:rsidP="000B279D">
            <w:pPr>
              <w:pStyle w:val="TableCell"/>
            </w:pPr>
          </w:p>
        </w:tc>
        <w:tc>
          <w:tcPr>
            <w:tcW w:w="1749" w:type="dxa"/>
            <w:tcBorders>
              <w:left w:val="single" w:sz="2" w:space="0" w:color="000000"/>
            </w:tcBorders>
            <w:shd w:val="clear" w:color="auto" w:fill="auto"/>
          </w:tcPr>
          <w:p w14:paraId="399A5396" w14:textId="77777777" w:rsidR="000B279D" w:rsidRPr="00B94841" w:rsidRDefault="000B279D" w:rsidP="000B279D">
            <w:pPr>
              <w:pStyle w:val="TableCell"/>
            </w:pPr>
          </w:p>
        </w:tc>
      </w:tr>
      <w:tr w:rsidR="000B279D" w:rsidRPr="008358AD" w14:paraId="29AD8535" w14:textId="77777777" w:rsidTr="000B279D">
        <w:tc>
          <w:tcPr>
            <w:tcW w:w="3085" w:type="dxa"/>
            <w:shd w:val="clear" w:color="auto" w:fill="auto"/>
          </w:tcPr>
          <w:p w14:paraId="49C5757A" w14:textId="77777777" w:rsidR="000B279D" w:rsidRPr="000B279D" w:rsidRDefault="000B279D" w:rsidP="000B279D">
            <w:pPr>
              <w:pStyle w:val="TableRowHead"/>
              <w:rPr>
                <w:rFonts w:ascii="Gill Sans" w:hAnsi="Gill Sans"/>
                <w:bCs/>
                <w:sz w:val="24"/>
              </w:rPr>
            </w:pPr>
            <w:r w:rsidRPr="000B279D">
              <w:rPr>
                <w:rFonts w:ascii="Gill Sans" w:hAnsi="Gill Sans"/>
                <w:bCs/>
                <w:sz w:val="24"/>
              </w:rPr>
              <w:t>Subtotal</w:t>
            </w:r>
          </w:p>
        </w:tc>
        <w:tc>
          <w:tcPr>
            <w:tcW w:w="1570" w:type="dxa"/>
            <w:tcBorders>
              <w:top w:val="single" w:sz="18" w:space="0" w:color="000000"/>
            </w:tcBorders>
            <w:shd w:val="clear" w:color="auto" w:fill="auto"/>
          </w:tcPr>
          <w:p w14:paraId="37389DEA" w14:textId="77777777" w:rsidR="000B279D" w:rsidRPr="00B94841" w:rsidRDefault="000B279D" w:rsidP="000B279D">
            <w:pPr>
              <w:pStyle w:val="TableCell"/>
            </w:pPr>
            <w:r w:rsidRPr="00B94841">
              <w:t>€31,426</w:t>
            </w:r>
          </w:p>
        </w:tc>
        <w:tc>
          <w:tcPr>
            <w:tcW w:w="1749" w:type="dxa"/>
            <w:tcBorders>
              <w:top w:val="single" w:sz="18" w:space="0" w:color="000000"/>
            </w:tcBorders>
            <w:shd w:val="clear" w:color="auto" w:fill="auto"/>
          </w:tcPr>
          <w:p w14:paraId="120EF69F" w14:textId="77777777" w:rsidR="000B279D" w:rsidRPr="00B94841" w:rsidRDefault="000B279D" w:rsidP="004853AE">
            <w:pPr>
              <w:pStyle w:val="TableCell"/>
            </w:pPr>
            <w:r w:rsidRPr="00B94841">
              <w:t>€</w:t>
            </w:r>
            <w:r w:rsidR="004853AE">
              <w:t>2,484</w:t>
            </w:r>
          </w:p>
        </w:tc>
        <w:tc>
          <w:tcPr>
            <w:tcW w:w="1749" w:type="dxa"/>
            <w:shd w:val="clear" w:color="auto" w:fill="auto"/>
          </w:tcPr>
          <w:p w14:paraId="6317F8B8" w14:textId="77777777" w:rsidR="000B279D" w:rsidRPr="00B94841" w:rsidRDefault="000B279D" w:rsidP="000B279D">
            <w:pPr>
              <w:pStyle w:val="TableCell"/>
            </w:pPr>
          </w:p>
        </w:tc>
      </w:tr>
      <w:tr w:rsidR="000B279D" w:rsidRPr="008358AD" w14:paraId="7AE75F78" w14:textId="77777777" w:rsidTr="000B279D">
        <w:tc>
          <w:tcPr>
            <w:tcW w:w="3085" w:type="dxa"/>
            <w:shd w:val="clear" w:color="auto" w:fill="auto"/>
          </w:tcPr>
          <w:p w14:paraId="00DC1E58" w14:textId="77777777" w:rsidR="000B279D" w:rsidRPr="000B279D" w:rsidRDefault="000B279D" w:rsidP="000B279D">
            <w:pPr>
              <w:pStyle w:val="TableRowHead"/>
              <w:rPr>
                <w:rFonts w:ascii="Gill Sans" w:hAnsi="Gill Sans"/>
                <w:bCs/>
                <w:sz w:val="24"/>
              </w:rPr>
            </w:pPr>
          </w:p>
        </w:tc>
        <w:tc>
          <w:tcPr>
            <w:tcW w:w="1570" w:type="dxa"/>
            <w:tcBorders>
              <w:bottom w:val="single" w:sz="2" w:space="0" w:color="000000"/>
            </w:tcBorders>
            <w:shd w:val="clear" w:color="auto" w:fill="auto"/>
          </w:tcPr>
          <w:p w14:paraId="1784D283" w14:textId="77777777" w:rsidR="000B279D" w:rsidRPr="00B94841" w:rsidRDefault="000B279D" w:rsidP="000B279D">
            <w:pPr>
              <w:pStyle w:val="TableCell"/>
            </w:pPr>
          </w:p>
        </w:tc>
        <w:tc>
          <w:tcPr>
            <w:tcW w:w="1749" w:type="dxa"/>
            <w:tcBorders>
              <w:bottom w:val="single" w:sz="2" w:space="0" w:color="000000"/>
            </w:tcBorders>
            <w:shd w:val="clear" w:color="auto" w:fill="auto"/>
          </w:tcPr>
          <w:p w14:paraId="5D8CBC70" w14:textId="77777777" w:rsidR="000B279D" w:rsidRPr="00B94841" w:rsidRDefault="000B279D" w:rsidP="000B279D">
            <w:pPr>
              <w:pStyle w:val="TableCell"/>
            </w:pPr>
          </w:p>
        </w:tc>
        <w:tc>
          <w:tcPr>
            <w:tcW w:w="1749" w:type="dxa"/>
            <w:shd w:val="clear" w:color="auto" w:fill="auto"/>
          </w:tcPr>
          <w:p w14:paraId="7B25F9A6" w14:textId="77777777" w:rsidR="000B279D" w:rsidRPr="00B94841" w:rsidRDefault="000B279D" w:rsidP="000B279D">
            <w:pPr>
              <w:pStyle w:val="TableCell"/>
            </w:pPr>
          </w:p>
        </w:tc>
      </w:tr>
      <w:tr w:rsidR="000B279D" w:rsidRPr="008358AD" w14:paraId="491AA91E" w14:textId="77777777" w:rsidTr="000B279D">
        <w:tc>
          <w:tcPr>
            <w:tcW w:w="3085" w:type="dxa"/>
            <w:tcBorders>
              <w:right w:val="single" w:sz="2" w:space="0" w:color="000000"/>
            </w:tcBorders>
            <w:shd w:val="clear" w:color="auto" w:fill="auto"/>
          </w:tcPr>
          <w:p w14:paraId="19467CB3" w14:textId="77777777" w:rsidR="000B279D" w:rsidRPr="000B279D" w:rsidRDefault="000B279D" w:rsidP="000B279D">
            <w:pPr>
              <w:pStyle w:val="TableRowHead"/>
              <w:rPr>
                <w:rFonts w:ascii="Gill Sans" w:hAnsi="Gill Sans"/>
                <w:bCs/>
                <w:sz w:val="24"/>
              </w:rPr>
            </w:pPr>
            <w:r w:rsidRPr="000B279D">
              <w:rPr>
                <w:rFonts w:ascii="Gill Sans" w:hAnsi="Gill Sans"/>
                <w:bCs/>
                <w:sz w:val="24"/>
              </w:rPr>
              <w:t>Donal Lawlor (Audit Committee Chairperson)</w:t>
            </w:r>
          </w:p>
        </w:tc>
        <w:tc>
          <w:tcPr>
            <w:tcW w:w="1570" w:type="dxa"/>
            <w:tcBorders>
              <w:top w:val="single" w:sz="2" w:space="0" w:color="000000"/>
              <w:left w:val="single" w:sz="2" w:space="0" w:color="000000"/>
              <w:bottom w:val="single" w:sz="18" w:space="0" w:color="000000"/>
              <w:right w:val="single" w:sz="2" w:space="0" w:color="000000"/>
            </w:tcBorders>
            <w:shd w:val="clear" w:color="auto" w:fill="auto"/>
          </w:tcPr>
          <w:p w14:paraId="402AAD7A" w14:textId="77777777" w:rsidR="000B279D" w:rsidRPr="00B94841" w:rsidRDefault="000B279D" w:rsidP="000B279D">
            <w:pPr>
              <w:pStyle w:val="TableCell"/>
            </w:pPr>
            <w:r w:rsidRPr="00B94841">
              <w:t>€1,283</w:t>
            </w:r>
          </w:p>
        </w:tc>
        <w:tc>
          <w:tcPr>
            <w:tcW w:w="1749" w:type="dxa"/>
            <w:tcBorders>
              <w:top w:val="single" w:sz="2" w:space="0" w:color="000000"/>
              <w:left w:val="single" w:sz="2" w:space="0" w:color="000000"/>
              <w:bottom w:val="single" w:sz="18" w:space="0" w:color="000000"/>
              <w:right w:val="single" w:sz="2" w:space="0" w:color="000000"/>
            </w:tcBorders>
            <w:shd w:val="clear" w:color="auto" w:fill="auto"/>
          </w:tcPr>
          <w:p w14:paraId="404E01FA" w14:textId="77777777" w:rsidR="000B279D" w:rsidRPr="00B94841" w:rsidRDefault="000B279D" w:rsidP="000B279D">
            <w:pPr>
              <w:pStyle w:val="TableCell"/>
            </w:pPr>
          </w:p>
        </w:tc>
        <w:tc>
          <w:tcPr>
            <w:tcW w:w="1749" w:type="dxa"/>
            <w:tcBorders>
              <w:left w:val="single" w:sz="2" w:space="0" w:color="000000"/>
            </w:tcBorders>
            <w:shd w:val="clear" w:color="auto" w:fill="auto"/>
          </w:tcPr>
          <w:p w14:paraId="0BAEB9CD" w14:textId="77777777" w:rsidR="000B279D" w:rsidRPr="00B94841" w:rsidRDefault="000B279D" w:rsidP="000B279D">
            <w:pPr>
              <w:pStyle w:val="TableCell"/>
            </w:pPr>
          </w:p>
        </w:tc>
      </w:tr>
      <w:tr w:rsidR="000B279D" w:rsidRPr="008358AD" w14:paraId="04E9E6C7" w14:textId="77777777" w:rsidTr="000B279D">
        <w:tc>
          <w:tcPr>
            <w:tcW w:w="3085" w:type="dxa"/>
            <w:shd w:val="clear" w:color="auto" w:fill="auto"/>
          </w:tcPr>
          <w:p w14:paraId="1ED6ADDB" w14:textId="77777777" w:rsidR="000B279D" w:rsidRPr="000B279D" w:rsidRDefault="000B279D" w:rsidP="000B279D">
            <w:pPr>
              <w:pStyle w:val="TableRowHead"/>
              <w:rPr>
                <w:rFonts w:ascii="Gill Sans" w:hAnsi="Gill Sans"/>
                <w:bCs/>
                <w:sz w:val="24"/>
              </w:rPr>
            </w:pPr>
            <w:r w:rsidRPr="000B279D">
              <w:rPr>
                <w:rFonts w:ascii="Gill Sans" w:hAnsi="Gill Sans"/>
                <w:bCs/>
                <w:sz w:val="24"/>
              </w:rPr>
              <w:t>Total</w:t>
            </w:r>
          </w:p>
        </w:tc>
        <w:tc>
          <w:tcPr>
            <w:tcW w:w="1570" w:type="dxa"/>
            <w:tcBorders>
              <w:top w:val="single" w:sz="18" w:space="0" w:color="000000"/>
            </w:tcBorders>
            <w:shd w:val="clear" w:color="auto" w:fill="auto"/>
          </w:tcPr>
          <w:p w14:paraId="2CD868C0" w14:textId="77777777" w:rsidR="000B279D" w:rsidRPr="00B94841" w:rsidRDefault="000B279D" w:rsidP="000B279D">
            <w:pPr>
              <w:pStyle w:val="TableCell"/>
            </w:pPr>
            <w:r w:rsidRPr="00B94841">
              <w:t>€32,709</w:t>
            </w:r>
          </w:p>
        </w:tc>
        <w:tc>
          <w:tcPr>
            <w:tcW w:w="1749" w:type="dxa"/>
            <w:tcBorders>
              <w:top w:val="single" w:sz="18" w:space="0" w:color="000000"/>
            </w:tcBorders>
            <w:shd w:val="clear" w:color="auto" w:fill="auto"/>
          </w:tcPr>
          <w:p w14:paraId="05375E74" w14:textId="77777777" w:rsidR="000B279D" w:rsidRPr="00B94841" w:rsidRDefault="000B279D" w:rsidP="004853AE">
            <w:pPr>
              <w:pStyle w:val="TableCell"/>
            </w:pPr>
            <w:r w:rsidRPr="00B94841">
              <w:t>€</w:t>
            </w:r>
            <w:r w:rsidR="004853AE">
              <w:t>2,484</w:t>
            </w:r>
          </w:p>
        </w:tc>
        <w:tc>
          <w:tcPr>
            <w:tcW w:w="1749" w:type="dxa"/>
            <w:shd w:val="clear" w:color="auto" w:fill="auto"/>
          </w:tcPr>
          <w:p w14:paraId="382F2D4E" w14:textId="77777777" w:rsidR="000B279D" w:rsidRPr="00B94841" w:rsidRDefault="000B279D" w:rsidP="000B279D">
            <w:pPr>
              <w:pStyle w:val="TableCell"/>
            </w:pPr>
          </w:p>
        </w:tc>
      </w:tr>
      <w:tr w:rsidR="000B279D" w:rsidRPr="008358AD" w14:paraId="157ADD2D" w14:textId="77777777" w:rsidTr="000B279D">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1C4700D0" w14:textId="77777777" w:rsidR="000B279D" w:rsidRPr="000B279D" w:rsidRDefault="000B279D" w:rsidP="000B279D">
            <w:pPr>
              <w:pStyle w:val="TableRowHead"/>
              <w:rPr>
                <w:rFonts w:ascii="Gill Sans" w:hAnsi="Gill Sans"/>
                <w:bCs/>
                <w:sz w:val="24"/>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6AF6FEF5" w14:textId="77777777" w:rsidR="000B279D" w:rsidRPr="00B94841" w:rsidRDefault="000B279D" w:rsidP="000B279D">
            <w:pPr>
              <w:pStyle w:val="TableCell"/>
            </w:pPr>
          </w:p>
        </w:tc>
        <w:tc>
          <w:tcPr>
            <w:tcW w:w="1749" w:type="dxa"/>
            <w:tcBorders>
              <w:top w:val="single" w:sz="6" w:space="0" w:color="000000"/>
              <w:left w:val="single" w:sz="6" w:space="0" w:color="000000"/>
              <w:bottom w:val="single" w:sz="6" w:space="0" w:color="000000"/>
              <w:right w:val="single" w:sz="6" w:space="0" w:color="000000"/>
            </w:tcBorders>
            <w:shd w:val="clear" w:color="auto" w:fill="auto"/>
          </w:tcPr>
          <w:p w14:paraId="209FDD37" w14:textId="77777777" w:rsidR="000B279D" w:rsidRPr="00B94841" w:rsidRDefault="000B279D" w:rsidP="000B279D">
            <w:pPr>
              <w:pStyle w:val="TableCell"/>
            </w:pPr>
          </w:p>
        </w:tc>
        <w:tc>
          <w:tcPr>
            <w:tcW w:w="1749" w:type="dxa"/>
            <w:tcBorders>
              <w:top w:val="single" w:sz="18" w:space="0" w:color="000000"/>
              <w:left w:val="single" w:sz="6" w:space="0" w:color="000000"/>
              <w:bottom w:val="single" w:sz="6" w:space="0" w:color="000000"/>
              <w:right w:val="single" w:sz="6" w:space="0" w:color="000000"/>
            </w:tcBorders>
            <w:shd w:val="clear" w:color="auto" w:fill="auto"/>
          </w:tcPr>
          <w:p w14:paraId="2FF64326" w14:textId="77777777" w:rsidR="000B279D" w:rsidRDefault="000B279D" w:rsidP="004853AE">
            <w:pPr>
              <w:pStyle w:val="TableCell"/>
            </w:pPr>
            <w:r w:rsidRPr="00B94841">
              <w:t>€</w:t>
            </w:r>
            <w:r w:rsidR="004853AE">
              <w:t>35,193</w:t>
            </w:r>
          </w:p>
        </w:tc>
      </w:tr>
    </w:tbl>
    <w:p w14:paraId="2583CF0E" w14:textId="77777777" w:rsidR="00421776" w:rsidRPr="00E74EBC" w:rsidRDefault="00D8791A" w:rsidP="00BB5C89">
      <w:r>
        <w:br/>
      </w:r>
      <w:r w:rsidR="000B279D" w:rsidRPr="000B279D">
        <w:t>The Authority ordinary members and chair designate were appointed by the Minister for Justice and Equality on 2</w:t>
      </w:r>
      <w:r w:rsidR="00C01D9A">
        <w:t>2nd</w:t>
      </w:r>
      <w:r w:rsidR="000B279D" w:rsidRPr="000B279D">
        <w:t xml:space="preserve"> July 2014. The Chair Designate attended before the Oireachtas Committee on 17</w:t>
      </w:r>
      <w:r w:rsidR="00C01D9A">
        <w:t>th</w:t>
      </w:r>
      <w:r w:rsidR="000B279D" w:rsidRPr="000B279D">
        <w:t xml:space="preserve"> September 2014, following which the first Authority meeting was scheduled. Half</w:t>
      </w:r>
      <w:r w:rsidR="000B279D">
        <w:t>-</w:t>
      </w:r>
      <w:r w:rsidR="000B279D" w:rsidRPr="000B279D">
        <w:t>year fees were paid to the Authority members in December 2014</w:t>
      </w:r>
      <w:r w:rsidR="00C01D9A">
        <w:t>.</w:t>
      </w:r>
      <w:r w:rsidR="00421776">
        <w:t xml:space="preserve"> </w:t>
      </w:r>
    </w:p>
    <w:p w14:paraId="4CAB1F68" w14:textId="77777777" w:rsidR="00421776" w:rsidRDefault="00421776" w:rsidP="00BB5C89">
      <w:pPr>
        <w:pStyle w:val="Heading3"/>
      </w:pPr>
      <w:bookmarkStart w:id="54" w:name="_Toc335836401"/>
      <w:r>
        <w:t>7. Fixed Assets</w:t>
      </w:r>
      <w:bookmarkEnd w:id="54"/>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201"/>
        <w:gridCol w:w="1515"/>
        <w:gridCol w:w="1515"/>
        <w:gridCol w:w="1379"/>
        <w:gridCol w:w="1311"/>
      </w:tblGrid>
      <w:tr w:rsidR="00421776" w:rsidRPr="00081AA4" w14:paraId="736DFEF3" w14:textId="77777777" w:rsidTr="00EC0307">
        <w:trPr>
          <w:tblHeader/>
        </w:trPr>
        <w:tc>
          <w:tcPr>
            <w:tcW w:w="2269" w:type="dxa"/>
            <w:shd w:val="clear" w:color="auto" w:fill="auto"/>
          </w:tcPr>
          <w:p w14:paraId="5BE0B205" w14:textId="77777777" w:rsidR="00421776" w:rsidRPr="00081AA4" w:rsidRDefault="00421776" w:rsidP="00421776">
            <w:pPr>
              <w:pStyle w:val="TableHead"/>
              <w:jc w:val="right"/>
            </w:pPr>
          </w:p>
        </w:tc>
        <w:tc>
          <w:tcPr>
            <w:tcW w:w="1559" w:type="dxa"/>
            <w:vAlign w:val="bottom"/>
          </w:tcPr>
          <w:p w14:paraId="561A5078" w14:textId="77777777" w:rsidR="00421776" w:rsidRPr="00081AA4" w:rsidRDefault="00421776" w:rsidP="00421776">
            <w:pPr>
              <w:pStyle w:val="TableHead"/>
              <w:rPr>
                <w:lang w:val="en-GB" w:eastAsia="en-GB"/>
              </w:rPr>
            </w:pPr>
            <w:r w:rsidRPr="00081AA4">
              <w:rPr>
                <w:lang w:val="en-GB" w:eastAsia="en-GB"/>
              </w:rPr>
              <w:t>Computer Hardware and Software</w:t>
            </w:r>
          </w:p>
        </w:tc>
        <w:tc>
          <w:tcPr>
            <w:tcW w:w="1559" w:type="dxa"/>
            <w:vAlign w:val="bottom"/>
          </w:tcPr>
          <w:p w14:paraId="4A8DDF97" w14:textId="77777777" w:rsidR="00421776" w:rsidRPr="00081AA4" w:rsidRDefault="00421776" w:rsidP="00421776">
            <w:pPr>
              <w:pStyle w:val="TableHead"/>
              <w:rPr>
                <w:lang w:val="en-GB" w:eastAsia="en-GB"/>
              </w:rPr>
            </w:pPr>
            <w:r w:rsidRPr="00081AA4">
              <w:rPr>
                <w:lang w:val="en-GB" w:eastAsia="en-GB"/>
              </w:rPr>
              <w:t>Office Furniture and Equipment</w:t>
            </w:r>
          </w:p>
        </w:tc>
        <w:tc>
          <w:tcPr>
            <w:tcW w:w="1418" w:type="dxa"/>
            <w:vAlign w:val="bottom"/>
          </w:tcPr>
          <w:p w14:paraId="3FC76F15" w14:textId="77777777" w:rsidR="00421776" w:rsidRPr="00081AA4" w:rsidRDefault="00CA4555" w:rsidP="00421776">
            <w:pPr>
              <w:pStyle w:val="TableHead"/>
              <w:rPr>
                <w:lang w:val="en-GB" w:eastAsia="en-GB"/>
              </w:rPr>
            </w:pPr>
            <w:r>
              <w:rPr>
                <w:lang w:val="en-GB" w:eastAsia="en-GB"/>
              </w:rPr>
              <w:t>Free</w:t>
            </w:r>
            <w:r w:rsidRPr="00CA4555">
              <w:rPr>
                <w:lang w:val="en-GB" w:eastAsia="en-GB"/>
              </w:rPr>
              <w:t>h</w:t>
            </w:r>
            <w:r>
              <w:rPr>
                <w:lang w:val="en-GB" w:eastAsia="en-GB"/>
              </w:rPr>
              <w:t xml:space="preserve">old </w:t>
            </w:r>
            <w:r w:rsidR="00421776" w:rsidRPr="00081AA4">
              <w:rPr>
                <w:lang w:val="en-GB" w:eastAsia="en-GB"/>
              </w:rPr>
              <w:t>Premises</w:t>
            </w:r>
          </w:p>
        </w:tc>
        <w:tc>
          <w:tcPr>
            <w:tcW w:w="1348" w:type="dxa"/>
            <w:vAlign w:val="bottom"/>
          </w:tcPr>
          <w:p w14:paraId="60FD608E" w14:textId="77777777" w:rsidR="00421776" w:rsidRPr="00081AA4" w:rsidRDefault="00421776" w:rsidP="00421776">
            <w:pPr>
              <w:pStyle w:val="TableHead"/>
              <w:rPr>
                <w:lang w:val="en-GB" w:eastAsia="en-GB"/>
              </w:rPr>
            </w:pPr>
            <w:r w:rsidRPr="00081AA4">
              <w:rPr>
                <w:lang w:val="en-GB" w:eastAsia="en-GB"/>
              </w:rPr>
              <w:t>Total</w:t>
            </w:r>
          </w:p>
        </w:tc>
      </w:tr>
      <w:tr w:rsidR="00421776" w:rsidRPr="00081AA4" w14:paraId="154ECE2A" w14:textId="77777777" w:rsidTr="00EC0307">
        <w:tc>
          <w:tcPr>
            <w:tcW w:w="2269" w:type="dxa"/>
            <w:shd w:val="clear" w:color="auto" w:fill="auto"/>
          </w:tcPr>
          <w:p w14:paraId="5DDAA889" w14:textId="77777777" w:rsidR="00421776" w:rsidRPr="00081AA4" w:rsidRDefault="00421776" w:rsidP="00421776">
            <w:pPr>
              <w:pStyle w:val="TableRowHead"/>
            </w:pPr>
          </w:p>
        </w:tc>
        <w:tc>
          <w:tcPr>
            <w:tcW w:w="1559" w:type="dxa"/>
            <w:vAlign w:val="bottom"/>
          </w:tcPr>
          <w:p w14:paraId="28807E24" w14:textId="77777777" w:rsidR="00421776" w:rsidRPr="001C3239" w:rsidRDefault="00421776" w:rsidP="00421776">
            <w:pPr>
              <w:spacing w:after="0"/>
              <w:jc w:val="center"/>
              <w:rPr>
                <w:b/>
                <w:lang w:val="en-GB" w:eastAsia="en-GB"/>
              </w:rPr>
            </w:pPr>
            <w:r w:rsidRPr="001C3239">
              <w:rPr>
                <w:rFonts w:cs="Arial"/>
                <w:b/>
                <w:lang w:val="en-GB" w:eastAsia="en-GB"/>
              </w:rPr>
              <w:t>€</w:t>
            </w:r>
          </w:p>
        </w:tc>
        <w:tc>
          <w:tcPr>
            <w:tcW w:w="1559" w:type="dxa"/>
            <w:vAlign w:val="bottom"/>
          </w:tcPr>
          <w:p w14:paraId="6473F3E8" w14:textId="77777777" w:rsidR="00421776" w:rsidRPr="001C3239" w:rsidRDefault="00421776" w:rsidP="00421776">
            <w:pPr>
              <w:spacing w:after="0"/>
              <w:jc w:val="center"/>
              <w:rPr>
                <w:b/>
                <w:lang w:val="en-GB" w:eastAsia="en-GB"/>
              </w:rPr>
            </w:pPr>
            <w:r w:rsidRPr="001C3239">
              <w:rPr>
                <w:rFonts w:cs="Arial"/>
                <w:b/>
                <w:lang w:val="en-GB" w:eastAsia="en-GB"/>
              </w:rPr>
              <w:t>€</w:t>
            </w:r>
          </w:p>
        </w:tc>
        <w:tc>
          <w:tcPr>
            <w:tcW w:w="1418" w:type="dxa"/>
            <w:vAlign w:val="bottom"/>
          </w:tcPr>
          <w:p w14:paraId="4F60FA66" w14:textId="77777777" w:rsidR="00421776" w:rsidRPr="001C3239" w:rsidRDefault="00421776" w:rsidP="00421776">
            <w:pPr>
              <w:spacing w:after="0"/>
              <w:jc w:val="center"/>
              <w:rPr>
                <w:b/>
                <w:lang w:val="en-GB" w:eastAsia="en-GB"/>
              </w:rPr>
            </w:pPr>
            <w:r w:rsidRPr="001C3239">
              <w:rPr>
                <w:rFonts w:cs="Arial"/>
                <w:b/>
                <w:lang w:val="en-GB" w:eastAsia="en-GB"/>
              </w:rPr>
              <w:t>€</w:t>
            </w:r>
          </w:p>
        </w:tc>
        <w:tc>
          <w:tcPr>
            <w:tcW w:w="1348" w:type="dxa"/>
            <w:vAlign w:val="bottom"/>
          </w:tcPr>
          <w:p w14:paraId="56730334" w14:textId="77777777" w:rsidR="00421776" w:rsidRPr="001C3239" w:rsidRDefault="00421776" w:rsidP="00421776">
            <w:pPr>
              <w:spacing w:after="0"/>
              <w:jc w:val="center"/>
              <w:rPr>
                <w:b/>
                <w:lang w:val="en-GB" w:eastAsia="en-GB"/>
              </w:rPr>
            </w:pPr>
            <w:r w:rsidRPr="001C3239">
              <w:rPr>
                <w:rFonts w:cs="Arial"/>
                <w:b/>
                <w:lang w:val="en-GB" w:eastAsia="en-GB"/>
              </w:rPr>
              <w:t>€</w:t>
            </w:r>
          </w:p>
        </w:tc>
      </w:tr>
      <w:tr w:rsidR="00421776" w:rsidRPr="00081AA4" w14:paraId="606DC2CD" w14:textId="77777777" w:rsidTr="00BB5C89">
        <w:tc>
          <w:tcPr>
            <w:tcW w:w="8153" w:type="dxa"/>
            <w:gridSpan w:val="5"/>
            <w:shd w:val="clear" w:color="auto" w:fill="auto"/>
          </w:tcPr>
          <w:p w14:paraId="0B47E6CB" w14:textId="77777777" w:rsidR="00421776" w:rsidRPr="00081AA4" w:rsidRDefault="00421776" w:rsidP="00421776">
            <w:pPr>
              <w:pStyle w:val="TableHead"/>
              <w:jc w:val="center"/>
              <w:rPr>
                <w:sz w:val="24"/>
                <w:lang w:val="en-GB" w:eastAsia="en-GB"/>
              </w:rPr>
            </w:pPr>
            <w:r>
              <w:rPr>
                <w:sz w:val="24"/>
                <w:lang w:val="en-GB" w:eastAsia="en-GB"/>
              </w:rPr>
              <w:t>Cost or Valuation</w:t>
            </w:r>
          </w:p>
        </w:tc>
      </w:tr>
      <w:tr w:rsidR="000B279D" w:rsidRPr="00081AA4" w14:paraId="06CF2965" w14:textId="77777777" w:rsidTr="00EC0307">
        <w:tc>
          <w:tcPr>
            <w:tcW w:w="2269" w:type="dxa"/>
            <w:shd w:val="clear" w:color="auto" w:fill="auto"/>
            <w:vAlign w:val="bottom"/>
          </w:tcPr>
          <w:p w14:paraId="6DD71021" w14:textId="77777777" w:rsidR="000B279D" w:rsidRPr="00081AA4" w:rsidRDefault="000B279D" w:rsidP="000B279D">
            <w:pPr>
              <w:pStyle w:val="TableRowHead"/>
              <w:rPr>
                <w:rFonts w:ascii="Gill Sans" w:hAnsi="Gill Sans"/>
                <w:sz w:val="24"/>
                <w:lang w:val="en-GB" w:eastAsia="en-GB"/>
              </w:rPr>
            </w:pPr>
            <w:r>
              <w:rPr>
                <w:rFonts w:ascii="Gill Sans" w:hAnsi="Gill Sans"/>
                <w:sz w:val="24"/>
                <w:lang w:val="en-GB" w:eastAsia="en-GB"/>
              </w:rPr>
              <w:lastRenderedPageBreak/>
              <w:t xml:space="preserve">Balance </w:t>
            </w:r>
            <w:proofErr w:type="gramStart"/>
            <w:r>
              <w:rPr>
                <w:rFonts w:ascii="Gill Sans" w:hAnsi="Gill Sans"/>
                <w:sz w:val="24"/>
                <w:lang w:val="en-GB" w:eastAsia="en-GB"/>
              </w:rPr>
              <w:t>at</w:t>
            </w:r>
            <w:proofErr w:type="gramEnd"/>
            <w:r>
              <w:rPr>
                <w:rFonts w:ascii="Gill Sans" w:hAnsi="Gill Sans"/>
                <w:sz w:val="24"/>
                <w:lang w:val="en-GB" w:eastAsia="en-GB"/>
              </w:rPr>
              <w:t xml:space="preserve"> 1 January 2014</w:t>
            </w:r>
          </w:p>
        </w:tc>
        <w:tc>
          <w:tcPr>
            <w:tcW w:w="1559" w:type="dxa"/>
            <w:vAlign w:val="bottom"/>
          </w:tcPr>
          <w:p w14:paraId="6E92C423" w14:textId="77777777" w:rsidR="000B279D" w:rsidRPr="009C20A0" w:rsidRDefault="000B279D" w:rsidP="000B279D">
            <w:pPr>
              <w:pStyle w:val="TableCell"/>
              <w:rPr>
                <w:b/>
                <w:sz w:val="24"/>
                <w:lang w:val="en-GB" w:eastAsia="en-GB"/>
              </w:rPr>
            </w:pPr>
            <w:r w:rsidRPr="009C20A0">
              <w:rPr>
                <w:b/>
                <w:sz w:val="24"/>
                <w:lang w:val="en-GB" w:eastAsia="en-GB"/>
              </w:rPr>
              <w:t xml:space="preserve">411,778 </w:t>
            </w:r>
          </w:p>
        </w:tc>
        <w:tc>
          <w:tcPr>
            <w:tcW w:w="1559" w:type="dxa"/>
            <w:vAlign w:val="bottom"/>
          </w:tcPr>
          <w:p w14:paraId="0F7B6030" w14:textId="77777777" w:rsidR="000B279D" w:rsidRPr="009C20A0" w:rsidRDefault="000B279D" w:rsidP="004853AE">
            <w:pPr>
              <w:pStyle w:val="TableCell"/>
              <w:rPr>
                <w:b/>
                <w:sz w:val="24"/>
                <w:lang w:val="en-GB" w:eastAsia="en-GB"/>
              </w:rPr>
            </w:pPr>
            <w:r w:rsidRPr="009C20A0">
              <w:rPr>
                <w:b/>
                <w:sz w:val="24"/>
                <w:lang w:val="en-GB" w:eastAsia="en-GB"/>
              </w:rPr>
              <w:t>109,129</w:t>
            </w:r>
          </w:p>
        </w:tc>
        <w:tc>
          <w:tcPr>
            <w:tcW w:w="1418" w:type="dxa"/>
            <w:vAlign w:val="bottom"/>
          </w:tcPr>
          <w:p w14:paraId="0B25D374" w14:textId="77777777" w:rsidR="000B279D" w:rsidRPr="009C20A0" w:rsidRDefault="000B279D" w:rsidP="000B279D">
            <w:pPr>
              <w:pStyle w:val="TableCell"/>
              <w:rPr>
                <w:b/>
                <w:sz w:val="24"/>
                <w:lang w:val="en-GB" w:eastAsia="en-GB"/>
              </w:rPr>
            </w:pPr>
            <w:r w:rsidRPr="009C20A0">
              <w:rPr>
                <w:b/>
                <w:sz w:val="24"/>
                <w:lang w:val="en-GB" w:eastAsia="en-GB"/>
              </w:rPr>
              <w:t xml:space="preserve">3,988,604 </w:t>
            </w:r>
          </w:p>
        </w:tc>
        <w:tc>
          <w:tcPr>
            <w:tcW w:w="1348" w:type="dxa"/>
            <w:vAlign w:val="bottom"/>
          </w:tcPr>
          <w:p w14:paraId="452DBD97" w14:textId="77777777" w:rsidR="000B279D" w:rsidRPr="009C20A0" w:rsidRDefault="000B279D" w:rsidP="000B279D">
            <w:pPr>
              <w:pStyle w:val="TableCell"/>
              <w:rPr>
                <w:b/>
                <w:sz w:val="24"/>
                <w:lang w:val="en-GB" w:eastAsia="en-GB"/>
              </w:rPr>
            </w:pPr>
            <w:r w:rsidRPr="009C20A0">
              <w:rPr>
                <w:b/>
                <w:sz w:val="24"/>
                <w:lang w:val="en-GB" w:eastAsia="en-GB"/>
              </w:rPr>
              <w:t xml:space="preserve">4,509,511 </w:t>
            </w:r>
          </w:p>
        </w:tc>
      </w:tr>
      <w:tr w:rsidR="000B279D" w:rsidRPr="00081AA4" w14:paraId="10B13085" w14:textId="77777777" w:rsidTr="00EC0307">
        <w:tc>
          <w:tcPr>
            <w:tcW w:w="2269" w:type="dxa"/>
            <w:shd w:val="clear" w:color="auto" w:fill="auto"/>
            <w:vAlign w:val="bottom"/>
          </w:tcPr>
          <w:p w14:paraId="5473AB82" w14:textId="77777777" w:rsidR="000B279D" w:rsidRPr="00081AA4" w:rsidRDefault="000B279D" w:rsidP="000B279D">
            <w:pPr>
              <w:pStyle w:val="TableRowHead"/>
              <w:rPr>
                <w:rFonts w:ascii="Gill Sans" w:hAnsi="Gill Sans"/>
                <w:sz w:val="24"/>
                <w:lang w:val="en-GB" w:eastAsia="en-GB"/>
              </w:rPr>
            </w:pPr>
            <w:r w:rsidRPr="00081AA4">
              <w:rPr>
                <w:rFonts w:ascii="Gill Sans" w:hAnsi="Gill Sans"/>
                <w:sz w:val="24"/>
                <w:lang w:val="en-GB" w:eastAsia="en-GB"/>
              </w:rPr>
              <w:t xml:space="preserve">Additions at cost </w:t>
            </w:r>
          </w:p>
        </w:tc>
        <w:tc>
          <w:tcPr>
            <w:tcW w:w="1559" w:type="dxa"/>
            <w:vAlign w:val="bottom"/>
          </w:tcPr>
          <w:p w14:paraId="74876D52" w14:textId="77777777" w:rsidR="000B279D" w:rsidRPr="00081AA4" w:rsidRDefault="000B279D" w:rsidP="000B279D">
            <w:pPr>
              <w:pStyle w:val="TableCell"/>
              <w:rPr>
                <w:sz w:val="24"/>
                <w:lang w:val="en-GB" w:eastAsia="en-GB"/>
              </w:rPr>
            </w:pPr>
            <w:r>
              <w:rPr>
                <w:sz w:val="24"/>
                <w:lang w:val="en-GB" w:eastAsia="en-GB"/>
              </w:rPr>
              <w:t>5,179</w:t>
            </w:r>
            <w:r w:rsidRPr="00081AA4">
              <w:rPr>
                <w:sz w:val="24"/>
                <w:lang w:val="en-GB" w:eastAsia="en-GB"/>
              </w:rPr>
              <w:t xml:space="preserve"> </w:t>
            </w:r>
          </w:p>
        </w:tc>
        <w:tc>
          <w:tcPr>
            <w:tcW w:w="1559" w:type="dxa"/>
            <w:vAlign w:val="bottom"/>
          </w:tcPr>
          <w:p w14:paraId="0A79CD7E" w14:textId="77777777" w:rsidR="000B279D" w:rsidRPr="00081AA4" w:rsidRDefault="000B279D" w:rsidP="000B279D">
            <w:pPr>
              <w:pStyle w:val="TableCell"/>
              <w:rPr>
                <w:sz w:val="24"/>
                <w:lang w:val="en-GB" w:eastAsia="en-GB"/>
              </w:rPr>
            </w:pPr>
            <w:r>
              <w:rPr>
                <w:sz w:val="24"/>
                <w:lang w:val="en-GB" w:eastAsia="en-GB"/>
              </w:rPr>
              <w:t>0</w:t>
            </w:r>
            <w:r w:rsidRPr="00081AA4">
              <w:rPr>
                <w:sz w:val="24"/>
                <w:lang w:val="en-GB" w:eastAsia="en-GB"/>
              </w:rPr>
              <w:t xml:space="preserve"> </w:t>
            </w:r>
          </w:p>
        </w:tc>
        <w:tc>
          <w:tcPr>
            <w:tcW w:w="1418" w:type="dxa"/>
            <w:vAlign w:val="bottom"/>
          </w:tcPr>
          <w:p w14:paraId="7DCD010F" w14:textId="77777777" w:rsidR="000B279D" w:rsidRPr="00081AA4" w:rsidRDefault="000B279D" w:rsidP="000B279D">
            <w:pPr>
              <w:pStyle w:val="TableCell"/>
              <w:rPr>
                <w:sz w:val="24"/>
                <w:lang w:val="en-GB" w:eastAsia="en-GB"/>
              </w:rPr>
            </w:pPr>
            <w:r w:rsidRPr="00081AA4">
              <w:rPr>
                <w:sz w:val="24"/>
                <w:lang w:val="en-GB" w:eastAsia="en-GB"/>
              </w:rPr>
              <w:t xml:space="preserve">0 </w:t>
            </w:r>
          </w:p>
        </w:tc>
        <w:tc>
          <w:tcPr>
            <w:tcW w:w="1348" w:type="dxa"/>
            <w:vAlign w:val="bottom"/>
          </w:tcPr>
          <w:p w14:paraId="3CAE95AF" w14:textId="77777777" w:rsidR="000B279D" w:rsidRPr="00081AA4" w:rsidRDefault="000B279D" w:rsidP="000B279D">
            <w:pPr>
              <w:pStyle w:val="TableCell"/>
              <w:rPr>
                <w:sz w:val="24"/>
                <w:lang w:val="en-GB" w:eastAsia="en-GB"/>
              </w:rPr>
            </w:pPr>
            <w:r>
              <w:rPr>
                <w:sz w:val="24"/>
                <w:lang w:val="en-GB" w:eastAsia="en-GB"/>
              </w:rPr>
              <w:t>5,179</w:t>
            </w:r>
          </w:p>
        </w:tc>
      </w:tr>
      <w:tr w:rsidR="000B279D" w:rsidRPr="00081AA4" w14:paraId="7DDE8EC4" w14:textId="77777777" w:rsidTr="00EC0307">
        <w:tc>
          <w:tcPr>
            <w:tcW w:w="2269" w:type="dxa"/>
            <w:shd w:val="clear" w:color="auto" w:fill="auto"/>
            <w:vAlign w:val="bottom"/>
          </w:tcPr>
          <w:p w14:paraId="789F1EE7" w14:textId="77777777" w:rsidR="000B279D" w:rsidRPr="00081AA4" w:rsidRDefault="000B279D" w:rsidP="000B279D">
            <w:pPr>
              <w:pStyle w:val="TableRowHead"/>
              <w:rPr>
                <w:rFonts w:ascii="Gill Sans" w:hAnsi="Gill Sans"/>
                <w:sz w:val="24"/>
                <w:lang w:val="en-GB" w:eastAsia="en-GB"/>
              </w:rPr>
            </w:pPr>
            <w:r>
              <w:rPr>
                <w:rFonts w:ascii="Gill Sans" w:hAnsi="Gill Sans"/>
                <w:sz w:val="24"/>
                <w:lang w:val="en-GB" w:eastAsia="en-GB"/>
              </w:rPr>
              <w:t>Capitalisation of Assets purchased in prior years</w:t>
            </w:r>
          </w:p>
        </w:tc>
        <w:tc>
          <w:tcPr>
            <w:tcW w:w="1559" w:type="dxa"/>
            <w:vAlign w:val="bottom"/>
          </w:tcPr>
          <w:p w14:paraId="0B7173CA" w14:textId="77777777" w:rsidR="000B279D" w:rsidRPr="00807251" w:rsidRDefault="000B279D" w:rsidP="000B279D">
            <w:pPr>
              <w:pStyle w:val="TableCell"/>
              <w:rPr>
                <w:sz w:val="24"/>
                <w:lang w:val="en-GB" w:eastAsia="en-GB"/>
              </w:rPr>
            </w:pPr>
            <w:r>
              <w:rPr>
                <w:sz w:val="24"/>
                <w:lang w:val="en-GB" w:eastAsia="en-GB"/>
              </w:rPr>
              <w:t>6,571</w:t>
            </w:r>
          </w:p>
        </w:tc>
        <w:tc>
          <w:tcPr>
            <w:tcW w:w="1559" w:type="dxa"/>
            <w:vAlign w:val="bottom"/>
          </w:tcPr>
          <w:p w14:paraId="1A73C734" w14:textId="77777777" w:rsidR="000B279D" w:rsidRPr="00807251" w:rsidRDefault="000B279D" w:rsidP="000B279D">
            <w:pPr>
              <w:pStyle w:val="TableCell"/>
              <w:rPr>
                <w:sz w:val="24"/>
                <w:lang w:val="en-GB" w:eastAsia="en-GB"/>
              </w:rPr>
            </w:pPr>
            <w:r>
              <w:rPr>
                <w:sz w:val="24"/>
                <w:lang w:val="en-GB" w:eastAsia="en-GB"/>
              </w:rPr>
              <w:t>34,591</w:t>
            </w:r>
          </w:p>
        </w:tc>
        <w:tc>
          <w:tcPr>
            <w:tcW w:w="1418" w:type="dxa"/>
            <w:vAlign w:val="bottom"/>
          </w:tcPr>
          <w:p w14:paraId="66ADDFEB" w14:textId="77777777" w:rsidR="000B279D" w:rsidRPr="00807251" w:rsidRDefault="000B279D" w:rsidP="000B279D">
            <w:pPr>
              <w:pStyle w:val="TableCell"/>
              <w:rPr>
                <w:sz w:val="24"/>
                <w:lang w:val="en-GB" w:eastAsia="en-GB"/>
              </w:rPr>
            </w:pPr>
            <w:r>
              <w:rPr>
                <w:sz w:val="24"/>
                <w:lang w:val="en-GB" w:eastAsia="en-GB"/>
              </w:rPr>
              <w:t>0</w:t>
            </w:r>
          </w:p>
        </w:tc>
        <w:tc>
          <w:tcPr>
            <w:tcW w:w="1348" w:type="dxa"/>
            <w:vAlign w:val="bottom"/>
          </w:tcPr>
          <w:p w14:paraId="377425E5" w14:textId="77777777" w:rsidR="000B279D" w:rsidRPr="00807251" w:rsidRDefault="000B279D" w:rsidP="000B279D">
            <w:pPr>
              <w:pStyle w:val="TableCell"/>
              <w:rPr>
                <w:sz w:val="24"/>
                <w:lang w:val="en-GB" w:eastAsia="en-GB"/>
              </w:rPr>
            </w:pPr>
            <w:r>
              <w:rPr>
                <w:sz w:val="24"/>
                <w:lang w:val="en-GB" w:eastAsia="en-GB"/>
              </w:rPr>
              <w:t>41,162</w:t>
            </w:r>
          </w:p>
        </w:tc>
      </w:tr>
      <w:tr w:rsidR="000B279D" w:rsidRPr="00081AA4" w14:paraId="32C6C10F" w14:textId="77777777" w:rsidTr="00EC0307">
        <w:tc>
          <w:tcPr>
            <w:tcW w:w="2269" w:type="dxa"/>
            <w:shd w:val="clear" w:color="auto" w:fill="auto"/>
            <w:vAlign w:val="bottom"/>
          </w:tcPr>
          <w:p w14:paraId="5E17E778" w14:textId="77777777" w:rsidR="000B279D" w:rsidRPr="00081AA4" w:rsidRDefault="000B279D" w:rsidP="000B279D">
            <w:pPr>
              <w:pStyle w:val="TableRowHead"/>
              <w:rPr>
                <w:rFonts w:ascii="Gill Sans" w:hAnsi="Gill Sans"/>
                <w:sz w:val="24"/>
                <w:lang w:val="en-GB" w:eastAsia="en-GB"/>
              </w:rPr>
            </w:pPr>
            <w:r>
              <w:rPr>
                <w:rFonts w:ascii="Gill Sans" w:hAnsi="Gill Sans"/>
                <w:sz w:val="24"/>
                <w:lang w:val="en-GB" w:eastAsia="en-GB"/>
              </w:rPr>
              <w:t>Disposals</w:t>
            </w:r>
          </w:p>
        </w:tc>
        <w:tc>
          <w:tcPr>
            <w:tcW w:w="1559" w:type="dxa"/>
            <w:vAlign w:val="bottom"/>
          </w:tcPr>
          <w:p w14:paraId="5617C095" w14:textId="77777777" w:rsidR="000B279D" w:rsidRPr="00807251" w:rsidRDefault="000B279D" w:rsidP="000B279D">
            <w:pPr>
              <w:pStyle w:val="TableCell"/>
              <w:rPr>
                <w:sz w:val="24"/>
                <w:lang w:val="en-GB" w:eastAsia="en-GB"/>
              </w:rPr>
            </w:pPr>
            <w:r>
              <w:rPr>
                <w:sz w:val="24"/>
                <w:lang w:val="en-GB" w:eastAsia="en-GB"/>
              </w:rPr>
              <w:t>(241,456)</w:t>
            </w:r>
          </w:p>
        </w:tc>
        <w:tc>
          <w:tcPr>
            <w:tcW w:w="1559" w:type="dxa"/>
            <w:vAlign w:val="bottom"/>
          </w:tcPr>
          <w:p w14:paraId="6843F3BC" w14:textId="77777777" w:rsidR="000B279D" w:rsidRPr="00807251" w:rsidRDefault="000B279D" w:rsidP="000B279D">
            <w:pPr>
              <w:pStyle w:val="TableCell"/>
              <w:rPr>
                <w:sz w:val="24"/>
                <w:lang w:val="en-GB" w:eastAsia="en-GB"/>
              </w:rPr>
            </w:pPr>
            <w:r>
              <w:rPr>
                <w:sz w:val="24"/>
                <w:lang w:val="en-GB" w:eastAsia="en-GB"/>
              </w:rPr>
              <w:t>(26,577)</w:t>
            </w:r>
          </w:p>
        </w:tc>
        <w:tc>
          <w:tcPr>
            <w:tcW w:w="1418" w:type="dxa"/>
            <w:vAlign w:val="bottom"/>
          </w:tcPr>
          <w:p w14:paraId="11EA6AD0" w14:textId="77777777" w:rsidR="000B279D" w:rsidRPr="00807251" w:rsidRDefault="000B279D" w:rsidP="000B279D">
            <w:pPr>
              <w:pStyle w:val="TableCell"/>
              <w:rPr>
                <w:sz w:val="24"/>
                <w:lang w:val="en-GB" w:eastAsia="en-GB"/>
              </w:rPr>
            </w:pPr>
            <w:r>
              <w:rPr>
                <w:sz w:val="24"/>
                <w:lang w:val="en-GB" w:eastAsia="en-GB"/>
              </w:rPr>
              <w:t>0</w:t>
            </w:r>
          </w:p>
        </w:tc>
        <w:tc>
          <w:tcPr>
            <w:tcW w:w="1348" w:type="dxa"/>
            <w:vAlign w:val="bottom"/>
          </w:tcPr>
          <w:p w14:paraId="6910562C" w14:textId="77777777" w:rsidR="000B279D" w:rsidRPr="00807251" w:rsidRDefault="000B279D" w:rsidP="000B279D">
            <w:pPr>
              <w:pStyle w:val="TableCell"/>
              <w:rPr>
                <w:sz w:val="24"/>
                <w:lang w:val="en-GB" w:eastAsia="en-GB"/>
              </w:rPr>
            </w:pPr>
            <w:r>
              <w:rPr>
                <w:sz w:val="24"/>
                <w:lang w:val="en-GB" w:eastAsia="en-GB"/>
              </w:rPr>
              <w:t>(268,033)</w:t>
            </w:r>
          </w:p>
        </w:tc>
      </w:tr>
      <w:tr w:rsidR="000B279D" w:rsidRPr="00081AA4" w14:paraId="21594761" w14:textId="77777777" w:rsidTr="00EC0307">
        <w:tc>
          <w:tcPr>
            <w:tcW w:w="2269" w:type="dxa"/>
            <w:shd w:val="clear" w:color="auto" w:fill="auto"/>
            <w:vAlign w:val="bottom"/>
          </w:tcPr>
          <w:p w14:paraId="0DE92595" w14:textId="77777777" w:rsidR="000B279D" w:rsidRPr="00081AA4" w:rsidRDefault="000B279D" w:rsidP="000B279D">
            <w:pPr>
              <w:pStyle w:val="TableRowHead"/>
              <w:rPr>
                <w:rFonts w:ascii="Gill Sans" w:hAnsi="Gill Sans"/>
                <w:sz w:val="24"/>
                <w:lang w:val="en-GB" w:eastAsia="en-GB"/>
              </w:rPr>
            </w:pPr>
            <w:r w:rsidRPr="00081AA4">
              <w:rPr>
                <w:rFonts w:ascii="Gill Sans" w:hAnsi="Gill Sans"/>
                <w:sz w:val="24"/>
                <w:lang w:val="en-GB" w:eastAsia="en-GB"/>
              </w:rPr>
              <w:t xml:space="preserve">Balance </w:t>
            </w:r>
            <w:proofErr w:type="gramStart"/>
            <w:r w:rsidRPr="00081AA4">
              <w:rPr>
                <w:rFonts w:ascii="Gill Sans" w:hAnsi="Gill Sans"/>
                <w:sz w:val="24"/>
                <w:lang w:val="en-GB" w:eastAsia="en-GB"/>
              </w:rPr>
              <w:t>at</w:t>
            </w:r>
            <w:proofErr w:type="gramEnd"/>
            <w:r>
              <w:rPr>
                <w:rFonts w:ascii="Gill Sans" w:hAnsi="Gill Sans"/>
                <w:sz w:val="24"/>
                <w:lang w:val="en-GB" w:eastAsia="en-GB"/>
              </w:rPr>
              <w:t xml:space="preserve"> 31 December 2014</w:t>
            </w:r>
          </w:p>
        </w:tc>
        <w:tc>
          <w:tcPr>
            <w:tcW w:w="1559" w:type="dxa"/>
            <w:vAlign w:val="bottom"/>
          </w:tcPr>
          <w:p w14:paraId="44538365" w14:textId="77777777" w:rsidR="000B279D" w:rsidRPr="009C20A0" w:rsidRDefault="000B279D" w:rsidP="000B279D">
            <w:pPr>
              <w:pStyle w:val="TableCell"/>
              <w:rPr>
                <w:b/>
                <w:sz w:val="24"/>
                <w:lang w:val="en-GB" w:eastAsia="en-GB"/>
              </w:rPr>
            </w:pPr>
            <w:r>
              <w:rPr>
                <w:b/>
                <w:sz w:val="24"/>
                <w:lang w:val="en-GB" w:eastAsia="en-GB"/>
              </w:rPr>
              <w:t>182,072</w:t>
            </w:r>
          </w:p>
        </w:tc>
        <w:tc>
          <w:tcPr>
            <w:tcW w:w="1559" w:type="dxa"/>
            <w:vAlign w:val="bottom"/>
          </w:tcPr>
          <w:p w14:paraId="52E4915B" w14:textId="77777777" w:rsidR="000B279D" w:rsidRPr="009C20A0" w:rsidRDefault="000B279D" w:rsidP="000B279D">
            <w:pPr>
              <w:pStyle w:val="TableCell"/>
              <w:rPr>
                <w:b/>
                <w:sz w:val="24"/>
                <w:lang w:val="en-GB" w:eastAsia="en-GB"/>
              </w:rPr>
            </w:pPr>
            <w:r>
              <w:rPr>
                <w:b/>
                <w:sz w:val="24"/>
                <w:lang w:val="en-GB" w:eastAsia="en-GB"/>
              </w:rPr>
              <w:t>117,143</w:t>
            </w:r>
          </w:p>
        </w:tc>
        <w:tc>
          <w:tcPr>
            <w:tcW w:w="1418" w:type="dxa"/>
            <w:vAlign w:val="bottom"/>
          </w:tcPr>
          <w:p w14:paraId="25A93DD5" w14:textId="77777777" w:rsidR="000B279D" w:rsidRPr="009C20A0" w:rsidRDefault="000B279D" w:rsidP="000B279D">
            <w:pPr>
              <w:pStyle w:val="TableCell"/>
              <w:rPr>
                <w:b/>
                <w:sz w:val="24"/>
                <w:lang w:val="en-GB" w:eastAsia="en-GB"/>
              </w:rPr>
            </w:pPr>
            <w:r w:rsidRPr="009C20A0">
              <w:rPr>
                <w:b/>
                <w:sz w:val="24"/>
                <w:lang w:val="en-GB" w:eastAsia="en-GB"/>
              </w:rPr>
              <w:t xml:space="preserve">3,988,604 </w:t>
            </w:r>
          </w:p>
        </w:tc>
        <w:tc>
          <w:tcPr>
            <w:tcW w:w="1348" w:type="dxa"/>
            <w:vAlign w:val="bottom"/>
          </w:tcPr>
          <w:p w14:paraId="68B5CBD3" w14:textId="77777777" w:rsidR="000B279D" w:rsidRPr="009C20A0" w:rsidRDefault="000B279D" w:rsidP="000B279D">
            <w:pPr>
              <w:pStyle w:val="TableCell"/>
              <w:rPr>
                <w:b/>
                <w:sz w:val="24"/>
                <w:lang w:val="en-GB" w:eastAsia="en-GB"/>
              </w:rPr>
            </w:pPr>
            <w:r w:rsidRPr="009C20A0">
              <w:rPr>
                <w:b/>
                <w:sz w:val="24"/>
                <w:lang w:val="en-GB" w:eastAsia="en-GB"/>
              </w:rPr>
              <w:t>4,28</w:t>
            </w:r>
            <w:r>
              <w:rPr>
                <w:b/>
                <w:sz w:val="24"/>
                <w:lang w:val="en-GB" w:eastAsia="en-GB"/>
              </w:rPr>
              <w:t>7</w:t>
            </w:r>
            <w:r w:rsidRPr="009C20A0">
              <w:rPr>
                <w:b/>
                <w:sz w:val="24"/>
                <w:lang w:val="en-GB" w:eastAsia="en-GB"/>
              </w:rPr>
              <w:t>,</w:t>
            </w:r>
            <w:r>
              <w:rPr>
                <w:b/>
                <w:sz w:val="24"/>
                <w:lang w:val="en-GB" w:eastAsia="en-GB"/>
              </w:rPr>
              <w:t>819</w:t>
            </w:r>
            <w:r w:rsidRPr="009C20A0">
              <w:rPr>
                <w:b/>
                <w:sz w:val="24"/>
                <w:lang w:val="en-GB" w:eastAsia="en-GB"/>
              </w:rPr>
              <w:t xml:space="preserve"> </w:t>
            </w:r>
          </w:p>
        </w:tc>
      </w:tr>
      <w:tr w:rsidR="00421776" w:rsidRPr="00081AA4" w14:paraId="122AD5A1" w14:textId="77777777" w:rsidTr="00BB5C89">
        <w:tc>
          <w:tcPr>
            <w:tcW w:w="8153" w:type="dxa"/>
            <w:gridSpan w:val="5"/>
            <w:shd w:val="clear" w:color="auto" w:fill="auto"/>
            <w:vAlign w:val="bottom"/>
          </w:tcPr>
          <w:p w14:paraId="79141306" w14:textId="77777777" w:rsidR="00421776" w:rsidRPr="00081AA4" w:rsidRDefault="00421776" w:rsidP="00421776">
            <w:pPr>
              <w:pStyle w:val="TableHead"/>
              <w:jc w:val="center"/>
              <w:rPr>
                <w:sz w:val="24"/>
                <w:lang w:val="en-GB" w:eastAsia="en-GB"/>
              </w:rPr>
            </w:pPr>
          </w:p>
        </w:tc>
      </w:tr>
      <w:tr w:rsidR="00421776" w:rsidRPr="00081AA4" w14:paraId="3B7388AA" w14:textId="77777777" w:rsidTr="00BB5C89">
        <w:tc>
          <w:tcPr>
            <w:tcW w:w="8153" w:type="dxa"/>
            <w:gridSpan w:val="5"/>
            <w:shd w:val="clear" w:color="auto" w:fill="auto"/>
            <w:vAlign w:val="bottom"/>
          </w:tcPr>
          <w:p w14:paraId="10522C20" w14:textId="77777777" w:rsidR="00421776" w:rsidRPr="00081AA4" w:rsidRDefault="00421776" w:rsidP="00421776">
            <w:pPr>
              <w:pStyle w:val="TableHead"/>
              <w:jc w:val="center"/>
              <w:rPr>
                <w:sz w:val="24"/>
                <w:lang w:val="en-GB" w:eastAsia="en-GB"/>
              </w:rPr>
            </w:pPr>
            <w:r w:rsidRPr="00081AA4">
              <w:rPr>
                <w:sz w:val="24"/>
                <w:lang w:val="en-GB" w:eastAsia="en-GB"/>
              </w:rPr>
              <w:t>Accumulated Depreciation</w:t>
            </w:r>
          </w:p>
        </w:tc>
      </w:tr>
      <w:tr w:rsidR="000B279D" w:rsidRPr="00081AA4" w14:paraId="004D09BF" w14:textId="77777777" w:rsidTr="00EC0307">
        <w:tc>
          <w:tcPr>
            <w:tcW w:w="2269" w:type="dxa"/>
            <w:shd w:val="clear" w:color="auto" w:fill="auto"/>
            <w:vAlign w:val="bottom"/>
          </w:tcPr>
          <w:p w14:paraId="5A4EAEB5" w14:textId="77777777" w:rsidR="000B279D" w:rsidRPr="00081AA4" w:rsidRDefault="000B279D" w:rsidP="000B279D">
            <w:pPr>
              <w:pStyle w:val="TableRowHead"/>
              <w:rPr>
                <w:rFonts w:ascii="Gill Sans" w:hAnsi="Gill Sans"/>
                <w:sz w:val="24"/>
                <w:lang w:val="en-GB" w:eastAsia="en-GB"/>
              </w:rPr>
            </w:pPr>
            <w:r>
              <w:rPr>
                <w:rFonts w:ascii="Gill Sans" w:hAnsi="Gill Sans"/>
                <w:sz w:val="24"/>
                <w:lang w:val="en-GB" w:eastAsia="en-GB"/>
              </w:rPr>
              <w:t xml:space="preserve">Balance </w:t>
            </w:r>
            <w:proofErr w:type="gramStart"/>
            <w:r>
              <w:rPr>
                <w:rFonts w:ascii="Gill Sans" w:hAnsi="Gill Sans"/>
                <w:sz w:val="24"/>
                <w:lang w:val="en-GB" w:eastAsia="en-GB"/>
              </w:rPr>
              <w:t>at</w:t>
            </w:r>
            <w:proofErr w:type="gramEnd"/>
            <w:r>
              <w:rPr>
                <w:rFonts w:ascii="Gill Sans" w:hAnsi="Gill Sans"/>
                <w:sz w:val="24"/>
                <w:lang w:val="en-GB" w:eastAsia="en-GB"/>
              </w:rPr>
              <w:t xml:space="preserve"> 1 January 2014</w:t>
            </w:r>
          </w:p>
        </w:tc>
        <w:tc>
          <w:tcPr>
            <w:tcW w:w="1559" w:type="dxa"/>
            <w:vAlign w:val="bottom"/>
          </w:tcPr>
          <w:p w14:paraId="17914480" w14:textId="77777777" w:rsidR="000B279D" w:rsidRPr="009C20A0" w:rsidRDefault="000B279D" w:rsidP="000B279D">
            <w:pPr>
              <w:pStyle w:val="TableCell"/>
              <w:rPr>
                <w:b/>
                <w:sz w:val="24"/>
                <w:lang w:val="en-GB" w:eastAsia="en-GB"/>
              </w:rPr>
            </w:pPr>
            <w:r w:rsidRPr="009C20A0">
              <w:rPr>
                <w:b/>
                <w:sz w:val="24"/>
                <w:lang w:val="en-GB" w:eastAsia="en-GB"/>
              </w:rPr>
              <w:t xml:space="preserve">409,770 </w:t>
            </w:r>
          </w:p>
        </w:tc>
        <w:tc>
          <w:tcPr>
            <w:tcW w:w="1559" w:type="dxa"/>
            <w:vAlign w:val="bottom"/>
          </w:tcPr>
          <w:p w14:paraId="3AFDA7CF" w14:textId="77777777" w:rsidR="000B279D" w:rsidRPr="009C20A0" w:rsidRDefault="000B279D" w:rsidP="000B279D">
            <w:pPr>
              <w:pStyle w:val="TableCell"/>
              <w:rPr>
                <w:b/>
                <w:sz w:val="24"/>
                <w:lang w:val="en-GB" w:eastAsia="en-GB"/>
              </w:rPr>
            </w:pPr>
            <w:r w:rsidRPr="009C20A0">
              <w:rPr>
                <w:b/>
                <w:sz w:val="24"/>
                <w:lang w:val="en-GB" w:eastAsia="en-GB"/>
              </w:rPr>
              <w:t xml:space="preserve">108,225 </w:t>
            </w:r>
          </w:p>
        </w:tc>
        <w:tc>
          <w:tcPr>
            <w:tcW w:w="1418" w:type="dxa"/>
            <w:vAlign w:val="bottom"/>
          </w:tcPr>
          <w:p w14:paraId="301B8AB7" w14:textId="77777777" w:rsidR="000B279D" w:rsidRPr="009C20A0" w:rsidRDefault="000B279D" w:rsidP="000B279D">
            <w:pPr>
              <w:pStyle w:val="TableCell"/>
              <w:rPr>
                <w:b/>
                <w:sz w:val="24"/>
                <w:lang w:val="en-GB" w:eastAsia="en-GB"/>
              </w:rPr>
            </w:pPr>
            <w:r w:rsidRPr="009C20A0">
              <w:rPr>
                <w:b/>
                <w:sz w:val="24"/>
                <w:lang w:val="en-GB" w:eastAsia="en-GB"/>
              </w:rPr>
              <w:t xml:space="preserve">1,122,049 </w:t>
            </w:r>
          </w:p>
        </w:tc>
        <w:tc>
          <w:tcPr>
            <w:tcW w:w="1348" w:type="dxa"/>
            <w:vAlign w:val="bottom"/>
          </w:tcPr>
          <w:p w14:paraId="2BA55224" w14:textId="77777777" w:rsidR="000B279D" w:rsidRPr="009C20A0" w:rsidRDefault="000B279D" w:rsidP="000B279D">
            <w:pPr>
              <w:pStyle w:val="TableCell"/>
              <w:rPr>
                <w:b/>
                <w:sz w:val="24"/>
                <w:lang w:val="en-GB" w:eastAsia="en-GB"/>
              </w:rPr>
            </w:pPr>
            <w:r w:rsidRPr="009C20A0">
              <w:rPr>
                <w:b/>
                <w:sz w:val="24"/>
                <w:lang w:val="en-GB" w:eastAsia="en-GB"/>
              </w:rPr>
              <w:t xml:space="preserve">1,640,044 </w:t>
            </w:r>
          </w:p>
        </w:tc>
      </w:tr>
      <w:tr w:rsidR="000B279D" w:rsidRPr="00081AA4" w14:paraId="6215A9B7" w14:textId="77777777" w:rsidTr="00EC0307">
        <w:tc>
          <w:tcPr>
            <w:tcW w:w="2269" w:type="dxa"/>
            <w:shd w:val="clear" w:color="auto" w:fill="auto"/>
            <w:vAlign w:val="bottom"/>
          </w:tcPr>
          <w:p w14:paraId="267B8F9F" w14:textId="77777777" w:rsidR="000B279D" w:rsidRPr="00081AA4" w:rsidRDefault="000B279D" w:rsidP="000B279D">
            <w:pPr>
              <w:pStyle w:val="TableRowHead"/>
              <w:rPr>
                <w:rFonts w:ascii="Gill Sans" w:hAnsi="Gill Sans"/>
                <w:sz w:val="24"/>
                <w:lang w:val="en-GB" w:eastAsia="en-GB"/>
              </w:rPr>
            </w:pPr>
            <w:r w:rsidRPr="00081AA4">
              <w:rPr>
                <w:rFonts w:ascii="Gill Sans" w:hAnsi="Gill Sans"/>
                <w:sz w:val="24"/>
                <w:lang w:val="en-GB" w:eastAsia="en-GB"/>
              </w:rPr>
              <w:t>Charged in the year</w:t>
            </w:r>
          </w:p>
        </w:tc>
        <w:tc>
          <w:tcPr>
            <w:tcW w:w="1559" w:type="dxa"/>
            <w:vAlign w:val="bottom"/>
          </w:tcPr>
          <w:p w14:paraId="6D41992F" w14:textId="77777777" w:rsidR="000B279D" w:rsidRPr="00081AA4" w:rsidRDefault="000B279D" w:rsidP="000B279D">
            <w:pPr>
              <w:pStyle w:val="TableCell"/>
              <w:rPr>
                <w:sz w:val="24"/>
                <w:lang w:val="en-GB" w:eastAsia="en-GB"/>
              </w:rPr>
            </w:pPr>
            <w:r>
              <w:rPr>
                <w:sz w:val="24"/>
                <w:lang w:val="en-GB" w:eastAsia="en-GB"/>
              </w:rPr>
              <w:t>1,157</w:t>
            </w:r>
          </w:p>
        </w:tc>
        <w:tc>
          <w:tcPr>
            <w:tcW w:w="1559" w:type="dxa"/>
            <w:vAlign w:val="bottom"/>
          </w:tcPr>
          <w:p w14:paraId="089E80CF" w14:textId="77777777" w:rsidR="000B279D" w:rsidRPr="00081AA4" w:rsidRDefault="000B279D" w:rsidP="000B279D">
            <w:pPr>
              <w:pStyle w:val="TableCell"/>
              <w:rPr>
                <w:sz w:val="24"/>
                <w:lang w:val="en-GB" w:eastAsia="en-GB"/>
              </w:rPr>
            </w:pPr>
            <w:r>
              <w:rPr>
                <w:sz w:val="24"/>
                <w:lang w:val="en-GB" w:eastAsia="en-GB"/>
              </w:rPr>
              <w:t>1,142</w:t>
            </w:r>
          </w:p>
        </w:tc>
        <w:tc>
          <w:tcPr>
            <w:tcW w:w="1418" w:type="dxa"/>
            <w:vAlign w:val="bottom"/>
          </w:tcPr>
          <w:p w14:paraId="43C04BDB" w14:textId="77777777" w:rsidR="000B279D" w:rsidRPr="00081AA4" w:rsidRDefault="000B279D" w:rsidP="000B279D">
            <w:pPr>
              <w:pStyle w:val="TableCell"/>
              <w:rPr>
                <w:sz w:val="24"/>
                <w:lang w:val="en-GB" w:eastAsia="en-GB"/>
              </w:rPr>
            </w:pPr>
            <w:r>
              <w:rPr>
                <w:sz w:val="24"/>
                <w:lang w:val="en-GB" w:eastAsia="en-GB"/>
              </w:rPr>
              <w:t>71,664</w:t>
            </w:r>
          </w:p>
        </w:tc>
        <w:tc>
          <w:tcPr>
            <w:tcW w:w="1348" w:type="dxa"/>
            <w:vAlign w:val="bottom"/>
          </w:tcPr>
          <w:p w14:paraId="432AF56A" w14:textId="77777777" w:rsidR="000B279D" w:rsidRPr="00081AA4" w:rsidRDefault="000B279D" w:rsidP="000B279D">
            <w:pPr>
              <w:pStyle w:val="TableCell"/>
              <w:rPr>
                <w:sz w:val="24"/>
                <w:lang w:val="en-GB" w:eastAsia="en-GB"/>
              </w:rPr>
            </w:pPr>
            <w:r>
              <w:rPr>
                <w:sz w:val="24"/>
                <w:lang w:val="en-GB" w:eastAsia="en-GB"/>
              </w:rPr>
              <w:t>73,963</w:t>
            </w:r>
          </w:p>
        </w:tc>
      </w:tr>
      <w:tr w:rsidR="000B279D" w:rsidRPr="00081AA4" w14:paraId="41177DAC" w14:textId="77777777" w:rsidTr="00EC0307">
        <w:tc>
          <w:tcPr>
            <w:tcW w:w="2269" w:type="dxa"/>
            <w:shd w:val="clear" w:color="auto" w:fill="auto"/>
            <w:vAlign w:val="bottom"/>
          </w:tcPr>
          <w:p w14:paraId="741CB2E2" w14:textId="77777777" w:rsidR="000B279D" w:rsidRPr="00081AA4" w:rsidRDefault="000B279D" w:rsidP="000B279D">
            <w:pPr>
              <w:pStyle w:val="TableRowHead"/>
              <w:rPr>
                <w:rFonts w:ascii="Gill Sans" w:hAnsi="Gill Sans"/>
                <w:sz w:val="24"/>
                <w:lang w:val="en-GB" w:eastAsia="en-GB"/>
              </w:rPr>
            </w:pPr>
            <w:proofErr w:type="spellStart"/>
            <w:r>
              <w:rPr>
                <w:rFonts w:ascii="Gill Sans" w:hAnsi="Gill Sans"/>
                <w:sz w:val="24"/>
                <w:lang w:val="en-GB" w:eastAsia="en-GB"/>
              </w:rPr>
              <w:t>Accum</w:t>
            </w:r>
            <w:proofErr w:type="spellEnd"/>
            <w:r>
              <w:rPr>
                <w:rFonts w:ascii="Gill Sans" w:hAnsi="Gill Sans"/>
                <w:sz w:val="24"/>
                <w:lang w:val="en-GB" w:eastAsia="en-GB"/>
              </w:rPr>
              <w:t>. Depreciation on Assets purchased in prior years</w:t>
            </w:r>
          </w:p>
        </w:tc>
        <w:tc>
          <w:tcPr>
            <w:tcW w:w="1559" w:type="dxa"/>
            <w:vAlign w:val="bottom"/>
          </w:tcPr>
          <w:p w14:paraId="0C078D67" w14:textId="77777777" w:rsidR="000B279D" w:rsidRDefault="000B279D" w:rsidP="000B279D">
            <w:pPr>
              <w:pStyle w:val="TableCell"/>
              <w:rPr>
                <w:sz w:val="24"/>
                <w:lang w:val="en-GB" w:eastAsia="en-GB"/>
              </w:rPr>
            </w:pPr>
            <w:r>
              <w:rPr>
                <w:sz w:val="24"/>
                <w:lang w:val="en-GB" w:eastAsia="en-GB"/>
              </w:rPr>
              <w:t>4,771</w:t>
            </w:r>
          </w:p>
        </w:tc>
        <w:tc>
          <w:tcPr>
            <w:tcW w:w="1559" w:type="dxa"/>
            <w:vAlign w:val="bottom"/>
          </w:tcPr>
          <w:p w14:paraId="18C8614B" w14:textId="77777777" w:rsidR="000B279D" w:rsidRPr="00807251" w:rsidRDefault="000B279D" w:rsidP="000B279D">
            <w:pPr>
              <w:pStyle w:val="TableCell"/>
              <w:rPr>
                <w:sz w:val="24"/>
                <w:lang w:val="en-GB" w:eastAsia="en-GB"/>
              </w:rPr>
            </w:pPr>
            <w:r>
              <w:rPr>
                <w:sz w:val="24"/>
                <w:lang w:val="en-GB" w:eastAsia="en-GB"/>
              </w:rPr>
              <w:t>29,365</w:t>
            </w:r>
          </w:p>
        </w:tc>
        <w:tc>
          <w:tcPr>
            <w:tcW w:w="1418" w:type="dxa"/>
            <w:vAlign w:val="bottom"/>
          </w:tcPr>
          <w:p w14:paraId="5A49288D" w14:textId="77777777" w:rsidR="000B279D" w:rsidRPr="00807251" w:rsidRDefault="000B279D" w:rsidP="000B279D">
            <w:pPr>
              <w:pStyle w:val="TableCell"/>
              <w:rPr>
                <w:sz w:val="24"/>
                <w:lang w:val="en-GB" w:eastAsia="en-GB"/>
              </w:rPr>
            </w:pPr>
          </w:p>
        </w:tc>
        <w:tc>
          <w:tcPr>
            <w:tcW w:w="1348" w:type="dxa"/>
            <w:vAlign w:val="bottom"/>
          </w:tcPr>
          <w:p w14:paraId="43A58CCD" w14:textId="77777777" w:rsidR="000B279D" w:rsidRPr="00807251" w:rsidRDefault="000B279D" w:rsidP="000B279D">
            <w:pPr>
              <w:pStyle w:val="TableCell"/>
              <w:rPr>
                <w:sz w:val="24"/>
                <w:lang w:val="en-GB" w:eastAsia="en-GB"/>
              </w:rPr>
            </w:pPr>
            <w:r>
              <w:rPr>
                <w:sz w:val="24"/>
                <w:lang w:val="en-GB" w:eastAsia="en-GB"/>
              </w:rPr>
              <w:t>34,136</w:t>
            </w:r>
          </w:p>
        </w:tc>
      </w:tr>
      <w:tr w:rsidR="000B279D" w:rsidRPr="00081AA4" w14:paraId="2FEBADCC" w14:textId="77777777" w:rsidTr="00EC0307">
        <w:tc>
          <w:tcPr>
            <w:tcW w:w="2269" w:type="dxa"/>
            <w:shd w:val="clear" w:color="auto" w:fill="auto"/>
            <w:vAlign w:val="bottom"/>
          </w:tcPr>
          <w:p w14:paraId="3D3D0A39" w14:textId="77777777" w:rsidR="000B279D" w:rsidRPr="00081AA4" w:rsidRDefault="000B279D" w:rsidP="000B279D">
            <w:pPr>
              <w:pStyle w:val="TableRowHead"/>
              <w:rPr>
                <w:rFonts w:ascii="Gill Sans" w:hAnsi="Gill Sans"/>
                <w:sz w:val="24"/>
                <w:lang w:val="en-GB" w:eastAsia="en-GB"/>
              </w:rPr>
            </w:pPr>
            <w:r>
              <w:rPr>
                <w:rFonts w:ascii="Gill Sans" w:hAnsi="Gill Sans"/>
                <w:sz w:val="24"/>
                <w:lang w:val="en-GB" w:eastAsia="en-GB"/>
              </w:rPr>
              <w:t>Disposals</w:t>
            </w:r>
          </w:p>
        </w:tc>
        <w:tc>
          <w:tcPr>
            <w:tcW w:w="1559" w:type="dxa"/>
            <w:vAlign w:val="bottom"/>
          </w:tcPr>
          <w:p w14:paraId="69BE0545" w14:textId="77777777" w:rsidR="000B279D" w:rsidRPr="00807251" w:rsidRDefault="000B279D" w:rsidP="000B279D">
            <w:pPr>
              <w:pStyle w:val="TableCell"/>
              <w:rPr>
                <w:sz w:val="24"/>
                <w:lang w:val="en-GB" w:eastAsia="en-GB"/>
              </w:rPr>
            </w:pPr>
            <w:r>
              <w:rPr>
                <w:sz w:val="24"/>
                <w:lang w:val="en-GB" w:eastAsia="en-GB"/>
              </w:rPr>
              <w:t>(241,456)</w:t>
            </w:r>
          </w:p>
        </w:tc>
        <w:tc>
          <w:tcPr>
            <w:tcW w:w="1559" w:type="dxa"/>
            <w:vAlign w:val="bottom"/>
          </w:tcPr>
          <w:p w14:paraId="39DD1CBB" w14:textId="77777777" w:rsidR="000B279D" w:rsidRPr="00807251" w:rsidRDefault="000B279D" w:rsidP="000B279D">
            <w:pPr>
              <w:pStyle w:val="TableCell"/>
              <w:rPr>
                <w:sz w:val="24"/>
                <w:lang w:val="en-GB" w:eastAsia="en-GB"/>
              </w:rPr>
            </w:pPr>
            <w:r>
              <w:rPr>
                <w:sz w:val="24"/>
                <w:lang w:val="en-GB" w:eastAsia="en-GB"/>
              </w:rPr>
              <w:t>(26,577)</w:t>
            </w:r>
          </w:p>
        </w:tc>
        <w:tc>
          <w:tcPr>
            <w:tcW w:w="1418" w:type="dxa"/>
            <w:vAlign w:val="bottom"/>
          </w:tcPr>
          <w:p w14:paraId="72A404A7" w14:textId="77777777" w:rsidR="000B279D" w:rsidRPr="00807251" w:rsidRDefault="000B279D" w:rsidP="000B279D">
            <w:pPr>
              <w:pStyle w:val="TableCell"/>
              <w:rPr>
                <w:sz w:val="24"/>
                <w:lang w:val="en-GB" w:eastAsia="en-GB"/>
              </w:rPr>
            </w:pPr>
          </w:p>
        </w:tc>
        <w:tc>
          <w:tcPr>
            <w:tcW w:w="1348" w:type="dxa"/>
            <w:vAlign w:val="bottom"/>
          </w:tcPr>
          <w:p w14:paraId="195368E4" w14:textId="77777777" w:rsidR="000B279D" w:rsidRPr="00807251" w:rsidRDefault="000B279D" w:rsidP="000B279D">
            <w:pPr>
              <w:pStyle w:val="TableCell"/>
              <w:rPr>
                <w:sz w:val="24"/>
                <w:lang w:val="en-GB" w:eastAsia="en-GB"/>
              </w:rPr>
            </w:pPr>
            <w:r>
              <w:rPr>
                <w:sz w:val="24"/>
                <w:lang w:val="en-GB" w:eastAsia="en-GB"/>
              </w:rPr>
              <w:t>(268,033)</w:t>
            </w:r>
          </w:p>
        </w:tc>
      </w:tr>
      <w:tr w:rsidR="000B279D" w:rsidRPr="00081AA4" w14:paraId="76E30582" w14:textId="77777777" w:rsidTr="00EC0307">
        <w:tc>
          <w:tcPr>
            <w:tcW w:w="2269" w:type="dxa"/>
            <w:shd w:val="clear" w:color="auto" w:fill="auto"/>
            <w:vAlign w:val="bottom"/>
          </w:tcPr>
          <w:p w14:paraId="7F774312" w14:textId="77777777" w:rsidR="000B279D" w:rsidRPr="00081AA4" w:rsidRDefault="000B279D" w:rsidP="000B279D">
            <w:pPr>
              <w:pStyle w:val="TableRowHead"/>
              <w:rPr>
                <w:rFonts w:ascii="Gill Sans" w:hAnsi="Gill Sans"/>
                <w:sz w:val="24"/>
                <w:lang w:val="en-GB" w:eastAsia="en-GB"/>
              </w:rPr>
            </w:pPr>
            <w:r w:rsidRPr="00081AA4">
              <w:rPr>
                <w:rFonts w:ascii="Gill Sans" w:hAnsi="Gill Sans"/>
                <w:sz w:val="24"/>
                <w:lang w:val="en-GB" w:eastAsia="en-GB"/>
              </w:rPr>
              <w:t xml:space="preserve">Balance </w:t>
            </w:r>
            <w:proofErr w:type="gramStart"/>
            <w:r w:rsidRPr="00081AA4">
              <w:rPr>
                <w:rFonts w:ascii="Gill Sans" w:hAnsi="Gill Sans"/>
                <w:sz w:val="24"/>
                <w:lang w:val="en-GB" w:eastAsia="en-GB"/>
              </w:rPr>
              <w:t>at</w:t>
            </w:r>
            <w:proofErr w:type="gramEnd"/>
            <w:r w:rsidRPr="00081AA4">
              <w:rPr>
                <w:rFonts w:ascii="Gill Sans" w:hAnsi="Gill Sans"/>
                <w:sz w:val="24"/>
                <w:lang w:val="en-GB" w:eastAsia="en-GB"/>
              </w:rPr>
              <w:t xml:space="preserve"> 31 December</w:t>
            </w:r>
            <w:r w:rsidR="00D00624">
              <w:rPr>
                <w:rFonts w:ascii="Gill Sans" w:hAnsi="Gill Sans"/>
                <w:sz w:val="24"/>
                <w:lang w:val="en-GB" w:eastAsia="en-GB"/>
              </w:rPr>
              <w:t xml:space="preserve"> </w:t>
            </w:r>
            <w:r w:rsidRPr="00081AA4">
              <w:rPr>
                <w:rFonts w:ascii="Gill Sans" w:hAnsi="Gill Sans"/>
                <w:sz w:val="24"/>
                <w:lang w:val="en-GB" w:eastAsia="en-GB"/>
              </w:rPr>
              <w:t>201</w:t>
            </w:r>
            <w:r>
              <w:rPr>
                <w:rFonts w:ascii="Gill Sans" w:hAnsi="Gill Sans"/>
                <w:sz w:val="24"/>
                <w:lang w:val="en-GB" w:eastAsia="en-GB"/>
              </w:rPr>
              <w:t>4</w:t>
            </w:r>
          </w:p>
        </w:tc>
        <w:tc>
          <w:tcPr>
            <w:tcW w:w="1559" w:type="dxa"/>
            <w:vAlign w:val="bottom"/>
          </w:tcPr>
          <w:p w14:paraId="1D55132F" w14:textId="77777777" w:rsidR="000B279D" w:rsidRPr="009C20A0" w:rsidRDefault="000B279D" w:rsidP="000B279D">
            <w:pPr>
              <w:pStyle w:val="TableCell"/>
              <w:rPr>
                <w:b/>
                <w:sz w:val="24"/>
                <w:lang w:val="en-GB" w:eastAsia="en-GB"/>
              </w:rPr>
            </w:pPr>
            <w:r>
              <w:rPr>
                <w:b/>
                <w:sz w:val="24"/>
                <w:lang w:val="en-GB" w:eastAsia="en-GB"/>
              </w:rPr>
              <w:t>174,242</w:t>
            </w:r>
          </w:p>
        </w:tc>
        <w:tc>
          <w:tcPr>
            <w:tcW w:w="1559" w:type="dxa"/>
            <w:vAlign w:val="bottom"/>
          </w:tcPr>
          <w:p w14:paraId="63CDBF79" w14:textId="77777777" w:rsidR="000B279D" w:rsidRPr="009C20A0" w:rsidRDefault="000B279D" w:rsidP="000B279D">
            <w:pPr>
              <w:pStyle w:val="TableCell"/>
              <w:rPr>
                <w:b/>
                <w:sz w:val="24"/>
                <w:lang w:val="en-GB" w:eastAsia="en-GB"/>
              </w:rPr>
            </w:pPr>
            <w:r>
              <w:rPr>
                <w:b/>
                <w:sz w:val="24"/>
                <w:lang w:val="en-GB" w:eastAsia="en-GB"/>
              </w:rPr>
              <w:t>112,155</w:t>
            </w:r>
          </w:p>
        </w:tc>
        <w:tc>
          <w:tcPr>
            <w:tcW w:w="1418" w:type="dxa"/>
            <w:vAlign w:val="bottom"/>
          </w:tcPr>
          <w:p w14:paraId="67377725" w14:textId="77777777" w:rsidR="000B279D" w:rsidRPr="009C20A0" w:rsidRDefault="000B279D" w:rsidP="000B279D">
            <w:pPr>
              <w:pStyle w:val="TableCell"/>
              <w:rPr>
                <w:b/>
                <w:sz w:val="24"/>
                <w:lang w:val="en-GB" w:eastAsia="en-GB"/>
              </w:rPr>
            </w:pPr>
            <w:r>
              <w:rPr>
                <w:b/>
                <w:sz w:val="24"/>
                <w:lang w:val="en-GB" w:eastAsia="en-GB"/>
              </w:rPr>
              <w:t>1,193,713</w:t>
            </w:r>
          </w:p>
        </w:tc>
        <w:tc>
          <w:tcPr>
            <w:tcW w:w="1348" w:type="dxa"/>
            <w:vAlign w:val="bottom"/>
          </w:tcPr>
          <w:p w14:paraId="55E2BFC0" w14:textId="77777777" w:rsidR="000B279D" w:rsidRPr="009C20A0" w:rsidRDefault="000B279D" w:rsidP="000B279D">
            <w:pPr>
              <w:pStyle w:val="TableCell"/>
              <w:rPr>
                <w:b/>
                <w:sz w:val="24"/>
                <w:lang w:val="en-GB" w:eastAsia="en-GB"/>
              </w:rPr>
            </w:pPr>
            <w:r>
              <w:rPr>
                <w:b/>
                <w:sz w:val="24"/>
                <w:lang w:val="en-GB" w:eastAsia="en-GB"/>
              </w:rPr>
              <w:t>1,480,110</w:t>
            </w:r>
          </w:p>
        </w:tc>
      </w:tr>
      <w:tr w:rsidR="00421776" w:rsidRPr="00081AA4" w14:paraId="1EE8D07B" w14:textId="77777777" w:rsidTr="00EC0307">
        <w:tc>
          <w:tcPr>
            <w:tcW w:w="2269" w:type="dxa"/>
            <w:shd w:val="clear" w:color="auto" w:fill="auto"/>
            <w:vAlign w:val="bottom"/>
          </w:tcPr>
          <w:p w14:paraId="7E57477B" w14:textId="77777777" w:rsidR="00421776" w:rsidRPr="00081AA4" w:rsidRDefault="00421776" w:rsidP="00421776">
            <w:pPr>
              <w:pStyle w:val="TableRowHead"/>
              <w:rPr>
                <w:rFonts w:ascii="Gill Sans" w:hAnsi="Gill Sans"/>
                <w:bCs/>
                <w:sz w:val="24"/>
                <w:lang w:val="en-GB" w:eastAsia="en-GB"/>
              </w:rPr>
            </w:pPr>
          </w:p>
        </w:tc>
        <w:tc>
          <w:tcPr>
            <w:tcW w:w="1559" w:type="dxa"/>
            <w:vAlign w:val="bottom"/>
          </w:tcPr>
          <w:p w14:paraId="755E323E" w14:textId="77777777" w:rsidR="00421776" w:rsidRPr="00081AA4" w:rsidRDefault="00421776" w:rsidP="00421776">
            <w:pPr>
              <w:pStyle w:val="TableCell"/>
              <w:rPr>
                <w:sz w:val="24"/>
                <w:lang w:val="en-GB" w:eastAsia="en-GB"/>
              </w:rPr>
            </w:pPr>
          </w:p>
        </w:tc>
        <w:tc>
          <w:tcPr>
            <w:tcW w:w="1559" w:type="dxa"/>
            <w:vAlign w:val="bottom"/>
          </w:tcPr>
          <w:p w14:paraId="39BA5867" w14:textId="77777777" w:rsidR="00421776" w:rsidRPr="00081AA4" w:rsidRDefault="00421776" w:rsidP="00421776">
            <w:pPr>
              <w:pStyle w:val="TableCell"/>
              <w:rPr>
                <w:sz w:val="24"/>
                <w:lang w:val="en-GB" w:eastAsia="en-GB"/>
              </w:rPr>
            </w:pPr>
          </w:p>
        </w:tc>
        <w:tc>
          <w:tcPr>
            <w:tcW w:w="1418" w:type="dxa"/>
            <w:vAlign w:val="bottom"/>
          </w:tcPr>
          <w:p w14:paraId="3CDE4634" w14:textId="77777777" w:rsidR="00421776" w:rsidRPr="00081AA4" w:rsidRDefault="00421776" w:rsidP="00421776">
            <w:pPr>
              <w:pStyle w:val="TableCell"/>
              <w:rPr>
                <w:sz w:val="24"/>
                <w:lang w:val="en-GB" w:eastAsia="en-GB"/>
              </w:rPr>
            </w:pPr>
          </w:p>
        </w:tc>
        <w:tc>
          <w:tcPr>
            <w:tcW w:w="1348" w:type="dxa"/>
            <w:vAlign w:val="bottom"/>
          </w:tcPr>
          <w:p w14:paraId="36380A1D" w14:textId="77777777" w:rsidR="00421776" w:rsidRPr="00081AA4" w:rsidRDefault="00421776" w:rsidP="00421776">
            <w:pPr>
              <w:pStyle w:val="TableCell"/>
              <w:rPr>
                <w:sz w:val="24"/>
                <w:lang w:val="en-GB" w:eastAsia="en-GB"/>
              </w:rPr>
            </w:pPr>
          </w:p>
        </w:tc>
      </w:tr>
      <w:tr w:rsidR="00421776" w:rsidRPr="00081AA4" w14:paraId="32C6BDBD" w14:textId="77777777" w:rsidTr="00EC0307">
        <w:tc>
          <w:tcPr>
            <w:tcW w:w="2269" w:type="dxa"/>
            <w:shd w:val="clear" w:color="auto" w:fill="auto"/>
            <w:vAlign w:val="bottom"/>
          </w:tcPr>
          <w:p w14:paraId="6492BF45" w14:textId="77777777" w:rsidR="00421776" w:rsidRPr="00081AA4" w:rsidRDefault="00421776" w:rsidP="00421776">
            <w:pPr>
              <w:pStyle w:val="TableRowHead"/>
              <w:rPr>
                <w:rFonts w:ascii="Gill Sans" w:hAnsi="Gill Sans"/>
                <w:bCs/>
                <w:sz w:val="24"/>
                <w:lang w:val="en-GB" w:eastAsia="en-GB"/>
              </w:rPr>
            </w:pPr>
          </w:p>
        </w:tc>
        <w:tc>
          <w:tcPr>
            <w:tcW w:w="1559" w:type="dxa"/>
            <w:vAlign w:val="bottom"/>
          </w:tcPr>
          <w:p w14:paraId="6CC0A9EF" w14:textId="77777777" w:rsidR="00421776" w:rsidRPr="00081AA4" w:rsidRDefault="00421776" w:rsidP="00421776">
            <w:pPr>
              <w:pStyle w:val="TableCell"/>
              <w:rPr>
                <w:sz w:val="24"/>
                <w:lang w:val="en-GB" w:eastAsia="en-GB"/>
              </w:rPr>
            </w:pPr>
          </w:p>
        </w:tc>
        <w:tc>
          <w:tcPr>
            <w:tcW w:w="1559" w:type="dxa"/>
            <w:vAlign w:val="bottom"/>
          </w:tcPr>
          <w:p w14:paraId="364416EF" w14:textId="77777777" w:rsidR="00421776" w:rsidRPr="00081AA4" w:rsidRDefault="00421776" w:rsidP="00421776">
            <w:pPr>
              <w:pStyle w:val="TableCell"/>
              <w:rPr>
                <w:sz w:val="24"/>
                <w:lang w:val="en-GB" w:eastAsia="en-GB"/>
              </w:rPr>
            </w:pPr>
          </w:p>
        </w:tc>
        <w:tc>
          <w:tcPr>
            <w:tcW w:w="1418" w:type="dxa"/>
            <w:vAlign w:val="bottom"/>
          </w:tcPr>
          <w:p w14:paraId="6D3091E2" w14:textId="77777777" w:rsidR="00421776" w:rsidRPr="00081AA4" w:rsidRDefault="00421776" w:rsidP="00421776">
            <w:pPr>
              <w:pStyle w:val="TableCell"/>
              <w:rPr>
                <w:sz w:val="24"/>
                <w:lang w:val="en-GB" w:eastAsia="en-GB"/>
              </w:rPr>
            </w:pPr>
          </w:p>
        </w:tc>
        <w:tc>
          <w:tcPr>
            <w:tcW w:w="1348" w:type="dxa"/>
            <w:vAlign w:val="bottom"/>
          </w:tcPr>
          <w:p w14:paraId="7B597ABE" w14:textId="77777777" w:rsidR="00421776" w:rsidRPr="00081AA4" w:rsidRDefault="00421776" w:rsidP="00421776">
            <w:pPr>
              <w:pStyle w:val="TableCell"/>
              <w:rPr>
                <w:sz w:val="24"/>
                <w:lang w:val="en-GB" w:eastAsia="en-GB"/>
              </w:rPr>
            </w:pPr>
          </w:p>
        </w:tc>
      </w:tr>
      <w:tr w:rsidR="000B279D" w:rsidRPr="00081AA4" w14:paraId="314D2804" w14:textId="77777777" w:rsidTr="00EC0307">
        <w:tc>
          <w:tcPr>
            <w:tcW w:w="2269" w:type="dxa"/>
            <w:shd w:val="clear" w:color="auto" w:fill="auto"/>
            <w:vAlign w:val="bottom"/>
          </w:tcPr>
          <w:p w14:paraId="0D69D919" w14:textId="77777777" w:rsidR="000B279D" w:rsidRPr="00081AA4" w:rsidRDefault="000B279D" w:rsidP="000B279D">
            <w:pPr>
              <w:pStyle w:val="TableRowHead"/>
              <w:rPr>
                <w:rFonts w:ascii="Gill Sans" w:hAnsi="Gill Sans"/>
                <w:bCs/>
                <w:sz w:val="24"/>
                <w:lang w:val="en-GB" w:eastAsia="en-GB"/>
              </w:rPr>
            </w:pPr>
            <w:r w:rsidRPr="00081AA4">
              <w:rPr>
                <w:rFonts w:ascii="Gill Sans" w:hAnsi="Gill Sans"/>
                <w:bCs/>
                <w:sz w:val="24"/>
                <w:lang w:val="en-GB" w:eastAsia="en-GB"/>
              </w:rPr>
              <w:t>N</w:t>
            </w:r>
            <w:r>
              <w:rPr>
                <w:rFonts w:ascii="Gill Sans" w:hAnsi="Gill Sans"/>
                <w:bCs/>
                <w:sz w:val="24"/>
                <w:lang w:val="en-GB" w:eastAsia="en-GB"/>
              </w:rPr>
              <w:t>et Book Value - 31 December 2014</w:t>
            </w:r>
          </w:p>
        </w:tc>
        <w:tc>
          <w:tcPr>
            <w:tcW w:w="1559" w:type="dxa"/>
            <w:vAlign w:val="bottom"/>
          </w:tcPr>
          <w:p w14:paraId="30BA5AF7" w14:textId="77777777" w:rsidR="000B279D" w:rsidRPr="00081AA4" w:rsidRDefault="000B279D" w:rsidP="000B279D">
            <w:pPr>
              <w:pStyle w:val="TableCell"/>
              <w:rPr>
                <w:sz w:val="24"/>
                <w:lang w:val="en-GB" w:eastAsia="en-GB"/>
              </w:rPr>
            </w:pPr>
            <w:r>
              <w:rPr>
                <w:sz w:val="24"/>
                <w:lang w:val="en-GB" w:eastAsia="en-GB"/>
              </w:rPr>
              <w:t>7,830</w:t>
            </w:r>
          </w:p>
        </w:tc>
        <w:tc>
          <w:tcPr>
            <w:tcW w:w="1559" w:type="dxa"/>
            <w:vAlign w:val="bottom"/>
          </w:tcPr>
          <w:p w14:paraId="7840891F" w14:textId="77777777" w:rsidR="000B279D" w:rsidRPr="00081AA4" w:rsidRDefault="000B279D" w:rsidP="000B279D">
            <w:pPr>
              <w:pStyle w:val="TableCell"/>
              <w:rPr>
                <w:sz w:val="24"/>
                <w:lang w:val="en-GB" w:eastAsia="en-GB"/>
              </w:rPr>
            </w:pPr>
            <w:r>
              <w:rPr>
                <w:sz w:val="24"/>
                <w:lang w:val="en-GB" w:eastAsia="en-GB"/>
              </w:rPr>
              <w:t>4,988</w:t>
            </w:r>
          </w:p>
        </w:tc>
        <w:tc>
          <w:tcPr>
            <w:tcW w:w="1418" w:type="dxa"/>
            <w:vAlign w:val="bottom"/>
          </w:tcPr>
          <w:p w14:paraId="5ED970D5" w14:textId="77777777" w:rsidR="000B279D" w:rsidRPr="00081AA4" w:rsidRDefault="000B279D" w:rsidP="000B279D">
            <w:pPr>
              <w:pStyle w:val="TableCell"/>
              <w:rPr>
                <w:sz w:val="24"/>
                <w:lang w:val="en-GB" w:eastAsia="en-GB"/>
              </w:rPr>
            </w:pPr>
            <w:r>
              <w:rPr>
                <w:sz w:val="24"/>
                <w:lang w:val="en-GB" w:eastAsia="en-GB"/>
              </w:rPr>
              <w:t>2,794,891</w:t>
            </w:r>
          </w:p>
        </w:tc>
        <w:tc>
          <w:tcPr>
            <w:tcW w:w="1348" w:type="dxa"/>
            <w:vAlign w:val="bottom"/>
          </w:tcPr>
          <w:p w14:paraId="56CA7DE9" w14:textId="77777777" w:rsidR="000B279D" w:rsidRPr="00081AA4" w:rsidRDefault="000B279D" w:rsidP="000B279D">
            <w:pPr>
              <w:pStyle w:val="TableCell"/>
              <w:rPr>
                <w:sz w:val="24"/>
                <w:lang w:val="en-GB" w:eastAsia="en-GB"/>
              </w:rPr>
            </w:pPr>
            <w:r>
              <w:rPr>
                <w:sz w:val="24"/>
                <w:lang w:val="en-GB" w:eastAsia="en-GB"/>
              </w:rPr>
              <w:t>2,807,709</w:t>
            </w:r>
          </w:p>
        </w:tc>
      </w:tr>
      <w:tr w:rsidR="000B279D" w:rsidRPr="00081AA4" w14:paraId="781BB7D6" w14:textId="77777777" w:rsidTr="00EC0307">
        <w:tc>
          <w:tcPr>
            <w:tcW w:w="2269" w:type="dxa"/>
            <w:shd w:val="clear" w:color="auto" w:fill="auto"/>
            <w:vAlign w:val="bottom"/>
          </w:tcPr>
          <w:p w14:paraId="7804E928" w14:textId="77777777" w:rsidR="000B279D" w:rsidRPr="00081AA4" w:rsidRDefault="000B279D" w:rsidP="000B279D">
            <w:pPr>
              <w:pStyle w:val="TableRowHead"/>
              <w:rPr>
                <w:rFonts w:ascii="Gill Sans" w:hAnsi="Gill Sans"/>
                <w:bCs/>
                <w:sz w:val="24"/>
                <w:lang w:val="en-GB" w:eastAsia="en-GB"/>
              </w:rPr>
            </w:pPr>
          </w:p>
        </w:tc>
        <w:tc>
          <w:tcPr>
            <w:tcW w:w="1559" w:type="dxa"/>
            <w:vAlign w:val="bottom"/>
          </w:tcPr>
          <w:p w14:paraId="6F719D36" w14:textId="77777777" w:rsidR="000B279D" w:rsidRDefault="000B279D" w:rsidP="000B279D">
            <w:pPr>
              <w:pStyle w:val="TableCell"/>
              <w:rPr>
                <w:sz w:val="24"/>
                <w:lang w:val="en-GB" w:eastAsia="en-GB"/>
              </w:rPr>
            </w:pPr>
          </w:p>
        </w:tc>
        <w:tc>
          <w:tcPr>
            <w:tcW w:w="1559" w:type="dxa"/>
            <w:vAlign w:val="bottom"/>
          </w:tcPr>
          <w:p w14:paraId="74A92038" w14:textId="77777777" w:rsidR="000B279D" w:rsidRDefault="000B279D" w:rsidP="000B279D">
            <w:pPr>
              <w:pStyle w:val="TableCell"/>
              <w:rPr>
                <w:sz w:val="24"/>
                <w:lang w:val="en-GB" w:eastAsia="en-GB"/>
              </w:rPr>
            </w:pPr>
          </w:p>
        </w:tc>
        <w:tc>
          <w:tcPr>
            <w:tcW w:w="1418" w:type="dxa"/>
            <w:vAlign w:val="bottom"/>
          </w:tcPr>
          <w:p w14:paraId="1745EB13" w14:textId="77777777" w:rsidR="000B279D" w:rsidRDefault="000B279D" w:rsidP="000B279D">
            <w:pPr>
              <w:pStyle w:val="TableCell"/>
              <w:rPr>
                <w:sz w:val="24"/>
                <w:lang w:val="en-GB" w:eastAsia="en-GB"/>
              </w:rPr>
            </w:pPr>
          </w:p>
        </w:tc>
        <w:tc>
          <w:tcPr>
            <w:tcW w:w="1348" w:type="dxa"/>
            <w:vAlign w:val="bottom"/>
          </w:tcPr>
          <w:p w14:paraId="7057EC93" w14:textId="77777777" w:rsidR="000B279D" w:rsidRDefault="000B279D" w:rsidP="000B279D">
            <w:pPr>
              <w:pStyle w:val="TableCell"/>
              <w:rPr>
                <w:sz w:val="24"/>
                <w:lang w:val="en-GB" w:eastAsia="en-GB"/>
              </w:rPr>
            </w:pPr>
          </w:p>
        </w:tc>
      </w:tr>
      <w:tr w:rsidR="000B279D" w:rsidRPr="00081AA4" w14:paraId="113E6B19" w14:textId="77777777" w:rsidTr="00EC0307">
        <w:tc>
          <w:tcPr>
            <w:tcW w:w="2269" w:type="dxa"/>
            <w:shd w:val="clear" w:color="auto" w:fill="auto"/>
            <w:vAlign w:val="bottom"/>
          </w:tcPr>
          <w:p w14:paraId="5A68976F" w14:textId="77777777" w:rsidR="000B279D" w:rsidRPr="00081AA4" w:rsidRDefault="000B279D" w:rsidP="000B279D">
            <w:pPr>
              <w:pStyle w:val="TableRowHead"/>
              <w:rPr>
                <w:rFonts w:ascii="Gill Sans" w:hAnsi="Gill Sans"/>
                <w:bCs/>
                <w:sz w:val="24"/>
                <w:lang w:val="en-GB" w:eastAsia="en-GB"/>
              </w:rPr>
            </w:pPr>
            <w:r w:rsidRPr="00081AA4">
              <w:rPr>
                <w:rFonts w:ascii="Gill Sans" w:hAnsi="Gill Sans"/>
                <w:bCs/>
                <w:sz w:val="24"/>
                <w:lang w:val="en-GB" w:eastAsia="en-GB"/>
              </w:rPr>
              <w:t>N</w:t>
            </w:r>
            <w:r>
              <w:rPr>
                <w:rFonts w:ascii="Gill Sans" w:hAnsi="Gill Sans"/>
                <w:bCs/>
                <w:sz w:val="24"/>
                <w:lang w:val="en-GB" w:eastAsia="en-GB"/>
              </w:rPr>
              <w:t>et Book Value - 31 December 2013</w:t>
            </w:r>
          </w:p>
        </w:tc>
        <w:tc>
          <w:tcPr>
            <w:tcW w:w="1559" w:type="dxa"/>
            <w:vAlign w:val="bottom"/>
          </w:tcPr>
          <w:p w14:paraId="79865F8D" w14:textId="77777777" w:rsidR="000B279D" w:rsidRPr="00081AA4" w:rsidRDefault="000B279D" w:rsidP="000B279D">
            <w:pPr>
              <w:pStyle w:val="TableCell"/>
              <w:rPr>
                <w:sz w:val="24"/>
                <w:lang w:val="en-GB" w:eastAsia="en-GB"/>
              </w:rPr>
            </w:pPr>
            <w:r>
              <w:rPr>
                <w:sz w:val="24"/>
                <w:lang w:val="en-GB" w:eastAsia="en-GB"/>
              </w:rPr>
              <w:t>2</w:t>
            </w:r>
            <w:r w:rsidRPr="00081AA4">
              <w:rPr>
                <w:sz w:val="24"/>
                <w:lang w:val="en-GB" w:eastAsia="en-GB"/>
              </w:rPr>
              <w:t>,</w:t>
            </w:r>
            <w:r>
              <w:rPr>
                <w:sz w:val="24"/>
                <w:lang w:val="en-GB" w:eastAsia="en-GB"/>
              </w:rPr>
              <w:t>008</w:t>
            </w:r>
            <w:r w:rsidRPr="00081AA4">
              <w:rPr>
                <w:sz w:val="24"/>
                <w:lang w:val="en-GB" w:eastAsia="en-GB"/>
              </w:rPr>
              <w:t xml:space="preserve"> </w:t>
            </w:r>
          </w:p>
        </w:tc>
        <w:tc>
          <w:tcPr>
            <w:tcW w:w="1559" w:type="dxa"/>
            <w:vAlign w:val="bottom"/>
          </w:tcPr>
          <w:p w14:paraId="330CA972" w14:textId="77777777" w:rsidR="000B279D" w:rsidRPr="00081AA4" w:rsidRDefault="000B279D" w:rsidP="000B279D">
            <w:pPr>
              <w:pStyle w:val="TableCell"/>
              <w:rPr>
                <w:sz w:val="24"/>
                <w:lang w:val="en-GB" w:eastAsia="en-GB"/>
              </w:rPr>
            </w:pPr>
            <w:r>
              <w:rPr>
                <w:sz w:val="24"/>
                <w:lang w:val="en-GB" w:eastAsia="en-GB"/>
              </w:rPr>
              <w:t>904</w:t>
            </w:r>
            <w:r w:rsidRPr="00081AA4">
              <w:rPr>
                <w:sz w:val="24"/>
                <w:lang w:val="en-GB" w:eastAsia="en-GB"/>
              </w:rPr>
              <w:t xml:space="preserve"> </w:t>
            </w:r>
          </w:p>
        </w:tc>
        <w:tc>
          <w:tcPr>
            <w:tcW w:w="1418" w:type="dxa"/>
            <w:vAlign w:val="bottom"/>
          </w:tcPr>
          <w:p w14:paraId="07CD52C2" w14:textId="77777777" w:rsidR="000B279D" w:rsidRPr="00081AA4" w:rsidRDefault="000B279D" w:rsidP="000B279D">
            <w:pPr>
              <w:pStyle w:val="TableCell"/>
              <w:rPr>
                <w:sz w:val="24"/>
                <w:lang w:val="en-GB" w:eastAsia="en-GB"/>
              </w:rPr>
            </w:pPr>
            <w:r>
              <w:rPr>
                <w:sz w:val="24"/>
                <w:lang w:val="en-GB" w:eastAsia="en-GB"/>
              </w:rPr>
              <w:t>2</w:t>
            </w:r>
            <w:r w:rsidRPr="00081AA4">
              <w:rPr>
                <w:sz w:val="24"/>
                <w:lang w:val="en-GB" w:eastAsia="en-GB"/>
              </w:rPr>
              <w:t>,</w:t>
            </w:r>
            <w:r>
              <w:rPr>
                <w:sz w:val="24"/>
                <w:lang w:val="en-GB" w:eastAsia="en-GB"/>
              </w:rPr>
              <w:t>866</w:t>
            </w:r>
            <w:r w:rsidRPr="00081AA4">
              <w:rPr>
                <w:sz w:val="24"/>
                <w:lang w:val="en-GB" w:eastAsia="en-GB"/>
              </w:rPr>
              <w:t>,</w:t>
            </w:r>
            <w:r>
              <w:rPr>
                <w:sz w:val="24"/>
                <w:lang w:val="en-GB" w:eastAsia="en-GB"/>
              </w:rPr>
              <w:t>555</w:t>
            </w:r>
            <w:r w:rsidRPr="00081AA4">
              <w:rPr>
                <w:sz w:val="24"/>
                <w:lang w:val="en-GB" w:eastAsia="en-GB"/>
              </w:rPr>
              <w:t xml:space="preserve"> </w:t>
            </w:r>
          </w:p>
        </w:tc>
        <w:tc>
          <w:tcPr>
            <w:tcW w:w="1348" w:type="dxa"/>
            <w:vAlign w:val="bottom"/>
          </w:tcPr>
          <w:p w14:paraId="6AEC95DF" w14:textId="77777777" w:rsidR="000B279D" w:rsidRPr="00081AA4" w:rsidRDefault="000B279D" w:rsidP="000B279D">
            <w:pPr>
              <w:pStyle w:val="TableCell"/>
              <w:rPr>
                <w:sz w:val="24"/>
                <w:lang w:val="en-GB" w:eastAsia="en-GB"/>
              </w:rPr>
            </w:pPr>
            <w:r>
              <w:rPr>
                <w:sz w:val="24"/>
                <w:lang w:val="en-GB" w:eastAsia="en-GB"/>
              </w:rPr>
              <w:t>2</w:t>
            </w:r>
            <w:r w:rsidRPr="00081AA4">
              <w:rPr>
                <w:sz w:val="24"/>
                <w:lang w:val="en-GB" w:eastAsia="en-GB"/>
              </w:rPr>
              <w:t>,</w:t>
            </w:r>
            <w:r>
              <w:rPr>
                <w:sz w:val="24"/>
                <w:lang w:val="en-GB" w:eastAsia="en-GB"/>
              </w:rPr>
              <w:t>869</w:t>
            </w:r>
            <w:r w:rsidRPr="00081AA4">
              <w:rPr>
                <w:sz w:val="24"/>
                <w:lang w:val="en-GB" w:eastAsia="en-GB"/>
              </w:rPr>
              <w:t>,</w:t>
            </w:r>
            <w:r>
              <w:rPr>
                <w:sz w:val="24"/>
                <w:lang w:val="en-GB" w:eastAsia="en-GB"/>
              </w:rPr>
              <w:t>467</w:t>
            </w:r>
            <w:r w:rsidRPr="00081AA4">
              <w:rPr>
                <w:sz w:val="24"/>
                <w:lang w:val="en-GB" w:eastAsia="en-GB"/>
              </w:rPr>
              <w:t xml:space="preserve"> </w:t>
            </w:r>
          </w:p>
        </w:tc>
      </w:tr>
    </w:tbl>
    <w:p w14:paraId="229F64E4" w14:textId="77777777" w:rsidR="00421776" w:rsidRDefault="00D8791A" w:rsidP="00BB5C89">
      <w:r>
        <w:br/>
      </w:r>
      <w:r w:rsidR="00421776">
        <w:t xml:space="preserve">The </w:t>
      </w:r>
      <w:r w:rsidR="00421776" w:rsidRPr="00641D72">
        <w:t>Authority</w:t>
      </w:r>
      <w:r w:rsidR="00421776">
        <w:t xml:space="preserve"> operates its business from premises at 25 Clyde Road, Ballsbridge, Dublin 4, which it owns.</w:t>
      </w:r>
      <w:r w:rsidR="0098479B">
        <w:t xml:space="preserve"> </w:t>
      </w:r>
      <w:r w:rsidR="00421776">
        <w:t xml:space="preserve">The </w:t>
      </w:r>
      <w:r w:rsidR="00421776" w:rsidRPr="00641D72">
        <w:t>Authority</w:t>
      </w:r>
      <w:r w:rsidR="00421776">
        <w:t xml:space="preserve"> does not own or lease any other property.</w:t>
      </w:r>
    </w:p>
    <w:p w14:paraId="57EE4B41" w14:textId="77777777" w:rsidR="00421776" w:rsidRDefault="00421776" w:rsidP="00BB5C89">
      <w:pPr>
        <w:pStyle w:val="Heading3"/>
        <w:rPr>
          <w:lang w:val="en-GB" w:eastAsia="en-GB"/>
        </w:rPr>
      </w:pPr>
      <w:bookmarkStart w:id="55" w:name="_Toc335836402"/>
      <w:r w:rsidRPr="00CD7510">
        <w:rPr>
          <w:lang w:val="en-GB" w:eastAsia="en-GB"/>
        </w:rPr>
        <w:t>8. Capital Account</w:t>
      </w:r>
      <w:bookmarkEnd w:id="55"/>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775"/>
        <w:gridCol w:w="980"/>
        <w:gridCol w:w="1583"/>
        <w:gridCol w:w="1583"/>
      </w:tblGrid>
      <w:tr w:rsidR="00421776" w:rsidRPr="00CD7510" w14:paraId="3A67AAD8" w14:textId="77777777" w:rsidTr="000B279D">
        <w:trPr>
          <w:tblHeader/>
        </w:trPr>
        <w:tc>
          <w:tcPr>
            <w:tcW w:w="3892" w:type="dxa"/>
            <w:vAlign w:val="bottom"/>
          </w:tcPr>
          <w:p w14:paraId="6BC9E0F1" w14:textId="77777777" w:rsidR="00421776" w:rsidRPr="00CD7510" w:rsidRDefault="00421776" w:rsidP="00421776">
            <w:pPr>
              <w:spacing w:after="0"/>
              <w:rPr>
                <w:rFonts w:cs="Arial"/>
                <w:lang w:val="en-GB" w:eastAsia="en-GB"/>
              </w:rPr>
            </w:pPr>
          </w:p>
        </w:tc>
        <w:tc>
          <w:tcPr>
            <w:tcW w:w="1005" w:type="dxa"/>
            <w:vAlign w:val="bottom"/>
          </w:tcPr>
          <w:p w14:paraId="3AC75FB5" w14:textId="77777777" w:rsidR="00421776" w:rsidRPr="00CD7510" w:rsidRDefault="00421776" w:rsidP="00421776">
            <w:pPr>
              <w:pStyle w:val="TableHead"/>
              <w:rPr>
                <w:lang w:val="en-GB" w:eastAsia="en-GB"/>
              </w:rPr>
            </w:pPr>
            <w:r w:rsidRPr="00CD7510">
              <w:rPr>
                <w:lang w:val="en-GB" w:eastAsia="en-GB"/>
              </w:rPr>
              <w:t>Notes</w:t>
            </w:r>
          </w:p>
        </w:tc>
        <w:tc>
          <w:tcPr>
            <w:tcW w:w="1628" w:type="dxa"/>
            <w:vAlign w:val="bottom"/>
          </w:tcPr>
          <w:p w14:paraId="0DAF7ACC" w14:textId="77777777" w:rsidR="00421776" w:rsidRPr="001E71C3" w:rsidRDefault="00421776" w:rsidP="00421776">
            <w:pPr>
              <w:pStyle w:val="TableHead"/>
              <w:jc w:val="center"/>
              <w:rPr>
                <w:bCs/>
                <w:lang w:val="en-GB" w:eastAsia="en-GB"/>
              </w:rPr>
            </w:pPr>
            <w:r w:rsidRPr="001E71C3">
              <w:rPr>
                <w:bCs/>
                <w:lang w:val="en-GB" w:eastAsia="en-GB"/>
              </w:rPr>
              <w:t>2014</w:t>
            </w:r>
          </w:p>
        </w:tc>
        <w:tc>
          <w:tcPr>
            <w:tcW w:w="1628" w:type="dxa"/>
            <w:vAlign w:val="bottom"/>
          </w:tcPr>
          <w:p w14:paraId="2006A7FF" w14:textId="77777777" w:rsidR="00421776" w:rsidRPr="001E71C3" w:rsidRDefault="00421776" w:rsidP="00421776">
            <w:pPr>
              <w:pStyle w:val="TableHead"/>
              <w:jc w:val="center"/>
              <w:rPr>
                <w:bCs/>
                <w:lang w:val="en-GB" w:eastAsia="en-GB"/>
              </w:rPr>
            </w:pPr>
            <w:r w:rsidRPr="001E71C3">
              <w:rPr>
                <w:bCs/>
                <w:lang w:val="en-GB" w:eastAsia="en-GB"/>
              </w:rPr>
              <w:t>2013</w:t>
            </w:r>
          </w:p>
        </w:tc>
      </w:tr>
      <w:tr w:rsidR="00421776" w:rsidRPr="00CD7510" w14:paraId="3B5017B9" w14:textId="77777777" w:rsidTr="000B279D">
        <w:tc>
          <w:tcPr>
            <w:tcW w:w="3892" w:type="dxa"/>
            <w:vAlign w:val="bottom"/>
          </w:tcPr>
          <w:p w14:paraId="3611E5B4" w14:textId="77777777" w:rsidR="00421776" w:rsidRPr="00CD7510" w:rsidRDefault="00421776" w:rsidP="00421776">
            <w:pPr>
              <w:spacing w:after="0"/>
              <w:rPr>
                <w:rFonts w:cs="Arial"/>
                <w:lang w:val="en-GB" w:eastAsia="en-GB"/>
              </w:rPr>
            </w:pPr>
          </w:p>
        </w:tc>
        <w:tc>
          <w:tcPr>
            <w:tcW w:w="1005" w:type="dxa"/>
            <w:vAlign w:val="bottom"/>
          </w:tcPr>
          <w:p w14:paraId="67A5FDEF" w14:textId="77777777" w:rsidR="00421776" w:rsidRPr="00CD7510" w:rsidRDefault="00421776" w:rsidP="00421776">
            <w:pPr>
              <w:spacing w:after="0"/>
              <w:rPr>
                <w:rFonts w:cs="Arial"/>
                <w:lang w:val="en-GB" w:eastAsia="en-GB"/>
              </w:rPr>
            </w:pPr>
          </w:p>
        </w:tc>
        <w:tc>
          <w:tcPr>
            <w:tcW w:w="1628" w:type="dxa"/>
            <w:vAlign w:val="bottom"/>
          </w:tcPr>
          <w:p w14:paraId="660BA7F8" w14:textId="77777777" w:rsidR="00421776" w:rsidRPr="001E71C3" w:rsidRDefault="00421776" w:rsidP="00421776">
            <w:pPr>
              <w:spacing w:after="0"/>
              <w:jc w:val="center"/>
              <w:rPr>
                <w:rFonts w:cs="Arial"/>
                <w:b/>
                <w:lang w:val="en-GB" w:eastAsia="en-GB"/>
              </w:rPr>
            </w:pPr>
            <w:r w:rsidRPr="001E71C3">
              <w:rPr>
                <w:rFonts w:cs="Arial"/>
                <w:b/>
                <w:lang w:val="en-GB" w:eastAsia="en-GB"/>
              </w:rPr>
              <w:t>€</w:t>
            </w:r>
          </w:p>
        </w:tc>
        <w:tc>
          <w:tcPr>
            <w:tcW w:w="1628" w:type="dxa"/>
            <w:vAlign w:val="bottom"/>
          </w:tcPr>
          <w:p w14:paraId="6837AF61" w14:textId="77777777" w:rsidR="00421776" w:rsidRPr="001E71C3" w:rsidRDefault="00421776" w:rsidP="00421776">
            <w:pPr>
              <w:spacing w:after="0"/>
              <w:jc w:val="center"/>
              <w:rPr>
                <w:rFonts w:cs="Arial"/>
                <w:b/>
                <w:lang w:val="en-GB" w:eastAsia="en-GB"/>
              </w:rPr>
            </w:pPr>
            <w:r w:rsidRPr="001E71C3">
              <w:rPr>
                <w:rFonts w:cs="Arial"/>
                <w:b/>
                <w:lang w:val="en-GB" w:eastAsia="en-GB"/>
              </w:rPr>
              <w:t>€</w:t>
            </w:r>
          </w:p>
        </w:tc>
      </w:tr>
      <w:tr w:rsidR="00780CE4" w:rsidRPr="00CD7510" w14:paraId="500CCE84" w14:textId="77777777" w:rsidTr="000B279D">
        <w:tc>
          <w:tcPr>
            <w:tcW w:w="3892" w:type="dxa"/>
            <w:vAlign w:val="bottom"/>
          </w:tcPr>
          <w:p w14:paraId="0AAAD4E0"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lastRenderedPageBreak/>
              <w:t xml:space="preserve">Balance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1 January</w:t>
            </w:r>
          </w:p>
        </w:tc>
        <w:tc>
          <w:tcPr>
            <w:tcW w:w="1005" w:type="dxa"/>
            <w:vAlign w:val="bottom"/>
          </w:tcPr>
          <w:p w14:paraId="56B53F7C" w14:textId="77777777" w:rsidR="00780CE4" w:rsidRPr="00CD7510" w:rsidRDefault="00780CE4" w:rsidP="00780CE4">
            <w:pPr>
              <w:spacing w:after="0"/>
              <w:rPr>
                <w:rFonts w:cs="Arial"/>
                <w:lang w:val="en-GB" w:eastAsia="en-GB"/>
              </w:rPr>
            </w:pPr>
          </w:p>
        </w:tc>
        <w:tc>
          <w:tcPr>
            <w:tcW w:w="1628" w:type="dxa"/>
            <w:vAlign w:val="bottom"/>
          </w:tcPr>
          <w:p w14:paraId="02515509" w14:textId="77777777" w:rsidR="00780CE4" w:rsidRPr="00CD7510" w:rsidRDefault="00780CE4" w:rsidP="00780CE4">
            <w:pPr>
              <w:spacing w:after="0"/>
              <w:jc w:val="right"/>
              <w:rPr>
                <w:rFonts w:cs="Arial"/>
                <w:lang w:val="en-GB" w:eastAsia="en-GB"/>
              </w:rPr>
            </w:pPr>
            <w:r>
              <w:rPr>
                <w:rFonts w:cs="Arial"/>
                <w:lang w:val="en-GB" w:eastAsia="en-GB"/>
              </w:rPr>
              <w:t>2,869,467</w:t>
            </w:r>
          </w:p>
        </w:tc>
        <w:tc>
          <w:tcPr>
            <w:tcW w:w="1628" w:type="dxa"/>
            <w:vAlign w:val="bottom"/>
          </w:tcPr>
          <w:p w14:paraId="0537FDB5" w14:textId="77777777" w:rsidR="00780CE4" w:rsidRPr="00CD7510" w:rsidRDefault="00780CE4" w:rsidP="00780CE4">
            <w:pPr>
              <w:spacing w:after="0"/>
              <w:jc w:val="right"/>
              <w:rPr>
                <w:rFonts w:cs="Arial"/>
                <w:lang w:val="en-GB" w:eastAsia="en-GB"/>
              </w:rPr>
            </w:pPr>
            <w:r>
              <w:rPr>
                <w:rFonts w:cs="Arial"/>
                <w:lang w:val="en-GB" w:eastAsia="en-GB"/>
              </w:rPr>
              <w:t>2</w:t>
            </w:r>
            <w:r w:rsidRPr="00CD7510">
              <w:rPr>
                <w:rFonts w:cs="Arial"/>
                <w:lang w:val="en-GB" w:eastAsia="en-GB"/>
              </w:rPr>
              <w:t>,</w:t>
            </w:r>
            <w:r>
              <w:rPr>
                <w:rFonts w:cs="Arial"/>
                <w:lang w:val="en-GB" w:eastAsia="en-GB"/>
              </w:rPr>
              <w:t>943</w:t>
            </w:r>
            <w:r w:rsidRPr="00CD7510">
              <w:rPr>
                <w:rFonts w:cs="Arial"/>
                <w:lang w:val="en-GB" w:eastAsia="en-GB"/>
              </w:rPr>
              <w:t>,</w:t>
            </w:r>
            <w:r>
              <w:rPr>
                <w:rFonts w:cs="Arial"/>
                <w:lang w:val="en-GB" w:eastAsia="en-GB"/>
              </w:rPr>
              <w:t>942</w:t>
            </w:r>
          </w:p>
        </w:tc>
      </w:tr>
      <w:tr w:rsidR="00780CE4" w:rsidRPr="00CD7510" w14:paraId="60C4DE15" w14:textId="77777777" w:rsidTr="000B279D">
        <w:tc>
          <w:tcPr>
            <w:tcW w:w="3892" w:type="dxa"/>
            <w:vAlign w:val="bottom"/>
          </w:tcPr>
          <w:p w14:paraId="165B6C8C"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t xml:space="preserve">Income applied to purchase fixed assets </w:t>
            </w:r>
          </w:p>
        </w:tc>
        <w:tc>
          <w:tcPr>
            <w:tcW w:w="1005" w:type="dxa"/>
            <w:vAlign w:val="bottom"/>
          </w:tcPr>
          <w:p w14:paraId="4C5FEFCE" w14:textId="77777777" w:rsidR="00780CE4" w:rsidRPr="00CD7510" w:rsidRDefault="00780CE4" w:rsidP="00780CE4">
            <w:pPr>
              <w:spacing w:after="0"/>
              <w:jc w:val="right"/>
              <w:rPr>
                <w:rFonts w:cs="Arial"/>
                <w:lang w:val="en-GB" w:eastAsia="en-GB"/>
              </w:rPr>
            </w:pPr>
            <w:r w:rsidRPr="00CD7510">
              <w:rPr>
                <w:rFonts w:cs="Arial"/>
                <w:lang w:val="en-GB" w:eastAsia="en-GB"/>
              </w:rPr>
              <w:t xml:space="preserve">7 </w:t>
            </w:r>
          </w:p>
        </w:tc>
        <w:tc>
          <w:tcPr>
            <w:tcW w:w="1628" w:type="dxa"/>
            <w:vAlign w:val="bottom"/>
          </w:tcPr>
          <w:p w14:paraId="177F8D7A" w14:textId="77777777" w:rsidR="00780CE4" w:rsidRPr="00CD7510" w:rsidRDefault="00780CE4" w:rsidP="00780CE4">
            <w:pPr>
              <w:spacing w:after="0"/>
              <w:jc w:val="right"/>
              <w:rPr>
                <w:rFonts w:cs="Arial"/>
                <w:lang w:val="en-GB" w:eastAsia="en-GB"/>
              </w:rPr>
            </w:pPr>
            <w:r>
              <w:rPr>
                <w:rFonts w:cs="Arial"/>
                <w:lang w:val="en-GB" w:eastAsia="en-GB"/>
              </w:rPr>
              <w:t>5,179</w:t>
            </w:r>
            <w:r w:rsidRPr="00CD7510">
              <w:rPr>
                <w:rFonts w:cs="Arial"/>
                <w:lang w:val="en-GB" w:eastAsia="en-GB"/>
              </w:rPr>
              <w:t xml:space="preserve"> </w:t>
            </w:r>
          </w:p>
        </w:tc>
        <w:tc>
          <w:tcPr>
            <w:tcW w:w="1628" w:type="dxa"/>
            <w:vAlign w:val="bottom"/>
          </w:tcPr>
          <w:p w14:paraId="13633A6B" w14:textId="77777777" w:rsidR="00780CE4" w:rsidRPr="00CD7510" w:rsidRDefault="00780CE4" w:rsidP="00780CE4">
            <w:pPr>
              <w:spacing w:after="0"/>
              <w:jc w:val="right"/>
              <w:rPr>
                <w:rFonts w:cs="Arial"/>
                <w:lang w:val="en-GB" w:eastAsia="en-GB"/>
              </w:rPr>
            </w:pPr>
            <w:r>
              <w:rPr>
                <w:rFonts w:cs="Arial"/>
                <w:lang w:val="en-GB" w:eastAsia="en-GB"/>
              </w:rPr>
              <w:t>0</w:t>
            </w:r>
            <w:r w:rsidRPr="00CD7510">
              <w:rPr>
                <w:rFonts w:cs="Arial"/>
                <w:lang w:val="en-GB" w:eastAsia="en-GB"/>
              </w:rPr>
              <w:t xml:space="preserve"> </w:t>
            </w:r>
          </w:p>
        </w:tc>
      </w:tr>
      <w:tr w:rsidR="00780CE4" w:rsidRPr="00CD7510" w14:paraId="26BFA5CB" w14:textId="77777777" w:rsidTr="000B279D">
        <w:tc>
          <w:tcPr>
            <w:tcW w:w="3892" w:type="dxa"/>
            <w:vAlign w:val="bottom"/>
          </w:tcPr>
          <w:p w14:paraId="7B88A2D8"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t xml:space="preserve">Amortised in the year in line with asset depreciation </w:t>
            </w:r>
          </w:p>
        </w:tc>
        <w:tc>
          <w:tcPr>
            <w:tcW w:w="1005" w:type="dxa"/>
            <w:vAlign w:val="bottom"/>
          </w:tcPr>
          <w:p w14:paraId="43DC22CB" w14:textId="77777777" w:rsidR="00780CE4" w:rsidRPr="00CD7510" w:rsidRDefault="00780CE4" w:rsidP="00780CE4">
            <w:pPr>
              <w:spacing w:after="0"/>
              <w:jc w:val="right"/>
              <w:rPr>
                <w:rFonts w:cs="Arial"/>
                <w:lang w:val="en-GB" w:eastAsia="en-GB"/>
              </w:rPr>
            </w:pPr>
            <w:r w:rsidRPr="00CD7510">
              <w:rPr>
                <w:rFonts w:cs="Arial"/>
                <w:lang w:val="en-GB" w:eastAsia="en-GB"/>
              </w:rPr>
              <w:t xml:space="preserve">7 </w:t>
            </w:r>
          </w:p>
        </w:tc>
        <w:tc>
          <w:tcPr>
            <w:tcW w:w="1628" w:type="dxa"/>
            <w:vAlign w:val="bottom"/>
          </w:tcPr>
          <w:p w14:paraId="6F2F95FE" w14:textId="77777777" w:rsidR="00780CE4" w:rsidRPr="00CD7510" w:rsidRDefault="00780CE4" w:rsidP="00780CE4">
            <w:pPr>
              <w:spacing w:after="0"/>
              <w:jc w:val="right"/>
              <w:rPr>
                <w:rFonts w:cs="Arial"/>
                <w:lang w:val="en-GB" w:eastAsia="en-GB"/>
              </w:rPr>
            </w:pPr>
            <w:r>
              <w:rPr>
                <w:rFonts w:cs="Arial"/>
                <w:lang w:val="en-GB" w:eastAsia="en-GB"/>
              </w:rPr>
              <w:t>(73,963)</w:t>
            </w:r>
          </w:p>
        </w:tc>
        <w:tc>
          <w:tcPr>
            <w:tcW w:w="1628" w:type="dxa"/>
            <w:vAlign w:val="bottom"/>
          </w:tcPr>
          <w:p w14:paraId="0F9A1FB9" w14:textId="77777777" w:rsidR="00780CE4" w:rsidRPr="00CD7510" w:rsidRDefault="00780CE4" w:rsidP="00780CE4">
            <w:pPr>
              <w:spacing w:after="0"/>
              <w:jc w:val="right"/>
              <w:rPr>
                <w:rFonts w:cs="Arial"/>
                <w:lang w:val="en-GB" w:eastAsia="en-GB"/>
              </w:rPr>
            </w:pPr>
            <w:r w:rsidRPr="00CD7510">
              <w:rPr>
                <w:rFonts w:cs="Arial"/>
                <w:lang w:val="en-GB" w:eastAsia="en-GB"/>
              </w:rPr>
              <w:t>(</w:t>
            </w:r>
            <w:r>
              <w:rPr>
                <w:rFonts w:cs="Arial"/>
                <w:lang w:val="en-GB" w:eastAsia="en-GB"/>
              </w:rPr>
              <w:t>74</w:t>
            </w:r>
            <w:r w:rsidRPr="00CD7510">
              <w:rPr>
                <w:rFonts w:cs="Arial"/>
                <w:lang w:val="en-GB" w:eastAsia="en-GB"/>
              </w:rPr>
              <w:t>,</w:t>
            </w:r>
            <w:r>
              <w:rPr>
                <w:rFonts w:cs="Arial"/>
                <w:lang w:val="en-GB" w:eastAsia="en-GB"/>
              </w:rPr>
              <w:t>475</w:t>
            </w:r>
            <w:r w:rsidRPr="00CD7510">
              <w:rPr>
                <w:rFonts w:cs="Arial"/>
                <w:lang w:val="en-GB" w:eastAsia="en-GB"/>
              </w:rPr>
              <w:t>)</w:t>
            </w:r>
          </w:p>
        </w:tc>
      </w:tr>
      <w:tr w:rsidR="00780CE4" w:rsidRPr="00CD7510" w14:paraId="050D9E5F" w14:textId="77777777" w:rsidTr="000B279D">
        <w:tc>
          <w:tcPr>
            <w:tcW w:w="3892" w:type="dxa"/>
            <w:vAlign w:val="bottom"/>
          </w:tcPr>
          <w:p w14:paraId="21482F52" w14:textId="77777777" w:rsidR="00780CE4" w:rsidRDefault="00780CE4" w:rsidP="00780CE4">
            <w:pPr>
              <w:pStyle w:val="TableRowHead"/>
              <w:rPr>
                <w:rFonts w:ascii="Gill Sans" w:hAnsi="Gill Sans"/>
                <w:sz w:val="24"/>
                <w:lang w:val="en-GB" w:eastAsia="en-GB"/>
              </w:rPr>
            </w:pPr>
            <w:r w:rsidRPr="00DF4E9C">
              <w:rPr>
                <w:rFonts w:ascii="Gill Sans" w:hAnsi="Gill Sans"/>
                <w:sz w:val="24"/>
                <w:lang w:val="en-GB" w:eastAsia="en-GB"/>
              </w:rPr>
              <w:t>Transfer (to) / from the Income and Expenditure Account</w:t>
            </w:r>
          </w:p>
        </w:tc>
        <w:tc>
          <w:tcPr>
            <w:tcW w:w="1005" w:type="dxa"/>
            <w:vAlign w:val="bottom"/>
          </w:tcPr>
          <w:p w14:paraId="694C16B5" w14:textId="77777777" w:rsidR="00780CE4" w:rsidRPr="00CD7510" w:rsidRDefault="00780CE4" w:rsidP="00780CE4">
            <w:pPr>
              <w:spacing w:after="0"/>
              <w:jc w:val="right"/>
              <w:rPr>
                <w:rFonts w:cs="Arial"/>
                <w:lang w:val="en-GB" w:eastAsia="en-GB"/>
              </w:rPr>
            </w:pPr>
          </w:p>
        </w:tc>
        <w:tc>
          <w:tcPr>
            <w:tcW w:w="1628" w:type="dxa"/>
            <w:vAlign w:val="bottom"/>
          </w:tcPr>
          <w:p w14:paraId="27100741" w14:textId="77777777" w:rsidR="00780CE4" w:rsidRPr="00335E22" w:rsidRDefault="00780CE4" w:rsidP="00780CE4">
            <w:pPr>
              <w:spacing w:after="0"/>
              <w:jc w:val="right"/>
              <w:rPr>
                <w:rFonts w:cs="Arial"/>
                <w:lang w:val="en-GB" w:eastAsia="en-GB"/>
              </w:rPr>
            </w:pPr>
            <w:r w:rsidRPr="00335E22">
              <w:rPr>
                <w:rFonts w:cs="Arial"/>
                <w:lang w:val="en-GB" w:eastAsia="en-GB"/>
              </w:rPr>
              <w:t>(68,784)</w:t>
            </w:r>
          </w:p>
        </w:tc>
        <w:tc>
          <w:tcPr>
            <w:tcW w:w="1628" w:type="dxa"/>
            <w:vAlign w:val="bottom"/>
          </w:tcPr>
          <w:p w14:paraId="2CF318DD" w14:textId="77777777" w:rsidR="00780CE4" w:rsidRPr="00335E22" w:rsidRDefault="00780CE4" w:rsidP="00780CE4">
            <w:pPr>
              <w:spacing w:after="0"/>
              <w:jc w:val="right"/>
              <w:rPr>
                <w:rFonts w:cs="Arial"/>
                <w:lang w:val="en-GB" w:eastAsia="en-GB"/>
              </w:rPr>
            </w:pPr>
            <w:r w:rsidRPr="00335E22">
              <w:rPr>
                <w:rFonts w:cs="Arial"/>
                <w:lang w:val="en-GB" w:eastAsia="en-GB"/>
              </w:rPr>
              <w:t>(74,475)</w:t>
            </w:r>
          </w:p>
        </w:tc>
      </w:tr>
      <w:tr w:rsidR="00780CE4" w:rsidRPr="00CD7510" w14:paraId="677391CD" w14:textId="77777777" w:rsidTr="000B279D">
        <w:tc>
          <w:tcPr>
            <w:tcW w:w="3892" w:type="dxa"/>
            <w:vAlign w:val="bottom"/>
          </w:tcPr>
          <w:p w14:paraId="76814BF2" w14:textId="77777777" w:rsidR="00780CE4" w:rsidRDefault="00780CE4" w:rsidP="00780CE4">
            <w:pPr>
              <w:pStyle w:val="TableRowHead"/>
              <w:rPr>
                <w:rFonts w:ascii="Gill Sans" w:hAnsi="Gill Sans"/>
                <w:sz w:val="24"/>
                <w:lang w:val="en-GB" w:eastAsia="en-GB"/>
              </w:rPr>
            </w:pPr>
          </w:p>
        </w:tc>
        <w:tc>
          <w:tcPr>
            <w:tcW w:w="1005" w:type="dxa"/>
            <w:vAlign w:val="bottom"/>
          </w:tcPr>
          <w:p w14:paraId="594B6DE9" w14:textId="77777777" w:rsidR="00780CE4" w:rsidRPr="00CD7510" w:rsidRDefault="00780CE4" w:rsidP="00780CE4">
            <w:pPr>
              <w:spacing w:after="0"/>
              <w:jc w:val="right"/>
              <w:rPr>
                <w:rFonts w:cs="Arial"/>
                <w:lang w:val="en-GB" w:eastAsia="en-GB"/>
              </w:rPr>
            </w:pPr>
          </w:p>
        </w:tc>
        <w:tc>
          <w:tcPr>
            <w:tcW w:w="1628" w:type="dxa"/>
            <w:vAlign w:val="bottom"/>
          </w:tcPr>
          <w:p w14:paraId="3DC46C2C" w14:textId="77777777" w:rsidR="00780CE4" w:rsidRPr="00335E22" w:rsidRDefault="00780CE4" w:rsidP="00780CE4">
            <w:pPr>
              <w:spacing w:after="0"/>
              <w:jc w:val="right"/>
              <w:rPr>
                <w:rFonts w:cs="Arial"/>
                <w:lang w:val="en-GB" w:eastAsia="en-GB"/>
              </w:rPr>
            </w:pPr>
          </w:p>
        </w:tc>
        <w:tc>
          <w:tcPr>
            <w:tcW w:w="1628" w:type="dxa"/>
            <w:vAlign w:val="bottom"/>
          </w:tcPr>
          <w:p w14:paraId="3376965F" w14:textId="77777777" w:rsidR="00780CE4" w:rsidRPr="00335E22" w:rsidRDefault="00780CE4" w:rsidP="00780CE4">
            <w:pPr>
              <w:spacing w:after="0"/>
              <w:jc w:val="right"/>
              <w:rPr>
                <w:rFonts w:cs="Arial"/>
                <w:lang w:val="en-GB" w:eastAsia="en-GB"/>
              </w:rPr>
            </w:pPr>
          </w:p>
        </w:tc>
      </w:tr>
      <w:tr w:rsidR="00780CE4" w:rsidRPr="00CD7510" w14:paraId="15E58182" w14:textId="77777777" w:rsidTr="000B279D">
        <w:tc>
          <w:tcPr>
            <w:tcW w:w="3892" w:type="dxa"/>
            <w:vAlign w:val="bottom"/>
          </w:tcPr>
          <w:p w14:paraId="57AD56C3" w14:textId="77777777" w:rsidR="00780CE4" w:rsidRPr="0024314E" w:rsidRDefault="00780CE4" w:rsidP="00780CE4">
            <w:pPr>
              <w:pStyle w:val="TableRowHead"/>
              <w:rPr>
                <w:rFonts w:ascii="Gill Sans" w:hAnsi="Gill Sans"/>
                <w:sz w:val="24"/>
                <w:lang w:val="en-GB" w:eastAsia="en-GB"/>
              </w:rPr>
            </w:pPr>
            <w:r>
              <w:rPr>
                <w:rFonts w:ascii="Gill Sans" w:hAnsi="Gill Sans"/>
                <w:sz w:val="24"/>
                <w:lang w:val="en-GB" w:eastAsia="en-GB"/>
              </w:rPr>
              <w:t>Reclassification</w:t>
            </w:r>
            <w:r w:rsidRPr="0024314E">
              <w:rPr>
                <w:rFonts w:ascii="Gill Sans" w:hAnsi="Gill Sans"/>
                <w:sz w:val="24"/>
                <w:lang w:val="en-GB" w:eastAsia="en-GB"/>
              </w:rPr>
              <w:t xml:space="preserve"> of Fixed Assets</w:t>
            </w:r>
          </w:p>
        </w:tc>
        <w:tc>
          <w:tcPr>
            <w:tcW w:w="1005" w:type="dxa"/>
            <w:vAlign w:val="bottom"/>
          </w:tcPr>
          <w:p w14:paraId="2FE66942" w14:textId="77777777" w:rsidR="00780CE4" w:rsidRPr="00CD7510" w:rsidRDefault="00780CE4" w:rsidP="00780CE4">
            <w:pPr>
              <w:spacing w:after="0"/>
              <w:jc w:val="right"/>
              <w:rPr>
                <w:rFonts w:cs="Arial"/>
                <w:lang w:val="en-GB" w:eastAsia="en-GB"/>
              </w:rPr>
            </w:pPr>
            <w:r w:rsidRPr="00CD7510">
              <w:rPr>
                <w:rFonts w:cs="Arial"/>
                <w:lang w:val="en-GB" w:eastAsia="en-GB"/>
              </w:rPr>
              <w:t xml:space="preserve">7 </w:t>
            </w:r>
          </w:p>
        </w:tc>
        <w:tc>
          <w:tcPr>
            <w:tcW w:w="1628" w:type="dxa"/>
            <w:vAlign w:val="bottom"/>
          </w:tcPr>
          <w:p w14:paraId="3560CA77" w14:textId="77777777" w:rsidR="00780CE4" w:rsidRPr="00335E22" w:rsidRDefault="00780CE4" w:rsidP="00780CE4">
            <w:pPr>
              <w:spacing w:after="0"/>
              <w:jc w:val="right"/>
              <w:rPr>
                <w:rFonts w:cs="Arial"/>
                <w:lang w:val="en-GB" w:eastAsia="en-GB"/>
              </w:rPr>
            </w:pPr>
            <w:r w:rsidRPr="00335E22">
              <w:rPr>
                <w:rFonts w:cs="Arial"/>
                <w:lang w:val="en-GB" w:eastAsia="en-GB"/>
              </w:rPr>
              <w:t>7,02</w:t>
            </w:r>
            <w:r>
              <w:rPr>
                <w:rFonts w:cs="Arial"/>
                <w:lang w:val="en-GB" w:eastAsia="en-GB"/>
              </w:rPr>
              <w:t>6</w:t>
            </w:r>
          </w:p>
        </w:tc>
        <w:tc>
          <w:tcPr>
            <w:tcW w:w="1628" w:type="dxa"/>
            <w:vAlign w:val="bottom"/>
          </w:tcPr>
          <w:p w14:paraId="5D4407A1" w14:textId="77777777" w:rsidR="00780CE4" w:rsidRPr="00335E22" w:rsidRDefault="00780CE4" w:rsidP="00780CE4">
            <w:pPr>
              <w:spacing w:after="0"/>
              <w:jc w:val="right"/>
              <w:rPr>
                <w:rFonts w:cs="Arial"/>
                <w:lang w:val="en-GB" w:eastAsia="en-GB"/>
              </w:rPr>
            </w:pPr>
            <w:r w:rsidRPr="00335E22">
              <w:rPr>
                <w:rFonts w:cs="Arial"/>
                <w:lang w:val="en-GB" w:eastAsia="en-GB"/>
              </w:rPr>
              <w:t xml:space="preserve">0 </w:t>
            </w:r>
          </w:p>
        </w:tc>
      </w:tr>
      <w:tr w:rsidR="00780CE4" w:rsidRPr="00CD7510" w14:paraId="377ABF8B" w14:textId="77777777" w:rsidTr="000B279D">
        <w:tc>
          <w:tcPr>
            <w:tcW w:w="3892" w:type="dxa"/>
            <w:vAlign w:val="bottom"/>
          </w:tcPr>
          <w:p w14:paraId="20A61FC9" w14:textId="77777777" w:rsidR="00780CE4" w:rsidRPr="0024314E" w:rsidRDefault="00780CE4" w:rsidP="00780CE4">
            <w:pPr>
              <w:pStyle w:val="TableRowHead"/>
              <w:rPr>
                <w:rFonts w:ascii="Gill Sans" w:hAnsi="Gill Sans"/>
                <w:sz w:val="24"/>
                <w:lang w:val="en-GB" w:eastAsia="en-GB"/>
              </w:rPr>
            </w:pPr>
          </w:p>
        </w:tc>
        <w:tc>
          <w:tcPr>
            <w:tcW w:w="1005" w:type="dxa"/>
            <w:vAlign w:val="bottom"/>
          </w:tcPr>
          <w:p w14:paraId="201E2768" w14:textId="77777777" w:rsidR="00780CE4" w:rsidRPr="00CD7510" w:rsidRDefault="00780CE4" w:rsidP="00780CE4">
            <w:pPr>
              <w:spacing w:after="0"/>
              <w:rPr>
                <w:rFonts w:cs="Arial"/>
                <w:lang w:val="en-GB" w:eastAsia="en-GB"/>
              </w:rPr>
            </w:pPr>
          </w:p>
        </w:tc>
        <w:tc>
          <w:tcPr>
            <w:tcW w:w="1628" w:type="dxa"/>
            <w:vAlign w:val="bottom"/>
          </w:tcPr>
          <w:p w14:paraId="3FDA7BE6" w14:textId="77777777" w:rsidR="00780CE4" w:rsidRPr="00335E22" w:rsidRDefault="00780CE4" w:rsidP="00780CE4">
            <w:pPr>
              <w:spacing w:after="0"/>
              <w:jc w:val="right"/>
              <w:rPr>
                <w:rFonts w:cs="Arial"/>
                <w:lang w:val="en-GB" w:eastAsia="en-GB"/>
              </w:rPr>
            </w:pPr>
          </w:p>
        </w:tc>
        <w:tc>
          <w:tcPr>
            <w:tcW w:w="1628" w:type="dxa"/>
            <w:vAlign w:val="bottom"/>
          </w:tcPr>
          <w:p w14:paraId="3BD00C75" w14:textId="77777777" w:rsidR="00780CE4" w:rsidRPr="00335E22" w:rsidRDefault="00780CE4" w:rsidP="00780CE4">
            <w:pPr>
              <w:spacing w:after="0"/>
              <w:jc w:val="right"/>
              <w:rPr>
                <w:rFonts w:cs="Arial"/>
                <w:lang w:val="en-GB" w:eastAsia="en-GB"/>
              </w:rPr>
            </w:pPr>
          </w:p>
        </w:tc>
      </w:tr>
      <w:tr w:rsidR="00780CE4" w:rsidRPr="00CD7510" w14:paraId="0A4164DF" w14:textId="77777777" w:rsidTr="000B279D">
        <w:tc>
          <w:tcPr>
            <w:tcW w:w="3892" w:type="dxa"/>
            <w:vAlign w:val="bottom"/>
          </w:tcPr>
          <w:p w14:paraId="7B130591" w14:textId="77777777" w:rsidR="00780CE4" w:rsidRPr="0024314E" w:rsidRDefault="00780CE4" w:rsidP="00780CE4">
            <w:pPr>
              <w:pStyle w:val="TableRowHead"/>
              <w:rPr>
                <w:rFonts w:ascii="Gill Sans" w:hAnsi="Gill Sans"/>
                <w:sz w:val="24"/>
                <w:lang w:val="en-GB" w:eastAsia="en-GB"/>
              </w:rPr>
            </w:pPr>
            <w:r>
              <w:rPr>
                <w:rFonts w:ascii="Gill Sans" w:hAnsi="Gill Sans"/>
                <w:sz w:val="24"/>
                <w:lang w:val="en-GB" w:eastAsia="en-GB"/>
              </w:rPr>
              <w:t>Total movement</w:t>
            </w:r>
          </w:p>
        </w:tc>
        <w:tc>
          <w:tcPr>
            <w:tcW w:w="1005" w:type="dxa"/>
            <w:vAlign w:val="bottom"/>
          </w:tcPr>
          <w:p w14:paraId="23C99638" w14:textId="77777777" w:rsidR="00780CE4" w:rsidRPr="00CD7510" w:rsidRDefault="00780CE4" w:rsidP="00780CE4">
            <w:pPr>
              <w:spacing w:after="0"/>
              <w:rPr>
                <w:rFonts w:cs="Arial"/>
                <w:lang w:val="en-GB" w:eastAsia="en-GB"/>
              </w:rPr>
            </w:pPr>
          </w:p>
        </w:tc>
        <w:tc>
          <w:tcPr>
            <w:tcW w:w="1628" w:type="dxa"/>
            <w:vAlign w:val="bottom"/>
          </w:tcPr>
          <w:p w14:paraId="0794B6A4" w14:textId="77777777" w:rsidR="00780CE4" w:rsidRPr="00335E22" w:rsidRDefault="00780CE4" w:rsidP="00780CE4">
            <w:pPr>
              <w:spacing w:after="0"/>
              <w:jc w:val="right"/>
              <w:rPr>
                <w:rFonts w:cs="Arial"/>
                <w:lang w:val="en-GB" w:eastAsia="en-GB"/>
              </w:rPr>
            </w:pPr>
            <w:r w:rsidRPr="00335E22">
              <w:rPr>
                <w:rFonts w:cs="Arial"/>
                <w:lang w:val="en-GB" w:eastAsia="en-GB"/>
              </w:rPr>
              <w:t>(61,758)</w:t>
            </w:r>
          </w:p>
        </w:tc>
        <w:tc>
          <w:tcPr>
            <w:tcW w:w="1628" w:type="dxa"/>
            <w:vAlign w:val="bottom"/>
          </w:tcPr>
          <w:p w14:paraId="6F2F7250" w14:textId="77777777" w:rsidR="00780CE4" w:rsidRPr="00335E22" w:rsidRDefault="00780CE4" w:rsidP="00780CE4">
            <w:pPr>
              <w:spacing w:after="0"/>
              <w:jc w:val="right"/>
              <w:rPr>
                <w:rFonts w:cs="Arial"/>
                <w:lang w:val="en-GB" w:eastAsia="en-GB"/>
              </w:rPr>
            </w:pPr>
            <w:r w:rsidRPr="00335E22">
              <w:rPr>
                <w:rFonts w:cs="Arial"/>
                <w:lang w:val="en-GB" w:eastAsia="en-GB"/>
              </w:rPr>
              <w:t>(74,475)</w:t>
            </w:r>
          </w:p>
        </w:tc>
      </w:tr>
      <w:tr w:rsidR="00780CE4" w:rsidRPr="00CD7510" w14:paraId="51CEF952" w14:textId="77777777" w:rsidTr="000B279D">
        <w:tc>
          <w:tcPr>
            <w:tcW w:w="3892" w:type="dxa"/>
            <w:vAlign w:val="bottom"/>
          </w:tcPr>
          <w:p w14:paraId="09C77198"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t xml:space="preserve">Balance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31 December </w:t>
            </w:r>
          </w:p>
        </w:tc>
        <w:tc>
          <w:tcPr>
            <w:tcW w:w="1005" w:type="dxa"/>
            <w:vAlign w:val="bottom"/>
          </w:tcPr>
          <w:p w14:paraId="435D78A2" w14:textId="77777777" w:rsidR="00780CE4" w:rsidRPr="00CD7510" w:rsidRDefault="00780CE4" w:rsidP="00780CE4">
            <w:pPr>
              <w:spacing w:after="0"/>
              <w:rPr>
                <w:rFonts w:cs="Arial"/>
                <w:lang w:val="en-GB" w:eastAsia="en-GB"/>
              </w:rPr>
            </w:pPr>
          </w:p>
        </w:tc>
        <w:tc>
          <w:tcPr>
            <w:tcW w:w="1628" w:type="dxa"/>
            <w:vAlign w:val="bottom"/>
          </w:tcPr>
          <w:p w14:paraId="73E9C354" w14:textId="77777777" w:rsidR="00780CE4" w:rsidRPr="00335E22" w:rsidRDefault="00780CE4" w:rsidP="00780CE4">
            <w:pPr>
              <w:spacing w:after="0"/>
              <w:jc w:val="right"/>
              <w:rPr>
                <w:rFonts w:cs="Arial"/>
                <w:lang w:val="en-GB" w:eastAsia="en-GB"/>
              </w:rPr>
            </w:pPr>
            <w:r w:rsidRPr="00335E22">
              <w:rPr>
                <w:lang w:val="en-GB" w:eastAsia="en-GB"/>
              </w:rPr>
              <w:t>2,807,709</w:t>
            </w:r>
          </w:p>
        </w:tc>
        <w:tc>
          <w:tcPr>
            <w:tcW w:w="1628" w:type="dxa"/>
            <w:vAlign w:val="bottom"/>
          </w:tcPr>
          <w:p w14:paraId="69F75D9B" w14:textId="77777777" w:rsidR="00780CE4" w:rsidRPr="00335E22" w:rsidRDefault="00780CE4" w:rsidP="00780CE4">
            <w:pPr>
              <w:spacing w:after="0"/>
              <w:jc w:val="right"/>
              <w:rPr>
                <w:rFonts w:cs="Arial"/>
                <w:lang w:val="en-GB" w:eastAsia="en-GB"/>
              </w:rPr>
            </w:pPr>
            <w:r w:rsidRPr="00335E22">
              <w:rPr>
                <w:rFonts w:cs="Arial"/>
                <w:lang w:val="en-GB" w:eastAsia="en-GB"/>
              </w:rPr>
              <w:t xml:space="preserve">2,869,467 </w:t>
            </w:r>
          </w:p>
        </w:tc>
      </w:tr>
    </w:tbl>
    <w:p w14:paraId="0C3F9BDA" w14:textId="77777777" w:rsidR="00D8791A" w:rsidRDefault="00D8791A" w:rsidP="00D8791A">
      <w:bookmarkStart w:id="56" w:name="_Toc335836403"/>
    </w:p>
    <w:p w14:paraId="7F4AC498" w14:textId="77777777" w:rsidR="00421776" w:rsidRDefault="00421776" w:rsidP="00BB5C89">
      <w:pPr>
        <w:pStyle w:val="Heading3"/>
      </w:pPr>
      <w:r w:rsidRPr="0024314E">
        <w:t>9. Cash Flow Reconciliation</w:t>
      </w:r>
      <w:bookmarkEnd w:id="56"/>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265"/>
        <w:gridCol w:w="1828"/>
        <w:gridCol w:w="1828"/>
      </w:tblGrid>
      <w:tr w:rsidR="00780CE4" w:rsidRPr="0024314E" w14:paraId="2FF09AE8" w14:textId="77777777" w:rsidTr="00780CE4">
        <w:trPr>
          <w:tblHeader/>
        </w:trPr>
        <w:tc>
          <w:tcPr>
            <w:tcW w:w="4395" w:type="dxa"/>
            <w:shd w:val="clear" w:color="auto" w:fill="auto"/>
          </w:tcPr>
          <w:p w14:paraId="72650994" w14:textId="77777777" w:rsidR="00780CE4" w:rsidRPr="0024314E" w:rsidRDefault="00780CE4" w:rsidP="00780CE4">
            <w:pPr>
              <w:pStyle w:val="TableHead"/>
              <w:jc w:val="right"/>
            </w:pPr>
          </w:p>
        </w:tc>
        <w:tc>
          <w:tcPr>
            <w:tcW w:w="1879" w:type="dxa"/>
            <w:shd w:val="clear" w:color="auto" w:fill="auto"/>
            <w:vAlign w:val="bottom"/>
          </w:tcPr>
          <w:p w14:paraId="292D7777" w14:textId="77777777" w:rsidR="00780CE4" w:rsidRPr="001E71C3" w:rsidRDefault="00780CE4" w:rsidP="00780CE4">
            <w:pPr>
              <w:pStyle w:val="TableHead"/>
              <w:jc w:val="center"/>
              <w:rPr>
                <w:bCs/>
                <w:lang w:val="en-GB" w:eastAsia="en-GB"/>
              </w:rPr>
            </w:pPr>
            <w:r w:rsidRPr="001E71C3">
              <w:rPr>
                <w:bCs/>
                <w:lang w:val="en-GB" w:eastAsia="en-GB"/>
              </w:rPr>
              <w:t>2014</w:t>
            </w:r>
          </w:p>
        </w:tc>
        <w:tc>
          <w:tcPr>
            <w:tcW w:w="1879" w:type="dxa"/>
            <w:shd w:val="clear" w:color="auto" w:fill="auto"/>
            <w:vAlign w:val="bottom"/>
          </w:tcPr>
          <w:p w14:paraId="504CDE15" w14:textId="77777777" w:rsidR="00780CE4" w:rsidRPr="001E71C3" w:rsidRDefault="00780CE4" w:rsidP="00780CE4">
            <w:pPr>
              <w:pStyle w:val="TableHead"/>
              <w:jc w:val="center"/>
              <w:rPr>
                <w:bCs/>
                <w:lang w:val="en-GB" w:eastAsia="en-GB"/>
              </w:rPr>
            </w:pPr>
            <w:r w:rsidRPr="001E71C3">
              <w:rPr>
                <w:bCs/>
                <w:lang w:val="en-GB" w:eastAsia="en-GB"/>
              </w:rPr>
              <w:t>2013</w:t>
            </w:r>
          </w:p>
        </w:tc>
      </w:tr>
      <w:tr w:rsidR="00780CE4" w:rsidRPr="0024314E" w14:paraId="1AC80EA4" w14:textId="77777777" w:rsidTr="00780CE4">
        <w:tc>
          <w:tcPr>
            <w:tcW w:w="4395" w:type="dxa"/>
            <w:shd w:val="clear" w:color="auto" w:fill="auto"/>
          </w:tcPr>
          <w:p w14:paraId="3C737080" w14:textId="77777777" w:rsidR="00780CE4" w:rsidRPr="0024314E" w:rsidRDefault="00780CE4" w:rsidP="00780CE4">
            <w:pPr>
              <w:pStyle w:val="TableRowHead"/>
            </w:pPr>
          </w:p>
        </w:tc>
        <w:tc>
          <w:tcPr>
            <w:tcW w:w="1879" w:type="dxa"/>
            <w:shd w:val="clear" w:color="auto" w:fill="auto"/>
            <w:vAlign w:val="bottom"/>
          </w:tcPr>
          <w:p w14:paraId="33AFBD83" w14:textId="77777777" w:rsidR="00780CE4" w:rsidRPr="001E71C3" w:rsidRDefault="00780CE4" w:rsidP="00780CE4">
            <w:pPr>
              <w:spacing w:after="0"/>
              <w:jc w:val="center"/>
              <w:rPr>
                <w:rFonts w:cs="Arial"/>
                <w:b/>
                <w:lang w:val="en-GB" w:eastAsia="en-GB"/>
              </w:rPr>
            </w:pPr>
            <w:r w:rsidRPr="001E71C3">
              <w:rPr>
                <w:rFonts w:cs="Arial"/>
                <w:b/>
                <w:lang w:val="en-GB" w:eastAsia="en-GB"/>
              </w:rPr>
              <w:t>€</w:t>
            </w:r>
          </w:p>
        </w:tc>
        <w:tc>
          <w:tcPr>
            <w:tcW w:w="1879" w:type="dxa"/>
            <w:shd w:val="clear" w:color="auto" w:fill="auto"/>
            <w:vAlign w:val="bottom"/>
          </w:tcPr>
          <w:p w14:paraId="78060A5A" w14:textId="77777777" w:rsidR="00780CE4" w:rsidRPr="001E71C3" w:rsidRDefault="00780CE4" w:rsidP="00780CE4">
            <w:pPr>
              <w:spacing w:after="0"/>
              <w:jc w:val="center"/>
              <w:rPr>
                <w:rFonts w:cs="Arial"/>
                <w:b/>
                <w:lang w:val="en-GB" w:eastAsia="en-GB"/>
              </w:rPr>
            </w:pPr>
            <w:r w:rsidRPr="001E71C3">
              <w:rPr>
                <w:rFonts w:cs="Arial"/>
                <w:b/>
                <w:lang w:val="en-GB" w:eastAsia="en-GB"/>
              </w:rPr>
              <w:t>€</w:t>
            </w:r>
          </w:p>
        </w:tc>
      </w:tr>
      <w:tr w:rsidR="00780CE4" w:rsidRPr="0024314E" w14:paraId="2DB49AEE" w14:textId="77777777" w:rsidTr="00780CE4">
        <w:tc>
          <w:tcPr>
            <w:tcW w:w="8153" w:type="dxa"/>
            <w:gridSpan w:val="3"/>
            <w:shd w:val="clear" w:color="auto" w:fill="auto"/>
          </w:tcPr>
          <w:p w14:paraId="07E66B72" w14:textId="77777777" w:rsidR="00780CE4" w:rsidRPr="0024314E" w:rsidRDefault="00780CE4" w:rsidP="00780CE4">
            <w:pPr>
              <w:pStyle w:val="TableHead"/>
              <w:jc w:val="center"/>
            </w:pPr>
            <w:r>
              <w:t xml:space="preserve">9 (a) Reconciliation </w:t>
            </w:r>
            <w:proofErr w:type="gramStart"/>
            <w:r>
              <w:t>Of</w:t>
            </w:r>
            <w:proofErr w:type="gramEnd"/>
            <w:r>
              <w:t xml:space="preserve"> Surplus</w:t>
            </w:r>
            <w:r w:rsidRPr="0024314E">
              <w:t xml:space="preserve"> For The Year To Cashflow From Operating Activities</w:t>
            </w:r>
          </w:p>
        </w:tc>
      </w:tr>
      <w:tr w:rsidR="00780CE4" w:rsidRPr="0024314E" w14:paraId="742C9100" w14:textId="77777777" w:rsidTr="00780CE4">
        <w:tc>
          <w:tcPr>
            <w:tcW w:w="4395" w:type="dxa"/>
            <w:shd w:val="clear" w:color="auto" w:fill="auto"/>
            <w:vAlign w:val="bottom"/>
          </w:tcPr>
          <w:p w14:paraId="04A85DE1" w14:textId="77777777" w:rsidR="00780CE4" w:rsidRPr="0024314E" w:rsidRDefault="00780CE4" w:rsidP="00780CE4">
            <w:pPr>
              <w:pStyle w:val="TableRowHead"/>
              <w:rPr>
                <w:rFonts w:ascii="Gill Sans" w:hAnsi="Gill Sans"/>
                <w:sz w:val="24"/>
                <w:lang w:val="en-GB" w:eastAsia="en-GB"/>
              </w:rPr>
            </w:pPr>
            <w:r>
              <w:rPr>
                <w:rFonts w:ascii="Gill Sans" w:hAnsi="Gill Sans"/>
                <w:sz w:val="24"/>
                <w:lang w:val="en-GB" w:eastAsia="en-GB"/>
              </w:rPr>
              <w:t xml:space="preserve">Surplus </w:t>
            </w:r>
            <w:r w:rsidRPr="0024314E">
              <w:rPr>
                <w:rFonts w:ascii="Gill Sans" w:hAnsi="Gill Sans"/>
                <w:sz w:val="24"/>
                <w:lang w:val="en-GB" w:eastAsia="en-GB"/>
              </w:rPr>
              <w:t>for the period</w:t>
            </w:r>
          </w:p>
        </w:tc>
        <w:tc>
          <w:tcPr>
            <w:tcW w:w="1879" w:type="dxa"/>
            <w:shd w:val="clear" w:color="auto" w:fill="auto"/>
            <w:vAlign w:val="bottom"/>
          </w:tcPr>
          <w:p w14:paraId="4A2623CE" w14:textId="77777777" w:rsidR="00780CE4" w:rsidRPr="00633087" w:rsidRDefault="00780CE4" w:rsidP="00780CE4">
            <w:pPr>
              <w:pStyle w:val="TableCell"/>
              <w:rPr>
                <w:sz w:val="24"/>
                <w:lang w:val="en-GB" w:eastAsia="en-GB"/>
              </w:rPr>
            </w:pPr>
            <w:r>
              <w:rPr>
                <w:sz w:val="24"/>
                <w:lang w:val="en-GB" w:eastAsia="en-GB"/>
              </w:rPr>
              <w:t>71,178</w:t>
            </w:r>
          </w:p>
        </w:tc>
        <w:tc>
          <w:tcPr>
            <w:tcW w:w="1879" w:type="dxa"/>
            <w:shd w:val="clear" w:color="auto" w:fill="auto"/>
            <w:vAlign w:val="bottom"/>
          </w:tcPr>
          <w:p w14:paraId="34386FFA" w14:textId="77777777" w:rsidR="00780CE4" w:rsidRPr="00633087" w:rsidRDefault="00780CE4" w:rsidP="00780CE4">
            <w:pPr>
              <w:pStyle w:val="TableCell"/>
              <w:rPr>
                <w:sz w:val="24"/>
                <w:lang w:val="en-GB" w:eastAsia="en-GB"/>
              </w:rPr>
            </w:pPr>
            <w:r w:rsidRPr="00633087">
              <w:rPr>
                <w:sz w:val="24"/>
                <w:lang w:val="en-GB" w:eastAsia="en-GB"/>
              </w:rPr>
              <w:t>24,020</w:t>
            </w:r>
          </w:p>
        </w:tc>
      </w:tr>
      <w:tr w:rsidR="00780CE4" w:rsidRPr="0024314E" w14:paraId="0C16B98E" w14:textId="77777777" w:rsidTr="00780CE4">
        <w:tc>
          <w:tcPr>
            <w:tcW w:w="4395" w:type="dxa"/>
            <w:shd w:val="clear" w:color="auto" w:fill="auto"/>
            <w:vAlign w:val="bottom"/>
          </w:tcPr>
          <w:p w14:paraId="6CC39C44"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t xml:space="preserve">Adjustment for </w:t>
            </w:r>
            <w:proofErr w:type="spellStart"/>
            <w:r w:rsidRPr="0024314E">
              <w:rPr>
                <w:rFonts w:ascii="Gill Sans" w:hAnsi="Gill Sans"/>
                <w:sz w:val="24"/>
                <w:lang w:val="en-GB" w:eastAsia="en-GB"/>
              </w:rPr>
              <w:t>non operating</w:t>
            </w:r>
            <w:proofErr w:type="spellEnd"/>
            <w:r w:rsidRPr="0024314E">
              <w:rPr>
                <w:rFonts w:ascii="Gill Sans" w:hAnsi="Gill Sans"/>
                <w:sz w:val="24"/>
                <w:lang w:val="en-GB" w:eastAsia="en-GB"/>
              </w:rPr>
              <w:t xml:space="preserve"> items</w:t>
            </w:r>
          </w:p>
        </w:tc>
        <w:tc>
          <w:tcPr>
            <w:tcW w:w="1879" w:type="dxa"/>
            <w:shd w:val="clear" w:color="auto" w:fill="auto"/>
            <w:vAlign w:val="bottom"/>
          </w:tcPr>
          <w:p w14:paraId="274ED2DE" w14:textId="77777777" w:rsidR="00780CE4" w:rsidRPr="0024314E" w:rsidRDefault="00780CE4" w:rsidP="00780CE4">
            <w:pPr>
              <w:pStyle w:val="TableCell"/>
              <w:rPr>
                <w:sz w:val="24"/>
                <w:lang w:val="en-GB" w:eastAsia="en-GB"/>
              </w:rPr>
            </w:pPr>
          </w:p>
        </w:tc>
        <w:tc>
          <w:tcPr>
            <w:tcW w:w="1879" w:type="dxa"/>
            <w:shd w:val="clear" w:color="auto" w:fill="auto"/>
            <w:vAlign w:val="bottom"/>
          </w:tcPr>
          <w:p w14:paraId="15FC535C" w14:textId="77777777" w:rsidR="00780CE4" w:rsidRPr="0024314E" w:rsidRDefault="00780CE4" w:rsidP="00780CE4">
            <w:pPr>
              <w:pStyle w:val="TableCell"/>
              <w:rPr>
                <w:sz w:val="24"/>
                <w:lang w:val="en-GB" w:eastAsia="en-GB"/>
              </w:rPr>
            </w:pPr>
          </w:p>
        </w:tc>
      </w:tr>
      <w:tr w:rsidR="00780CE4" w:rsidRPr="0024314E" w14:paraId="1614C91D" w14:textId="77777777" w:rsidTr="00780CE4">
        <w:tc>
          <w:tcPr>
            <w:tcW w:w="4395" w:type="dxa"/>
            <w:shd w:val="clear" w:color="auto" w:fill="auto"/>
            <w:vAlign w:val="bottom"/>
          </w:tcPr>
          <w:p w14:paraId="5ED93ADA" w14:textId="77777777" w:rsidR="00780CE4" w:rsidRPr="00DF4E9C" w:rsidRDefault="00780CE4" w:rsidP="00780CE4">
            <w:pPr>
              <w:pStyle w:val="TableRowHead"/>
              <w:rPr>
                <w:rFonts w:ascii="Gill Sans" w:hAnsi="Gill Sans"/>
                <w:b w:val="0"/>
                <w:sz w:val="24"/>
                <w:lang w:val="en-GB" w:eastAsia="en-GB"/>
              </w:rPr>
            </w:pPr>
            <w:r w:rsidRPr="00DF4E9C">
              <w:rPr>
                <w:rFonts w:ascii="Gill Sans" w:hAnsi="Gill Sans"/>
                <w:b w:val="0"/>
                <w:sz w:val="24"/>
                <w:lang w:val="en-GB" w:eastAsia="en-GB"/>
              </w:rPr>
              <w:t>Interest Receivable</w:t>
            </w:r>
          </w:p>
        </w:tc>
        <w:tc>
          <w:tcPr>
            <w:tcW w:w="1879" w:type="dxa"/>
            <w:shd w:val="clear" w:color="auto" w:fill="auto"/>
            <w:vAlign w:val="bottom"/>
          </w:tcPr>
          <w:p w14:paraId="4EB394DC" w14:textId="77777777" w:rsidR="00780CE4" w:rsidRPr="0024314E" w:rsidRDefault="00780CE4" w:rsidP="00780CE4">
            <w:pPr>
              <w:pStyle w:val="TableCell"/>
              <w:rPr>
                <w:sz w:val="24"/>
                <w:lang w:val="en-GB" w:eastAsia="en-GB"/>
              </w:rPr>
            </w:pPr>
            <w:r>
              <w:rPr>
                <w:sz w:val="24"/>
                <w:lang w:val="en-GB" w:eastAsia="en-GB"/>
              </w:rPr>
              <w:t>0</w:t>
            </w:r>
          </w:p>
        </w:tc>
        <w:tc>
          <w:tcPr>
            <w:tcW w:w="1879" w:type="dxa"/>
            <w:shd w:val="clear" w:color="auto" w:fill="auto"/>
            <w:vAlign w:val="bottom"/>
          </w:tcPr>
          <w:p w14:paraId="5A62A9B1" w14:textId="77777777" w:rsidR="00780CE4" w:rsidRPr="0024314E" w:rsidRDefault="00780CE4" w:rsidP="00780CE4">
            <w:pPr>
              <w:pStyle w:val="TableCell"/>
              <w:rPr>
                <w:sz w:val="24"/>
                <w:lang w:val="en-GB" w:eastAsia="en-GB"/>
              </w:rPr>
            </w:pPr>
            <w:r>
              <w:rPr>
                <w:sz w:val="24"/>
                <w:lang w:val="en-GB" w:eastAsia="en-GB"/>
              </w:rPr>
              <w:t>(1)</w:t>
            </w:r>
            <w:r w:rsidRPr="0024314E">
              <w:rPr>
                <w:sz w:val="24"/>
                <w:lang w:val="en-GB" w:eastAsia="en-GB"/>
              </w:rPr>
              <w:t xml:space="preserve"> </w:t>
            </w:r>
          </w:p>
        </w:tc>
      </w:tr>
      <w:tr w:rsidR="00780CE4" w:rsidRPr="0024314E" w14:paraId="786753A4" w14:textId="77777777" w:rsidTr="00780CE4">
        <w:tc>
          <w:tcPr>
            <w:tcW w:w="4395" w:type="dxa"/>
            <w:shd w:val="clear" w:color="auto" w:fill="auto"/>
            <w:vAlign w:val="bottom"/>
          </w:tcPr>
          <w:p w14:paraId="367420E6" w14:textId="77777777" w:rsidR="00780CE4" w:rsidRPr="00DF4E9C" w:rsidRDefault="00780CE4" w:rsidP="00780CE4">
            <w:pPr>
              <w:pStyle w:val="TableRowHead"/>
              <w:rPr>
                <w:rFonts w:ascii="Gill Sans" w:hAnsi="Gill Sans"/>
                <w:b w:val="0"/>
                <w:sz w:val="24"/>
                <w:lang w:val="en-GB" w:eastAsia="en-GB"/>
              </w:rPr>
            </w:pPr>
            <w:r w:rsidRPr="00DF4E9C">
              <w:rPr>
                <w:rFonts w:ascii="Gill Sans" w:hAnsi="Gill Sans"/>
                <w:b w:val="0"/>
                <w:sz w:val="24"/>
                <w:lang w:val="en-GB" w:eastAsia="en-GB"/>
              </w:rPr>
              <w:t xml:space="preserve">Movement on Capital Account </w:t>
            </w:r>
          </w:p>
        </w:tc>
        <w:tc>
          <w:tcPr>
            <w:tcW w:w="1879" w:type="dxa"/>
            <w:shd w:val="clear" w:color="auto" w:fill="auto"/>
            <w:vAlign w:val="bottom"/>
          </w:tcPr>
          <w:p w14:paraId="201ED659" w14:textId="77777777" w:rsidR="00780CE4" w:rsidRPr="0024314E" w:rsidRDefault="00780CE4" w:rsidP="00780CE4">
            <w:pPr>
              <w:pStyle w:val="TableCell"/>
              <w:rPr>
                <w:sz w:val="24"/>
                <w:lang w:val="en-GB" w:eastAsia="en-GB"/>
              </w:rPr>
            </w:pPr>
            <w:r>
              <w:rPr>
                <w:sz w:val="24"/>
                <w:lang w:val="en-GB" w:eastAsia="en-GB"/>
              </w:rPr>
              <w:t>(61,758)</w:t>
            </w:r>
          </w:p>
        </w:tc>
        <w:tc>
          <w:tcPr>
            <w:tcW w:w="1879" w:type="dxa"/>
            <w:shd w:val="clear" w:color="auto" w:fill="auto"/>
            <w:vAlign w:val="bottom"/>
          </w:tcPr>
          <w:p w14:paraId="5A11D00C" w14:textId="77777777" w:rsidR="00780CE4" w:rsidRPr="0024314E" w:rsidRDefault="00780CE4" w:rsidP="00780CE4">
            <w:pPr>
              <w:pStyle w:val="TableCell"/>
              <w:rPr>
                <w:sz w:val="24"/>
                <w:lang w:val="en-GB" w:eastAsia="en-GB"/>
              </w:rPr>
            </w:pPr>
            <w:r>
              <w:rPr>
                <w:sz w:val="24"/>
                <w:lang w:val="en-GB" w:eastAsia="en-GB"/>
              </w:rPr>
              <w:t>(74</w:t>
            </w:r>
            <w:r w:rsidRPr="0024314E">
              <w:rPr>
                <w:sz w:val="24"/>
                <w:lang w:val="en-GB" w:eastAsia="en-GB"/>
              </w:rPr>
              <w:t>,</w:t>
            </w:r>
            <w:r>
              <w:rPr>
                <w:sz w:val="24"/>
                <w:lang w:val="en-GB" w:eastAsia="en-GB"/>
              </w:rPr>
              <w:t>475</w:t>
            </w:r>
            <w:r w:rsidRPr="0024314E">
              <w:rPr>
                <w:sz w:val="24"/>
                <w:lang w:val="en-GB" w:eastAsia="en-GB"/>
              </w:rPr>
              <w:t>)</w:t>
            </w:r>
          </w:p>
        </w:tc>
      </w:tr>
      <w:tr w:rsidR="00780CE4" w:rsidRPr="0024314E" w14:paraId="36771D3E" w14:textId="77777777" w:rsidTr="00780CE4">
        <w:tc>
          <w:tcPr>
            <w:tcW w:w="4395" w:type="dxa"/>
            <w:shd w:val="clear" w:color="auto" w:fill="auto"/>
            <w:vAlign w:val="bottom"/>
          </w:tcPr>
          <w:p w14:paraId="2F00C160" w14:textId="77777777" w:rsidR="00780CE4" w:rsidRPr="009422DE" w:rsidRDefault="00780CE4" w:rsidP="00780CE4">
            <w:pPr>
              <w:pStyle w:val="TableRowHead"/>
              <w:rPr>
                <w:rFonts w:ascii="Gill Sans" w:hAnsi="Gill Sans"/>
                <w:sz w:val="24"/>
                <w:lang w:val="en-GB" w:eastAsia="en-GB"/>
              </w:rPr>
            </w:pPr>
            <w:r w:rsidRPr="009422DE">
              <w:rPr>
                <w:rFonts w:ascii="Gill Sans" w:hAnsi="Gill Sans"/>
                <w:sz w:val="24"/>
                <w:lang w:val="en-GB" w:eastAsia="en-GB"/>
              </w:rPr>
              <w:t xml:space="preserve">Adjustment for </w:t>
            </w:r>
            <w:proofErr w:type="spellStart"/>
            <w:proofErr w:type="gramStart"/>
            <w:r w:rsidRPr="009422DE">
              <w:rPr>
                <w:rFonts w:ascii="Gill Sans" w:hAnsi="Gill Sans"/>
                <w:sz w:val="24"/>
                <w:lang w:val="en-GB" w:eastAsia="en-GB"/>
              </w:rPr>
              <w:t>non cash</w:t>
            </w:r>
            <w:proofErr w:type="spellEnd"/>
            <w:proofErr w:type="gramEnd"/>
            <w:r w:rsidRPr="009422DE">
              <w:rPr>
                <w:rFonts w:ascii="Gill Sans" w:hAnsi="Gill Sans"/>
                <w:sz w:val="24"/>
                <w:lang w:val="en-GB" w:eastAsia="en-GB"/>
              </w:rPr>
              <w:t xml:space="preserve"> items</w:t>
            </w:r>
          </w:p>
        </w:tc>
        <w:tc>
          <w:tcPr>
            <w:tcW w:w="1879" w:type="dxa"/>
            <w:shd w:val="clear" w:color="auto" w:fill="auto"/>
            <w:vAlign w:val="bottom"/>
          </w:tcPr>
          <w:p w14:paraId="4B075106" w14:textId="77777777" w:rsidR="00780CE4" w:rsidRPr="0024314E" w:rsidRDefault="00780CE4" w:rsidP="00780CE4">
            <w:pPr>
              <w:pStyle w:val="TableCell"/>
              <w:rPr>
                <w:sz w:val="24"/>
                <w:lang w:val="en-GB" w:eastAsia="en-GB"/>
              </w:rPr>
            </w:pPr>
          </w:p>
        </w:tc>
        <w:tc>
          <w:tcPr>
            <w:tcW w:w="1879" w:type="dxa"/>
            <w:shd w:val="clear" w:color="auto" w:fill="auto"/>
            <w:vAlign w:val="bottom"/>
          </w:tcPr>
          <w:p w14:paraId="72BC2227" w14:textId="77777777" w:rsidR="00780CE4" w:rsidRPr="0024314E" w:rsidRDefault="00780CE4" w:rsidP="00780CE4">
            <w:pPr>
              <w:pStyle w:val="TableCell"/>
              <w:rPr>
                <w:sz w:val="24"/>
                <w:lang w:val="en-GB" w:eastAsia="en-GB"/>
              </w:rPr>
            </w:pPr>
          </w:p>
        </w:tc>
      </w:tr>
      <w:tr w:rsidR="00780CE4" w:rsidRPr="0024314E" w14:paraId="2667B967" w14:textId="77777777" w:rsidTr="00780CE4">
        <w:tc>
          <w:tcPr>
            <w:tcW w:w="4395" w:type="dxa"/>
            <w:shd w:val="clear" w:color="auto" w:fill="auto"/>
            <w:vAlign w:val="bottom"/>
          </w:tcPr>
          <w:p w14:paraId="12A99CBB" w14:textId="77777777" w:rsidR="00780CE4" w:rsidRPr="00DF4E9C" w:rsidRDefault="00780CE4" w:rsidP="00780CE4">
            <w:pPr>
              <w:pStyle w:val="TableRowHead"/>
              <w:rPr>
                <w:rFonts w:ascii="Gill Sans" w:hAnsi="Gill Sans"/>
                <w:b w:val="0"/>
                <w:sz w:val="24"/>
                <w:lang w:val="en-GB" w:eastAsia="en-GB"/>
              </w:rPr>
            </w:pPr>
            <w:r w:rsidRPr="00DF4E9C">
              <w:rPr>
                <w:rFonts w:ascii="Gill Sans" w:hAnsi="Gill Sans"/>
                <w:b w:val="0"/>
                <w:sz w:val="24"/>
                <w:lang w:val="en-GB" w:eastAsia="en-GB"/>
              </w:rPr>
              <w:t>Depreciation</w:t>
            </w:r>
          </w:p>
        </w:tc>
        <w:tc>
          <w:tcPr>
            <w:tcW w:w="1879" w:type="dxa"/>
            <w:shd w:val="clear" w:color="auto" w:fill="auto"/>
            <w:vAlign w:val="bottom"/>
          </w:tcPr>
          <w:p w14:paraId="0FEE772C" w14:textId="77777777" w:rsidR="00780CE4" w:rsidRPr="0024314E" w:rsidRDefault="00780CE4" w:rsidP="00780CE4">
            <w:pPr>
              <w:pStyle w:val="TableCell"/>
              <w:rPr>
                <w:sz w:val="24"/>
                <w:lang w:val="en-GB" w:eastAsia="en-GB"/>
              </w:rPr>
            </w:pPr>
            <w:r>
              <w:rPr>
                <w:sz w:val="24"/>
                <w:lang w:val="en-GB" w:eastAsia="en-GB"/>
              </w:rPr>
              <w:t>73,963</w:t>
            </w:r>
          </w:p>
        </w:tc>
        <w:tc>
          <w:tcPr>
            <w:tcW w:w="1879" w:type="dxa"/>
            <w:shd w:val="clear" w:color="auto" w:fill="auto"/>
            <w:vAlign w:val="bottom"/>
          </w:tcPr>
          <w:p w14:paraId="4A5E802A" w14:textId="77777777" w:rsidR="00780CE4" w:rsidRPr="0024314E" w:rsidRDefault="00780CE4" w:rsidP="00780CE4">
            <w:pPr>
              <w:pStyle w:val="TableCell"/>
              <w:rPr>
                <w:sz w:val="24"/>
                <w:lang w:val="en-GB" w:eastAsia="en-GB"/>
              </w:rPr>
            </w:pPr>
            <w:r>
              <w:rPr>
                <w:sz w:val="24"/>
                <w:lang w:val="en-GB" w:eastAsia="en-GB"/>
              </w:rPr>
              <w:t>74</w:t>
            </w:r>
            <w:r w:rsidRPr="0024314E">
              <w:rPr>
                <w:sz w:val="24"/>
                <w:lang w:val="en-GB" w:eastAsia="en-GB"/>
              </w:rPr>
              <w:t>,</w:t>
            </w:r>
            <w:r>
              <w:rPr>
                <w:sz w:val="24"/>
                <w:lang w:val="en-GB" w:eastAsia="en-GB"/>
              </w:rPr>
              <w:t>475</w:t>
            </w:r>
            <w:r w:rsidRPr="0024314E">
              <w:rPr>
                <w:sz w:val="24"/>
                <w:lang w:val="en-GB" w:eastAsia="en-GB"/>
              </w:rPr>
              <w:t xml:space="preserve"> </w:t>
            </w:r>
          </w:p>
        </w:tc>
      </w:tr>
      <w:tr w:rsidR="00780CE4" w:rsidRPr="0024314E" w14:paraId="3A43241B" w14:textId="77777777" w:rsidTr="00780CE4">
        <w:tc>
          <w:tcPr>
            <w:tcW w:w="4395" w:type="dxa"/>
            <w:shd w:val="clear" w:color="auto" w:fill="auto"/>
            <w:vAlign w:val="bottom"/>
          </w:tcPr>
          <w:p w14:paraId="74407EB4" w14:textId="77777777" w:rsidR="00780CE4" w:rsidRPr="00DF4E9C" w:rsidRDefault="00780CE4" w:rsidP="00780CE4">
            <w:pPr>
              <w:pStyle w:val="TableRowHead"/>
              <w:rPr>
                <w:rFonts w:ascii="Gill Sans" w:hAnsi="Gill Sans"/>
                <w:b w:val="0"/>
                <w:sz w:val="24"/>
                <w:lang w:val="en-GB" w:eastAsia="en-GB"/>
              </w:rPr>
            </w:pPr>
            <w:r w:rsidRPr="00DF4E9C">
              <w:rPr>
                <w:rFonts w:ascii="Gill Sans" w:hAnsi="Gill Sans"/>
                <w:b w:val="0"/>
                <w:sz w:val="24"/>
                <w:lang w:val="en-GB" w:eastAsia="en-GB"/>
              </w:rPr>
              <w:t>Reclassification of Fixed Assets</w:t>
            </w:r>
          </w:p>
        </w:tc>
        <w:tc>
          <w:tcPr>
            <w:tcW w:w="1879" w:type="dxa"/>
            <w:shd w:val="clear" w:color="auto" w:fill="auto"/>
            <w:vAlign w:val="bottom"/>
          </w:tcPr>
          <w:p w14:paraId="6949BADF" w14:textId="77777777" w:rsidR="00780CE4" w:rsidRDefault="00780CE4" w:rsidP="00780CE4">
            <w:pPr>
              <w:pStyle w:val="TableCell"/>
              <w:rPr>
                <w:sz w:val="24"/>
                <w:lang w:val="en-GB" w:eastAsia="en-GB"/>
              </w:rPr>
            </w:pPr>
            <w:r>
              <w:rPr>
                <w:sz w:val="24"/>
                <w:lang w:val="en-GB" w:eastAsia="en-GB"/>
              </w:rPr>
              <w:t>(7,026)</w:t>
            </w:r>
          </w:p>
        </w:tc>
        <w:tc>
          <w:tcPr>
            <w:tcW w:w="1879" w:type="dxa"/>
            <w:shd w:val="clear" w:color="auto" w:fill="auto"/>
            <w:vAlign w:val="bottom"/>
          </w:tcPr>
          <w:p w14:paraId="4C92E40A" w14:textId="77777777" w:rsidR="00780CE4" w:rsidRDefault="00780CE4" w:rsidP="00780CE4">
            <w:pPr>
              <w:pStyle w:val="TableCell"/>
              <w:rPr>
                <w:sz w:val="24"/>
                <w:lang w:val="en-GB" w:eastAsia="en-GB"/>
              </w:rPr>
            </w:pPr>
            <w:r>
              <w:rPr>
                <w:sz w:val="24"/>
                <w:lang w:val="en-GB" w:eastAsia="en-GB"/>
              </w:rPr>
              <w:t>0</w:t>
            </w:r>
          </w:p>
        </w:tc>
      </w:tr>
      <w:tr w:rsidR="00780CE4" w:rsidRPr="0024314E" w14:paraId="3F8EF45C" w14:textId="77777777" w:rsidTr="00780CE4">
        <w:tc>
          <w:tcPr>
            <w:tcW w:w="4395" w:type="dxa"/>
            <w:shd w:val="clear" w:color="auto" w:fill="auto"/>
            <w:vAlign w:val="bottom"/>
          </w:tcPr>
          <w:p w14:paraId="3CCCFCCC" w14:textId="77777777" w:rsidR="00780CE4" w:rsidRPr="00DF4E9C" w:rsidRDefault="00780CE4" w:rsidP="00780CE4">
            <w:pPr>
              <w:pStyle w:val="TableRowHead"/>
              <w:rPr>
                <w:rFonts w:ascii="Gill Sans" w:hAnsi="Gill Sans"/>
                <w:b w:val="0"/>
                <w:sz w:val="24"/>
                <w:lang w:val="en-GB" w:eastAsia="en-GB"/>
              </w:rPr>
            </w:pPr>
            <w:r w:rsidRPr="00DF4E9C">
              <w:rPr>
                <w:rFonts w:ascii="Gill Sans" w:hAnsi="Gill Sans"/>
                <w:b w:val="0"/>
                <w:sz w:val="24"/>
                <w:lang w:val="en-GB" w:eastAsia="en-GB"/>
              </w:rPr>
              <w:t xml:space="preserve">Change in Debtors </w:t>
            </w:r>
          </w:p>
        </w:tc>
        <w:tc>
          <w:tcPr>
            <w:tcW w:w="1879" w:type="dxa"/>
            <w:shd w:val="clear" w:color="auto" w:fill="auto"/>
            <w:vAlign w:val="bottom"/>
          </w:tcPr>
          <w:p w14:paraId="1F0AE18C" w14:textId="77777777" w:rsidR="00780CE4" w:rsidRPr="00633087" w:rsidRDefault="00780CE4" w:rsidP="00780CE4">
            <w:pPr>
              <w:pStyle w:val="TableCell"/>
              <w:rPr>
                <w:sz w:val="24"/>
                <w:lang w:val="en-GB" w:eastAsia="en-GB"/>
              </w:rPr>
            </w:pPr>
            <w:r>
              <w:rPr>
                <w:sz w:val="24"/>
                <w:lang w:val="en-GB" w:eastAsia="en-GB"/>
              </w:rPr>
              <w:t>(45,924)</w:t>
            </w:r>
          </w:p>
        </w:tc>
        <w:tc>
          <w:tcPr>
            <w:tcW w:w="1879" w:type="dxa"/>
            <w:shd w:val="clear" w:color="auto" w:fill="auto"/>
            <w:vAlign w:val="bottom"/>
          </w:tcPr>
          <w:p w14:paraId="7F7B7D9D" w14:textId="77777777" w:rsidR="00780CE4" w:rsidRPr="00633087" w:rsidRDefault="00780CE4" w:rsidP="00780CE4">
            <w:pPr>
              <w:pStyle w:val="TableCell"/>
              <w:rPr>
                <w:sz w:val="24"/>
                <w:lang w:val="en-GB" w:eastAsia="en-GB"/>
              </w:rPr>
            </w:pPr>
            <w:r w:rsidRPr="00633087">
              <w:rPr>
                <w:sz w:val="24"/>
                <w:lang w:val="en-GB" w:eastAsia="en-GB"/>
              </w:rPr>
              <w:t>(55,105)</w:t>
            </w:r>
          </w:p>
        </w:tc>
      </w:tr>
      <w:tr w:rsidR="00780CE4" w:rsidRPr="0024314E" w14:paraId="57F5E133" w14:textId="77777777" w:rsidTr="00780CE4">
        <w:tc>
          <w:tcPr>
            <w:tcW w:w="4395" w:type="dxa"/>
            <w:shd w:val="clear" w:color="auto" w:fill="auto"/>
            <w:vAlign w:val="bottom"/>
          </w:tcPr>
          <w:p w14:paraId="6A413EDE" w14:textId="77777777" w:rsidR="00780CE4" w:rsidRPr="00DF4E9C" w:rsidRDefault="00780CE4" w:rsidP="00780CE4">
            <w:pPr>
              <w:pStyle w:val="TableRowHead"/>
              <w:rPr>
                <w:rFonts w:ascii="Gill Sans" w:hAnsi="Gill Sans"/>
                <w:b w:val="0"/>
                <w:sz w:val="24"/>
                <w:lang w:val="en-GB" w:eastAsia="en-GB"/>
              </w:rPr>
            </w:pPr>
            <w:r w:rsidRPr="00DF4E9C">
              <w:rPr>
                <w:rFonts w:ascii="Gill Sans" w:hAnsi="Gill Sans"/>
                <w:b w:val="0"/>
                <w:sz w:val="24"/>
                <w:lang w:val="en-GB" w:eastAsia="en-GB"/>
              </w:rPr>
              <w:t xml:space="preserve">Change in Creditors </w:t>
            </w:r>
          </w:p>
        </w:tc>
        <w:tc>
          <w:tcPr>
            <w:tcW w:w="1879" w:type="dxa"/>
            <w:shd w:val="clear" w:color="auto" w:fill="auto"/>
            <w:vAlign w:val="bottom"/>
          </w:tcPr>
          <w:p w14:paraId="6415B57F" w14:textId="77777777" w:rsidR="00780CE4" w:rsidRPr="00633087" w:rsidRDefault="00780CE4" w:rsidP="00780CE4">
            <w:pPr>
              <w:pStyle w:val="TableCell"/>
              <w:rPr>
                <w:sz w:val="24"/>
                <w:lang w:val="en-GB" w:eastAsia="en-GB"/>
              </w:rPr>
            </w:pPr>
            <w:r>
              <w:rPr>
                <w:sz w:val="24"/>
                <w:lang w:val="en-GB" w:eastAsia="en-GB"/>
              </w:rPr>
              <w:t>(25,593)</w:t>
            </w:r>
          </w:p>
        </w:tc>
        <w:tc>
          <w:tcPr>
            <w:tcW w:w="1879" w:type="dxa"/>
            <w:shd w:val="clear" w:color="auto" w:fill="auto"/>
            <w:vAlign w:val="bottom"/>
          </w:tcPr>
          <w:p w14:paraId="2FE0A3BA" w14:textId="77777777" w:rsidR="00780CE4" w:rsidRPr="00633087" w:rsidRDefault="00780CE4" w:rsidP="00780CE4">
            <w:pPr>
              <w:pStyle w:val="TableCell"/>
              <w:rPr>
                <w:sz w:val="24"/>
                <w:lang w:val="en-GB" w:eastAsia="en-GB"/>
              </w:rPr>
            </w:pPr>
            <w:r w:rsidRPr="00633087">
              <w:rPr>
                <w:sz w:val="24"/>
                <w:lang w:val="en-GB" w:eastAsia="en-GB"/>
              </w:rPr>
              <w:t xml:space="preserve">25,048 </w:t>
            </w:r>
          </w:p>
        </w:tc>
      </w:tr>
      <w:tr w:rsidR="00780CE4" w:rsidRPr="0024314E" w14:paraId="3BED0B97" w14:textId="77777777" w:rsidTr="00780CE4">
        <w:tc>
          <w:tcPr>
            <w:tcW w:w="4395" w:type="dxa"/>
            <w:shd w:val="clear" w:color="auto" w:fill="auto"/>
            <w:vAlign w:val="bottom"/>
          </w:tcPr>
          <w:p w14:paraId="0ECD3813"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t>Cash</w:t>
            </w:r>
            <w:r>
              <w:rPr>
                <w:rFonts w:ascii="Gill Sans" w:hAnsi="Gill Sans"/>
                <w:sz w:val="24"/>
                <w:lang w:val="en-GB" w:eastAsia="en-GB"/>
              </w:rPr>
              <w:t xml:space="preserve"> </w:t>
            </w:r>
            <w:r w:rsidRPr="0024314E">
              <w:rPr>
                <w:rFonts w:ascii="Gill Sans" w:hAnsi="Gill Sans"/>
                <w:sz w:val="24"/>
                <w:lang w:val="en-GB" w:eastAsia="en-GB"/>
              </w:rPr>
              <w:t>flow from Operating Activities</w:t>
            </w:r>
          </w:p>
        </w:tc>
        <w:tc>
          <w:tcPr>
            <w:tcW w:w="1879" w:type="dxa"/>
            <w:shd w:val="clear" w:color="auto" w:fill="auto"/>
            <w:vAlign w:val="bottom"/>
          </w:tcPr>
          <w:p w14:paraId="71ECDC82" w14:textId="77777777" w:rsidR="00780CE4" w:rsidRPr="0024314E" w:rsidRDefault="00780CE4" w:rsidP="00780CE4">
            <w:pPr>
              <w:pStyle w:val="TableCell"/>
              <w:rPr>
                <w:sz w:val="24"/>
                <w:lang w:val="en-GB" w:eastAsia="en-GB"/>
              </w:rPr>
            </w:pPr>
            <w:r>
              <w:rPr>
                <w:sz w:val="24"/>
                <w:lang w:val="en-GB" w:eastAsia="en-GB"/>
              </w:rPr>
              <w:t>4,840</w:t>
            </w:r>
          </w:p>
        </w:tc>
        <w:tc>
          <w:tcPr>
            <w:tcW w:w="1879" w:type="dxa"/>
            <w:shd w:val="clear" w:color="auto" w:fill="auto"/>
            <w:vAlign w:val="bottom"/>
          </w:tcPr>
          <w:p w14:paraId="26D45C7E" w14:textId="77777777" w:rsidR="00780CE4" w:rsidRPr="0024314E" w:rsidRDefault="00780CE4" w:rsidP="00780CE4">
            <w:pPr>
              <w:pStyle w:val="TableCell"/>
              <w:rPr>
                <w:sz w:val="24"/>
                <w:lang w:val="en-GB" w:eastAsia="en-GB"/>
              </w:rPr>
            </w:pPr>
            <w:r>
              <w:rPr>
                <w:sz w:val="24"/>
                <w:lang w:val="en-GB" w:eastAsia="en-GB"/>
              </w:rPr>
              <w:t>(6</w:t>
            </w:r>
            <w:r w:rsidRPr="0024314E">
              <w:rPr>
                <w:sz w:val="24"/>
                <w:lang w:val="en-GB" w:eastAsia="en-GB"/>
              </w:rPr>
              <w:t>,</w:t>
            </w:r>
            <w:r>
              <w:rPr>
                <w:sz w:val="24"/>
                <w:lang w:val="en-GB" w:eastAsia="en-GB"/>
              </w:rPr>
              <w:t>038)</w:t>
            </w:r>
            <w:r w:rsidRPr="0024314E">
              <w:rPr>
                <w:sz w:val="24"/>
                <w:lang w:val="en-GB" w:eastAsia="en-GB"/>
              </w:rPr>
              <w:t xml:space="preserve"> </w:t>
            </w:r>
          </w:p>
        </w:tc>
      </w:tr>
      <w:tr w:rsidR="00780CE4" w:rsidRPr="0024314E" w14:paraId="7D8BDD08" w14:textId="77777777" w:rsidTr="00780CE4">
        <w:tc>
          <w:tcPr>
            <w:tcW w:w="8153" w:type="dxa"/>
            <w:gridSpan w:val="3"/>
            <w:shd w:val="clear" w:color="auto" w:fill="auto"/>
            <w:vAlign w:val="bottom"/>
          </w:tcPr>
          <w:p w14:paraId="0FE27414" w14:textId="77777777" w:rsidR="00780CE4" w:rsidRPr="0024314E" w:rsidRDefault="00780CE4" w:rsidP="00780CE4">
            <w:pPr>
              <w:pStyle w:val="TableHead"/>
              <w:jc w:val="center"/>
              <w:rPr>
                <w:lang w:val="en-GB" w:eastAsia="en-GB"/>
              </w:rPr>
            </w:pPr>
            <w:r w:rsidRPr="0024314E">
              <w:rPr>
                <w:lang w:val="en-GB" w:eastAsia="en-GB"/>
              </w:rPr>
              <w:t xml:space="preserve">9(b) Reconciliation </w:t>
            </w:r>
            <w:proofErr w:type="gramStart"/>
            <w:r w:rsidRPr="0024314E">
              <w:rPr>
                <w:lang w:val="en-GB" w:eastAsia="en-GB"/>
              </w:rPr>
              <w:t>Of</w:t>
            </w:r>
            <w:proofErr w:type="gramEnd"/>
            <w:r w:rsidRPr="0024314E">
              <w:rPr>
                <w:lang w:val="en-GB" w:eastAsia="en-GB"/>
              </w:rPr>
              <w:t xml:space="preserve"> Cashflow To Movement In Net Funds</w:t>
            </w:r>
          </w:p>
        </w:tc>
      </w:tr>
      <w:tr w:rsidR="00780CE4" w:rsidRPr="0024314E" w14:paraId="72FB7076" w14:textId="77777777" w:rsidTr="00780CE4">
        <w:tc>
          <w:tcPr>
            <w:tcW w:w="4395" w:type="dxa"/>
            <w:shd w:val="clear" w:color="auto" w:fill="auto"/>
            <w:vAlign w:val="bottom"/>
          </w:tcPr>
          <w:p w14:paraId="79AB7DD4"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t xml:space="preserve">Net Funds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31 December 201</w:t>
            </w:r>
            <w:r>
              <w:rPr>
                <w:rFonts w:ascii="Gill Sans" w:hAnsi="Gill Sans"/>
                <w:sz w:val="24"/>
                <w:lang w:val="en-GB" w:eastAsia="en-GB"/>
              </w:rPr>
              <w:t>3</w:t>
            </w:r>
          </w:p>
        </w:tc>
        <w:tc>
          <w:tcPr>
            <w:tcW w:w="1879" w:type="dxa"/>
            <w:shd w:val="clear" w:color="auto" w:fill="auto"/>
            <w:vAlign w:val="bottom"/>
          </w:tcPr>
          <w:p w14:paraId="43072D05" w14:textId="77777777" w:rsidR="00780CE4" w:rsidRPr="0024314E" w:rsidRDefault="00780CE4" w:rsidP="00780CE4">
            <w:pPr>
              <w:pStyle w:val="TableCell"/>
              <w:rPr>
                <w:sz w:val="24"/>
                <w:lang w:val="en-GB" w:eastAsia="en-GB"/>
              </w:rPr>
            </w:pPr>
            <w:r>
              <w:rPr>
                <w:sz w:val="24"/>
                <w:lang w:val="en-GB" w:eastAsia="en-GB"/>
              </w:rPr>
              <w:t>2,323</w:t>
            </w:r>
            <w:r w:rsidRPr="0024314E">
              <w:rPr>
                <w:sz w:val="24"/>
                <w:lang w:val="en-GB" w:eastAsia="en-GB"/>
              </w:rPr>
              <w:t xml:space="preserve"> </w:t>
            </w:r>
          </w:p>
        </w:tc>
        <w:tc>
          <w:tcPr>
            <w:tcW w:w="1879" w:type="dxa"/>
            <w:shd w:val="clear" w:color="auto" w:fill="auto"/>
            <w:vAlign w:val="bottom"/>
          </w:tcPr>
          <w:p w14:paraId="0556EE2A" w14:textId="77777777" w:rsidR="00780CE4" w:rsidRPr="0024314E" w:rsidRDefault="00780CE4" w:rsidP="00780CE4">
            <w:pPr>
              <w:pStyle w:val="TableCell"/>
              <w:rPr>
                <w:sz w:val="24"/>
                <w:lang w:val="en-GB" w:eastAsia="en-GB"/>
              </w:rPr>
            </w:pPr>
            <w:r>
              <w:rPr>
                <w:sz w:val="24"/>
                <w:lang w:val="en-GB" w:eastAsia="en-GB"/>
              </w:rPr>
              <w:t>8,360</w:t>
            </w:r>
            <w:r w:rsidRPr="0024314E">
              <w:rPr>
                <w:sz w:val="24"/>
                <w:lang w:val="en-GB" w:eastAsia="en-GB"/>
              </w:rPr>
              <w:t xml:space="preserve"> </w:t>
            </w:r>
          </w:p>
        </w:tc>
      </w:tr>
      <w:tr w:rsidR="00780CE4" w:rsidRPr="0024314E" w14:paraId="358CB60B" w14:textId="77777777" w:rsidTr="00780CE4">
        <w:tc>
          <w:tcPr>
            <w:tcW w:w="4395" w:type="dxa"/>
            <w:shd w:val="clear" w:color="auto" w:fill="auto"/>
            <w:vAlign w:val="bottom"/>
          </w:tcPr>
          <w:p w14:paraId="33164957" w14:textId="77777777" w:rsidR="00780CE4" w:rsidRPr="0024314E" w:rsidRDefault="00780CE4" w:rsidP="00780CE4">
            <w:pPr>
              <w:pStyle w:val="TableRowHead"/>
              <w:rPr>
                <w:rFonts w:ascii="Gill Sans" w:hAnsi="Gill Sans"/>
                <w:sz w:val="24"/>
                <w:lang w:val="en-GB" w:eastAsia="en-GB"/>
              </w:rPr>
            </w:pPr>
            <w:r>
              <w:rPr>
                <w:rFonts w:ascii="Gill Sans" w:hAnsi="Gill Sans"/>
                <w:sz w:val="24"/>
                <w:lang w:val="en-GB" w:eastAsia="en-GB"/>
              </w:rPr>
              <w:t xml:space="preserve">Decrease </w:t>
            </w:r>
            <w:r w:rsidRPr="0024314E">
              <w:rPr>
                <w:rFonts w:ascii="Gill Sans" w:hAnsi="Gill Sans"/>
                <w:sz w:val="24"/>
                <w:lang w:val="en-GB" w:eastAsia="en-GB"/>
              </w:rPr>
              <w:t>in Cash</w:t>
            </w:r>
          </w:p>
        </w:tc>
        <w:tc>
          <w:tcPr>
            <w:tcW w:w="1879" w:type="dxa"/>
            <w:shd w:val="clear" w:color="auto" w:fill="auto"/>
            <w:vAlign w:val="bottom"/>
          </w:tcPr>
          <w:p w14:paraId="79086CCA" w14:textId="77777777" w:rsidR="00780CE4" w:rsidRPr="0024314E" w:rsidRDefault="00780CE4" w:rsidP="00780CE4">
            <w:pPr>
              <w:pStyle w:val="TableCell"/>
              <w:rPr>
                <w:sz w:val="24"/>
                <w:lang w:val="en-GB" w:eastAsia="en-GB"/>
              </w:rPr>
            </w:pPr>
            <w:r>
              <w:rPr>
                <w:sz w:val="24"/>
                <w:lang w:val="en-GB" w:eastAsia="en-GB"/>
              </w:rPr>
              <w:t>(339)</w:t>
            </w:r>
          </w:p>
        </w:tc>
        <w:tc>
          <w:tcPr>
            <w:tcW w:w="1879" w:type="dxa"/>
            <w:shd w:val="clear" w:color="auto" w:fill="auto"/>
            <w:vAlign w:val="bottom"/>
          </w:tcPr>
          <w:p w14:paraId="53426796" w14:textId="77777777" w:rsidR="00780CE4" w:rsidRPr="0024314E" w:rsidRDefault="00780CE4" w:rsidP="00780CE4">
            <w:pPr>
              <w:pStyle w:val="TableCell"/>
              <w:rPr>
                <w:sz w:val="24"/>
                <w:lang w:val="en-GB" w:eastAsia="en-GB"/>
              </w:rPr>
            </w:pPr>
            <w:r>
              <w:rPr>
                <w:sz w:val="24"/>
                <w:lang w:val="en-GB" w:eastAsia="en-GB"/>
              </w:rPr>
              <w:t>(6,037)</w:t>
            </w:r>
          </w:p>
        </w:tc>
      </w:tr>
      <w:tr w:rsidR="00780CE4" w:rsidRPr="0024314E" w14:paraId="50724435" w14:textId="77777777" w:rsidTr="00780CE4">
        <w:tc>
          <w:tcPr>
            <w:tcW w:w="4395" w:type="dxa"/>
            <w:shd w:val="clear" w:color="auto" w:fill="auto"/>
            <w:vAlign w:val="bottom"/>
          </w:tcPr>
          <w:p w14:paraId="72308196" w14:textId="77777777" w:rsidR="00780CE4" w:rsidRPr="0024314E" w:rsidRDefault="00780CE4" w:rsidP="00780CE4">
            <w:pPr>
              <w:pStyle w:val="TableRowHead"/>
              <w:rPr>
                <w:rFonts w:ascii="Gill Sans" w:hAnsi="Gill Sans"/>
                <w:sz w:val="24"/>
                <w:lang w:val="en-GB" w:eastAsia="en-GB"/>
              </w:rPr>
            </w:pPr>
            <w:r w:rsidRPr="0024314E">
              <w:rPr>
                <w:rFonts w:ascii="Gill Sans" w:hAnsi="Gill Sans"/>
                <w:sz w:val="24"/>
                <w:lang w:val="en-GB" w:eastAsia="en-GB"/>
              </w:rPr>
              <w:t xml:space="preserve">Net Funds </w:t>
            </w:r>
            <w:proofErr w:type="gramStart"/>
            <w:r w:rsidRPr="0024314E">
              <w:rPr>
                <w:rFonts w:ascii="Gill Sans" w:hAnsi="Gill Sans"/>
                <w:sz w:val="24"/>
                <w:lang w:val="en-GB" w:eastAsia="en-GB"/>
              </w:rPr>
              <w:t>at</w:t>
            </w:r>
            <w:proofErr w:type="gramEnd"/>
            <w:r w:rsidRPr="0024314E">
              <w:rPr>
                <w:rFonts w:ascii="Gill Sans" w:hAnsi="Gill Sans"/>
                <w:sz w:val="24"/>
                <w:lang w:val="en-GB" w:eastAsia="en-GB"/>
              </w:rPr>
              <w:t xml:space="preserve"> 31 December 201</w:t>
            </w:r>
            <w:r>
              <w:rPr>
                <w:rFonts w:ascii="Gill Sans" w:hAnsi="Gill Sans"/>
                <w:sz w:val="24"/>
                <w:lang w:val="en-GB" w:eastAsia="en-GB"/>
              </w:rPr>
              <w:t>4</w:t>
            </w:r>
          </w:p>
        </w:tc>
        <w:tc>
          <w:tcPr>
            <w:tcW w:w="1879" w:type="dxa"/>
            <w:shd w:val="clear" w:color="auto" w:fill="auto"/>
            <w:vAlign w:val="bottom"/>
          </w:tcPr>
          <w:p w14:paraId="49E83D2B" w14:textId="77777777" w:rsidR="00780CE4" w:rsidRPr="0024314E" w:rsidRDefault="00780CE4" w:rsidP="00780CE4">
            <w:pPr>
              <w:pStyle w:val="TableCell"/>
              <w:rPr>
                <w:sz w:val="24"/>
                <w:lang w:val="en-GB" w:eastAsia="en-GB"/>
              </w:rPr>
            </w:pPr>
            <w:r>
              <w:rPr>
                <w:sz w:val="24"/>
                <w:lang w:val="en-GB" w:eastAsia="en-GB"/>
              </w:rPr>
              <w:t>1,984</w:t>
            </w:r>
          </w:p>
        </w:tc>
        <w:tc>
          <w:tcPr>
            <w:tcW w:w="1879" w:type="dxa"/>
            <w:shd w:val="clear" w:color="auto" w:fill="auto"/>
            <w:vAlign w:val="bottom"/>
          </w:tcPr>
          <w:p w14:paraId="6D7F8731" w14:textId="77777777" w:rsidR="00780CE4" w:rsidRPr="0024314E" w:rsidRDefault="00780CE4" w:rsidP="00780CE4">
            <w:pPr>
              <w:pStyle w:val="TableCell"/>
              <w:rPr>
                <w:sz w:val="24"/>
                <w:lang w:val="en-GB" w:eastAsia="en-GB"/>
              </w:rPr>
            </w:pPr>
            <w:r>
              <w:rPr>
                <w:sz w:val="24"/>
                <w:lang w:val="en-GB" w:eastAsia="en-GB"/>
              </w:rPr>
              <w:t>2,323</w:t>
            </w:r>
            <w:r w:rsidRPr="0024314E">
              <w:rPr>
                <w:sz w:val="24"/>
                <w:lang w:val="en-GB" w:eastAsia="en-GB"/>
              </w:rPr>
              <w:t xml:space="preserve"> </w:t>
            </w:r>
          </w:p>
        </w:tc>
      </w:tr>
    </w:tbl>
    <w:p w14:paraId="4AAF8430" w14:textId="77777777" w:rsidR="00CA4555" w:rsidRDefault="00CA4555" w:rsidP="00CA4555">
      <w:pPr>
        <w:rPr>
          <w:lang w:val="en-GB" w:eastAsia="en-GB"/>
        </w:rPr>
      </w:pPr>
      <w:bookmarkStart w:id="57" w:name="_Toc335836404"/>
    </w:p>
    <w:p w14:paraId="4A6F0499" w14:textId="77777777" w:rsidR="00421776" w:rsidRPr="00B22912" w:rsidRDefault="00421776" w:rsidP="00BB5C89">
      <w:pPr>
        <w:pStyle w:val="Heading3"/>
        <w:rPr>
          <w:lang w:val="en-GB" w:eastAsia="en-GB"/>
        </w:rPr>
      </w:pPr>
      <w:r w:rsidRPr="00B22912">
        <w:rPr>
          <w:lang w:val="en-GB" w:eastAsia="en-GB"/>
        </w:rPr>
        <w:t>10. Superannuation</w:t>
      </w:r>
      <w:bookmarkEnd w:id="57"/>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14:paraId="20102F49" w14:textId="77777777" w:rsidR="00780CE4" w:rsidRPr="00780CE4" w:rsidRDefault="00780CE4" w:rsidP="00780CE4">
      <w:pPr>
        <w:rPr>
          <w:lang w:val="en-GB" w:eastAsia="en-GB"/>
        </w:rPr>
      </w:pPr>
      <w:r w:rsidRPr="00780CE4">
        <w:rPr>
          <w:lang w:val="en-GB" w:eastAsia="en-GB"/>
        </w:rPr>
        <w:t xml:space="preserve">Under the National Disability Authority Act 1999, the Authority with the approval of the Minister for Justice and Equality and the consent of the Minister for Finance, shall make a scheme or schemes for the granting of </w:t>
      </w:r>
      <w:r w:rsidRPr="00780CE4">
        <w:rPr>
          <w:lang w:val="en-GB" w:eastAsia="en-GB"/>
        </w:rPr>
        <w:lastRenderedPageBreak/>
        <w:t>superannuation benefits to or in respect of the members of staff, including the Director of the Authority.</w:t>
      </w:r>
    </w:p>
    <w:p w14:paraId="27F2C4DC" w14:textId="77777777" w:rsidR="00780CE4" w:rsidRPr="00780CE4" w:rsidRDefault="00780CE4" w:rsidP="00780CE4">
      <w:pPr>
        <w:rPr>
          <w:lang w:val="en-GB" w:eastAsia="en-GB"/>
        </w:rPr>
      </w:pPr>
      <w:r w:rsidRPr="00780CE4">
        <w:rPr>
          <w:lang w:val="en-GB" w:eastAsia="en-GB"/>
        </w:rPr>
        <w:t xml:space="preserve">A Model Scheme has been drafted and is awaiting approval from the Department of Justice and Equality and the Department of Public Expenditure and Reform. </w:t>
      </w:r>
    </w:p>
    <w:p w14:paraId="2776EE63" w14:textId="77777777" w:rsidR="00780CE4" w:rsidRPr="00780CE4" w:rsidRDefault="00780CE4" w:rsidP="00780CE4">
      <w:pPr>
        <w:rPr>
          <w:lang w:val="en-GB" w:eastAsia="en-GB"/>
        </w:rPr>
      </w:pPr>
      <w:r w:rsidRPr="00780CE4">
        <w:rPr>
          <w:lang w:val="en-GB" w:eastAsia="en-GB"/>
        </w:rPr>
        <w:t>The National Disability Authority (NDA) operates an unfunded defined benefit superannuation schemes for staff. Superannuation entitlements arising under the schemes are paid out of current income and are charged to the Income and Expenditure Account, net of employee superannuation contributions, in the year in which they become payable.</w:t>
      </w:r>
    </w:p>
    <w:p w14:paraId="18A403DD" w14:textId="77777777" w:rsidR="00421776" w:rsidRPr="00B22912" w:rsidRDefault="00780CE4" w:rsidP="00780CE4">
      <w:pPr>
        <w:rPr>
          <w:lang w:val="en-GB" w:eastAsia="en-GB"/>
        </w:rPr>
      </w:pPr>
      <w:r w:rsidRPr="00780CE4">
        <w:rPr>
          <w:lang w:val="en-GB" w:eastAsia="en-GB"/>
        </w:rPr>
        <w:t xml:space="preserve">At present staff who were formerly staff of the National Rehabilitation Board who retire receive Superannuation benefits under the terms of the Local Government Superannuation Scheme. Staff who have been employed by NDA </w:t>
      </w:r>
      <w:proofErr w:type="gramStart"/>
      <w:r w:rsidRPr="00780CE4">
        <w:rPr>
          <w:lang w:val="en-GB" w:eastAsia="en-GB"/>
        </w:rPr>
        <w:t>subsequent to</w:t>
      </w:r>
      <w:proofErr w:type="gramEnd"/>
      <w:r w:rsidRPr="00780CE4">
        <w:rPr>
          <w:lang w:val="en-GB" w:eastAsia="en-GB"/>
        </w:rPr>
        <w:t xml:space="preserve"> its establishment and who retire receive benefits in line with the terms of the Nominated Health Agencies Superannuation Scheme</w:t>
      </w:r>
      <w:r w:rsidR="00421776" w:rsidRPr="00B22912">
        <w:rPr>
          <w:lang w:val="en-GB" w:eastAsia="en-GB"/>
        </w:rPr>
        <w:t>.</w:t>
      </w:r>
    </w:p>
    <w:p w14:paraId="6734FC17" w14:textId="77777777" w:rsidR="00421776" w:rsidRDefault="00421776" w:rsidP="00BB5C89">
      <w:pPr>
        <w:pStyle w:val="Heading4"/>
        <w:rPr>
          <w:lang w:val="en-GB" w:eastAsia="en-GB"/>
        </w:rPr>
      </w:pPr>
      <w:bookmarkStart w:id="58" w:name="_Toc335836405"/>
      <w:r w:rsidRPr="00B22912">
        <w:rPr>
          <w:lang w:val="en-GB" w:eastAsia="en-GB"/>
        </w:rPr>
        <w:t>(a) Pension Scheme</w:t>
      </w:r>
      <w:bookmarkEnd w:id="58"/>
    </w:p>
    <w:p w14:paraId="76B7F125" w14:textId="77777777" w:rsidR="00780CE4" w:rsidRDefault="00780CE4" w:rsidP="00780CE4">
      <w:pPr>
        <w:pStyle w:val="NormalBeforeList"/>
        <w:rPr>
          <w:lang w:val="en-GB" w:eastAsia="en-GB"/>
        </w:rPr>
      </w:pPr>
      <w:r w:rsidRPr="00780CE4">
        <w:rPr>
          <w:lang w:val="en-GB" w:eastAsia="en-GB"/>
        </w:rPr>
        <w:t xml:space="preserve">The results set out below are based on an actuarial valuation of the liabilities in respect of the serving, retired and deceased staff of the NDA as </w:t>
      </w:r>
      <w:proofErr w:type="gramStart"/>
      <w:r w:rsidRPr="00780CE4">
        <w:rPr>
          <w:lang w:val="en-GB" w:eastAsia="en-GB"/>
        </w:rPr>
        <w:t>at</w:t>
      </w:r>
      <w:proofErr w:type="gramEnd"/>
      <w:r w:rsidRPr="00780CE4">
        <w:rPr>
          <w:lang w:val="en-GB" w:eastAsia="en-GB"/>
        </w:rPr>
        <w:t xml:space="preserve"> 31 December 2014. This valuation was carried out by a qualified independent actuary for the purposes of the accounting standard, Financial Reporting Standard No. 17 – Retirement Benefits (FRS 17).</w:t>
      </w:r>
    </w:p>
    <w:p w14:paraId="09AAFCC6" w14:textId="77777777" w:rsidR="00421776" w:rsidRDefault="00780CE4" w:rsidP="00780CE4">
      <w:pPr>
        <w:pStyle w:val="NormalBeforeList"/>
        <w:rPr>
          <w:lang w:val="en-GB" w:eastAsia="en-GB"/>
        </w:rPr>
      </w:pPr>
      <w:r w:rsidRPr="00780CE4">
        <w:rPr>
          <w:lang w:val="en-GB" w:eastAsia="en-GB"/>
        </w:rPr>
        <w:t>This valuation was carried out using the projected unit method. The financial assumptions used to calculate scheme liabilities were as follows</w:t>
      </w:r>
      <w:r w:rsidR="00421776" w:rsidRPr="00B22912">
        <w:rPr>
          <w:lang w:val="en-GB" w:eastAsia="en-G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835"/>
        <w:gridCol w:w="2043"/>
        <w:gridCol w:w="2043"/>
      </w:tblGrid>
      <w:tr w:rsidR="00780CE4" w:rsidRPr="007D6157" w14:paraId="1CA6EB16" w14:textId="77777777" w:rsidTr="00780CE4">
        <w:trPr>
          <w:tblHeader/>
        </w:trPr>
        <w:tc>
          <w:tcPr>
            <w:tcW w:w="3951" w:type="dxa"/>
            <w:vAlign w:val="bottom"/>
          </w:tcPr>
          <w:p w14:paraId="7FAFF3CB" w14:textId="77777777" w:rsidR="00780CE4" w:rsidRPr="007D6157" w:rsidRDefault="00780CE4" w:rsidP="00780CE4">
            <w:pPr>
              <w:spacing w:after="0"/>
              <w:rPr>
                <w:rFonts w:cs="Arial"/>
                <w:b/>
                <w:bCs/>
                <w:lang w:val="en-GB" w:eastAsia="en-GB"/>
              </w:rPr>
            </w:pPr>
          </w:p>
        </w:tc>
        <w:tc>
          <w:tcPr>
            <w:tcW w:w="2101" w:type="dxa"/>
            <w:vAlign w:val="bottom"/>
          </w:tcPr>
          <w:p w14:paraId="1C28B7F9" w14:textId="77777777" w:rsidR="00780CE4" w:rsidRPr="007D6157" w:rsidRDefault="00780CE4" w:rsidP="00780CE4">
            <w:pPr>
              <w:pStyle w:val="TableHead"/>
              <w:jc w:val="right"/>
              <w:rPr>
                <w:lang w:val="en-GB" w:eastAsia="en-GB"/>
              </w:rPr>
            </w:pPr>
            <w:r>
              <w:rPr>
                <w:lang w:val="en-GB" w:eastAsia="en-GB"/>
              </w:rPr>
              <w:t>2014</w:t>
            </w:r>
          </w:p>
        </w:tc>
        <w:tc>
          <w:tcPr>
            <w:tcW w:w="2101" w:type="dxa"/>
            <w:vAlign w:val="bottom"/>
          </w:tcPr>
          <w:p w14:paraId="61267D6F" w14:textId="77777777" w:rsidR="00780CE4" w:rsidRPr="007D6157" w:rsidRDefault="00780CE4" w:rsidP="00780CE4">
            <w:pPr>
              <w:pStyle w:val="TableHead"/>
              <w:jc w:val="right"/>
              <w:rPr>
                <w:lang w:val="en-GB" w:eastAsia="en-GB"/>
              </w:rPr>
            </w:pPr>
            <w:r>
              <w:rPr>
                <w:lang w:val="en-GB" w:eastAsia="en-GB"/>
              </w:rPr>
              <w:t>2013</w:t>
            </w:r>
          </w:p>
        </w:tc>
      </w:tr>
      <w:tr w:rsidR="00780CE4" w:rsidRPr="007D6157" w14:paraId="60ABC223" w14:textId="77777777" w:rsidTr="00780CE4">
        <w:tc>
          <w:tcPr>
            <w:tcW w:w="3951" w:type="dxa"/>
            <w:vAlign w:val="bottom"/>
          </w:tcPr>
          <w:p w14:paraId="4A9563B6" w14:textId="77777777" w:rsidR="00780CE4" w:rsidRPr="007D6157" w:rsidRDefault="00780CE4" w:rsidP="00D00624">
            <w:pPr>
              <w:pStyle w:val="TableRowHead"/>
              <w:rPr>
                <w:rFonts w:ascii="Gill Sans" w:hAnsi="Gill Sans"/>
                <w:sz w:val="24"/>
                <w:lang w:val="en-GB" w:eastAsia="en-GB"/>
              </w:rPr>
            </w:pPr>
            <w:r w:rsidRPr="007D6157">
              <w:rPr>
                <w:rFonts w:ascii="Gill Sans" w:hAnsi="Gill Sans"/>
                <w:sz w:val="24"/>
                <w:lang w:val="en-GB" w:eastAsia="en-GB"/>
              </w:rPr>
              <w:t>Discount Rate</w:t>
            </w:r>
          </w:p>
        </w:tc>
        <w:tc>
          <w:tcPr>
            <w:tcW w:w="2101" w:type="dxa"/>
            <w:vAlign w:val="bottom"/>
          </w:tcPr>
          <w:p w14:paraId="601F2A36" w14:textId="77777777" w:rsidR="00780CE4" w:rsidRPr="007D6157" w:rsidRDefault="00780CE4" w:rsidP="00780CE4">
            <w:pPr>
              <w:pStyle w:val="TableCell"/>
              <w:rPr>
                <w:sz w:val="24"/>
                <w:lang w:val="en-GB" w:eastAsia="en-GB"/>
              </w:rPr>
            </w:pPr>
            <w:r w:rsidRPr="007D6157">
              <w:rPr>
                <w:sz w:val="24"/>
                <w:lang w:val="en-GB" w:eastAsia="en-GB"/>
              </w:rPr>
              <w:t>5.5%</w:t>
            </w:r>
          </w:p>
        </w:tc>
        <w:tc>
          <w:tcPr>
            <w:tcW w:w="2101" w:type="dxa"/>
            <w:vAlign w:val="bottom"/>
          </w:tcPr>
          <w:p w14:paraId="26A34571" w14:textId="77777777" w:rsidR="00780CE4" w:rsidRPr="007D6157" w:rsidRDefault="00780CE4" w:rsidP="00780CE4">
            <w:pPr>
              <w:pStyle w:val="TableCell"/>
              <w:rPr>
                <w:sz w:val="24"/>
                <w:lang w:val="en-GB" w:eastAsia="en-GB"/>
              </w:rPr>
            </w:pPr>
            <w:r w:rsidRPr="007D6157">
              <w:rPr>
                <w:sz w:val="24"/>
                <w:lang w:val="en-GB" w:eastAsia="en-GB"/>
              </w:rPr>
              <w:t>5.5%</w:t>
            </w:r>
          </w:p>
        </w:tc>
      </w:tr>
      <w:tr w:rsidR="00780CE4" w:rsidRPr="007D6157" w14:paraId="0AA13DDF" w14:textId="77777777" w:rsidTr="00780CE4">
        <w:tc>
          <w:tcPr>
            <w:tcW w:w="3951" w:type="dxa"/>
            <w:vAlign w:val="bottom"/>
          </w:tcPr>
          <w:p w14:paraId="38439A7F" w14:textId="77777777" w:rsidR="00780CE4" w:rsidRPr="007D6157" w:rsidRDefault="00780CE4" w:rsidP="00780CE4">
            <w:pPr>
              <w:pStyle w:val="TableRowHead"/>
              <w:rPr>
                <w:rFonts w:ascii="Gill Sans" w:hAnsi="Gill Sans"/>
                <w:sz w:val="24"/>
                <w:lang w:val="en-GB" w:eastAsia="en-GB"/>
              </w:rPr>
            </w:pPr>
            <w:r w:rsidRPr="007D6157">
              <w:rPr>
                <w:rFonts w:ascii="Gill Sans" w:hAnsi="Gill Sans"/>
                <w:sz w:val="24"/>
                <w:lang w:val="en-GB" w:eastAsia="en-GB"/>
              </w:rPr>
              <w:t xml:space="preserve">Salary </w:t>
            </w:r>
            <w:proofErr w:type="gramStart"/>
            <w:r w:rsidRPr="007D6157">
              <w:rPr>
                <w:rFonts w:ascii="Gill Sans" w:hAnsi="Gill Sans"/>
                <w:sz w:val="24"/>
                <w:lang w:val="en-GB" w:eastAsia="en-GB"/>
              </w:rPr>
              <w:t>increase</w:t>
            </w:r>
            <w:proofErr w:type="gramEnd"/>
            <w:r w:rsidRPr="007D6157">
              <w:rPr>
                <w:rFonts w:ascii="Gill Sans" w:hAnsi="Gill Sans"/>
                <w:sz w:val="24"/>
                <w:lang w:val="en-GB" w:eastAsia="en-GB"/>
              </w:rPr>
              <w:t xml:space="preserve"> assumption</w:t>
            </w:r>
          </w:p>
        </w:tc>
        <w:tc>
          <w:tcPr>
            <w:tcW w:w="2101" w:type="dxa"/>
            <w:vAlign w:val="bottom"/>
          </w:tcPr>
          <w:p w14:paraId="148AD58D" w14:textId="77777777" w:rsidR="00780CE4" w:rsidRPr="007D6157" w:rsidRDefault="00780CE4" w:rsidP="00780CE4">
            <w:pPr>
              <w:pStyle w:val="TableCell"/>
              <w:rPr>
                <w:sz w:val="24"/>
                <w:lang w:val="en-GB" w:eastAsia="en-GB"/>
              </w:rPr>
            </w:pPr>
            <w:r w:rsidRPr="007D6157">
              <w:rPr>
                <w:sz w:val="24"/>
                <w:lang w:val="en-GB" w:eastAsia="en-GB"/>
              </w:rPr>
              <w:t>4%</w:t>
            </w:r>
          </w:p>
        </w:tc>
        <w:tc>
          <w:tcPr>
            <w:tcW w:w="2101" w:type="dxa"/>
            <w:vAlign w:val="bottom"/>
          </w:tcPr>
          <w:p w14:paraId="2D2F4CC7" w14:textId="77777777" w:rsidR="00780CE4" w:rsidRPr="007D6157" w:rsidRDefault="00780CE4" w:rsidP="00780CE4">
            <w:pPr>
              <w:pStyle w:val="TableCell"/>
              <w:rPr>
                <w:sz w:val="24"/>
                <w:lang w:val="en-GB" w:eastAsia="en-GB"/>
              </w:rPr>
            </w:pPr>
            <w:r w:rsidRPr="007D6157">
              <w:rPr>
                <w:sz w:val="24"/>
                <w:lang w:val="en-GB" w:eastAsia="en-GB"/>
              </w:rPr>
              <w:t>4%</w:t>
            </w:r>
          </w:p>
        </w:tc>
      </w:tr>
      <w:tr w:rsidR="00780CE4" w:rsidRPr="007D6157" w14:paraId="6B329EE7" w14:textId="77777777" w:rsidTr="00780CE4">
        <w:tc>
          <w:tcPr>
            <w:tcW w:w="3951" w:type="dxa"/>
            <w:vAlign w:val="bottom"/>
          </w:tcPr>
          <w:p w14:paraId="66CF43BD" w14:textId="77777777" w:rsidR="00780CE4" w:rsidRPr="007D6157" w:rsidRDefault="00780CE4" w:rsidP="00780CE4">
            <w:pPr>
              <w:pStyle w:val="TableRowHead"/>
              <w:rPr>
                <w:rFonts w:ascii="Gill Sans" w:hAnsi="Gill Sans"/>
                <w:sz w:val="24"/>
                <w:lang w:val="en-GB" w:eastAsia="en-GB"/>
              </w:rPr>
            </w:pPr>
            <w:r w:rsidRPr="007D6157">
              <w:rPr>
                <w:rFonts w:ascii="Gill Sans" w:hAnsi="Gill Sans"/>
                <w:sz w:val="24"/>
                <w:lang w:val="en-GB" w:eastAsia="en-GB"/>
              </w:rPr>
              <w:t>Pension increase assumption</w:t>
            </w:r>
          </w:p>
        </w:tc>
        <w:tc>
          <w:tcPr>
            <w:tcW w:w="2101" w:type="dxa"/>
            <w:vAlign w:val="bottom"/>
          </w:tcPr>
          <w:p w14:paraId="38669E8D" w14:textId="77777777" w:rsidR="00780CE4" w:rsidRPr="007D6157" w:rsidRDefault="00780CE4" w:rsidP="00780CE4">
            <w:pPr>
              <w:pStyle w:val="TableCell"/>
              <w:rPr>
                <w:sz w:val="24"/>
                <w:lang w:val="en-GB" w:eastAsia="en-GB"/>
              </w:rPr>
            </w:pPr>
            <w:r w:rsidRPr="007D6157">
              <w:rPr>
                <w:sz w:val="24"/>
                <w:lang w:val="en-GB" w:eastAsia="en-GB"/>
              </w:rPr>
              <w:t>4%</w:t>
            </w:r>
          </w:p>
        </w:tc>
        <w:tc>
          <w:tcPr>
            <w:tcW w:w="2101" w:type="dxa"/>
            <w:vAlign w:val="bottom"/>
          </w:tcPr>
          <w:p w14:paraId="53DD487C" w14:textId="77777777" w:rsidR="00780CE4" w:rsidRPr="007D6157" w:rsidRDefault="00780CE4" w:rsidP="00780CE4">
            <w:pPr>
              <w:pStyle w:val="TableCell"/>
              <w:rPr>
                <w:sz w:val="24"/>
                <w:lang w:val="en-GB" w:eastAsia="en-GB"/>
              </w:rPr>
            </w:pPr>
            <w:r w:rsidRPr="007D6157">
              <w:rPr>
                <w:sz w:val="24"/>
                <w:lang w:val="en-GB" w:eastAsia="en-GB"/>
              </w:rPr>
              <w:t>4%</w:t>
            </w:r>
          </w:p>
        </w:tc>
      </w:tr>
      <w:tr w:rsidR="00780CE4" w:rsidRPr="007D6157" w14:paraId="48B74165" w14:textId="77777777" w:rsidTr="00780CE4">
        <w:tc>
          <w:tcPr>
            <w:tcW w:w="3951" w:type="dxa"/>
            <w:vAlign w:val="bottom"/>
          </w:tcPr>
          <w:p w14:paraId="1006E64D" w14:textId="77777777" w:rsidR="00780CE4" w:rsidRPr="007D6157" w:rsidRDefault="00780CE4" w:rsidP="00780CE4">
            <w:pPr>
              <w:pStyle w:val="TableRowHead"/>
              <w:rPr>
                <w:rFonts w:ascii="Gill Sans" w:hAnsi="Gill Sans"/>
                <w:sz w:val="24"/>
                <w:lang w:val="en-GB" w:eastAsia="en-GB"/>
              </w:rPr>
            </w:pPr>
            <w:r w:rsidRPr="007D6157">
              <w:rPr>
                <w:rFonts w:ascii="Gill Sans" w:hAnsi="Gill Sans"/>
                <w:sz w:val="24"/>
                <w:lang w:val="en-GB" w:eastAsia="en-GB"/>
              </w:rPr>
              <w:t>Price inflation</w:t>
            </w:r>
          </w:p>
        </w:tc>
        <w:tc>
          <w:tcPr>
            <w:tcW w:w="2101" w:type="dxa"/>
            <w:vAlign w:val="bottom"/>
          </w:tcPr>
          <w:p w14:paraId="73BDDE7A" w14:textId="77777777" w:rsidR="00780CE4" w:rsidRPr="007D6157" w:rsidRDefault="00780CE4" w:rsidP="00780CE4">
            <w:pPr>
              <w:pStyle w:val="TableCell"/>
              <w:rPr>
                <w:sz w:val="24"/>
                <w:lang w:val="en-GB" w:eastAsia="en-GB"/>
              </w:rPr>
            </w:pPr>
            <w:r w:rsidRPr="007D6157">
              <w:rPr>
                <w:sz w:val="24"/>
                <w:lang w:val="en-GB" w:eastAsia="en-GB"/>
              </w:rPr>
              <w:t>2%</w:t>
            </w:r>
          </w:p>
        </w:tc>
        <w:tc>
          <w:tcPr>
            <w:tcW w:w="2101" w:type="dxa"/>
            <w:vAlign w:val="bottom"/>
          </w:tcPr>
          <w:p w14:paraId="560CEB99" w14:textId="77777777" w:rsidR="00780CE4" w:rsidRPr="007D6157" w:rsidRDefault="00780CE4" w:rsidP="00780CE4">
            <w:pPr>
              <w:pStyle w:val="TableCell"/>
              <w:rPr>
                <w:sz w:val="24"/>
                <w:lang w:val="en-GB" w:eastAsia="en-GB"/>
              </w:rPr>
            </w:pPr>
            <w:r w:rsidRPr="007D6157">
              <w:rPr>
                <w:sz w:val="24"/>
                <w:lang w:val="en-GB" w:eastAsia="en-GB"/>
              </w:rPr>
              <w:t>2%</w:t>
            </w:r>
          </w:p>
        </w:tc>
      </w:tr>
    </w:tbl>
    <w:p w14:paraId="3954A05A" w14:textId="77777777" w:rsidR="00421776" w:rsidRDefault="00421776" w:rsidP="00421776">
      <w:r>
        <w:br/>
      </w:r>
      <w:r w:rsidRPr="007D6157">
        <w:t>As the NDA schemes are unfunded, there are no assets held in respect of accrued pension liabilities of the NDA staff.</w:t>
      </w:r>
    </w:p>
    <w:p w14:paraId="7E985C4E" w14:textId="77777777" w:rsidR="00421776" w:rsidRPr="00826690" w:rsidRDefault="00421776" w:rsidP="00BB5C89">
      <w:pPr>
        <w:pStyle w:val="Heading4"/>
        <w:rPr>
          <w:lang w:val="en-GB" w:eastAsia="en-GB"/>
        </w:rPr>
      </w:pPr>
      <w:r w:rsidRPr="0038720A">
        <w:rPr>
          <w:lang w:val="en-GB" w:eastAsia="en-GB"/>
        </w:rPr>
        <w:t>(</w:t>
      </w:r>
      <w:r w:rsidRPr="00E74EBC">
        <w:rPr>
          <w:lang w:val="en-GB" w:eastAsia="en-GB"/>
        </w:rPr>
        <w:t xml:space="preserve">b) Net Deferred Funding </w:t>
      </w:r>
      <w:proofErr w:type="gramStart"/>
      <w:r w:rsidRPr="00E74EBC">
        <w:rPr>
          <w:lang w:val="en-GB" w:eastAsia="en-GB"/>
        </w:rPr>
        <w:t>For</w:t>
      </w:r>
      <w:proofErr w:type="gramEnd"/>
      <w:r w:rsidRPr="00E74EBC">
        <w:rPr>
          <w:lang w:val="en-GB" w:eastAsia="en-GB"/>
        </w:rPr>
        <w:t xml:space="preserve"> Pensions </w:t>
      </w:r>
      <w:r w:rsidR="0098479B" w:rsidRPr="00E74EBC">
        <w:rPr>
          <w:lang w:val="en-GB" w:eastAsia="en-GB"/>
        </w:rPr>
        <w:t>in</w:t>
      </w:r>
      <w:r w:rsidRPr="00E74EBC">
        <w:rPr>
          <w:lang w:val="en-GB" w:eastAsia="en-GB"/>
        </w:rPr>
        <w:t xml:space="preserve"> Year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223"/>
        <w:gridCol w:w="1349"/>
        <w:gridCol w:w="1349"/>
      </w:tblGrid>
      <w:tr w:rsidR="00780CE4" w:rsidRPr="00826690" w14:paraId="3037C066" w14:textId="77777777" w:rsidTr="00780CE4">
        <w:trPr>
          <w:tblHeader/>
        </w:trPr>
        <w:tc>
          <w:tcPr>
            <w:tcW w:w="5383" w:type="dxa"/>
            <w:shd w:val="clear" w:color="auto" w:fill="auto"/>
          </w:tcPr>
          <w:p w14:paraId="361A24B5" w14:textId="77777777" w:rsidR="00780CE4" w:rsidRPr="00826690" w:rsidRDefault="00780CE4" w:rsidP="00780CE4">
            <w:pPr>
              <w:pStyle w:val="TableHead"/>
              <w:keepLines/>
              <w:jc w:val="right"/>
              <w:rPr>
                <w:lang w:val="en-GB" w:eastAsia="en-GB"/>
              </w:rPr>
            </w:pPr>
          </w:p>
        </w:tc>
        <w:tc>
          <w:tcPr>
            <w:tcW w:w="1385" w:type="dxa"/>
            <w:shd w:val="clear" w:color="auto" w:fill="auto"/>
          </w:tcPr>
          <w:p w14:paraId="23FEFDB6" w14:textId="77777777" w:rsidR="00780CE4" w:rsidRPr="00246162" w:rsidRDefault="00780CE4" w:rsidP="00780CE4">
            <w:pPr>
              <w:pStyle w:val="TableHead"/>
              <w:keepLines/>
              <w:jc w:val="center"/>
              <w:rPr>
                <w:sz w:val="24"/>
              </w:rPr>
            </w:pPr>
            <w:r w:rsidRPr="00246162">
              <w:rPr>
                <w:sz w:val="24"/>
              </w:rPr>
              <w:t>201</w:t>
            </w:r>
            <w:r>
              <w:rPr>
                <w:sz w:val="24"/>
              </w:rPr>
              <w:t>4</w:t>
            </w:r>
          </w:p>
        </w:tc>
        <w:tc>
          <w:tcPr>
            <w:tcW w:w="1385" w:type="dxa"/>
            <w:shd w:val="clear" w:color="auto" w:fill="auto"/>
          </w:tcPr>
          <w:p w14:paraId="0857ED50" w14:textId="77777777" w:rsidR="00780CE4" w:rsidRPr="00246162" w:rsidRDefault="00780CE4" w:rsidP="00780CE4">
            <w:pPr>
              <w:pStyle w:val="TableHead"/>
              <w:keepLines/>
              <w:jc w:val="center"/>
              <w:rPr>
                <w:sz w:val="24"/>
              </w:rPr>
            </w:pPr>
            <w:r>
              <w:rPr>
                <w:sz w:val="24"/>
              </w:rPr>
              <w:t>2013</w:t>
            </w:r>
          </w:p>
        </w:tc>
      </w:tr>
      <w:tr w:rsidR="00780CE4" w:rsidRPr="00826690" w14:paraId="2D8FBB59" w14:textId="77777777" w:rsidTr="00780CE4">
        <w:tc>
          <w:tcPr>
            <w:tcW w:w="5383" w:type="dxa"/>
            <w:shd w:val="clear" w:color="auto" w:fill="auto"/>
          </w:tcPr>
          <w:p w14:paraId="65DCD495" w14:textId="77777777" w:rsidR="00780CE4" w:rsidRPr="00826690" w:rsidRDefault="00780CE4" w:rsidP="00780CE4">
            <w:pPr>
              <w:pStyle w:val="TableRowHead"/>
              <w:keepNext w:val="0"/>
              <w:keepLines/>
              <w:rPr>
                <w:lang w:val="en-GB" w:eastAsia="en-GB"/>
              </w:rPr>
            </w:pPr>
          </w:p>
        </w:tc>
        <w:tc>
          <w:tcPr>
            <w:tcW w:w="1385" w:type="dxa"/>
            <w:shd w:val="clear" w:color="auto" w:fill="auto"/>
            <w:vAlign w:val="bottom"/>
          </w:tcPr>
          <w:p w14:paraId="63D43590" w14:textId="77777777" w:rsidR="00780CE4" w:rsidRPr="00B22912" w:rsidRDefault="00780CE4" w:rsidP="00780CE4">
            <w:pPr>
              <w:keepLines/>
              <w:spacing w:after="0"/>
              <w:jc w:val="center"/>
              <w:rPr>
                <w:rFonts w:cs="Arial"/>
                <w:b/>
                <w:bCs/>
                <w:sz w:val="22"/>
                <w:szCs w:val="22"/>
                <w:lang w:val="en-GB" w:eastAsia="en-GB"/>
              </w:rPr>
            </w:pPr>
            <w:r w:rsidRPr="00B22912">
              <w:rPr>
                <w:rFonts w:cs="Arial"/>
                <w:b/>
                <w:bCs/>
                <w:sz w:val="22"/>
                <w:szCs w:val="22"/>
                <w:lang w:val="en-GB" w:eastAsia="en-GB"/>
              </w:rPr>
              <w:t>€</w:t>
            </w:r>
          </w:p>
        </w:tc>
        <w:tc>
          <w:tcPr>
            <w:tcW w:w="1385" w:type="dxa"/>
            <w:shd w:val="clear" w:color="auto" w:fill="auto"/>
            <w:vAlign w:val="bottom"/>
          </w:tcPr>
          <w:p w14:paraId="5F17C28E" w14:textId="77777777" w:rsidR="00780CE4" w:rsidRPr="00B22912" w:rsidRDefault="00780CE4" w:rsidP="00780CE4">
            <w:pPr>
              <w:keepLines/>
              <w:spacing w:after="0"/>
              <w:jc w:val="center"/>
              <w:rPr>
                <w:rFonts w:cs="Arial"/>
                <w:b/>
                <w:bCs/>
                <w:sz w:val="22"/>
                <w:szCs w:val="22"/>
                <w:lang w:val="en-GB" w:eastAsia="en-GB"/>
              </w:rPr>
            </w:pPr>
            <w:r w:rsidRPr="00B22912">
              <w:rPr>
                <w:rFonts w:cs="Arial"/>
                <w:b/>
                <w:bCs/>
                <w:sz w:val="22"/>
                <w:szCs w:val="22"/>
                <w:lang w:val="en-GB" w:eastAsia="en-GB"/>
              </w:rPr>
              <w:t>€</w:t>
            </w:r>
          </w:p>
        </w:tc>
      </w:tr>
      <w:tr w:rsidR="00780CE4" w:rsidRPr="00826690" w14:paraId="7DE450BF" w14:textId="77777777" w:rsidTr="00780CE4">
        <w:tc>
          <w:tcPr>
            <w:tcW w:w="5383" w:type="dxa"/>
            <w:shd w:val="clear" w:color="auto" w:fill="auto"/>
            <w:vAlign w:val="bottom"/>
          </w:tcPr>
          <w:p w14:paraId="7E12FF2C" w14:textId="77777777" w:rsidR="00780CE4" w:rsidRPr="00246162" w:rsidRDefault="00780CE4" w:rsidP="00780CE4">
            <w:pPr>
              <w:pStyle w:val="TableRowHead"/>
              <w:keepNext w:val="0"/>
              <w:keepLines/>
              <w:rPr>
                <w:rFonts w:ascii="Gill Sans" w:hAnsi="Gill Sans"/>
                <w:sz w:val="24"/>
                <w:lang w:val="en-GB" w:eastAsia="en-GB"/>
              </w:rPr>
            </w:pPr>
            <w:r w:rsidRPr="00246162">
              <w:rPr>
                <w:rFonts w:ascii="Gill Sans" w:hAnsi="Gill Sans"/>
                <w:sz w:val="24"/>
                <w:lang w:val="en-GB" w:eastAsia="en-GB"/>
              </w:rPr>
              <w:t>Funding recoverable in respect of current year pension costs</w:t>
            </w:r>
          </w:p>
        </w:tc>
        <w:tc>
          <w:tcPr>
            <w:tcW w:w="1385" w:type="dxa"/>
            <w:shd w:val="clear" w:color="auto" w:fill="auto"/>
            <w:vAlign w:val="bottom"/>
          </w:tcPr>
          <w:p w14:paraId="39D443E1" w14:textId="77777777" w:rsidR="00780CE4" w:rsidRPr="00092A32" w:rsidRDefault="00780CE4" w:rsidP="00780CE4">
            <w:pPr>
              <w:pStyle w:val="TableCell"/>
              <w:rPr>
                <w:sz w:val="24"/>
                <w:lang w:val="en-GB" w:eastAsia="en-GB"/>
              </w:rPr>
            </w:pPr>
            <w:r>
              <w:rPr>
                <w:sz w:val="24"/>
                <w:lang w:val="en-GB" w:eastAsia="en-GB"/>
              </w:rPr>
              <w:t>1,340,000</w:t>
            </w:r>
          </w:p>
        </w:tc>
        <w:tc>
          <w:tcPr>
            <w:tcW w:w="1385" w:type="dxa"/>
            <w:shd w:val="clear" w:color="auto" w:fill="auto"/>
            <w:vAlign w:val="bottom"/>
          </w:tcPr>
          <w:p w14:paraId="1F3CE32F" w14:textId="77777777" w:rsidR="00780CE4" w:rsidRPr="00092A32" w:rsidRDefault="00780CE4" w:rsidP="00780CE4">
            <w:pPr>
              <w:pStyle w:val="TableCell"/>
              <w:rPr>
                <w:sz w:val="24"/>
                <w:lang w:val="en-GB" w:eastAsia="en-GB"/>
              </w:rPr>
            </w:pPr>
            <w:r w:rsidRPr="00092A32">
              <w:rPr>
                <w:sz w:val="24"/>
                <w:lang w:val="en-GB" w:eastAsia="en-GB"/>
              </w:rPr>
              <w:t>1,</w:t>
            </w:r>
            <w:r>
              <w:rPr>
                <w:sz w:val="24"/>
                <w:lang w:val="en-GB" w:eastAsia="en-GB"/>
              </w:rPr>
              <w:t>37</w:t>
            </w:r>
            <w:r w:rsidRPr="00092A32">
              <w:rPr>
                <w:sz w:val="24"/>
                <w:lang w:val="en-GB" w:eastAsia="en-GB"/>
              </w:rPr>
              <w:t xml:space="preserve">0,000 </w:t>
            </w:r>
          </w:p>
        </w:tc>
      </w:tr>
      <w:tr w:rsidR="00780CE4" w:rsidRPr="00826690" w14:paraId="3DA78EA6" w14:textId="77777777" w:rsidTr="00780CE4">
        <w:tc>
          <w:tcPr>
            <w:tcW w:w="5383" w:type="dxa"/>
            <w:shd w:val="clear" w:color="auto" w:fill="auto"/>
            <w:vAlign w:val="bottom"/>
          </w:tcPr>
          <w:p w14:paraId="3AFAA4F3" w14:textId="77777777" w:rsidR="00780CE4" w:rsidRPr="00246162" w:rsidRDefault="00780CE4" w:rsidP="00780CE4">
            <w:pPr>
              <w:pStyle w:val="TableRowHead"/>
              <w:keepNext w:val="0"/>
              <w:keepLines/>
              <w:rPr>
                <w:rFonts w:ascii="Gill Sans" w:hAnsi="Gill Sans"/>
                <w:sz w:val="24"/>
                <w:lang w:val="en-GB" w:eastAsia="en-GB"/>
              </w:rPr>
            </w:pPr>
            <w:r w:rsidRPr="00246162">
              <w:rPr>
                <w:rFonts w:ascii="Gill Sans" w:hAnsi="Gill Sans"/>
                <w:sz w:val="24"/>
                <w:lang w:val="en-GB" w:eastAsia="en-GB"/>
              </w:rPr>
              <w:lastRenderedPageBreak/>
              <w:t>State Grant applied to pay pensioners</w:t>
            </w:r>
          </w:p>
        </w:tc>
        <w:tc>
          <w:tcPr>
            <w:tcW w:w="1385" w:type="dxa"/>
            <w:shd w:val="clear" w:color="auto" w:fill="auto"/>
            <w:vAlign w:val="bottom"/>
          </w:tcPr>
          <w:p w14:paraId="3C96D7F8" w14:textId="77777777" w:rsidR="00780CE4" w:rsidRPr="00092A32" w:rsidRDefault="00780CE4" w:rsidP="00780CE4">
            <w:pPr>
              <w:pStyle w:val="TableCell"/>
              <w:rPr>
                <w:sz w:val="24"/>
                <w:lang w:val="en-GB" w:eastAsia="en-GB"/>
              </w:rPr>
            </w:pPr>
            <w:r>
              <w:rPr>
                <w:sz w:val="24"/>
                <w:lang w:val="en-GB" w:eastAsia="en-GB"/>
              </w:rPr>
              <w:t>(562,000)</w:t>
            </w:r>
          </w:p>
        </w:tc>
        <w:tc>
          <w:tcPr>
            <w:tcW w:w="1385" w:type="dxa"/>
            <w:shd w:val="clear" w:color="auto" w:fill="auto"/>
            <w:vAlign w:val="bottom"/>
          </w:tcPr>
          <w:p w14:paraId="01E808D5" w14:textId="77777777" w:rsidR="00780CE4" w:rsidRPr="00092A32" w:rsidRDefault="00780CE4" w:rsidP="00780CE4">
            <w:pPr>
              <w:pStyle w:val="TableCell"/>
              <w:rPr>
                <w:sz w:val="24"/>
                <w:lang w:val="en-GB" w:eastAsia="en-GB"/>
              </w:rPr>
            </w:pPr>
            <w:r w:rsidRPr="00092A32">
              <w:rPr>
                <w:sz w:val="24"/>
                <w:lang w:val="en-GB" w:eastAsia="en-GB"/>
              </w:rPr>
              <w:t>(</w:t>
            </w:r>
            <w:r>
              <w:rPr>
                <w:sz w:val="24"/>
                <w:lang w:val="en-GB" w:eastAsia="en-GB"/>
              </w:rPr>
              <w:t>555</w:t>
            </w:r>
            <w:r w:rsidRPr="00092A32">
              <w:rPr>
                <w:sz w:val="24"/>
                <w:lang w:val="en-GB" w:eastAsia="en-GB"/>
              </w:rPr>
              <w:t>,</w:t>
            </w:r>
            <w:r>
              <w:rPr>
                <w:sz w:val="24"/>
                <w:lang w:val="en-GB" w:eastAsia="en-GB"/>
              </w:rPr>
              <w:t>000</w:t>
            </w:r>
            <w:r w:rsidRPr="00092A32">
              <w:rPr>
                <w:sz w:val="24"/>
                <w:lang w:val="en-GB" w:eastAsia="en-GB"/>
              </w:rPr>
              <w:t>)</w:t>
            </w:r>
          </w:p>
        </w:tc>
      </w:tr>
      <w:tr w:rsidR="00780CE4" w:rsidRPr="00826690" w14:paraId="1E03FF4D" w14:textId="77777777" w:rsidTr="00780CE4">
        <w:tc>
          <w:tcPr>
            <w:tcW w:w="5383" w:type="dxa"/>
            <w:shd w:val="clear" w:color="auto" w:fill="auto"/>
          </w:tcPr>
          <w:p w14:paraId="601843C8" w14:textId="77777777" w:rsidR="00780CE4" w:rsidRPr="00246162" w:rsidRDefault="00780CE4" w:rsidP="00780CE4">
            <w:pPr>
              <w:pStyle w:val="TableRowHead"/>
              <w:keepNext w:val="0"/>
              <w:keepLines/>
              <w:rPr>
                <w:rFonts w:ascii="Gill Sans" w:hAnsi="Gill Sans"/>
                <w:sz w:val="24"/>
                <w:lang w:val="en-GB" w:eastAsia="en-GB"/>
              </w:rPr>
            </w:pPr>
          </w:p>
        </w:tc>
        <w:tc>
          <w:tcPr>
            <w:tcW w:w="1385" w:type="dxa"/>
            <w:shd w:val="clear" w:color="auto" w:fill="auto"/>
            <w:vAlign w:val="bottom"/>
          </w:tcPr>
          <w:p w14:paraId="1DED3975" w14:textId="77777777" w:rsidR="00780CE4" w:rsidRPr="00092A32" w:rsidRDefault="00780CE4" w:rsidP="00780CE4">
            <w:pPr>
              <w:pStyle w:val="TableCell"/>
              <w:rPr>
                <w:sz w:val="24"/>
                <w:lang w:val="en-GB" w:eastAsia="en-GB"/>
              </w:rPr>
            </w:pPr>
            <w:r>
              <w:rPr>
                <w:sz w:val="24"/>
                <w:lang w:val="en-GB" w:eastAsia="en-GB"/>
              </w:rPr>
              <w:t>778,000</w:t>
            </w:r>
          </w:p>
        </w:tc>
        <w:tc>
          <w:tcPr>
            <w:tcW w:w="1385" w:type="dxa"/>
            <w:shd w:val="clear" w:color="auto" w:fill="auto"/>
            <w:vAlign w:val="bottom"/>
          </w:tcPr>
          <w:p w14:paraId="30C20343" w14:textId="77777777" w:rsidR="00780CE4" w:rsidRPr="00092A32" w:rsidRDefault="00780CE4" w:rsidP="00780CE4">
            <w:pPr>
              <w:pStyle w:val="TableCell"/>
              <w:rPr>
                <w:sz w:val="24"/>
                <w:lang w:val="en-GB" w:eastAsia="en-GB"/>
              </w:rPr>
            </w:pPr>
            <w:r>
              <w:rPr>
                <w:sz w:val="24"/>
                <w:lang w:val="en-GB" w:eastAsia="en-GB"/>
              </w:rPr>
              <w:t>815,000</w:t>
            </w:r>
            <w:r w:rsidRPr="00092A32">
              <w:rPr>
                <w:sz w:val="24"/>
                <w:lang w:val="en-GB" w:eastAsia="en-GB"/>
              </w:rPr>
              <w:t xml:space="preserve"> </w:t>
            </w:r>
          </w:p>
        </w:tc>
      </w:tr>
    </w:tbl>
    <w:p w14:paraId="1A65FE46" w14:textId="77777777" w:rsidR="00421776" w:rsidRPr="0038720A" w:rsidRDefault="00421776" w:rsidP="00BB5C89">
      <w:pPr>
        <w:pStyle w:val="Heading4"/>
      </w:pPr>
      <w:r w:rsidRPr="0038720A">
        <w:rPr>
          <w:lang w:val="en-GB" w:eastAsia="en-GB"/>
        </w:rPr>
        <w:t>(c) Analysis of the amount charged to operating profit under FRS</w:t>
      </w:r>
      <w:r w:rsidR="00BB5C89">
        <w:rPr>
          <w:lang w:val="en-GB" w:eastAsia="en-GB"/>
        </w:rPr>
        <w:t> </w:t>
      </w:r>
      <w:r w:rsidRPr="0038720A">
        <w:rPr>
          <w:lang w:val="en-GB" w:eastAsia="en-GB"/>
        </w:rPr>
        <w:t>17</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425"/>
        <w:gridCol w:w="1748"/>
        <w:gridCol w:w="1748"/>
      </w:tblGrid>
      <w:tr w:rsidR="00780CE4" w:rsidRPr="00826690" w14:paraId="08BDA699" w14:textId="77777777" w:rsidTr="00780CE4">
        <w:tc>
          <w:tcPr>
            <w:tcW w:w="4559" w:type="dxa"/>
            <w:shd w:val="clear" w:color="auto" w:fill="auto"/>
          </w:tcPr>
          <w:p w14:paraId="55D879FA" w14:textId="77777777" w:rsidR="00780CE4" w:rsidRPr="0013007A" w:rsidRDefault="00780CE4" w:rsidP="00780CE4">
            <w:pPr>
              <w:pStyle w:val="TableRowHead"/>
              <w:rPr>
                <w:sz w:val="22"/>
                <w:szCs w:val="22"/>
                <w:lang w:val="en-GB" w:eastAsia="en-GB"/>
              </w:rPr>
            </w:pPr>
          </w:p>
        </w:tc>
        <w:tc>
          <w:tcPr>
            <w:tcW w:w="1797" w:type="dxa"/>
            <w:shd w:val="clear" w:color="auto" w:fill="auto"/>
          </w:tcPr>
          <w:p w14:paraId="6CCC4EA6" w14:textId="77777777" w:rsidR="00780CE4" w:rsidRPr="00246162" w:rsidRDefault="00780CE4" w:rsidP="00780CE4">
            <w:pPr>
              <w:pStyle w:val="TableHead"/>
              <w:keepLines/>
              <w:jc w:val="right"/>
              <w:rPr>
                <w:sz w:val="24"/>
              </w:rPr>
            </w:pPr>
            <w:r w:rsidRPr="00246162">
              <w:rPr>
                <w:sz w:val="24"/>
              </w:rPr>
              <w:t>201</w:t>
            </w:r>
            <w:r>
              <w:rPr>
                <w:sz w:val="24"/>
              </w:rPr>
              <w:t>4</w:t>
            </w:r>
          </w:p>
        </w:tc>
        <w:tc>
          <w:tcPr>
            <w:tcW w:w="1797" w:type="dxa"/>
            <w:shd w:val="clear" w:color="auto" w:fill="auto"/>
          </w:tcPr>
          <w:p w14:paraId="74F2268B" w14:textId="77777777" w:rsidR="00780CE4" w:rsidRPr="00246162" w:rsidRDefault="00780CE4" w:rsidP="00780CE4">
            <w:pPr>
              <w:pStyle w:val="TableHead"/>
              <w:keepLines/>
              <w:jc w:val="right"/>
              <w:rPr>
                <w:sz w:val="24"/>
              </w:rPr>
            </w:pPr>
            <w:r w:rsidRPr="00246162">
              <w:rPr>
                <w:sz w:val="24"/>
              </w:rPr>
              <w:t>201</w:t>
            </w:r>
            <w:r>
              <w:rPr>
                <w:sz w:val="24"/>
              </w:rPr>
              <w:t>3</w:t>
            </w:r>
          </w:p>
        </w:tc>
      </w:tr>
      <w:tr w:rsidR="00780CE4" w:rsidRPr="00826690" w14:paraId="6379F70A" w14:textId="77777777" w:rsidTr="00780CE4">
        <w:tc>
          <w:tcPr>
            <w:tcW w:w="4559" w:type="dxa"/>
            <w:shd w:val="clear" w:color="auto" w:fill="auto"/>
          </w:tcPr>
          <w:p w14:paraId="6EACF80C" w14:textId="77777777" w:rsidR="00780CE4" w:rsidRPr="0013007A" w:rsidRDefault="00780CE4" w:rsidP="00780CE4">
            <w:pPr>
              <w:pStyle w:val="TableRowHead"/>
              <w:rPr>
                <w:sz w:val="22"/>
                <w:szCs w:val="22"/>
                <w:lang w:val="en-GB" w:eastAsia="en-GB"/>
              </w:rPr>
            </w:pPr>
          </w:p>
        </w:tc>
        <w:tc>
          <w:tcPr>
            <w:tcW w:w="1797" w:type="dxa"/>
            <w:shd w:val="clear" w:color="auto" w:fill="auto"/>
            <w:vAlign w:val="bottom"/>
          </w:tcPr>
          <w:p w14:paraId="7CB4D499" w14:textId="77777777" w:rsidR="00780CE4" w:rsidRPr="0013007A" w:rsidRDefault="00780CE4" w:rsidP="00D00624">
            <w:pPr>
              <w:spacing w:after="0"/>
              <w:jc w:val="right"/>
              <w:rPr>
                <w:rFonts w:cs="Arial"/>
                <w:b/>
                <w:bCs/>
                <w:sz w:val="22"/>
                <w:szCs w:val="22"/>
                <w:lang w:val="en-GB" w:eastAsia="en-GB"/>
              </w:rPr>
            </w:pPr>
            <w:r w:rsidRPr="0013007A">
              <w:rPr>
                <w:rFonts w:cs="Arial"/>
                <w:b/>
                <w:bCs/>
                <w:sz w:val="22"/>
                <w:szCs w:val="22"/>
                <w:lang w:val="en-GB" w:eastAsia="en-GB"/>
              </w:rPr>
              <w:t>€</w:t>
            </w:r>
          </w:p>
        </w:tc>
        <w:tc>
          <w:tcPr>
            <w:tcW w:w="1797" w:type="dxa"/>
            <w:shd w:val="clear" w:color="auto" w:fill="auto"/>
            <w:vAlign w:val="bottom"/>
          </w:tcPr>
          <w:p w14:paraId="404CF5AE" w14:textId="77777777" w:rsidR="00780CE4" w:rsidRPr="0013007A" w:rsidRDefault="00780CE4" w:rsidP="00780CE4">
            <w:pPr>
              <w:spacing w:after="0"/>
              <w:jc w:val="right"/>
              <w:rPr>
                <w:rFonts w:cs="Arial"/>
                <w:b/>
                <w:bCs/>
                <w:sz w:val="22"/>
                <w:szCs w:val="22"/>
                <w:lang w:val="en-GB" w:eastAsia="en-GB"/>
              </w:rPr>
            </w:pPr>
            <w:r w:rsidRPr="0013007A">
              <w:rPr>
                <w:rFonts w:cs="Arial"/>
                <w:b/>
                <w:bCs/>
                <w:sz w:val="22"/>
                <w:szCs w:val="22"/>
                <w:lang w:val="en-GB" w:eastAsia="en-GB"/>
              </w:rPr>
              <w:t>€</w:t>
            </w:r>
          </w:p>
        </w:tc>
      </w:tr>
      <w:tr w:rsidR="00780CE4" w:rsidRPr="00826690" w14:paraId="012BD699" w14:textId="77777777" w:rsidTr="00780CE4">
        <w:tc>
          <w:tcPr>
            <w:tcW w:w="4559" w:type="dxa"/>
            <w:shd w:val="clear" w:color="auto" w:fill="auto"/>
            <w:vAlign w:val="bottom"/>
          </w:tcPr>
          <w:p w14:paraId="59072AE0" w14:textId="77777777" w:rsidR="00780CE4" w:rsidRPr="00246162" w:rsidRDefault="00780CE4" w:rsidP="00780CE4">
            <w:pPr>
              <w:pStyle w:val="TableRowHead"/>
              <w:rPr>
                <w:rFonts w:ascii="Gill Sans" w:hAnsi="Gill Sans"/>
                <w:sz w:val="24"/>
                <w:lang w:val="en-GB" w:eastAsia="en-GB"/>
              </w:rPr>
            </w:pPr>
            <w:r w:rsidRPr="00246162">
              <w:rPr>
                <w:rFonts w:ascii="Gill Sans" w:hAnsi="Gill Sans"/>
                <w:sz w:val="24"/>
                <w:lang w:val="en-GB" w:eastAsia="en-GB"/>
              </w:rPr>
              <w:t>Current service cost</w:t>
            </w:r>
          </w:p>
        </w:tc>
        <w:tc>
          <w:tcPr>
            <w:tcW w:w="1797" w:type="dxa"/>
            <w:shd w:val="clear" w:color="auto" w:fill="auto"/>
            <w:vAlign w:val="bottom"/>
          </w:tcPr>
          <w:p w14:paraId="0304B0F7" w14:textId="77777777" w:rsidR="00780CE4" w:rsidRPr="00092A32" w:rsidRDefault="00780CE4" w:rsidP="00780CE4">
            <w:pPr>
              <w:pStyle w:val="TableCell"/>
              <w:rPr>
                <w:sz w:val="24"/>
                <w:lang w:val="en-GB" w:eastAsia="en-GB"/>
              </w:rPr>
            </w:pPr>
            <w:r>
              <w:rPr>
                <w:sz w:val="24"/>
                <w:lang w:val="en-GB" w:eastAsia="en-GB"/>
              </w:rPr>
              <w:t>420,000</w:t>
            </w:r>
          </w:p>
        </w:tc>
        <w:tc>
          <w:tcPr>
            <w:tcW w:w="1797" w:type="dxa"/>
            <w:shd w:val="clear" w:color="auto" w:fill="auto"/>
            <w:vAlign w:val="bottom"/>
          </w:tcPr>
          <w:p w14:paraId="6605A22F" w14:textId="77777777" w:rsidR="00780CE4" w:rsidRPr="00092A32" w:rsidRDefault="00780CE4" w:rsidP="00780CE4">
            <w:pPr>
              <w:pStyle w:val="TableCell"/>
              <w:rPr>
                <w:sz w:val="24"/>
                <w:lang w:val="en-GB" w:eastAsia="en-GB"/>
              </w:rPr>
            </w:pPr>
            <w:r>
              <w:rPr>
                <w:sz w:val="24"/>
                <w:lang w:val="en-GB" w:eastAsia="en-GB"/>
              </w:rPr>
              <w:t>46</w:t>
            </w:r>
            <w:r w:rsidRPr="00092A32">
              <w:rPr>
                <w:sz w:val="24"/>
                <w:lang w:val="en-GB" w:eastAsia="en-GB"/>
              </w:rPr>
              <w:t xml:space="preserve">0,000 </w:t>
            </w:r>
          </w:p>
        </w:tc>
      </w:tr>
      <w:tr w:rsidR="00780CE4" w:rsidRPr="00826690" w14:paraId="15E294BD" w14:textId="77777777" w:rsidTr="00780CE4">
        <w:tc>
          <w:tcPr>
            <w:tcW w:w="4559" w:type="dxa"/>
            <w:shd w:val="clear" w:color="auto" w:fill="auto"/>
            <w:vAlign w:val="bottom"/>
          </w:tcPr>
          <w:p w14:paraId="09D456D2" w14:textId="77777777" w:rsidR="00780CE4" w:rsidRPr="00246162" w:rsidRDefault="00780CE4" w:rsidP="00780CE4">
            <w:pPr>
              <w:pStyle w:val="TableRowHead"/>
              <w:rPr>
                <w:rFonts w:ascii="Gill Sans" w:hAnsi="Gill Sans"/>
                <w:sz w:val="24"/>
                <w:lang w:val="en-GB" w:eastAsia="en-GB"/>
              </w:rPr>
            </w:pPr>
            <w:r w:rsidRPr="00246162">
              <w:rPr>
                <w:rFonts w:ascii="Gill Sans" w:hAnsi="Gill Sans"/>
                <w:sz w:val="24"/>
                <w:lang w:val="en-GB" w:eastAsia="en-GB"/>
              </w:rPr>
              <w:t xml:space="preserve">Interest on pension scheme liabilities </w:t>
            </w:r>
          </w:p>
        </w:tc>
        <w:tc>
          <w:tcPr>
            <w:tcW w:w="1797" w:type="dxa"/>
            <w:shd w:val="clear" w:color="auto" w:fill="auto"/>
            <w:vAlign w:val="bottom"/>
          </w:tcPr>
          <w:p w14:paraId="32136259" w14:textId="77777777" w:rsidR="00780CE4" w:rsidRPr="00092A32" w:rsidRDefault="00780CE4" w:rsidP="00780CE4">
            <w:pPr>
              <w:pStyle w:val="TableCell"/>
              <w:rPr>
                <w:sz w:val="24"/>
                <w:lang w:val="en-GB" w:eastAsia="en-GB"/>
              </w:rPr>
            </w:pPr>
            <w:r>
              <w:rPr>
                <w:sz w:val="24"/>
                <w:lang w:val="en-GB" w:eastAsia="en-GB"/>
              </w:rPr>
              <w:t>920,000</w:t>
            </w:r>
          </w:p>
        </w:tc>
        <w:tc>
          <w:tcPr>
            <w:tcW w:w="1797" w:type="dxa"/>
            <w:shd w:val="clear" w:color="auto" w:fill="auto"/>
            <w:vAlign w:val="bottom"/>
          </w:tcPr>
          <w:p w14:paraId="2CB0CE2E" w14:textId="77777777" w:rsidR="00780CE4" w:rsidRPr="00092A32" w:rsidRDefault="00780CE4" w:rsidP="00780CE4">
            <w:pPr>
              <w:pStyle w:val="TableCell"/>
              <w:rPr>
                <w:sz w:val="24"/>
                <w:lang w:val="en-GB" w:eastAsia="en-GB"/>
              </w:rPr>
            </w:pPr>
            <w:r>
              <w:rPr>
                <w:sz w:val="24"/>
                <w:lang w:val="en-GB" w:eastAsia="en-GB"/>
              </w:rPr>
              <w:t>91</w:t>
            </w:r>
            <w:r w:rsidRPr="00092A32">
              <w:rPr>
                <w:sz w:val="24"/>
                <w:lang w:val="en-GB" w:eastAsia="en-GB"/>
              </w:rPr>
              <w:t xml:space="preserve">0,000 </w:t>
            </w:r>
          </w:p>
        </w:tc>
      </w:tr>
      <w:tr w:rsidR="00780CE4" w:rsidRPr="00826690" w14:paraId="48C66B59" w14:textId="77777777" w:rsidTr="00780CE4">
        <w:tc>
          <w:tcPr>
            <w:tcW w:w="4559" w:type="dxa"/>
            <w:shd w:val="clear" w:color="auto" w:fill="auto"/>
            <w:vAlign w:val="bottom"/>
          </w:tcPr>
          <w:p w14:paraId="3070E693" w14:textId="77777777" w:rsidR="00780CE4" w:rsidRPr="00246162" w:rsidRDefault="00780CE4" w:rsidP="00780CE4">
            <w:pPr>
              <w:pStyle w:val="TableRowHead"/>
              <w:rPr>
                <w:rFonts w:ascii="Gill Sans" w:hAnsi="Gill Sans"/>
                <w:sz w:val="24"/>
                <w:lang w:val="en-GB" w:eastAsia="en-GB"/>
              </w:rPr>
            </w:pPr>
            <w:r w:rsidRPr="00246162">
              <w:rPr>
                <w:rFonts w:ascii="Gill Sans" w:hAnsi="Gill Sans"/>
                <w:sz w:val="24"/>
                <w:lang w:val="en-GB" w:eastAsia="en-GB"/>
              </w:rPr>
              <w:t>Employee contribution</w:t>
            </w:r>
          </w:p>
        </w:tc>
        <w:tc>
          <w:tcPr>
            <w:tcW w:w="1797" w:type="dxa"/>
            <w:shd w:val="clear" w:color="auto" w:fill="auto"/>
            <w:vAlign w:val="bottom"/>
          </w:tcPr>
          <w:p w14:paraId="764A514E" w14:textId="77777777" w:rsidR="00780CE4" w:rsidRPr="00092A32" w:rsidRDefault="00780CE4" w:rsidP="00780CE4">
            <w:pPr>
              <w:pStyle w:val="TableCell"/>
              <w:rPr>
                <w:sz w:val="24"/>
                <w:lang w:val="en-GB" w:eastAsia="en-GB"/>
              </w:rPr>
            </w:pPr>
            <w:r>
              <w:rPr>
                <w:sz w:val="24"/>
                <w:lang w:val="en-GB" w:eastAsia="en-GB"/>
              </w:rPr>
              <w:t>(103,790)</w:t>
            </w:r>
          </w:p>
        </w:tc>
        <w:tc>
          <w:tcPr>
            <w:tcW w:w="1797" w:type="dxa"/>
            <w:shd w:val="clear" w:color="auto" w:fill="auto"/>
            <w:vAlign w:val="bottom"/>
          </w:tcPr>
          <w:p w14:paraId="1C1E12DD" w14:textId="77777777" w:rsidR="00780CE4" w:rsidRPr="00092A32" w:rsidRDefault="00780CE4" w:rsidP="00780CE4">
            <w:pPr>
              <w:pStyle w:val="TableCell"/>
              <w:rPr>
                <w:sz w:val="24"/>
                <w:lang w:val="en-GB" w:eastAsia="en-GB"/>
              </w:rPr>
            </w:pPr>
            <w:r w:rsidRPr="00092A32">
              <w:rPr>
                <w:sz w:val="24"/>
                <w:lang w:val="en-GB" w:eastAsia="en-GB"/>
              </w:rPr>
              <w:t>(</w:t>
            </w:r>
            <w:r>
              <w:rPr>
                <w:sz w:val="24"/>
                <w:lang w:val="en-GB" w:eastAsia="en-GB"/>
              </w:rPr>
              <w:t>112</w:t>
            </w:r>
            <w:r w:rsidRPr="00092A32">
              <w:rPr>
                <w:sz w:val="24"/>
                <w:lang w:val="en-GB" w:eastAsia="en-GB"/>
              </w:rPr>
              <w:t>,</w:t>
            </w:r>
            <w:r>
              <w:rPr>
                <w:sz w:val="24"/>
                <w:lang w:val="en-GB" w:eastAsia="en-GB"/>
              </w:rPr>
              <w:t>403</w:t>
            </w:r>
            <w:r w:rsidRPr="00092A32">
              <w:rPr>
                <w:sz w:val="24"/>
                <w:lang w:val="en-GB" w:eastAsia="en-GB"/>
              </w:rPr>
              <w:t>)</w:t>
            </w:r>
          </w:p>
        </w:tc>
      </w:tr>
      <w:tr w:rsidR="00780CE4" w:rsidRPr="00826690" w14:paraId="5DC28A84" w14:textId="77777777" w:rsidTr="00780CE4">
        <w:tc>
          <w:tcPr>
            <w:tcW w:w="4559" w:type="dxa"/>
            <w:shd w:val="clear" w:color="auto" w:fill="auto"/>
            <w:vAlign w:val="bottom"/>
          </w:tcPr>
          <w:p w14:paraId="7F10FE9C" w14:textId="77777777" w:rsidR="00780CE4" w:rsidRPr="00246162" w:rsidRDefault="00780CE4" w:rsidP="00780CE4">
            <w:pPr>
              <w:pStyle w:val="TableRowHead"/>
              <w:rPr>
                <w:rFonts w:ascii="Gill Sans" w:hAnsi="Gill Sans"/>
                <w:sz w:val="24"/>
                <w:lang w:val="en-GB" w:eastAsia="en-GB"/>
              </w:rPr>
            </w:pPr>
            <w:r w:rsidRPr="00246162">
              <w:rPr>
                <w:rFonts w:ascii="Gill Sans" w:hAnsi="Gill Sans"/>
                <w:sz w:val="24"/>
                <w:lang w:val="en-GB" w:eastAsia="en-GB"/>
              </w:rPr>
              <w:t>Past service cost</w:t>
            </w:r>
          </w:p>
        </w:tc>
        <w:tc>
          <w:tcPr>
            <w:tcW w:w="1797" w:type="dxa"/>
            <w:shd w:val="clear" w:color="auto" w:fill="auto"/>
            <w:vAlign w:val="bottom"/>
          </w:tcPr>
          <w:p w14:paraId="4A04993D" w14:textId="77777777" w:rsidR="00780CE4" w:rsidRPr="00092A32" w:rsidRDefault="00780CE4" w:rsidP="00780CE4">
            <w:pPr>
              <w:pStyle w:val="TableCell"/>
              <w:rPr>
                <w:sz w:val="24"/>
                <w:lang w:val="en-GB" w:eastAsia="en-GB"/>
              </w:rPr>
            </w:pPr>
            <w:r>
              <w:rPr>
                <w:sz w:val="24"/>
                <w:lang w:val="en-GB" w:eastAsia="en-GB"/>
              </w:rPr>
              <w:t>-</w:t>
            </w:r>
          </w:p>
        </w:tc>
        <w:tc>
          <w:tcPr>
            <w:tcW w:w="1797" w:type="dxa"/>
            <w:shd w:val="clear" w:color="auto" w:fill="auto"/>
            <w:vAlign w:val="bottom"/>
          </w:tcPr>
          <w:p w14:paraId="2D7788A9" w14:textId="77777777" w:rsidR="00780CE4" w:rsidRPr="00092A32" w:rsidRDefault="00780CE4" w:rsidP="00780CE4">
            <w:pPr>
              <w:pStyle w:val="TableCell"/>
              <w:rPr>
                <w:sz w:val="24"/>
                <w:lang w:val="en-GB" w:eastAsia="en-GB"/>
              </w:rPr>
            </w:pPr>
            <w:r w:rsidRPr="00092A32">
              <w:rPr>
                <w:sz w:val="24"/>
                <w:lang w:val="en-GB" w:eastAsia="en-GB"/>
              </w:rPr>
              <w:t>-</w:t>
            </w:r>
            <w:r w:rsidR="00D00624">
              <w:rPr>
                <w:sz w:val="24"/>
                <w:lang w:val="en-GB" w:eastAsia="en-GB"/>
              </w:rPr>
              <w:t xml:space="preserve"> </w:t>
            </w:r>
          </w:p>
        </w:tc>
      </w:tr>
      <w:tr w:rsidR="00780CE4" w:rsidRPr="00826690" w14:paraId="27E2FAEB" w14:textId="77777777" w:rsidTr="00780CE4">
        <w:tc>
          <w:tcPr>
            <w:tcW w:w="4559" w:type="dxa"/>
            <w:shd w:val="clear" w:color="auto" w:fill="auto"/>
            <w:vAlign w:val="bottom"/>
          </w:tcPr>
          <w:p w14:paraId="0B48E2F7" w14:textId="77777777" w:rsidR="00780CE4" w:rsidRPr="00246162" w:rsidRDefault="00780CE4" w:rsidP="00780CE4">
            <w:pPr>
              <w:pStyle w:val="TableRowHead"/>
              <w:rPr>
                <w:rFonts w:ascii="Gill Sans" w:hAnsi="Gill Sans"/>
                <w:sz w:val="24"/>
                <w:lang w:val="en-GB" w:eastAsia="en-GB"/>
              </w:rPr>
            </w:pPr>
            <w:r w:rsidRPr="00246162">
              <w:rPr>
                <w:rFonts w:ascii="Gill Sans" w:hAnsi="Gill Sans"/>
                <w:sz w:val="24"/>
                <w:lang w:val="en-GB" w:eastAsia="en-GB"/>
              </w:rPr>
              <w:t>Total operating charge</w:t>
            </w:r>
          </w:p>
        </w:tc>
        <w:tc>
          <w:tcPr>
            <w:tcW w:w="1797" w:type="dxa"/>
            <w:shd w:val="clear" w:color="auto" w:fill="auto"/>
            <w:vAlign w:val="bottom"/>
          </w:tcPr>
          <w:p w14:paraId="0637DE9F" w14:textId="77777777" w:rsidR="00780CE4" w:rsidRPr="00092A32" w:rsidRDefault="00780CE4" w:rsidP="00780CE4">
            <w:pPr>
              <w:pStyle w:val="TableCell"/>
              <w:rPr>
                <w:sz w:val="24"/>
                <w:lang w:val="en-GB" w:eastAsia="en-GB"/>
              </w:rPr>
            </w:pPr>
            <w:r>
              <w:rPr>
                <w:sz w:val="24"/>
                <w:lang w:val="en-GB" w:eastAsia="en-GB"/>
              </w:rPr>
              <w:t>1,236,210</w:t>
            </w:r>
          </w:p>
        </w:tc>
        <w:tc>
          <w:tcPr>
            <w:tcW w:w="1797" w:type="dxa"/>
            <w:shd w:val="clear" w:color="auto" w:fill="auto"/>
            <w:vAlign w:val="bottom"/>
          </w:tcPr>
          <w:p w14:paraId="286438C7" w14:textId="77777777" w:rsidR="00780CE4" w:rsidRPr="00092A32" w:rsidRDefault="00780CE4" w:rsidP="00780CE4">
            <w:pPr>
              <w:pStyle w:val="TableCell"/>
              <w:rPr>
                <w:sz w:val="24"/>
                <w:lang w:val="en-GB" w:eastAsia="en-GB"/>
              </w:rPr>
            </w:pPr>
            <w:r w:rsidRPr="00092A32">
              <w:rPr>
                <w:sz w:val="24"/>
                <w:lang w:val="en-GB" w:eastAsia="en-GB"/>
              </w:rPr>
              <w:t>1,</w:t>
            </w:r>
            <w:r>
              <w:rPr>
                <w:sz w:val="24"/>
                <w:lang w:val="en-GB" w:eastAsia="en-GB"/>
              </w:rPr>
              <w:t>257</w:t>
            </w:r>
            <w:r w:rsidRPr="00092A32">
              <w:rPr>
                <w:sz w:val="24"/>
                <w:lang w:val="en-GB" w:eastAsia="en-GB"/>
              </w:rPr>
              <w:t>,</w:t>
            </w:r>
            <w:r>
              <w:rPr>
                <w:sz w:val="24"/>
                <w:lang w:val="en-GB" w:eastAsia="en-GB"/>
              </w:rPr>
              <w:t>597</w:t>
            </w:r>
            <w:r w:rsidRPr="00092A32">
              <w:rPr>
                <w:sz w:val="24"/>
                <w:lang w:val="en-GB" w:eastAsia="en-GB"/>
              </w:rPr>
              <w:t xml:space="preserve"> </w:t>
            </w:r>
          </w:p>
        </w:tc>
      </w:tr>
    </w:tbl>
    <w:p w14:paraId="49C0CDEE" w14:textId="77777777" w:rsidR="00D8791A" w:rsidRDefault="00D8791A" w:rsidP="00D8791A">
      <w:pPr>
        <w:rPr>
          <w:lang w:val="en-GB" w:eastAsia="en-GB"/>
        </w:rPr>
      </w:pPr>
      <w:bookmarkStart w:id="59" w:name="_Toc335836406"/>
    </w:p>
    <w:p w14:paraId="04A90506" w14:textId="77777777" w:rsidR="00421776" w:rsidRPr="0038720A" w:rsidRDefault="00421776" w:rsidP="00BB5C89">
      <w:pPr>
        <w:pStyle w:val="Heading4"/>
        <w:rPr>
          <w:lang w:val="en-GB" w:eastAsia="en-GB"/>
        </w:rPr>
      </w:pPr>
      <w:r w:rsidRPr="0038720A">
        <w:rPr>
          <w:lang w:val="en-GB" w:eastAsia="en-GB"/>
        </w:rPr>
        <w:t>(d) Deferred Funding Asset for Pensions</w:t>
      </w:r>
      <w:bookmarkEnd w:id="59"/>
    </w:p>
    <w:p w14:paraId="63325752" w14:textId="77777777" w:rsidR="00421776" w:rsidRPr="0038720A" w:rsidRDefault="00780CE4" w:rsidP="0098479B">
      <w:pPr>
        <w:rPr>
          <w:lang w:val="en-GB" w:eastAsia="en-GB"/>
        </w:rPr>
      </w:pPr>
      <w:r w:rsidRPr="00780CE4">
        <w:rPr>
          <w:lang w:val="en-GB" w:eastAsia="en-GB"/>
        </w:rPr>
        <w:t xml:space="preserve">The National Disability Authority recognises these amounts as an asset corresponding to the unfunded deferred liability for pensions </w:t>
      </w:r>
      <w:proofErr w:type="gramStart"/>
      <w:r w:rsidRPr="00780CE4">
        <w:rPr>
          <w:lang w:val="en-GB" w:eastAsia="en-GB"/>
        </w:rPr>
        <w:t>on the basis of</w:t>
      </w:r>
      <w:proofErr w:type="gramEnd"/>
      <w:r w:rsidRPr="00780CE4">
        <w:rPr>
          <w:lang w:val="en-GB" w:eastAsia="en-GB"/>
        </w:rPr>
        <w:t xml:space="preserve"> the set of assumptions described above and a number of past events.</w:t>
      </w:r>
      <w:r w:rsidR="00D00624">
        <w:rPr>
          <w:lang w:val="en-GB" w:eastAsia="en-GB"/>
        </w:rPr>
        <w:t xml:space="preserve"> </w:t>
      </w:r>
      <w:r w:rsidRPr="00780CE4">
        <w:rPr>
          <w:lang w:val="en-GB" w:eastAsia="en-GB"/>
        </w:rPr>
        <w:t>These events include the statutory basis for the establishment of the superannuation scheme, and the policy and practice currently in place in relation to funding public service pensions including contributions by employees and the annual estimates process.</w:t>
      </w:r>
      <w:r w:rsidR="00D00624">
        <w:rPr>
          <w:lang w:val="en-GB" w:eastAsia="en-GB"/>
        </w:rPr>
        <w:t xml:space="preserve"> </w:t>
      </w:r>
      <w:r w:rsidRPr="00780CE4">
        <w:rPr>
          <w:lang w:val="en-GB" w:eastAsia="en-GB"/>
        </w:rPr>
        <w:t>While there is no formal agreement regarding these specific amounts with the Department of Justice and Equality, the National Disability Authority has no evidence that this funding policy will not continue to meet such sums in accordance with current practice.</w:t>
      </w:r>
      <w:r w:rsidR="00D00624">
        <w:rPr>
          <w:lang w:val="en-GB" w:eastAsia="en-GB"/>
        </w:rPr>
        <w:t xml:space="preserve"> </w:t>
      </w:r>
      <w:r w:rsidRPr="00780CE4">
        <w:rPr>
          <w:lang w:val="en-GB" w:eastAsia="en-GB"/>
        </w:rPr>
        <w:t xml:space="preserve">The deferred funding asset for pensions as </w:t>
      </w:r>
      <w:proofErr w:type="gramStart"/>
      <w:r w:rsidRPr="00780CE4">
        <w:rPr>
          <w:lang w:val="en-GB" w:eastAsia="en-GB"/>
        </w:rPr>
        <w:t>at</w:t>
      </w:r>
      <w:proofErr w:type="gramEnd"/>
      <w:r w:rsidRPr="00780CE4">
        <w:rPr>
          <w:lang w:val="en-GB" w:eastAsia="en-GB"/>
        </w:rPr>
        <w:t xml:space="preserve"> 31 December 2014 amounted to €16.6 million (2013: €16.8 million)</w:t>
      </w:r>
      <w:r>
        <w:rPr>
          <w:lang w:val="en-GB" w:eastAsia="en-GB"/>
        </w:rPr>
        <w:t>.</w:t>
      </w:r>
    </w:p>
    <w:p w14:paraId="1D4CE212" w14:textId="77777777" w:rsidR="00421776" w:rsidRPr="0038720A" w:rsidRDefault="00421776" w:rsidP="00BB5C89">
      <w:pPr>
        <w:pStyle w:val="Heading4"/>
      </w:pPr>
      <w:r w:rsidRPr="0038720A">
        <w:rPr>
          <w:lang w:val="en-GB" w:eastAsia="en-GB"/>
        </w:rPr>
        <w:t>(e) Movement in deficit during the year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469"/>
        <w:gridCol w:w="2226"/>
        <w:gridCol w:w="2226"/>
      </w:tblGrid>
      <w:tr w:rsidR="00780CE4" w:rsidRPr="00246162" w14:paraId="687CA4AC" w14:textId="77777777" w:rsidTr="00780CE4">
        <w:trPr>
          <w:tblHeader/>
        </w:trPr>
        <w:tc>
          <w:tcPr>
            <w:tcW w:w="3573" w:type="dxa"/>
            <w:shd w:val="clear" w:color="auto" w:fill="auto"/>
          </w:tcPr>
          <w:p w14:paraId="29899AFE" w14:textId="77777777" w:rsidR="00780CE4" w:rsidRPr="00246162" w:rsidRDefault="00780CE4" w:rsidP="00780CE4">
            <w:pPr>
              <w:pStyle w:val="TableHead"/>
              <w:widowControl w:val="0"/>
              <w:jc w:val="right"/>
            </w:pPr>
          </w:p>
        </w:tc>
        <w:tc>
          <w:tcPr>
            <w:tcW w:w="2290" w:type="dxa"/>
            <w:shd w:val="clear" w:color="auto" w:fill="auto"/>
            <w:vAlign w:val="bottom"/>
          </w:tcPr>
          <w:p w14:paraId="1F0BBC92" w14:textId="77777777" w:rsidR="00780CE4" w:rsidRPr="00F415CD" w:rsidRDefault="00780CE4" w:rsidP="00780CE4">
            <w:pPr>
              <w:spacing w:after="0"/>
              <w:jc w:val="center"/>
              <w:rPr>
                <w:rFonts w:cs="Arial"/>
                <w:b/>
                <w:bCs/>
                <w:lang w:val="en-GB" w:eastAsia="en-GB"/>
              </w:rPr>
            </w:pPr>
            <w:r w:rsidRPr="00F415CD">
              <w:rPr>
                <w:rFonts w:cs="Arial"/>
                <w:b/>
                <w:bCs/>
                <w:lang w:val="en-GB" w:eastAsia="en-GB"/>
              </w:rPr>
              <w:t>2014</w:t>
            </w:r>
          </w:p>
        </w:tc>
        <w:tc>
          <w:tcPr>
            <w:tcW w:w="2290" w:type="dxa"/>
            <w:shd w:val="clear" w:color="auto" w:fill="auto"/>
            <w:vAlign w:val="bottom"/>
          </w:tcPr>
          <w:p w14:paraId="204DECA8" w14:textId="77777777" w:rsidR="00780CE4" w:rsidRPr="00F415CD" w:rsidRDefault="00780CE4" w:rsidP="00780CE4">
            <w:pPr>
              <w:spacing w:after="0"/>
              <w:jc w:val="center"/>
              <w:rPr>
                <w:rFonts w:cs="Arial"/>
                <w:b/>
                <w:bCs/>
                <w:lang w:val="en-GB" w:eastAsia="en-GB"/>
              </w:rPr>
            </w:pPr>
            <w:r w:rsidRPr="00F415CD">
              <w:rPr>
                <w:rFonts w:cs="Arial"/>
                <w:b/>
                <w:bCs/>
                <w:lang w:val="en-GB" w:eastAsia="en-GB"/>
              </w:rPr>
              <w:t>2013</w:t>
            </w:r>
          </w:p>
        </w:tc>
      </w:tr>
      <w:tr w:rsidR="00780CE4" w:rsidRPr="00246162" w14:paraId="64C4160D" w14:textId="77777777" w:rsidTr="00780CE4">
        <w:tc>
          <w:tcPr>
            <w:tcW w:w="3573" w:type="dxa"/>
            <w:shd w:val="clear" w:color="auto" w:fill="auto"/>
          </w:tcPr>
          <w:p w14:paraId="10C64ACE" w14:textId="77777777" w:rsidR="00780CE4" w:rsidRPr="00246162" w:rsidRDefault="00780CE4" w:rsidP="00780CE4">
            <w:pPr>
              <w:pStyle w:val="TableRowHead"/>
              <w:keepNext w:val="0"/>
              <w:widowControl w:val="0"/>
              <w:rPr>
                <w:rFonts w:ascii="Gill Sans" w:hAnsi="Gill Sans"/>
              </w:rPr>
            </w:pPr>
          </w:p>
        </w:tc>
        <w:tc>
          <w:tcPr>
            <w:tcW w:w="2290" w:type="dxa"/>
            <w:shd w:val="clear" w:color="auto" w:fill="auto"/>
            <w:vAlign w:val="bottom"/>
          </w:tcPr>
          <w:p w14:paraId="22307F07" w14:textId="77777777" w:rsidR="00780CE4" w:rsidRPr="00F415CD" w:rsidRDefault="00780CE4" w:rsidP="00780CE4">
            <w:pPr>
              <w:spacing w:after="0"/>
              <w:jc w:val="center"/>
              <w:rPr>
                <w:rFonts w:cs="Arial"/>
                <w:b/>
                <w:lang w:val="en-GB" w:eastAsia="en-GB"/>
              </w:rPr>
            </w:pPr>
            <w:r w:rsidRPr="00F415CD">
              <w:rPr>
                <w:rFonts w:cs="Arial"/>
                <w:b/>
                <w:lang w:val="en-GB" w:eastAsia="en-GB"/>
              </w:rPr>
              <w:t>€</w:t>
            </w:r>
          </w:p>
        </w:tc>
        <w:tc>
          <w:tcPr>
            <w:tcW w:w="2290" w:type="dxa"/>
            <w:shd w:val="clear" w:color="auto" w:fill="auto"/>
            <w:vAlign w:val="bottom"/>
          </w:tcPr>
          <w:p w14:paraId="3986003E" w14:textId="77777777" w:rsidR="00780CE4" w:rsidRPr="00F415CD" w:rsidRDefault="00780CE4" w:rsidP="00780CE4">
            <w:pPr>
              <w:spacing w:after="0"/>
              <w:jc w:val="center"/>
              <w:rPr>
                <w:rFonts w:cs="Arial"/>
                <w:b/>
                <w:lang w:val="en-GB" w:eastAsia="en-GB"/>
              </w:rPr>
            </w:pPr>
            <w:r w:rsidRPr="00F415CD">
              <w:rPr>
                <w:rFonts w:cs="Arial"/>
                <w:b/>
                <w:lang w:val="en-GB" w:eastAsia="en-GB"/>
              </w:rPr>
              <w:t>€</w:t>
            </w:r>
          </w:p>
        </w:tc>
      </w:tr>
      <w:tr w:rsidR="00780CE4" w:rsidRPr="00246162" w14:paraId="4F36BA38" w14:textId="77777777" w:rsidTr="00780CE4">
        <w:tc>
          <w:tcPr>
            <w:tcW w:w="3573" w:type="dxa"/>
            <w:shd w:val="clear" w:color="auto" w:fill="auto"/>
            <w:vAlign w:val="bottom"/>
          </w:tcPr>
          <w:p w14:paraId="518ECE28" w14:textId="77777777" w:rsidR="00780CE4" w:rsidRPr="00246162" w:rsidRDefault="00780CE4" w:rsidP="00780CE4">
            <w:pPr>
              <w:pStyle w:val="TableRowHead"/>
              <w:keepNext w:val="0"/>
              <w:widowControl w:val="0"/>
              <w:rPr>
                <w:rFonts w:ascii="Gill Sans" w:hAnsi="Gill Sans"/>
                <w:sz w:val="24"/>
                <w:lang w:val="en-GB" w:eastAsia="en-GB"/>
              </w:rPr>
            </w:pPr>
            <w:r w:rsidRPr="00246162">
              <w:rPr>
                <w:rFonts w:ascii="Gill Sans" w:hAnsi="Gill Sans"/>
                <w:sz w:val="24"/>
                <w:lang w:val="en-GB" w:eastAsia="en-GB"/>
              </w:rPr>
              <w:t xml:space="preserve">Scheme Liability </w:t>
            </w:r>
            <w:proofErr w:type="gramStart"/>
            <w:r w:rsidRPr="00246162">
              <w:rPr>
                <w:rFonts w:ascii="Gill Sans" w:hAnsi="Gill Sans"/>
                <w:sz w:val="24"/>
                <w:lang w:val="en-GB" w:eastAsia="en-GB"/>
              </w:rPr>
              <w:t>at</w:t>
            </w:r>
            <w:proofErr w:type="gramEnd"/>
            <w:r w:rsidRPr="00246162">
              <w:rPr>
                <w:rFonts w:ascii="Gill Sans" w:hAnsi="Gill Sans"/>
                <w:sz w:val="24"/>
                <w:lang w:val="en-GB" w:eastAsia="en-GB"/>
              </w:rPr>
              <w:t xml:space="preserve"> 1 January</w:t>
            </w:r>
          </w:p>
        </w:tc>
        <w:tc>
          <w:tcPr>
            <w:tcW w:w="2290" w:type="dxa"/>
            <w:shd w:val="clear" w:color="auto" w:fill="auto"/>
            <w:vAlign w:val="bottom"/>
          </w:tcPr>
          <w:p w14:paraId="6E87C1C6" w14:textId="77777777" w:rsidR="00780CE4" w:rsidRPr="00246162" w:rsidRDefault="00780CE4" w:rsidP="00780CE4">
            <w:pPr>
              <w:spacing w:after="0"/>
              <w:jc w:val="right"/>
              <w:rPr>
                <w:rFonts w:cs="Arial"/>
                <w:lang w:val="en-GB" w:eastAsia="en-GB"/>
              </w:rPr>
            </w:pPr>
            <w:r>
              <w:rPr>
                <w:rFonts w:cs="Arial"/>
                <w:lang w:val="en-GB" w:eastAsia="en-GB"/>
              </w:rPr>
              <w:t>€16,800,000</w:t>
            </w:r>
          </w:p>
        </w:tc>
        <w:tc>
          <w:tcPr>
            <w:tcW w:w="2290" w:type="dxa"/>
            <w:shd w:val="clear" w:color="auto" w:fill="auto"/>
            <w:vAlign w:val="bottom"/>
          </w:tcPr>
          <w:p w14:paraId="6921C2B0" w14:textId="77777777" w:rsidR="00780CE4" w:rsidRPr="00246162" w:rsidRDefault="00780CE4" w:rsidP="00780CE4">
            <w:pPr>
              <w:spacing w:after="0"/>
              <w:jc w:val="right"/>
              <w:rPr>
                <w:rFonts w:cs="Arial"/>
                <w:lang w:val="en-GB" w:eastAsia="en-GB"/>
              </w:rPr>
            </w:pPr>
            <w:r w:rsidRPr="00246162">
              <w:rPr>
                <w:rFonts w:cs="Arial"/>
                <w:lang w:val="en-GB" w:eastAsia="en-GB"/>
              </w:rPr>
              <w:t>€</w:t>
            </w:r>
            <w:r>
              <w:rPr>
                <w:rFonts w:cs="Gill Sans"/>
                <w:lang w:val="en-GB" w:eastAsia="en-GB"/>
              </w:rPr>
              <w:t>16</w:t>
            </w:r>
            <w:r w:rsidRPr="00246162">
              <w:rPr>
                <w:rFonts w:cs="Gill Sans"/>
                <w:lang w:val="en-GB" w:eastAsia="en-GB"/>
              </w:rPr>
              <w:t>,</w:t>
            </w:r>
            <w:r>
              <w:rPr>
                <w:rFonts w:cs="Gill Sans"/>
                <w:lang w:val="en-GB" w:eastAsia="en-GB"/>
              </w:rPr>
              <w:t>5</w:t>
            </w:r>
            <w:r w:rsidRPr="00246162">
              <w:rPr>
                <w:rFonts w:cs="Gill Sans"/>
                <w:lang w:val="en-GB" w:eastAsia="en-GB"/>
              </w:rPr>
              <w:t xml:space="preserve">00,000 </w:t>
            </w:r>
          </w:p>
        </w:tc>
      </w:tr>
      <w:tr w:rsidR="00780CE4" w:rsidRPr="00246162" w14:paraId="0CBA8A70" w14:textId="77777777" w:rsidTr="00780CE4">
        <w:tc>
          <w:tcPr>
            <w:tcW w:w="3573" w:type="dxa"/>
            <w:shd w:val="clear" w:color="auto" w:fill="auto"/>
            <w:vAlign w:val="bottom"/>
          </w:tcPr>
          <w:p w14:paraId="0192DFD9" w14:textId="77777777" w:rsidR="00780CE4" w:rsidRPr="00246162" w:rsidRDefault="00780CE4" w:rsidP="00780CE4">
            <w:pPr>
              <w:pStyle w:val="TableRowHead"/>
              <w:keepNext w:val="0"/>
              <w:widowControl w:val="0"/>
              <w:rPr>
                <w:rFonts w:ascii="Gill Sans" w:hAnsi="Gill Sans"/>
                <w:sz w:val="24"/>
                <w:lang w:val="en-GB" w:eastAsia="en-GB"/>
              </w:rPr>
            </w:pPr>
            <w:r w:rsidRPr="00246162">
              <w:rPr>
                <w:rFonts w:ascii="Gill Sans" w:hAnsi="Gill Sans"/>
                <w:sz w:val="24"/>
                <w:lang w:val="en-GB" w:eastAsia="en-GB"/>
              </w:rPr>
              <w:t>Current service cost</w:t>
            </w:r>
          </w:p>
        </w:tc>
        <w:tc>
          <w:tcPr>
            <w:tcW w:w="2290" w:type="dxa"/>
            <w:shd w:val="clear" w:color="auto" w:fill="auto"/>
            <w:vAlign w:val="bottom"/>
          </w:tcPr>
          <w:p w14:paraId="7AA231B7" w14:textId="77777777" w:rsidR="00780CE4" w:rsidRPr="00246162" w:rsidRDefault="00780CE4" w:rsidP="00780CE4">
            <w:pPr>
              <w:spacing w:after="0"/>
              <w:jc w:val="right"/>
              <w:rPr>
                <w:rFonts w:cs="Arial"/>
                <w:lang w:val="en-GB" w:eastAsia="en-GB"/>
              </w:rPr>
            </w:pPr>
            <w:r>
              <w:rPr>
                <w:rFonts w:cs="Arial"/>
                <w:lang w:val="en-GB" w:eastAsia="en-GB"/>
              </w:rPr>
              <w:t>€420,000</w:t>
            </w:r>
          </w:p>
        </w:tc>
        <w:tc>
          <w:tcPr>
            <w:tcW w:w="2290" w:type="dxa"/>
            <w:shd w:val="clear" w:color="auto" w:fill="auto"/>
            <w:vAlign w:val="bottom"/>
          </w:tcPr>
          <w:p w14:paraId="3B5A27ED" w14:textId="77777777" w:rsidR="00780CE4" w:rsidRPr="00246162" w:rsidRDefault="00780CE4" w:rsidP="00780CE4">
            <w:pPr>
              <w:spacing w:after="0"/>
              <w:jc w:val="right"/>
              <w:rPr>
                <w:rFonts w:cs="Arial"/>
                <w:lang w:val="en-GB" w:eastAsia="en-GB"/>
              </w:rPr>
            </w:pPr>
            <w:r w:rsidRPr="00246162">
              <w:rPr>
                <w:rFonts w:cs="Arial"/>
                <w:lang w:val="en-GB" w:eastAsia="en-GB"/>
              </w:rPr>
              <w:t>€</w:t>
            </w:r>
            <w:r>
              <w:rPr>
                <w:rFonts w:cs="Gill Sans"/>
                <w:lang w:val="en-GB" w:eastAsia="en-GB"/>
              </w:rPr>
              <w:t>46</w:t>
            </w:r>
            <w:r w:rsidRPr="00246162">
              <w:rPr>
                <w:rFonts w:cs="Gill Sans"/>
                <w:lang w:val="en-GB" w:eastAsia="en-GB"/>
              </w:rPr>
              <w:t xml:space="preserve">0,000 </w:t>
            </w:r>
          </w:p>
        </w:tc>
      </w:tr>
      <w:tr w:rsidR="00780CE4" w:rsidRPr="00246162" w14:paraId="2C4A5DE3" w14:textId="77777777" w:rsidTr="00780CE4">
        <w:tc>
          <w:tcPr>
            <w:tcW w:w="3573" w:type="dxa"/>
            <w:shd w:val="clear" w:color="auto" w:fill="auto"/>
            <w:vAlign w:val="bottom"/>
          </w:tcPr>
          <w:p w14:paraId="6B5DAE45" w14:textId="77777777" w:rsidR="00780CE4" w:rsidRPr="00246162" w:rsidRDefault="00780CE4" w:rsidP="00780CE4">
            <w:pPr>
              <w:pStyle w:val="TableRowHead"/>
              <w:keepNext w:val="0"/>
              <w:widowControl w:val="0"/>
              <w:rPr>
                <w:rFonts w:ascii="Gill Sans" w:hAnsi="Gill Sans"/>
                <w:sz w:val="24"/>
                <w:lang w:val="en-GB" w:eastAsia="en-GB"/>
              </w:rPr>
            </w:pPr>
            <w:r w:rsidRPr="00246162">
              <w:rPr>
                <w:rFonts w:ascii="Gill Sans" w:hAnsi="Gill Sans"/>
                <w:sz w:val="24"/>
                <w:lang w:val="en-GB" w:eastAsia="en-GB"/>
              </w:rPr>
              <w:t>Interest on scheme liabilities</w:t>
            </w:r>
          </w:p>
        </w:tc>
        <w:tc>
          <w:tcPr>
            <w:tcW w:w="2290" w:type="dxa"/>
            <w:shd w:val="clear" w:color="auto" w:fill="auto"/>
            <w:vAlign w:val="bottom"/>
          </w:tcPr>
          <w:p w14:paraId="03F38721" w14:textId="77777777" w:rsidR="00780CE4" w:rsidRPr="00246162" w:rsidRDefault="00780CE4" w:rsidP="00780CE4">
            <w:pPr>
              <w:spacing w:after="0"/>
              <w:jc w:val="right"/>
              <w:rPr>
                <w:rFonts w:cs="Arial"/>
                <w:lang w:val="en-GB" w:eastAsia="en-GB"/>
              </w:rPr>
            </w:pPr>
            <w:r>
              <w:rPr>
                <w:rFonts w:cs="Arial"/>
                <w:lang w:val="en-GB" w:eastAsia="en-GB"/>
              </w:rPr>
              <w:t>€920,000</w:t>
            </w:r>
          </w:p>
        </w:tc>
        <w:tc>
          <w:tcPr>
            <w:tcW w:w="2290" w:type="dxa"/>
            <w:shd w:val="clear" w:color="auto" w:fill="auto"/>
            <w:vAlign w:val="bottom"/>
          </w:tcPr>
          <w:p w14:paraId="3093AC6B" w14:textId="77777777" w:rsidR="00780CE4" w:rsidRPr="00246162" w:rsidRDefault="00780CE4" w:rsidP="00780CE4">
            <w:pPr>
              <w:spacing w:after="0"/>
              <w:jc w:val="right"/>
              <w:rPr>
                <w:rFonts w:cs="Arial"/>
                <w:lang w:val="en-GB" w:eastAsia="en-GB"/>
              </w:rPr>
            </w:pPr>
            <w:r w:rsidRPr="00246162">
              <w:rPr>
                <w:rFonts w:cs="Arial"/>
                <w:lang w:val="en-GB" w:eastAsia="en-GB"/>
              </w:rPr>
              <w:t>€</w:t>
            </w:r>
            <w:r>
              <w:rPr>
                <w:rFonts w:cs="Gill Sans"/>
                <w:lang w:val="en-GB" w:eastAsia="en-GB"/>
              </w:rPr>
              <w:t>91</w:t>
            </w:r>
            <w:r w:rsidRPr="00246162">
              <w:rPr>
                <w:rFonts w:cs="Gill Sans"/>
                <w:lang w:val="en-GB" w:eastAsia="en-GB"/>
              </w:rPr>
              <w:t xml:space="preserve">0,000 </w:t>
            </w:r>
          </w:p>
        </w:tc>
      </w:tr>
      <w:tr w:rsidR="00780CE4" w:rsidRPr="00246162" w14:paraId="2DFD9A4D" w14:textId="77777777" w:rsidTr="00780CE4">
        <w:tc>
          <w:tcPr>
            <w:tcW w:w="3573" w:type="dxa"/>
            <w:shd w:val="clear" w:color="auto" w:fill="auto"/>
            <w:vAlign w:val="bottom"/>
          </w:tcPr>
          <w:p w14:paraId="3C009F36" w14:textId="77777777" w:rsidR="00780CE4" w:rsidRPr="00246162" w:rsidRDefault="00780CE4" w:rsidP="00780CE4">
            <w:pPr>
              <w:pStyle w:val="TableRowHead"/>
              <w:keepNext w:val="0"/>
              <w:widowControl w:val="0"/>
              <w:rPr>
                <w:rFonts w:ascii="Gill Sans" w:hAnsi="Gill Sans"/>
                <w:sz w:val="24"/>
                <w:lang w:val="en-GB" w:eastAsia="en-GB"/>
              </w:rPr>
            </w:pPr>
            <w:r w:rsidRPr="00246162">
              <w:rPr>
                <w:rFonts w:ascii="Gill Sans" w:hAnsi="Gill Sans"/>
                <w:sz w:val="24"/>
                <w:lang w:val="en-GB" w:eastAsia="en-GB"/>
              </w:rPr>
              <w:t>Benefits payable</w:t>
            </w:r>
          </w:p>
        </w:tc>
        <w:tc>
          <w:tcPr>
            <w:tcW w:w="2290" w:type="dxa"/>
            <w:shd w:val="clear" w:color="auto" w:fill="auto"/>
            <w:vAlign w:val="bottom"/>
          </w:tcPr>
          <w:p w14:paraId="7EE8BAF9" w14:textId="77777777" w:rsidR="00780CE4" w:rsidRPr="00246162" w:rsidRDefault="00780CE4" w:rsidP="00780CE4">
            <w:pPr>
              <w:spacing w:after="0"/>
              <w:jc w:val="right"/>
              <w:rPr>
                <w:rFonts w:cs="Arial"/>
                <w:lang w:val="en-GB" w:eastAsia="en-GB"/>
              </w:rPr>
            </w:pPr>
            <w:r>
              <w:rPr>
                <w:rFonts w:cs="Arial"/>
                <w:lang w:val="en-GB" w:eastAsia="en-GB"/>
              </w:rPr>
              <w:t>(€562,000)</w:t>
            </w:r>
          </w:p>
        </w:tc>
        <w:tc>
          <w:tcPr>
            <w:tcW w:w="2290" w:type="dxa"/>
            <w:shd w:val="clear" w:color="auto" w:fill="auto"/>
            <w:vAlign w:val="bottom"/>
          </w:tcPr>
          <w:p w14:paraId="4159D2ED" w14:textId="77777777" w:rsidR="00780CE4" w:rsidRPr="00246162" w:rsidRDefault="00780CE4" w:rsidP="00780CE4">
            <w:pPr>
              <w:spacing w:after="0"/>
              <w:jc w:val="right"/>
              <w:rPr>
                <w:rFonts w:cs="Arial"/>
                <w:lang w:val="en-GB" w:eastAsia="en-GB"/>
              </w:rPr>
            </w:pPr>
            <w:r w:rsidRPr="00246162">
              <w:rPr>
                <w:rFonts w:cs="Arial"/>
                <w:lang w:val="en-GB" w:eastAsia="en-GB"/>
              </w:rPr>
              <w:t>(€</w:t>
            </w:r>
            <w:r>
              <w:rPr>
                <w:rFonts w:cs="Gill Sans"/>
                <w:lang w:val="en-GB" w:eastAsia="en-GB"/>
              </w:rPr>
              <w:t>555</w:t>
            </w:r>
            <w:r w:rsidRPr="00246162">
              <w:rPr>
                <w:rFonts w:cs="Gill Sans"/>
                <w:lang w:val="en-GB" w:eastAsia="en-GB"/>
              </w:rPr>
              <w:t>,000)</w:t>
            </w:r>
          </w:p>
        </w:tc>
      </w:tr>
      <w:tr w:rsidR="00780CE4" w:rsidRPr="00246162" w14:paraId="7AA5BC58" w14:textId="77777777" w:rsidTr="00780CE4">
        <w:tc>
          <w:tcPr>
            <w:tcW w:w="3573" w:type="dxa"/>
            <w:shd w:val="clear" w:color="auto" w:fill="auto"/>
            <w:vAlign w:val="bottom"/>
          </w:tcPr>
          <w:p w14:paraId="75154B65" w14:textId="77777777" w:rsidR="00780CE4" w:rsidRPr="00B26F67" w:rsidRDefault="00780CE4" w:rsidP="00780CE4">
            <w:pPr>
              <w:pStyle w:val="TableRowHead"/>
              <w:keepNext w:val="0"/>
              <w:widowControl w:val="0"/>
              <w:rPr>
                <w:rFonts w:ascii="Gill Sans" w:hAnsi="Gill Sans"/>
                <w:color w:val="0D0D0D"/>
                <w:sz w:val="24"/>
                <w:lang w:val="en-GB" w:eastAsia="en-GB"/>
              </w:rPr>
            </w:pPr>
            <w:r>
              <w:rPr>
                <w:rFonts w:ascii="Gill Sans" w:hAnsi="Gill Sans"/>
                <w:color w:val="0D0D0D"/>
                <w:sz w:val="24"/>
                <w:lang w:val="en-GB" w:eastAsia="en-GB"/>
              </w:rPr>
              <w:t>Actuarial Gain</w:t>
            </w:r>
            <w:r w:rsidRPr="00B26F67">
              <w:rPr>
                <w:rFonts w:ascii="Gill Sans" w:hAnsi="Gill Sans"/>
                <w:color w:val="0D0D0D"/>
                <w:sz w:val="24"/>
                <w:lang w:val="en-GB" w:eastAsia="en-GB"/>
              </w:rPr>
              <w:t xml:space="preserve"> recognised in the Statement of Total Recognised Gains and Losses (STRGL)</w:t>
            </w:r>
          </w:p>
        </w:tc>
        <w:tc>
          <w:tcPr>
            <w:tcW w:w="2290" w:type="dxa"/>
            <w:shd w:val="clear" w:color="auto" w:fill="auto"/>
            <w:vAlign w:val="bottom"/>
          </w:tcPr>
          <w:p w14:paraId="4CFA5036" w14:textId="77777777" w:rsidR="00780CE4" w:rsidRPr="00246162" w:rsidRDefault="00780CE4" w:rsidP="00780CE4">
            <w:pPr>
              <w:spacing w:after="0"/>
              <w:jc w:val="right"/>
              <w:rPr>
                <w:rFonts w:cs="Arial"/>
                <w:lang w:val="en-GB" w:eastAsia="en-GB"/>
              </w:rPr>
            </w:pPr>
            <w:r>
              <w:rPr>
                <w:rFonts w:cs="Arial"/>
                <w:lang w:val="en-GB" w:eastAsia="en-GB"/>
              </w:rPr>
              <w:t>(€978,000)</w:t>
            </w:r>
          </w:p>
        </w:tc>
        <w:tc>
          <w:tcPr>
            <w:tcW w:w="2290" w:type="dxa"/>
            <w:shd w:val="clear" w:color="auto" w:fill="auto"/>
            <w:vAlign w:val="bottom"/>
          </w:tcPr>
          <w:p w14:paraId="39E3FE76" w14:textId="77777777" w:rsidR="00780CE4" w:rsidRPr="00246162" w:rsidRDefault="00780CE4" w:rsidP="00780CE4">
            <w:pPr>
              <w:spacing w:after="0"/>
              <w:jc w:val="right"/>
              <w:rPr>
                <w:rFonts w:cs="Arial"/>
                <w:lang w:val="en-GB" w:eastAsia="en-GB"/>
              </w:rPr>
            </w:pPr>
            <w:r w:rsidRPr="00246162">
              <w:rPr>
                <w:rFonts w:cs="Arial"/>
                <w:lang w:val="en-GB" w:eastAsia="en-GB"/>
              </w:rPr>
              <w:t>(€</w:t>
            </w:r>
            <w:r>
              <w:rPr>
                <w:rFonts w:cs="Gill Sans"/>
                <w:lang w:val="en-GB" w:eastAsia="en-GB"/>
              </w:rPr>
              <w:t>515</w:t>
            </w:r>
            <w:r w:rsidRPr="00246162">
              <w:rPr>
                <w:rFonts w:cs="Gill Sans"/>
                <w:lang w:val="en-GB" w:eastAsia="en-GB"/>
              </w:rPr>
              <w:t>,000)</w:t>
            </w:r>
          </w:p>
        </w:tc>
      </w:tr>
      <w:tr w:rsidR="00780CE4" w:rsidRPr="00246162" w14:paraId="37552FF4" w14:textId="77777777" w:rsidTr="00780CE4">
        <w:tc>
          <w:tcPr>
            <w:tcW w:w="3573" w:type="dxa"/>
            <w:shd w:val="clear" w:color="auto" w:fill="auto"/>
            <w:vAlign w:val="bottom"/>
          </w:tcPr>
          <w:p w14:paraId="4337871C" w14:textId="77777777" w:rsidR="00780CE4" w:rsidRPr="00246162" w:rsidRDefault="00780CE4" w:rsidP="00780CE4">
            <w:pPr>
              <w:pStyle w:val="TableRowHead"/>
              <w:keepNext w:val="0"/>
              <w:widowControl w:val="0"/>
              <w:rPr>
                <w:rFonts w:ascii="Gill Sans" w:hAnsi="Gill Sans"/>
                <w:sz w:val="24"/>
                <w:lang w:val="en-GB" w:eastAsia="en-GB"/>
              </w:rPr>
            </w:pPr>
            <w:r w:rsidRPr="00246162">
              <w:rPr>
                <w:rFonts w:ascii="Gill Sans" w:hAnsi="Gill Sans"/>
                <w:sz w:val="24"/>
                <w:lang w:val="en-GB" w:eastAsia="en-GB"/>
              </w:rPr>
              <w:t>Pension Liability</w:t>
            </w:r>
          </w:p>
        </w:tc>
        <w:tc>
          <w:tcPr>
            <w:tcW w:w="2290" w:type="dxa"/>
            <w:shd w:val="clear" w:color="auto" w:fill="auto"/>
            <w:vAlign w:val="bottom"/>
          </w:tcPr>
          <w:p w14:paraId="444722DA" w14:textId="77777777" w:rsidR="00780CE4" w:rsidRPr="00246162" w:rsidRDefault="00780CE4" w:rsidP="00780CE4">
            <w:pPr>
              <w:spacing w:after="0"/>
              <w:jc w:val="right"/>
              <w:rPr>
                <w:rFonts w:cs="Arial"/>
                <w:b/>
                <w:lang w:val="en-GB" w:eastAsia="en-GB"/>
              </w:rPr>
            </w:pPr>
            <w:r>
              <w:rPr>
                <w:rFonts w:cs="Arial"/>
                <w:b/>
                <w:lang w:val="en-GB" w:eastAsia="en-GB"/>
              </w:rPr>
              <w:t>€16,600,000</w:t>
            </w:r>
          </w:p>
        </w:tc>
        <w:tc>
          <w:tcPr>
            <w:tcW w:w="2290" w:type="dxa"/>
            <w:shd w:val="clear" w:color="auto" w:fill="auto"/>
            <w:vAlign w:val="bottom"/>
          </w:tcPr>
          <w:p w14:paraId="7810CB53" w14:textId="77777777" w:rsidR="00780CE4" w:rsidRPr="00246162" w:rsidRDefault="00780CE4" w:rsidP="00780CE4">
            <w:pPr>
              <w:spacing w:after="0"/>
              <w:jc w:val="right"/>
              <w:rPr>
                <w:rFonts w:cs="Arial"/>
                <w:b/>
                <w:lang w:val="en-GB" w:eastAsia="en-GB"/>
              </w:rPr>
            </w:pPr>
            <w:r>
              <w:rPr>
                <w:rFonts w:cs="Arial"/>
                <w:b/>
                <w:lang w:val="en-GB" w:eastAsia="en-GB"/>
              </w:rPr>
              <w:t>€</w:t>
            </w:r>
            <w:r w:rsidRPr="00246162">
              <w:rPr>
                <w:rFonts w:cs="Gill Sans"/>
                <w:b/>
                <w:lang w:val="en-GB" w:eastAsia="en-GB"/>
              </w:rPr>
              <w:t>16,</w:t>
            </w:r>
            <w:r>
              <w:rPr>
                <w:rFonts w:cs="Gill Sans"/>
                <w:b/>
                <w:lang w:val="en-GB" w:eastAsia="en-GB"/>
              </w:rPr>
              <w:t>8</w:t>
            </w:r>
            <w:r w:rsidRPr="00246162">
              <w:rPr>
                <w:rFonts w:cs="Gill Sans"/>
                <w:b/>
                <w:lang w:val="en-GB" w:eastAsia="en-GB"/>
              </w:rPr>
              <w:t xml:space="preserve">00,000 </w:t>
            </w:r>
          </w:p>
        </w:tc>
      </w:tr>
    </w:tbl>
    <w:p w14:paraId="5A1D86C5" w14:textId="77777777" w:rsidR="00421776" w:rsidRDefault="00421776" w:rsidP="008E106B">
      <w:pPr>
        <w:pStyle w:val="Heading4"/>
        <w:rPr>
          <w:lang w:val="en-GB" w:eastAsia="en-GB"/>
        </w:rPr>
      </w:pPr>
      <w:r>
        <w:lastRenderedPageBreak/>
        <w:br/>
      </w:r>
      <w:r w:rsidRPr="00826690">
        <w:rPr>
          <w:lang w:val="en-GB" w:eastAsia="en-GB"/>
        </w:rPr>
        <w:t>History of experience gains and losses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305"/>
        <w:gridCol w:w="1304"/>
        <w:gridCol w:w="1352"/>
        <w:gridCol w:w="1507"/>
        <w:gridCol w:w="1453"/>
      </w:tblGrid>
      <w:tr w:rsidR="00780CE4" w:rsidRPr="009079DB" w14:paraId="419F2C48" w14:textId="77777777" w:rsidTr="004167E2">
        <w:trPr>
          <w:tblHeader/>
        </w:trPr>
        <w:tc>
          <w:tcPr>
            <w:tcW w:w="2376" w:type="dxa"/>
            <w:shd w:val="clear" w:color="auto" w:fill="auto"/>
          </w:tcPr>
          <w:p w14:paraId="39C81952" w14:textId="77777777" w:rsidR="00780CE4" w:rsidRPr="00774993" w:rsidRDefault="00780CE4" w:rsidP="00774993">
            <w:pPr>
              <w:pStyle w:val="TableRowHead"/>
              <w:rPr>
                <w:rFonts w:ascii="Gill Sans" w:hAnsi="Gill Sans"/>
                <w:sz w:val="24"/>
                <w:lang w:val="en-GB" w:eastAsia="en-GB"/>
              </w:rPr>
            </w:pPr>
          </w:p>
        </w:tc>
        <w:tc>
          <w:tcPr>
            <w:tcW w:w="1341" w:type="dxa"/>
            <w:shd w:val="clear" w:color="auto" w:fill="auto"/>
            <w:vAlign w:val="bottom"/>
          </w:tcPr>
          <w:p w14:paraId="4C802BE4" w14:textId="77777777" w:rsidR="00780CE4" w:rsidRPr="00246162" w:rsidRDefault="00780CE4" w:rsidP="00780CE4">
            <w:pPr>
              <w:pStyle w:val="TableHead"/>
              <w:jc w:val="right"/>
              <w:rPr>
                <w:sz w:val="24"/>
                <w:lang w:val="en-GB" w:eastAsia="en-GB"/>
              </w:rPr>
            </w:pPr>
            <w:r>
              <w:rPr>
                <w:sz w:val="24"/>
                <w:lang w:val="en-GB" w:eastAsia="en-GB"/>
              </w:rPr>
              <w:t>2014</w:t>
            </w:r>
          </w:p>
        </w:tc>
        <w:tc>
          <w:tcPr>
            <w:tcW w:w="1390" w:type="dxa"/>
            <w:shd w:val="clear" w:color="auto" w:fill="auto"/>
            <w:vAlign w:val="bottom"/>
          </w:tcPr>
          <w:p w14:paraId="6C20A025" w14:textId="77777777" w:rsidR="00780CE4" w:rsidRPr="00246162" w:rsidRDefault="00780CE4" w:rsidP="00780CE4">
            <w:pPr>
              <w:pStyle w:val="TableHead"/>
              <w:jc w:val="right"/>
              <w:rPr>
                <w:sz w:val="24"/>
                <w:lang w:val="en-GB" w:eastAsia="en-GB"/>
              </w:rPr>
            </w:pPr>
            <w:r>
              <w:rPr>
                <w:sz w:val="24"/>
                <w:lang w:val="en-GB" w:eastAsia="en-GB"/>
              </w:rPr>
              <w:t>2013</w:t>
            </w:r>
          </w:p>
        </w:tc>
        <w:tc>
          <w:tcPr>
            <w:tcW w:w="1551" w:type="dxa"/>
            <w:shd w:val="clear" w:color="auto" w:fill="auto"/>
            <w:vAlign w:val="bottom"/>
          </w:tcPr>
          <w:p w14:paraId="3AAC8EDF" w14:textId="77777777" w:rsidR="00780CE4" w:rsidRPr="00246162" w:rsidRDefault="00780CE4" w:rsidP="00780CE4">
            <w:pPr>
              <w:pStyle w:val="TableHead"/>
              <w:jc w:val="right"/>
              <w:rPr>
                <w:sz w:val="24"/>
                <w:lang w:val="en-GB" w:eastAsia="en-GB"/>
              </w:rPr>
            </w:pPr>
            <w:r w:rsidRPr="00246162">
              <w:rPr>
                <w:sz w:val="24"/>
                <w:lang w:val="en-GB" w:eastAsia="en-GB"/>
              </w:rPr>
              <w:t>201</w:t>
            </w:r>
            <w:r>
              <w:rPr>
                <w:sz w:val="24"/>
                <w:lang w:val="en-GB" w:eastAsia="en-GB"/>
              </w:rPr>
              <w:t>2</w:t>
            </w:r>
          </w:p>
        </w:tc>
        <w:tc>
          <w:tcPr>
            <w:tcW w:w="1495" w:type="dxa"/>
            <w:shd w:val="clear" w:color="auto" w:fill="auto"/>
            <w:vAlign w:val="bottom"/>
          </w:tcPr>
          <w:p w14:paraId="08F1DC5A" w14:textId="77777777" w:rsidR="00780CE4" w:rsidRPr="00246162" w:rsidRDefault="00780CE4" w:rsidP="00780CE4">
            <w:pPr>
              <w:pStyle w:val="TableHead"/>
              <w:jc w:val="right"/>
              <w:rPr>
                <w:sz w:val="24"/>
                <w:lang w:val="en-GB" w:eastAsia="en-GB"/>
              </w:rPr>
            </w:pPr>
            <w:r w:rsidRPr="00246162">
              <w:rPr>
                <w:sz w:val="24"/>
                <w:lang w:val="en-GB" w:eastAsia="en-GB"/>
              </w:rPr>
              <w:t>201</w:t>
            </w:r>
            <w:r>
              <w:rPr>
                <w:sz w:val="24"/>
                <w:lang w:val="en-GB" w:eastAsia="en-GB"/>
              </w:rPr>
              <w:t>1</w:t>
            </w:r>
          </w:p>
        </w:tc>
      </w:tr>
      <w:tr w:rsidR="00780CE4" w:rsidRPr="009079DB" w14:paraId="6C8FA97D" w14:textId="77777777" w:rsidTr="004167E2">
        <w:tc>
          <w:tcPr>
            <w:tcW w:w="2376" w:type="dxa"/>
            <w:shd w:val="clear" w:color="auto" w:fill="auto"/>
            <w:vAlign w:val="bottom"/>
          </w:tcPr>
          <w:p w14:paraId="127299DB" w14:textId="77777777" w:rsidR="00780CE4" w:rsidRPr="00246162" w:rsidRDefault="00780CE4" w:rsidP="00774993">
            <w:pPr>
              <w:pStyle w:val="TableRowHead"/>
              <w:rPr>
                <w:rFonts w:ascii="Gill Sans" w:hAnsi="Gill Sans"/>
                <w:sz w:val="24"/>
                <w:lang w:val="en-GB" w:eastAsia="en-GB"/>
              </w:rPr>
            </w:pPr>
            <w:r w:rsidRPr="00774993">
              <w:rPr>
                <w:rFonts w:ascii="Gill Sans" w:hAnsi="Gill Sans"/>
                <w:sz w:val="24"/>
                <w:lang w:val="en-GB" w:eastAsia="en-GB"/>
              </w:rPr>
              <w:t>Experience (gains) / losses on scheme liabilities</w:t>
            </w:r>
            <w:r w:rsidRPr="00246162">
              <w:rPr>
                <w:rFonts w:ascii="Gill Sans" w:hAnsi="Gill Sans"/>
                <w:sz w:val="24"/>
                <w:lang w:val="en-GB" w:eastAsia="en-GB"/>
              </w:rPr>
              <w:t xml:space="preserve"> </w:t>
            </w:r>
          </w:p>
        </w:tc>
        <w:tc>
          <w:tcPr>
            <w:tcW w:w="1341" w:type="dxa"/>
            <w:shd w:val="clear" w:color="auto" w:fill="auto"/>
            <w:vAlign w:val="bottom"/>
          </w:tcPr>
          <w:p w14:paraId="518515EA" w14:textId="77777777" w:rsidR="00780CE4" w:rsidRPr="00246162" w:rsidRDefault="00780CE4" w:rsidP="00780CE4">
            <w:pPr>
              <w:pStyle w:val="TableCell"/>
              <w:rPr>
                <w:sz w:val="24"/>
                <w:lang w:val="en-GB" w:eastAsia="en-GB"/>
              </w:rPr>
            </w:pPr>
            <w:r w:rsidRPr="00246162">
              <w:rPr>
                <w:sz w:val="24"/>
                <w:lang w:val="en-GB" w:eastAsia="en-GB"/>
              </w:rPr>
              <w:t>(€</w:t>
            </w:r>
            <w:r>
              <w:rPr>
                <w:sz w:val="24"/>
                <w:lang w:val="en-GB" w:eastAsia="en-GB"/>
              </w:rPr>
              <w:t>978,</w:t>
            </w:r>
            <w:r w:rsidRPr="00246162">
              <w:rPr>
                <w:sz w:val="24"/>
                <w:lang w:val="en-GB" w:eastAsia="en-GB"/>
              </w:rPr>
              <w:t>000)</w:t>
            </w:r>
          </w:p>
        </w:tc>
        <w:tc>
          <w:tcPr>
            <w:tcW w:w="1390" w:type="dxa"/>
            <w:shd w:val="clear" w:color="auto" w:fill="auto"/>
            <w:vAlign w:val="bottom"/>
          </w:tcPr>
          <w:p w14:paraId="79A6840D" w14:textId="77777777" w:rsidR="00780CE4" w:rsidRPr="00246162" w:rsidRDefault="00780CE4" w:rsidP="00780CE4">
            <w:pPr>
              <w:pStyle w:val="TableCell"/>
              <w:rPr>
                <w:sz w:val="24"/>
                <w:lang w:val="en-GB" w:eastAsia="en-GB"/>
              </w:rPr>
            </w:pPr>
            <w:r w:rsidRPr="00246162">
              <w:rPr>
                <w:sz w:val="24"/>
                <w:lang w:val="en-GB" w:eastAsia="en-GB"/>
              </w:rPr>
              <w:t>(€</w:t>
            </w:r>
            <w:r>
              <w:rPr>
                <w:sz w:val="24"/>
                <w:lang w:val="en-GB" w:eastAsia="en-GB"/>
              </w:rPr>
              <w:t>515</w:t>
            </w:r>
            <w:r w:rsidRPr="00246162">
              <w:rPr>
                <w:sz w:val="24"/>
                <w:lang w:val="en-GB" w:eastAsia="en-GB"/>
              </w:rPr>
              <w:t>,000)</w:t>
            </w:r>
          </w:p>
        </w:tc>
        <w:tc>
          <w:tcPr>
            <w:tcW w:w="1551" w:type="dxa"/>
            <w:shd w:val="clear" w:color="auto" w:fill="auto"/>
            <w:vAlign w:val="bottom"/>
          </w:tcPr>
          <w:p w14:paraId="0424E2F5" w14:textId="77777777" w:rsidR="00780CE4" w:rsidRPr="00246162" w:rsidRDefault="00780CE4" w:rsidP="00780CE4">
            <w:pPr>
              <w:pStyle w:val="TableCell"/>
              <w:rPr>
                <w:sz w:val="24"/>
                <w:lang w:val="en-GB" w:eastAsia="en-GB"/>
              </w:rPr>
            </w:pPr>
            <w:r w:rsidRPr="00246162">
              <w:rPr>
                <w:sz w:val="24"/>
                <w:lang w:val="en-GB" w:eastAsia="en-GB"/>
              </w:rPr>
              <w:t>(€1,</w:t>
            </w:r>
            <w:r>
              <w:rPr>
                <w:sz w:val="24"/>
                <w:lang w:val="en-GB" w:eastAsia="en-GB"/>
              </w:rPr>
              <w:t>03</w:t>
            </w:r>
            <w:r w:rsidRPr="00246162">
              <w:rPr>
                <w:sz w:val="24"/>
                <w:lang w:val="en-GB" w:eastAsia="en-GB"/>
              </w:rPr>
              <w:t>0,000)</w:t>
            </w:r>
          </w:p>
        </w:tc>
        <w:tc>
          <w:tcPr>
            <w:tcW w:w="1495" w:type="dxa"/>
            <w:shd w:val="clear" w:color="auto" w:fill="auto"/>
            <w:vAlign w:val="bottom"/>
          </w:tcPr>
          <w:p w14:paraId="16238AC7" w14:textId="77777777" w:rsidR="00780CE4" w:rsidRPr="00246162" w:rsidRDefault="00780CE4" w:rsidP="00780CE4">
            <w:pPr>
              <w:pStyle w:val="TableCell"/>
              <w:rPr>
                <w:sz w:val="24"/>
                <w:lang w:val="en-GB" w:eastAsia="en-GB"/>
              </w:rPr>
            </w:pPr>
            <w:r w:rsidRPr="00246162">
              <w:rPr>
                <w:sz w:val="24"/>
                <w:lang w:val="en-GB" w:eastAsia="en-GB"/>
              </w:rPr>
              <w:t>(€1,260,000)</w:t>
            </w:r>
          </w:p>
        </w:tc>
      </w:tr>
      <w:tr w:rsidR="00780CE4" w:rsidRPr="009079DB" w14:paraId="39047547" w14:textId="77777777" w:rsidTr="004167E2">
        <w:tc>
          <w:tcPr>
            <w:tcW w:w="2376" w:type="dxa"/>
            <w:shd w:val="clear" w:color="auto" w:fill="auto"/>
            <w:vAlign w:val="bottom"/>
          </w:tcPr>
          <w:p w14:paraId="5E661F43" w14:textId="77777777" w:rsidR="00780CE4" w:rsidRPr="00246162" w:rsidRDefault="00780CE4" w:rsidP="00774993">
            <w:pPr>
              <w:pStyle w:val="TableRowHead"/>
              <w:rPr>
                <w:rFonts w:ascii="Gill Sans" w:hAnsi="Gill Sans"/>
                <w:sz w:val="24"/>
                <w:lang w:val="en-GB" w:eastAsia="en-GB"/>
              </w:rPr>
            </w:pPr>
            <w:r w:rsidRPr="00246162">
              <w:rPr>
                <w:rFonts w:ascii="Gill Sans" w:hAnsi="Gill Sans"/>
                <w:sz w:val="24"/>
                <w:lang w:val="en-GB" w:eastAsia="en-GB"/>
              </w:rPr>
              <w:t>percentage of the present value of the scheme liabilities</w:t>
            </w:r>
          </w:p>
        </w:tc>
        <w:tc>
          <w:tcPr>
            <w:tcW w:w="1341" w:type="dxa"/>
            <w:shd w:val="clear" w:color="auto" w:fill="auto"/>
            <w:vAlign w:val="bottom"/>
          </w:tcPr>
          <w:p w14:paraId="0ECA3B1D" w14:textId="77777777" w:rsidR="00780CE4" w:rsidRPr="00246162" w:rsidRDefault="00780CE4" w:rsidP="00780CE4">
            <w:pPr>
              <w:pStyle w:val="TableCell"/>
              <w:rPr>
                <w:sz w:val="24"/>
                <w:lang w:val="en-GB" w:eastAsia="en-GB"/>
              </w:rPr>
            </w:pPr>
            <w:r>
              <w:rPr>
                <w:sz w:val="24"/>
                <w:lang w:val="en-GB" w:eastAsia="en-GB"/>
              </w:rPr>
              <w:t>(6%)</w:t>
            </w:r>
          </w:p>
        </w:tc>
        <w:tc>
          <w:tcPr>
            <w:tcW w:w="1390" w:type="dxa"/>
            <w:shd w:val="clear" w:color="auto" w:fill="auto"/>
            <w:vAlign w:val="bottom"/>
          </w:tcPr>
          <w:p w14:paraId="7F4A7EFB" w14:textId="77777777" w:rsidR="00780CE4" w:rsidRPr="00246162" w:rsidRDefault="00780CE4" w:rsidP="00780CE4">
            <w:pPr>
              <w:pStyle w:val="TableCell"/>
              <w:rPr>
                <w:sz w:val="24"/>
                <w:lang w:val="en-GB" w:eastAsia="en-GB"/>
              </w:rPr>
            </w:pPr>
            <w:r>
              <w:rPr>
                <w:sz w:val="24"/>
                <w:lang w:val="en-GB" w:eastAsia="en-GB"/>
              </w:rPr>
              <w:t>(3%)</w:t>
            </w:r>
          </w:p>
        </w:tc>
        <w:tc>
          <w:tcPr>
            <w:tcW w:w="1551" w:type="dxa"/>
            <w:shd w:val="clear" w:color="auto" w:fill="auto"/>
            <w:vAlign w:val="bottom"/>
          </w:tcPr>
          <w:p w14:paraId="67F64CE8" w14:textId="77777777" w:rsidR="00780CE4" w:rsidRPr="00246162" w:rsidRDefault="00780CE4" w:rsidP="00780CE4">
            <w:pPr>
              <w:pStyle w:val="TableCell"/>
              <w:rPr>
                <w:sz w:val="24"/>
                <w:lang w:val="en-GB" w:eastAsia="en-GB"/>
              </w:rPr>
            </w:pPr>
            <w:r w:rsidRPr="00246162">
              <w:rPr>
                <w:sz w:val="24"/>
                <w:lang w:val="en-GB" w:eastAsia="en-GB"/>
              </w:rPr>
              <w:t>(</w:t>
            </w:r>
            <w:r>
              <w:rPr>
                <w:sz w:val="24"/>
                <w:lang w:val="en-GB" w:eastAsia="en-GB"/>
              </w:rPr>
              <w:t>6</w:t>
            </w:r>
            <w:r w:rsidRPr="00246162">
              <w:rPr>
                <w:sz w:val="24"/>
                <w:lang w:val="en-GB" w:eastAsia="en-GB"/>
              </w:rPr>
              <w:t>%)</w:t>
            </w:r>
          </w:p>
        </w:tc>
        <w:tc>
          <w:tcPr>
            <w:tcW w:w="1495" w:type="dxa"/>
            <w:shd w:val="clear" w:color="auto" w:fill="auto"/>
            <w:vAlign w:val="bottom"/>
          </w:tcPr>
          <w:p w14:paraId="6EF14582" w14:textId="77777777" w:rsidR="00780CE4" w:rsidRPr="00246162" w:rsidRDefault="00780CE4" w:rsidP="00780CE4">
            <w:pPr>
              <w:pStyle w:val="TableCell"/>
              <w:rPr>
                <w:sz w:val="24"/>
                <w:lang w:val="en-GB" w:eastAsia="en-GB"/>
              </w:rPr>
            </w:pPr>
            <w:r w:rsidRPr="00246162">
              <w:rPr>
                <w:sz w:val="24"/>
                <w:lang w:val="en-GB" w:eastAsia="en-GB"/>
              </w:rPr>
              <w:t>(8%)</w:t>
            </w:r>
          </w:p>
        </w:tc>
      </w:tr>
    </w:tbl>
    <w:p w14:paraId="7B13F1BE" w14:textId="77777777" w:rsidR="00421776" w:rsidRPr="00C03D8B" w:rsidRDefault="00421776" w:rsidP="008E106B">
      <w:pPr>
        <w:pStyle w:val="Heading4"/>
        <w:rPr>
          <w:lang w:val="en-GB" w:eastAsia="en-GB"/>
        </w:rPr>
      </w:pPr>
      <w:r w:rsidRPr="00C03D8B">
        <w:rPr>
          <w:lang w:val="en-GB" w:eastAsia="en-GB"/>
        </w:rPr>
        <w:br/>
      </w:r>
      <w:bookmarkStart w:id="60" w:name="_Toc335836407"/>
      <w:r w:rsidRPr="00C03D8B">
        <w:rPr>
          <w:lang w:val="en-GB" w:eastAsia="en-GB"/>
        </w:rPr>
        <w:t>Pension Levy Contributions</w:t>
      </w:r>
      <w:bookmarkEnd w:id="60"/>
    </w:p>
    <w:p w14:paraId="472DF4C4" w14:textId="77777777" w:rsidR="00421776" w:rsidRDefault="00421776" w:rsidP="00421776">
      <w:pPr>
        <w:rPr>
          <w:lang w:val="en-GB" w:eastAsia="en-GB"/>
        </w:rPr>
      </w:pPr>
      <w:r w:rsidRPr="00633087">
        <w:rPr>
          <w:lang w:val="en-GB" w:eastAsia="en-GB"/>
        </w:rPr>
        <w:t>€</w:t>
      </w:r>
      <w:r>
        <w:rPr>
          <w:lang w:val="en-GB" w:eastAsia="en-GB"/>
        </w:rPr>
        <w:t>109,695</w:t>
      </w:r>
      <w:r w:rsidRPr="00633087">
        <w:rPr>
          <w:lang w:val="en-GB" w:eastAsia="en-GB"/>
        </w:rPr>
        <w:t xml:space="preserve"> was</w:t>
      </w:r>
      <w:r w:rsidRPr="00826690">
        <w:rPr>
          <w:lang w:val="en-GB" w:eastAsia="en-GB"/>
        </w:rPr>
        <w:t xml:space="preserve"> deducted from staff by way of pension levy and retained by the Department of Justice </w:t>
      </w:r>
      <w:r>
        <w:rPr>
          <w:lang w:val="en-GB" w:eastAsia="en-GB"/>
        </w:rPr>
        <w:t>and Equality.</w:t>
      </w:r>
    </w:p>
    <w:p w14:paraId="4913EF06" w14:textId="77777777" w:rsidR="00421776" w:rsidRDefault="00421776" w:rsidP="008E106B">
      <w:pPr>
        <w:pStyle w:val="Heading3"/>
        <w:rPr>
          <w:lang w:val="en-GB" w:eastAsia="en-GB"/>
        </w:rPr>
      </w:pPr>
      <w:r w:rsidRPr="009079DB">
        <w:rPr>
          <w:lang w:val="en-GB" w:eastAsia="en-GB"/>
        </w:rPr>
        <w:t xml:space="preserve">11. </w:t>
      </w:r>
      <w:r>
        <w:rPr>
          <w:lang w:val="en-GB" w:eastAsia="en-GB"/>
        </w:rPr>
        <w:t>Creditors a</w:t>
      </w:r>
      <w:r w:rsidRPr="009079DB">
        <w:rPr>
          <w:lang w:val="en-GB" w:eastAsia="en-GB"/>
        </w:rPr>
        <w:t>nd Accruals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265"/>
        <w:gridCol w:w="1828"/>
        <w:gridCol w:w="1828"/>
      </w:tblGrid>
      <w:tr w:rsidR="00774993" w:rsidRPr="00AF114C" w14:paraId="2D251A3D" w14:textId="77777777" w:rsidTr="00774993">
        <w:trPr>
          <w:tblHeader/>
        </w:trPr>
        <w:tc>
          <w:tcPr>
            <w:tcW w:w="4395" w:type="dxa"/>
            <w:shd w:val="clear" w:color="auto" w:fill="auto"/>
          </w:tcPr>
          <w:p w14:paraId="1CC5A1A2" w14:textId="77777777" w:rsidR="00774993" w:rsidRPr="00AF114C" w:rsidRDefault="00774993" w:rsidP="00C01D9A">
            <w:pPr>
              <w:pStyle w:val="TableHead"/>
              <w:jc w:val="right"/>
            </w:pPr>
          </w:p>
        </w:tc>
        <w:tc>
          <w:tcPr>
            <w:tcW w:w="1879" w:type="dxa"/>
            <w:shd w:val="clear" w:color="auto" w:fill="auto"/>
            <w:vAlign w:val="bottom"/>
          </w:tcPr>
          <w:p w14:paraId="64D67F45" w14:textId="77777777" w:rsidR="00774993" w:rsidRPr="00D13462" w:rsidRDefault="00774993" w:rsidP="00C01D9A">
            <w:pPr>
              <w:pStyle w:val="TableHead"/>
              <w:jc w:val="center"/>
              <w:rPr>
                <w:sz w:val="24"/>
                <w:lang w:val="en-GB" w:eastAsia="en-GB"/>
              </w:rPr>
            </w:pPr>
            <w:r w:rsidRPr="00D13462">
              <w:rPr>
                <w:sz w:val="24"/>
                <w:lang w:val="en-GB" w:eastAsia="en-GB"/>
              </w:rPr>
              <w:t>2014</w:t>
            </w:r>
          </w:p>
        </w:tc>
        <w:tc>
          <w:tcPr>
            <w:tcW w:w="1879" w:type="dxa"/>
            <w:shd w:val="clear" w:color="auto" w:fill="auto"/>
            <w:vAlign w:val="bottom"/>
          </w:tcPr>
          <w:p w14:paraId="13DD557B" w14:textId="77777777" w:rsidR="00774993" w:rsidRPr="00D13462" w:rsidRDefault="00774993" w:rsidP="00C01D9A">
            <w:pPr>
              <w:pStyle w:val="TableHead"/>
              <w:jc w:val="center"/>
              <w:rPr>
                <w:sz w:val="24"/>
                <w:lang w:val="en-GB" w:eastAsia="en-GB"/>
              </w:rPr>
            </w:pPr>
            <w:r w:rsidRPr="00D13462">
              <w:rPr>
                <w:sz w:val="24"/>
                <w:lang w:val="en-GB" w:eastAsia="en-GB"/>
              </w:rPr>
              <w:t>2013</w:t>
            </w:r>
          </w:p>
        </w:tc>
      </w:tr>
      <w:tr w:rsidR="00774993" w:rsidRPr="00AF114C" w14:paraId="2AF47FD3" w14:textId="77777777" w:rsidTr="00774993">
        <w:tc>
          <w:tcPr>
            <w:tcW w:w="4395" w:type="dxa"/>
            <w:shd w:val="clear" w:color="auto" w:fill="auto"/>
          </w:tcPr>
          <w:p w14:paraId="036C65BD" w14:textId="77777777" w:rsidR="00774993" w:rsidRPr="00AF114C" w:rsidRDefault="00774993" w:rsidP="00C01D9A">
            <w:pPr>
              <w:pStyle w:val="TableRowHead"/>
            </w:pPr>
          </w:p>
        </w:tc>
        <w:tc>
          <w:tcPr>
            <w:tcW w:w="1879" w:type="dxa"/>
            <w:shd w:val="clear" w:color="auto" w:fill="auto"/>
            <w:vAlign w:val="bottom"/>
          </w:tcPr>
          <w:p w14:paraId="7087B363" w14:textId="77777777" w:rsidR="00774993" w:rsidRPr="00D13462" w:rsidRDefault="00774993" w:rsidP="00C01D9A">
            <w:pPr>
              <w:spacing w:after="0"/>
              <w:jc w:val="center"/>
              <w:rPr>
                <w:rFonts w:cs="Arial"/>
                <w:b/>
                <w:bCs/>
                <w:sz w:val="22"/>
                <w:szCs w:val="22"/>
                <w:lang w:val="en-GB" w:eastAsia="en-GB"/>
              </w:rPr>
            </w:pPr>
            <w:r w:rsidRPr="00D13462">
              <w:rPr>
                <w:rFonts w:cs="Arial"/>
                <w:b/>
                <w:bCs/>
                <w:sz w:val="22"/>
                <w:szCs w:val="22"/>
                <w:lang w:val="en-GB" w:eastAsia="en-GB"/>
              </w:rPr>
              <w:t>€</w:t>
            </w:r>
          </w:p>
        </w:tc>
        <w:tc>
          <w:tcPr>
            <w:tcW w:w="1879" w:type="dxa"/>
            <w:shd w:val="clear" w:color="auto" w:fill="auto"/>
            <w:vAlign w:val="bottom"/>
          </w:tcPr>
          <w:p w14:paraId="20F9D1DB" w14:textId="77777777" w:rsidR="00774993" w:rsidRPr="00D13462" w:rsidRDefault="00774993" w:rsidP="00C01D9A">
            <w:pPr>
              <w:spacing w:after="0"/>
              <w:jc w:val="center"/>
              <w:rPr>
                <w:rFonts w:cs="Arial"/>
                <w:b/>
                <w:bCs/>
                <w:sz w:val="22"/>
                <w:szCs w:val="22"/>
                <w:lang w:val="en-GB" w:eastAsia="en-GB"/>
              </w:rPr>
            </w:pPr>
            <w:r w:rsidRPr="00D13462">
              <w:rPr>
                <w:rFonts w:cs="Arial"/>
                <w:b/>
                <w:bCs/>
                <w:sz w:val="22"/>
                <w:szCs w:val="22"/>
                <w:lang w:val="en-GB" w:eastAsia="en-GB"/>
              </w:rPr>
              <w:t>€</w:t>
            </w:r>
          </w:p>
        </w:tc>
      </w:tr>
      <w:tr w:rsidR="00774993" w:rsidRPr="00AF114C" w14:paraId="6D01DE71" w14:textId="77777777" w:rsidTr="00774993">
        <w:tc>
          <w:tcPr>
            <w:tcW w:w="4395" w:type="dxa"/>
            <w:shd w:val="clear" w:color="auto" w:fill="auto"/>
            <w:vAlign w:val="bottom"/>
          </w:tcPr>
          <w:p w14:paraId="00D87D26" w14:textId="77777777" w:rsidR="00774993" w:rsidRPr="000626A3" w:rsidRDefault="00774993" w:rsidP="00C01D9A">
            <w:pPr>
              <w:pStyle w:val="TableRowHead"/>
              <w:rPr>
                <w:rFonts w:ascii="Gill Sans" w:hAnsi="Gill Sans"/>
                <w:sz w:val="24"/>
                <w:lang w:val="en-GB" w:eastAsia="en-GB"/>
              </w:rPr>
            </w:pPr>
            <w:r w:rsidRPr="000626A3">
              <w:rPr>
                <w:rFonts w:ascii="Gill Sans" w:hAnsi="Gill Sans"/>
                <w:sz w:val="24"/>
                <w:lang w:val="en-GB" w:eastAsia="en-GB"/>
              </w:rPr>
              <w:t>Accruals</w:t>
            </w:r>
          </w:p>
        </w:tc>
        <w:tc>
          <w:tcPr>
            <w:tcW w:w="1879" w:type="dxa"/>
            <w:shd w:val="clear" w:color="auto" w:fill="auto"/>
            <w:vAlign w:val="bottom"/>
          </w:tcPr>
          <w:p w14:paraId="0C45D6D3" w14:textId="77777777" w:rsidR="00774993" w:rsidRPr="00633087" w:rsidRDefault="00774993" w:rsidP="00C01D9A">
            <w:pPr>
              <w:pStyle w:val="TableCell"/>
              <w:rPr>
                <w:rFonts w:cs="Arial"/>
                <w:sz w:val="24"/>
                <w:lang w:val="en-GB" w:eastAsia="en-GB"/>
              </w:rPr>
            </w:pPr>
            <w:r>
              <w:rPr>
                <w:rFonts w:cs="Arial"/>
                <w:sz w:val="24"/>
                <w:lang w:val="en-GB" w:eastAsia="en-GB"/>
              </w:rPr>
              <w:t>€38,537</w:t>
            </w:r>
          </w:p>
        </w:tc>
        <w:tc>
          <w:tcPr>
            <w:tcW w:w="1879" w:type="dxa"/>
            <w:shd w:val="clear" w:color="auto" w:fill="auto"/>
            <w:vAlign w:val="bottom"/>
          </w:tcPr>
          <w:p w14:paraId="6E4F2315" w14:textId="77777777" w:rsidR="00774993" w:rsidRPr="00633087" w:rsidRDefault="00774993" w:rsidP="00C01D9A">
            <w:pPr>
              <w:pStyle w:val="TableCell"/>
              <w:rPr>
                <w:rFonts w:cs="Arial"/>
                <w:sz w:val="24"/>
                <w:lang w:val="en-GB" w:eastAsia="en-GB"/>
              </w:rPr>
            </w:pPr>
            <w:r w:rsidRPr="00633087">
              <w:rPr>
                <w:rFonts w:cs="Arial"/>
                <w:sz w:val="24"/>
                <w:lang w:val="en-GB" w:eastAsia="en-GB"/>
              </w:rPr>
              <w:t>€64,130</w:t>
            </w:r>
          </w:p>
        </w:tc>
      </w:tr>
      <w:tr w:rsidR="00774993" w:rsidRPr="00AF114C" w14:paraId="1D91242B" w14:textId="77777777" w:rsidTr="00774993">
        <w:tc>
          <w:tcPr>
            <w:tcW w:w="4395" w:type="dxa"/>
            <w:shd w:val="clear" w:color="auto" w:fill="auto"/>
            <w:vAlign w:val="bottom"/>
          </w:tcPr>
          <w:p w14:paraId="7BBF7661" w14:textId="77777777" w:rsidR="00774993" w:rsidRPr="000626A3" w:rsidRDefault="00774993" w:rsidP="00C01D9A">
            <w:pPr>
              <w:pStyle w:val="TableRowHead"/>
              <w:rPr>
                <w:rFonts w:ascii="Gill Sans" w:hAnsi="Gill Sans"/>
                <w:sz w:val="24"/>
                <w:lang w:val="en-GB" w:eastAsia="en-GB"/>
              </w:rPr>
            </w:pPr>
            <w:r w:rsidRPr="000626A3">
              <w:rPr>
                <w:rFonts w:ascii="Gill Sans" w:hAnsi="Gill Sans"/>
                <w:sz w:val="24"/>
                <w:lang w:val="en-GB" w:eastAsia="en-GB"/>
              </w:rPr>
              <w:t>Total Creditors</w:t>
            </w:r>
          </w:p>
        </w:tc>
        <w:tc>
          <w:tcPr>
            <w:tcW w:w="1879" w:type="dxa"/>
            <w:shd w:val="clear" w:color="auto" w:fill="auto"/>
            <w:vAlign w:val="bottom"/>
          </w:tcPr>
          <w:p w14:paraId="7B2D65A4" w14:textId="77777777" w:rsidR="00774993" w:rsidRPr="001B1E02" w:rsidRDefault="00774993" w:rsidP="00C01D9A">
            <w:pPr>
              <w:pStyle w:val="TableCell"/>
              <w:rPr>
                <w:rFonts w:cs="Arial"/>
                <w:b/>
                <w:sz w:val="24"/>
                <w:lang w:val="en-GB" w:eastAsia="en-GB"/>
              </w:rPr>
            </w:pPr>
            <w:r w:rsidRPr="001B1E02">
              <w:rPr>
                <w:rFonts w:cs="Arial"/>
                <w:b/>
                <w:sz w:val="24"/>
                <w:lang w:val="en-GB" w:eastAsia="en-GB"/>
              </w:rPr>
              <w:t>€38,537</w:t>
            </w:r>
          </w:p>
        </w:tc>
        <w:tc>
          <w:tcPr>
            <w:tcW w:w="1879" w:type="dxa"/>
            <w:shd w:val="clear" w:color="auto" w:fill="auto"/>
            <w:vAlign w:val="bottom"/>
          </w:tcPr>
          <w:p w14:paraId="17A12EE7" w14:textId="77777777" w:rsidR="00774993" w:rsidRPr="001B1E02" w:rsidRDefault="00774993" w:rsidP="00C01D9A">
            <w:pPr>
              <w:pStyle w:val="TableCell"/>
              <w:rPr>
                <w:rFonts w:cs="Arial"/>
                <w:b/>
                <w:sz w:val="24"/>
                <w:lang w:val="en-GB" w:eastAsia="en-GB"/>
              </w:rPr>
            </w:pPr>
            <w:r w:rsidRPr="00B26F67">
              <w:rPr>
                <w:rFonts w:cs="Arial"/>
                <w:b/>
                <w:sz w:val="24"/>
                <w:lang w:val="en-GB" w:eastAsia="en-GB"/>
              </w:rPr>
              <w:t>€64,130</w:t>
            </w:r>
          </w:p>
        </w:tc>
      </w:tr>
    </w:tbl>
    <w:p w14:paraId="64254DB3" w14:textId="77777777" w:rsidR="001354ED" w:rsidRDefault="001354ED" w:rsidP="001354ED"/>
    <w:p w14:paraId="0622C231" w14:textId="77777777" w:rsidR="00421776" w:rsidRPr="0058102A" w:rsidRDefault="00421776" w:rsidP="008E106B">
      <w:pPr>
        <w:pStyle w:val="Heading3"/>
      </w:pPr>
      <w:r w:rsidRPr="0058102A">
        <w:t>12. Debtors and Prepayments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265"/>
        <w:gridCol w:w="1828"/>
        <w:gridCol w:w="1828"/>
      </w:tblGrid>
      <w:tr w:rsidR="00774993" w:rsidRPr="0058102A" w14:paraId="579AEC4A" w14:textId="77777777" w:rsidTr="00774993">
        <w:trPr>
          <w:tblHeader/>
        </w:trPr>
        <w:tc>
          <w:tcPr>
            <w:tcW w:w="4395" w:type="dxa"/>
            <w:shd w:val="clear" w:color="auto" w:fill="auto"/>
          </w:tcPr>
          <w:p w14:paraId="7E80966E" w14:textId="77777777" w:rsidR="00774993" w:rsidRPr="0058102A" w:rsidRDefault="00774993" w:rsidP="00C01D9A">
            <w:pPr>
              <w:pStyle w:val="TableHead"/>
              <w:jc w:val="right"/>
            </w:pPr>
          </w:p>
        </w:tc>
        <w:tc>
          <w:tcPr>
            <w:tcW w:w="1879" w:type="dxa"/>
            <w:shd w:val="clear" w:color="auto" w:fill="auto"/>
            <w:vAlign w:val="bottom"/>
          </w:tcPr>
          <w:p w14:paraId="261808DA" w14:textId="77777777" w:rsidR="00774993" w:rsidRPr="00D13462" w:rsidRDefault="00774993" w:rsidP="00C01D9A">
            <w:pPr>
              <w:pStyle w:val="TableHead"/>
              <w:jc w:val="center"/>
              <w:rPr>
                <w:sz w:val="24"/>
                <w:lang w:val="en-GB" w:eastAsia="en-GB"/>
              </w:rPr>
            </w:pPr>
            <w:r w:rsidRPr="00D13462">
              <w:rPr>
                <w:sz w:val="24"/>
                <w:lang w:val="en-GB" w:eastAsia="en-GB"/>
              </w:rPr>
              <w:t>2014</w:t>
            </w:r>
          </w:p>
        </w:tc>
        <w:tc>
          <w:tcPr>
            <w:tcW w:w="1879" w:type="dxa"/>
            <w:shd w:val="clear" w:color="auto" w:fill="auto"/>
            <w:vAlign w:val="bottom"/>
          </w:tcPr>
          <w:p w14:paraId="031855A9" w14:textId="77777777" w:rsidR="00774993" w:rsidRPr="00D13462" w:rsidRDefault="00774993" w:rsidP="00C01D9A">
            <w:pPr>
              <w:pStyle w:val="TableHead"/>
              <w:jc w:val="center"/>
              <w:rPr>
                <w:sz w:val="24"/>
                <w:lang w:val="en-GB" w:eastAsia="en-GB"/>
              </w:rPr>
            </w:pPr>
            <w:r w:rsidRPr="00D13462">
              <w:rPr>
                <w:sz w:val="24"/>
                <w:lang w:val="en-GB" w:eastAsia="en-GB"/>
              </w:rPr>
              <w:t>2013</w:t>
            </w:r>
          </w:p>
        </w:tc>
      </w:tr>
      <w:tr w:rsidR="00774993" w:rsidRPr="0058102A" w14:paraId="11FBD3D6" w14:textId="77777777" w:rsidTr="00774993">
        <w:trPr>
          <w:tblHeader/>
        </w:trPr>
        <w:tc>
          <w:tcPr>
            <w:tcW w:w="4395" w:type="dxa"/>
            <w:shd w:val="clear" w:color="auto" w:fill="auto"/>
          </w:tcPr>
          <w:p w14:paraId="6D67C00E" w14:textId="77777777" w:rsidR="00774993" w:rsidRPr="0058102A" w:rsidRDefault="00774993" w:rsidP="00C01D9A">
            <w:pPr>
              <w:pStyle w:val="TableHead"/>
              <w:jc w:val="right"/>
            </w:pPr>
          </w:p>
        </w:tc>
        <w:tc>
          <w:tcPr>
            <w:tcW w:w="1879" w:type="dxa"/>
            <w:shd w:val="clear" w:color="auto" w:fill="auto"/>
            <w:vAlign w:val="bottom"/>
          </w:tcPr>
          <w:p w14:paraId="403FBC84" w14:textId="77777777" w:rsidR="00774993" w:rsidRPr="00D13462" w:rsidRDefault="00774993" w:rsidP="00C01D9A">
            <w:pPr>
              <w:spacing w:after="0"/>
              <w:jc w:val="center"/>
              <w:rPr>
                <w:rFonts w:cs="Arial"/>
                <w:b/>
                <w:bCs/>
                <w:sz w:val="22"/>
                <w:szCs w:val="22"/>
                <w:lang w:val="en-GB" w:eastAsia="en-GB"/>
              </w:rPr>
            </w:pPr>
            <w:r w:rsidRPr="00D13462">
              <w:rPr>
                <w:rFonts w:cs="Arial"/>
                <w:b/>
                <w:bCs/>
                <w:sz w:val="22"/>
                <w:szCs w:val="22"/>
                <w:lang w:val="en-GB" w:eastAsia="en-GB"/>
              </w:rPr>
              <w:t>€</w:t>
            </w:r>
          </w:p>
        </w:tc>
        <w:tc>
          <w:tcPr>
            <w:tcW w:w="1879" w:type="dxa"/>
            <w:shd w:val="clear" w:color="auto" w:fill="auto"/>
            <w:vAlign w:val="bottom"/>
          </w:tcPr>
          <w:p w14:paraId="682FEF4A" w14:textId="77777777" w:rsidR="00774993" w:rsidRPr="00D13462" w:rsidRDefault="00774993" w:rsidP="00C01D9A">
            <w:pPr>
              <w:spacing w:after="0"/>
              <w:jc w:val="center"/>
              <w:rPr>
                <w:rFonts w:cs="Arial"/>
                <w:b/>
                <w:bCs/>
                <w:sz w:val="22"/>
                <w:szCs w:val="22"/>
                <w:lang w:val="en-GB" w:eastAsia="en-GB"/>
              </w:rPr>
            </w:pPr>
            <w:r w:rsidRPr="00D13462">
              <w:rPr>
                <w:rFonts w:cs="Arial"/>
                <w:b/>
                <w:bCs/>
                <w:sz w:val="22"/>
                <w:szCs w:val="22"/>
                <w:lang w:val="en-GB" w:eastAsia="en-GB"/>
              </w:rPr>
              <w:t>€</w:t>
            </w:r>
          </w:p>
        </w:tc>
      </w:tr>
      <w:tr w:rsidR="00774993" w:rsidRPr="0058102A" w14:paraId="57536811" w14:textId="77777777" w:rsidTr="00774993">
        <w:tc>
          <w:tcPr>
            <w:tcW w:w="4395" w:type="dxa"/>
            <w:shd w:val="clear" w:color="auto" w:fill="auto"/>
            <w:vAlign w:val="bottom"/>
          </w:tcPr>
          <w:p w14:paraId="04FA6614" w14:textId="77777777" w:rsidR="00774993" w:rsidRPr="00B26F67" w:rsidRDefault="00774993" w:rsidP="00C01D9A">
            <w:pPr>
              <w:pStyle w:val="TableRowHead"/>
              <w:rPr>
                <w:rFonts w:ascii="Gill Sans" w:hAnsi="Gill Sans"/>
                <w:color w:val="0D0D0D"/>
                <w:sz w:val="24"/>
                <w:lang w:val="en-GB" w:eastAsia="en-GB"/>
              </w:rPr>
            </w:pPr>
            <w:r w:rsidRPr="00B26F67">
              <w:rPr>
                <w:rFonts w:ascii="Gill Sans" w:hAnsi="Gill Sans"/>
                <w:color w:val="0D0D0D"/>
                <w:sz w:val="24"/>
                <w:lang w:val="en-GB" w:eastAsia="en-GB"/>
              </w:rPr>
              <w:t>Dept of Justice and Equality</w:t>
            </w:r>
          </w:p>
        </w:tc>
        <w:tc>
          <w:tcPr>
            <w:tcW w:w="1879" w:type="dxa"/>
            <w:shd w:val="clear" w:color="auto" w:fill="auto"/>
            <w:vAlign w:val="bottom"/>
          </w:tcPr>
          <w:p w14:paraId="152ABCA0" w14:textId="77777777" w:rsidR="00774993" w:rsidRPr="00B26F67" w:rsidRDefault="00774993" w:rsidP="00C01D9A">
            <w:pPr>
              <w:pStyle w:val="TableCell"/>
              <w:rPr>
                <w:rFonts w:cs="Arial"/>
                <w:color w:val="0D0D0D"/>
                <w:sz w:val="24"/>
                <w:lang w:val="en-GB" w:eastAsia="en-GB"/>
              </w:rPr>
            </w:pPr>
            <w:r>
              <w:rPr>
                <w:rFonts w:cs="Arial"/>
                <w:color w:val="0D0D0D"/>
                <w:sz w:val="24"/>
                <w:lang w:val="en-GB" w:eastAsia="en-GB"/>
              </w:rPr>
              <w:t>€294,092</w:t>
            </w:r>
          </w:p>
        </w:tc>
        <w:tc>
          <w:tcPr>
            <w:tcW w:w="1879" w:type="dxa"/>
            <w:shd w:val="clear" w:color="auto" w:fill="auto"/>
            <w:vAlign w:val="bottom"/>
          </w:tcPr>
          <w:p w14:paraId="2392F1CF" w14:textId="77777777" w:rsidR="00774993" w:rsidRPr="00B26F67" w:rsidRDefault="00774993" w:rsidP="00C01D9A">
            <w:pPr>
              <w:pStyle w:val="TableCell"/>
              <w:rPr>
                <w:rFonts w:cs="Arial"/>
                <w:color w:val="0D0D0D"/>
                <w:sz w:val="24"/>
                <w:lang w:val="en-GB" w:eastAsia="en-GB"/>
              </w:rPr>
            </w:pPr>
            <w:r w:rsidRPr="00B26F67">
              <w:rPr>
                <w:rFonts w:cs="Arial"/>
                <w:color w:val="0D0D0D"/>
                <w:sz w:val="24"/>
                <w:lang w:val="en-GB" w:eastAsia="en-GB"/>
              </w:rPr>
              <w:t>€230,531</w:t>
            </w:r>
          </w:p>
        </w:tc>
      </w:tr>
      <w:tr w:rsidR="00774993" w:rsidRPr="0058102A" w14:paraId="12DAF262" w14:textId="77777777" w:rsidTr="00774993">
        <w:tc>
          <w:tcPr>
            <w:tcW w:w="4395" w:type="dxa"/>
            <w:shd w:val="clear" w:color="auto" w:fill="auto"/>
            <w:vAlign w:val="bottom"/>
          </w:tcPr>
          <w:p w14:paraId="35CC3429" w14:textId="77777777" w:rsidR="00774993" w:rsidRPr="00B26F67" w:rsidRDefault="00774993" w:rsidP="00C01D9A">
            <w:pPr>
              <w:pStyle w:val="TableRowHead"/>
              <w:rPr>
                <w:rFonts w:ascii="Gill Sans" w:hAnsi="Gill Sans"/>
                <w:color w:val="0D0D0D"/>
                <w:sz w:val="24"/>
                <w:lang w:val="en-GB" w:eastAsia="en-GB"/>
              </w:rPr>
            </w:pPr>
            <w:r>
              <w:rPr>
                <w:rFonts w:ascii="Gill Sans" w:hAnsi="Gill Sans"/>
                <w:color w:val="0D0D0D"/>
                <w:sz w:val="24"/>
                <w:lang w:val="en-GB" w:eastAsia="en-GB"/>
              </w:rPr>
              <w:t>Prepayments</w:t>
            </w:r>
          </w:p>
        </w:tc>
        <w:tc>
          <w:tcPr>
            <w:tcW w:w="1879" w:type="dxa"/>
            <w:shd w:val="clear" w:color="auto" w:fill="auto"/>
            <w:vAlign w:val="bottom"/>
          </w:tcPr>
          <w:p w14:paraId="75F9D684" w14:textId="77777777" w:rsidR="00774993" w:rsidRPr="00B26F67" w:rsidRDefault="00774993" w:rsidP="00C01D9A">
            <w:pPr>
              <w:pStyle w:val="TableCell"/>
              <w:rPr>
                <w:rFonts w:cs="Arial"/>
                <w:color w:val="0D0D0D"/>
                <w:sz w:val="24"/>
                <w:lang w:val="en-GB" w:eastAsia="en-GB"/>
              </w:rPr>
            </w:pPr>
            <w:r>
              <w:rPr>
                <w:rFonts w:cs="Arial"/>
                <w:color w:val="0D0D0D"/>
                <w:sz w:val="24"/>
                <w:lang w:val="en-GB" w:eastAsia="en-GB"/>
              </w:rPr>
              <w:t>€10,993</w:t>
            </w:r>
          </w:p>
        </w:tc>
        <w:tc>
          <w:tcPr>
            <w:tcW w:w="1879" w:type="dxa"/>
            <w:shd w:val="clear" w:color="auto" w:fill="auto"/>
            <w:vAlign w:val="bottom"/>
          </w:tcPr>
          <w:p w14:paraId="0CA78D0D" w14:textId="77777777" w:rsidR="00774993" w:rsidRPr="00B26F67" w:rsidRDefault="00774993" w:rsidP="00C01D9A">
            <w:pPr>
              <w:pStyle w:val="TableCell"/>
              <w:rPr>
                <w:rFonts w:cs="Arial"/>
                <w:color w:val="0D0D0D"/>
                <w:sz w:val="24"/>
                <w:lang w:val="en-GB" w:eastAsia="en-GB"/>
              </w:rPr>
            </w:pPr>
            <w:r>
              <w:rPr>
                <w:rFonts w:cs="Arial"/>
                <w:color w:val="0D0D0D"/>
                <w:sz w:val="24"/>
                <w:lang w:val="en-GB" w:eastAsia="en-GB"/>
              </w:rPr>
              <w:t>€13,144</w:t>
            </w:r>
          </w:p>
        </w:tc>
      </w:tr>
      <w:tr w:rsidR="00774993" w:rsidRPr="0058102A" w14:paraId="7D8C4AAA" w14:textId="77777777" w:rsidTr="00774993">
        <w:tc>
          <w:tcPr>
            <w:tcW w:w="4395" w:type="dxa"/>
            <w:shd w:val="clear" w:color="auto" w:fill="auto"/>
            <w:vAlign w:val="bottom"/>
          </w:tcPr>
          <w:p w14:paraId="74915817" w14:textId="77777777" w:rsidR="00774993" w:rsidRPr="00B26F67" w:rsidRDefault="00774993" w:rsidP="00C01D9A">
            <w:pPr>
              <w:pStyle w:val="TableRowHead"/>
              <w:rPr>
                <w:rFonts w:ascii="Gill Sans" w:hAnsi="Gill Sans"/>
                <w:color w:val="0D0D0D"/>
                <w:sz w:val="24"/>
                <w:lang w:val="en-GB" w:eastAsia="en-GB"/>
              </w:rPr>
            </w:pPr>
            <w:r w:rsidRPr="00B26F67">
              <w:rPr>
                <w:rFonts w:ascii="Gill Sans" w:hAnsi="Gill Sans"/>
                <w:color w:val="0D0D0D"/>
                <w:sz w:val="24"/>
                <w:lang w:val="en-GB" w:eastAsia="en-GB"/>
              </w:rPr>
              <w:t>Other Debtors</w:t>
            </w:r>
          </w:p>
        </w:tc>
        <w:tc>
          <w:tcPr>
            <w:tcW w:w="1879" w:type="dxa"/>
            <w:shd w:val="clear" w:color="auto" w:fill="auto"/>
            <w:vAlign w:val="bottom"/>
          </w:tcPr>
          <w:p w14:paraId="06ED56EE" w14:textId="77777777" w:rsidR="00774993" w:rsidRPr="00B26F67" w:rsidRDefault="00774993" w:rsidP="00C01D9A">
            <w:pPr>
              <w:pStyle w:val="TableCell"/>
              <w:rPr>
                <w:rFonts w:cs="Arial"/>
                <w:color w:val="0D0D0D"/>
                <w:sz w:val="24"/>
                <w:lang w:val="en-GB" w:eastAsia="en-GB"/>
              </w:rPr>
            </w:pPr>
            <w:r>
              <w:rPr>
                <w:rFonts w:cs="Arial"/>
                <w:color w:val="0D0D0D"/>
                <w:sz w:val="24"/>
                <w:lang w:val="en-GB" w:eastAsia="en-GB"/>
              </w:rPr>
              <w:t>€314</w:t>
            </w:r>
          </w:p>
        </w:tc>
        <w:tc>
          <w:tcPr>
            <w:tcW w:w="1879" w:type="dxa"/>
            <w:shd w:val="clear" w:color="auto" w:fill="auto"/>
            <w:vAlign w:val="bottom"/>
          </w:tcPr>
          <w:p w14:paraId="5A2CA394" w14:textId="77777777" w:rsidR="00774993" w:rsidRPr="00B26F67" w:rsidRDefault="00774993" w:rsidP="00C01D9A">
            <w:pPr>
              <w:pStyle w:val="TableCell"/>
              <w:rPr>
                <w:rFonts w:cs="Arial"/>
                <w:color w:val="0D0D0D"/>
                <w:sz w:val="24"/>
                <w:lang w:val="en-GB" w:eastAsia="en-GB"/>
              </w:rPr>
            </w:pPr>
            <w:r w:rsidRPr="00B26F67">
              <w:rPr>
                <w:rFonts w:cs="Arial"/>
                <w:color w:val="0D0D0D"/>
                <w:sz w:val="24"/>
                <w:lang w:val="en-GB" w:eastAsia="en-GB"/>
              </w:rPr>
              <w:t>€15,800</w:t>
            </w:r>
          </w:p>
        </w:tc>
      </w:tr>
      <w:tr w:rsidR="00774993" w:rsidRPr="0058102A" w14:paraId="4F51A48A" w14:textId="77777777" w:rsidTr="00774993">
        <w:tc>
          <w:tcPr>
            <w:tcW w:w="4395" w:type="dxa"/>
            <w:shd w:val="clear" w:color="auto" w:fill="auto"/>
            <w:vAlign w:val="bottom"/>
          </w:tcPr>
          <w:p w14:paraId="0A195D2A" w14:textId="77777777" w:rsidR="00774993" w:rsidRPr="000626A3" w:rsidRDefault="00774993" w:rsidP="00C01D9A">
            <w:pPr>
              <w:pStyle w:val="TableRowHead"/>
              <w:rPr>
                <w:rFonts w:ascii="Gill Sans" w:hAnsi="Gill Sans"/>
                <w:sz w:val="24"/>
                <w:lang w:val="en-GB" w:eastAsia="en-GB"/>
              </w:rPr>
            </w:pPr>
          </w:p>
        </w:tc>
        <w:tc>
          <w:tcPr>
            <w:tcW w:w="1879" w:type="dxa"/>
            <w:shd w:val="clear" w:color="auto" w:fill="auto"/>
            <w:vAlign w:val="bottom"/>
          </w:tcPr>
          <w:p w14:paraId="0A17BC0C" w14:textId="77777777" w:rsidR="00774993" w:rsidRPr="00633087" w:rsidRDefault="00774993" w:rsidP="00C01D9A">
            <w:pPr>
              <w:pStyle w:val="TableCell"/>
              <w:rPr>
                <w:rFonts w:cs="Arial"/>
                <w:sz w:val="24"/>
                <w:lang w:val="en-GB" w:eastAsia="en-GB"/>
              </w:rPr>
            </w:pPr>
          </w:p>
        </w:tc>
        <w:tc>
          <w:tcPr>
            <w:tcW w:w="1879" w:type="dxa"/>
            <w:shd w:val="clear" w:color="auto" w:fill="auto"/>
            <w:vAlign w:val="bottom"/>
          </w:tcPr>
          <w:p w14:paraId="4B95DD25" w14:textId="77777777" w:rsidR="00774993" w:rsidRPr="00633087" w:rsidRDefault="00774993" w:rsidP="00C01D9A">
            <w:pPr>
              <w:pStyle w:val="TableCell"/>
              <w:rPr>
                <w:rFonts w:cs="Arial"/>
                <w:sz w:val="24"/>
                <w:lang w:val="en-GB" w:eastAsia="en-GB"/>
              </w:rPr>
            </w:pPr>
          </w:p>
        </w:tc>
      </w:tr>
      <w:tr w:rsidR="00774993" w:rsidRPr="0058102A" w14:paraId="0E753183" w14:textId="77777777" w:rsidTr="00774993">
        <w:tc>
          <w:tcPr>
            <w:tcW w:w="4395" w:type="dxa"/>
            <w:shd w:val="clear" w:color="auto" w:fill="auto"/>
            <w:vAlign w:val="bottom"/>
          </w:tcPr>
          <w:p w14:paraId="0A2222A5" w14:textId="77777777" w:rsidR="00774993" w:rsidRPr="000626A3" w:rsidRDefault="00774993" w:rsidP="00C01D9A">
            <w:pPr>
              <w:pStyle w:val="TableRowHead"/>
              <w:rPr>
                <w:rFonts w:ascii="Gill Sans" w:hAnsi="Gill Sans"/>
                <w:sz w:val="24"/>
                <w:lang w:val="en-GB" w:eastAsia="en-GB"/>
              </w:rPr>
            </w:pPr>
            <w:r w:rsidRPr="000626A3">
              <w:rPr>
                <w:rFonts w:ascii="Gill Sans" w:hAnsi="Gill Sans"/>
                <w:sz w:val="24"/>
                <w:lang w:val="en-GB" w:eastAsia="en-GB"/>
              </w:rPr>
              <w:t>Total Debtors</w:t>
            </w:r>
          </w:p>
        </w:tc>
        <w:tc>
          <w:tcPr>
            <w:tcW w:w="1879" w:type="dxa"/>
            <w:shd w:val="clear" w:color="auto" w:fill="auto"/>
            <w:vAlign w:val="bottom"/>
          </w:tcPr>
          <w:p w14:paraId="5A97C59E" w14:textId="77777777" w:rsidR="00774993" w:rsidRPr="00B26F67" w:rsidRDefault="00774993" w:rsidP="00C01D9A">
            <w:pPr>
              <w:pStyle w:val="TableCell"/>
              <w:rPr>
                <w:rFonts w:cs="Arial"/>
                <w:b/>
                <w:sz w:val="24"/>
                <w:lang w:val="en-GB" w:eastAsia="en-GB"/>
              </w:rPr>
            </w:pPr>
            <w:r>
              <w:rPr>
                <w:rFonts w:cs="Arial"/>
                <w:b/>
                <w:sz w:val="24"/>
                <w:lang w:val="en-GB" w:eastAsia="en-GB"/>
              </w:rPr>
              <w:t>€305,399</w:t>
            </w:r>
          </w:p>
        </w:tc>
        <w:tc>
          <w:tcPr>
            <w:tcW w:w="1879" w:type="dxa"/>
            <w:shd w:val="clear" w:color="auto" w:fill="auto"/>
            <w:vAlign w:val="bottom"/>
          </w:tcPr>
          <w:p w14:paraId="0B8528A6" w14:textId="77777777" w:rsidR="00774993" w:rsidRPr="00B26F67" w:rsidRDefault="00774993" w:rsidP="00C01D9A">
            <w:pPr>
              <w:pStyle w:val="TableCell"/>
              <w:rPr>
                <w:rFonts w:cs="Arial"/>
                <w:b/>
                <w:sz w:val="24"/>
                <w:lang w:val="en-GB" w:eastAsia="en-GB"/>
              </w:rPr>
            </w:pPr>
            <w:r w:rsidRPr="00B26F67">
              <w:rPr>
                <w:rFonts w:cs="Arial"/>
                <w:b/>
                <w:sz w:val="24"/>
                <w:lang w:val="en-GB" w:eastAsia="en-GB"/>
              </w:rPr>
              <w:t>€259,475</w:t>
            </w:r>
          </w:p>
        </w:tc>
      </w:tr>
    </w:tbl>
    <w:p w14:paraId="40F933D3" w14:textId="77777777" w:rsidR="00421776" w:rsidRDefault="00CA4555" w:rsidP="008E106B">
      <w:pPr>
        <w:rPr>
          <w:lang w:val="en-GB" w:eastAsia="en-GB"/>
        </w:rPr>
      </w:pPr>
      <w:r>
        <w:rPr>
          <w:lang w:val="en-GB" w:eastAsia="en-GB"/>
        </w:rPr>
        <w:br/>
      </w:r>
      <w:r w:rsidR="00774993" w:rsidRPr="00774993">
        <w:rPr>
          <w:lang w:val="en-GB" w:eastAsia="en-GB"/>
        </w:rPr>
        <w:t xml:space="preserve">Other debtors </w:t>
      </w:r>
      <w:proofErr w:type="gramStart"/>
      <w:r w:rsidR="00774993" w:rsidRPr="00774993">
        <w:rPr>
          <w:lang w:val="en-GB" w:eastAsia="en-GB"/>
        </w:rPr>
        <w:t>relates</w:t>
      </w:r>
      <w:proofErr w:type="gramEnd"/>
      <w:r w:rsidR="00774993" w:rsidRPr="00774993">
        <w:rPr>
          <w:lang w:val="en-GB" w:eastAsia="en-GB"/>
        </w:rPr>
        <w:t xml:space="preserve"> to the surplus arising from the accumulated superannuation contributions deducted from NDA staff less accumulated pension payments made on retirement to staff financed from this fund</w:t>
      </w:r>
      <w:r w:rsidR="00421776" w:rsidRPr="00921A15">
        <w:rPr>
          <w:lang w:val="en-GB" w:eastAsia="en-GB"/>
        </w:rPr>
        <w:t>.</w:t>
      </w:r>
    </w:p>
    <w:p w14:paraId="3345F933" w14:textId="77777777" w:rsidR="00421776" w:rsidRPr="00FB3E25" w:rsidRDefault="00774993" w:rsidP="00421776">
      <w:pPr>
        <w:pStyle w:val="Heading3"/>
        <w:rPr>
          <w:lang w:val="en-GB" w:eastAsia="en-GB"/>
        </w:rPr>
      </w:pPr>
      <w:r w:rsidRPr="00774993">
        <w:lastRenderedPageBreak/>
        <w:t>13. Movement of Retained Surplus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15"/>
        <w:gridCol w:w="1578"/>
        <w:gridCol w:w="1828"/>
      </w:tblGrid>
      <w:tr w:rsidR="00774993" w:rsidRPr="0058102A" w14:paraId="783EEB91" w14:textId="77777777" w:rsidTr="00CB6FF6">
        <w:trPr>
          <w:tblHeader/>
        </w:trPr>
        <w:tc>
          <w:tcPr>
            <w:tcW w:w="4653" w:type="dxa"/>
            <w:shd w:val="clear" w:color="auto" w:fill="auto"/>
          </w:tcPr>
          <w:p w14:paraId="1E75E150" w14:textId="77777777" w:rsidR="00774993" w:rsidRPr="0058102A" w:rsidRDefault="00774993" w:rsidP="00C01D9A">
            <w:pPr>
              <w:pStyle w:val="TableHead"/>
              <w:jc w:val="right"/>
            </w:pPr>
          </w:p>
        </w:tc>
        <w:tc>
          <w:tcPr>
            <w:tcW w:w="1621" w:type="dxa"/>
            <w:shd w:val="clear" w:color="auto" w:fill="auto"/>
            <w:vAlign w:val="bottom"/>
          </w:tcPr>
          <w:p w14:paraId="2B516DFD" w14:textId="77777777" w:rsidR="00774993" w:rsidRPr="00D13462" w:rsidRDefault="00774993" w:rsidP="00C01D9A">
            <w:pPr>
              <w:pStyle w:val="TableHead"/>
              <w:jc w:val="center"/>
              <w:rPr>
                <w:sz w:val="24"/>
                <w:lang w:val="en-GB" w:eastAsia="en-GB"/>
              </w:rPr>
            </w:pPr>
            <w:r w:rsidRPr="00D13462">
              <w:rPr>
                <w:sz w:val="24"/>
                <w:lang w:val="en-GB" w:eastAsia="en-GB"/>
              </w:rPr>
              <w:t>2014</w:t>
            </w:r>
          </w:p>
        </w:tc>
        <w:tc>
          <w:tcPr>
            <w:tcW w:w="1879" w:type="dxa"/>
            <w:shd w:val="clear" w:color="auto" w:fill="auto"/>
            <w:vAlign w:val="bottom"/>
          </w:tcPr>
          <w:p w14:paraId="6DF55807" w14:textId="77777777" w:rsidR="00774993" w:rsidRPr="00D13462" w:rsidRDefault="00774993" w:rsidP="00C01D9A">
            <w:pPr>
              <w:pStyle w:val="TableHead"/>
              <w:jc w:val="center"/>
              <w:rPr>
                <w:sz w:val="24"/>
                <w:lang w:val="en-GB" w:eastAsia="en-GB"/>
              </w:rPr>
            </w:pPr>
            <w:r w:rsidRPr="00D13462">
              <w:rPr>
                <w:sz w:val="24"/>
                <w:lang w:val="en-GB" w:eastAsia="en-GB"/>
              </w:rPr>
              <w:t>2013</w:t>
            </w:r>
          </w:p>
        </w:tc>
      </w:tr>
      <w:tr w:rsidR="00774993" w:rsidRPr="0058102A" w14:paraId="448815BE" w14:textId="77777777" w:rsidTr="00CB6FF6">
        <w:trPr>
          <w:tblHeader/>
        </w:trPr>
        <w:tc>
          <w:tcPr>
            <w:tcW w:w="4653" w:type="dxa"/>
            <w:shd w:val="clear" w:color="auto" w:fill="auto"/>
          </w:tcPr>
          <w:p w14:paraId="20E01097" w14:textId="77777777" w:rsidR="00774993" w:rsidRPr="0058102A" w:rsidRDefault="00774993" w:rsidP="00C01D9A">
            <w:pPr>
              <w:pStyle w:val="TableHead"/>
              <w:jc w:val="right"/>
            </w:pPr>
          </w:p>
        </w:tc>
        <w:tc>
          <w:tcPr>
            <w:tcW w:w="1621" w:type="dxa"/>
            <w:shd w:val="clear" w:color="auto" w:fill="auto"/>
            <w:vAlign w:val="bottom"/>
          </w:tcPr>
          <w:p w14:paraId="4EE92E85" w14:textId="77777777" w:rsidR="00774993" w:rsidRPr="00D13462" w:rsidRDefault="00774993" w:rsidP="00C01D9A">
            <w:pPr>
              <w:spacing w:after="0"/>
              <w:jc w:val="center"/>
              <w:rPr>
                <w:rFonts w:cs="Arial"/>
                <w:b/>
                <w:bCs/>
                <w:sz w:val="22"/>
                <w:szCs w:val="22"/>
                <w:lang w:val="en-GB" w:eastAsia="en-GB"/>
              </w:rPr>
            </w:pPr>
            <w:r w:rsidRPr="00D13462">
              <w:rPr>
                <w:rFonts w:cs="Arial"/>
                <w:b/>
                <w:bCs/>
                <w:sz w:val="22"/>
                <w:szCs w:val="22"/>
                <w:lang w:val="en-GB" w:eastAsia="en-GB"/>
              </w:rPr>
              <w:t>€</w:t>
            </w:r>
          </w:p>
        </w:tc>
        <w:tc>
          <w:tcPr>
            <w:tcW w:w="1879" w:type="dxa"/>
            <w:shd w:val="clear" w:color="auto" w:fill="auto"/>
            <w:vAlign w:val="bottom"/>
          </w:tcPr>
          <w:p w14:paraId="62AA90F6" w14:textId="77777777" w:rsidR="00774993" w:rsidRPr="00D13462" w:rsidRDefault="00774993" w:rsidP="00C01D9A">
            <w:pPr>
              <w:spacing w:after="0"/>
              <w:jc w:val="center"/>
              <w:rPr>
                <w:rFonts w:cs="Arial"/>
                <w:b/>
                <w:bCs/>
                <w:sz w:val="22"/>
                <w:szCs w:val="22"/>
                <w:lang w:val="en-GB" w:eastAsia="en-GB"/>
              </w:rPr>
            </w:pPr>
            <w:r w:rsidRPr="00D13462">
              <w:rPr>
                <w:rFonts w:cs="Arial"/>
                <w:b/>
                <w:bCs/>
                <w:sz w:val="22"/>
                <w:szCs w:val="22"/>
                <w:lang w:val="en-GB" w:eastAsia="en-GB"/>
              </w:rPr>
              <w:t>€</w:t>
            </w:r>
          </w:p>
        </w:tc>
      </w:tr>
      <w:tr w:rsidR="00774993" w:rsidRPr="0058102A" w14:paraId="4D4BB98D" w14:textId="77777777" w:rsidTr="00CB6FF6">
        <w:tc>
          <w:tcPr>
            <w:tcW w:w="4653" w:type="dxa"/>
            <w:shd w:val="clear" w:color="auto" w:fill="auto"/>
            <w:vAlign w:val="bottom"/>
          </w:tcPr>
          <w:p w14:paraId="33B6F4D6" w14:textId="77777777" w:rsidR="00774993" w:rsidRPr="00B26F67" w:rsidRDefault="00774993" w:rsidP="00C01D9A">
            <w:pPr>
              <w:pStyle w:val="TableRowHead"/>
              <w:rPr>
                <w:rFonts w:ascii="Gill Sans" w:hAnsi="Gill Sans"/>
                <w:color w:val="0D0D0D"/>
                <w:sz w:val="24"/>
                <w:lang w:val="en-GB" w:eastAsia="en-GB"/>
              </w:rPr>
            </w:pPr>
            <w:r>
              <w:rPr>
                <w:rFonts w:ascii="Gill Sans" w:hAnsi="Gill Sans"/>
                <w:color w:val="0D0D0D"/>
                <w:sz w:val="24"/>
                <w:lang w:val="en-GB" w:eastAsia="en-GB"/>
              </w:rPr>
              <w:t xml:space="preserve">Retained Surplus </w:t>
            </w:r>
            <w:proofErr w:type="gramStart"/>
            <w:r>
              <w:rPr>
                <w:rFonts w:ascii="Gill Sans" w:hAnsi="Gill Sans"/>
                <w:color w:val="0D0D0D"/>
                <w:sz w:val="24"/>
                <w:lang w:val="en-GB" w:eastAsia="en-GB"/>
              </w:rPr>
              <w:t>at</w:t>
            </w:r>
            <w:proofErr w:type="gramEnd"/>
            <w:r>
              <w:rPr>
                <w:rFonts w:ascii="Gill Sans" w:hAnsi="Gill Sans"/>
                <w:color w:val="0D0D0D"/>
                <w:sz w:val="24"/>
                <w:lang w:val="en-GB" w:eastAsia="en-GB"/>
              </w:rPr>
              <w:t xml:space="preserve"> 1 January</w:t>
            </w:r>
          </w:p>
        </w:tc>
        <w:tc>
          <w:tcPr>
            <w:tcW w:w="1621" w:type="dxa"/>
            <w:shd w:val="clear" w:color="auto" w:fill="auto"/>
            <w:vAlign w:val="bottom"/>
          </w:tcPr>
          <w:p w14:paraId="0CDB9547" w14:textId="77777777" w:rsidR="00774993" w:rsidRPr="00B26F67" w:rsidRDefault="00774993" w:rsidP="00C01D9A">
            <w:pPr>
              <w:pStyle w:val="TableCell"/>
              <w:rPr>
                <w:rFonts w:cs="Arial"/>
                <w:color w:val="0D0D0D"/>
                <w:sz w:val="24"/>
                <w:lang w:val="en-GB" w:eastAsia="en-GB"/>
              </w:rPr>
            </w:pPr>
            <w:r>
              <w:rPr>
                <w:rFonts w:cs="Arial"/>
                <w:color w:val="0D0D0D"/>
                <w:sz w:val="24"/>
                <w:lang w:val="en-GB" w:eastAsia="en-GB"/>
              </w:rPr>
              <w:t>€197,668</w:t>
            </w:r>
          </w:p>
        </w:tc>
        <w:tc>
          <w:tcPr>
            <w:tcW w:w="1879" w:type="dxa"/>
            <w:shd w:val="clear" w:color="auto" w:fill="auto"/>
            <w:vAlign w:val="bottom"/>
          </w:tcPr>
          <w:p w14:paraId="5EFA8EF8" w14:textId="77777777" w:rsidR="00774993" w:rsidRPr="00B26F67" w:rsidRDefault="00774993" w:rsidP="00C01D9A">
            <w:pPr>
              <w:pStyle w:val="TableCell"/>
              <w:rPr>
                <w:rFonts w:cs="Arial"/>
                <w:color w:val="0D0D0D"/>
                <w:sz w:val="24"/>
                <w:lang w:val="en-GB" w:eastAsia="en-GB"/>
              </w:rPr>
            </w:pPr>
            <w:r w:rsidRPr="00B26F67">
              <w:rPr>
                <w:rFonts w:cs="Arial"/>
                <w:color w:val="0D0D0D"/>
                <w:sz w:val="24"/>
                <w:lang w:val="en-GB" w:eastAsia="en-GB"/>
              </w:rPr>
              <w:t>€</w:t>
            </w:r>
            <w:r>
              <w:rPr>
                <w:rFonts w:cs="Arial"/>
                <w:color w:val="0D0D0D"/>
                <w:sz w:val="24"/>
                <w:lang w:val="en-GB" w:eastAsia="en-GB"/>
              </w:rPr>
              <w:t>173</w:t>
            </w:r>
            <w:r w:rsidRPr="00B26F67">
              <w:rPr>
                <w:rFonts w:cs="Arial"/>
                <w:color w:val="0D0D0D"/>
                <w:sz w:val="24"/>
                <w:lang w:val="en-GB" w:eastAsia="en-GB"/>
              </w:rPr>
              <w:t>,</w:t>
            </w:r>
            <w:r>
              <w:rPr>
                <w:rFonts w:cs="Arial"/>
                <w:color w:val="0D0D0D"/>
                <w:sz w:val="24"/>
                <w:lang w:val="en-GB" w:eastAsia="en-GB"/>
              </w:rPr>
              <w:t>648</w:t>
            </w:r>
          </w:p>
        </w:tc>
      </w:tr>
      <w:tr w:rsidR="00774993" w:rsidRPr="0058102A" w14:paraId="30820968" w14:textId="77777777" w:rsidTr="00CB6FF6">
        <w:tc>
          <w:tcPr>
            <w:tcW w:w="4653" w:type="dxa"/>
            <w:shd w:val="clear" w:color="auto" w:fill="auto"/>
            <w:vAlign w:val="bottom"/>
          </w:tcPr>
          <w:p w14:paraId="6D1A40EB" w14:textId="77777777" w:rsidR="00774993" w:rsidRPr="00B26F67" w:rsidRDefault="00774993" w:rsidP="00C01D9A">
            <w:pPr>
              <w:pStyle w:val="TableRowHead"/>
              <w:rPr>
                <w:rFonts w:ascii="Gill Sans" w:hAnsi="Gill Sans"/>
                <w:color w:val="0D0D0D"/>
                <w:sz w:val="24"/>
                <w:lang w:val="en-GB" w:eastAsia="en-GB"/>
              </w:rPr>
            </w:pPr>
            <w:r>
              <w:rPr>
                <w:rFonts w:ascii="Gill Sans" w:hAnsi="Gill Sans"/>
                <w:color w:val="0D0D0D"/>
                <w:sz w:val="24"/>
                <w:lang w:val="en-GB" w:eastAsia="en-GB"/>
              </w:rPr>
              <w:t>Movement in the Year</w:t>
            </w:r>
          </w:p>
        </w:tc>
        <w:tc>
          <w:tcPr>
            <w:tcW w:w="1621" w:type="dxa"/>
            <w:shd w:val="clear" w:color="auto" w:fill="auto"/>
            <w:vAlign w:val="bottom"/>
          </w:tcPr>
          <w:p w14:paraId="23396A63" w14:textId="77777777" w:rsidR="00774993" w:rsidRPr="00B26F67" w:rsidRDefault="00774993" w:rsidP="00C01D9A">
            <w:pPr>
              <w:pStyle w:val="TableCell"/>
              <w:rPr>
                <w:rFonts w:cs="Arial"/>
                <w:color w:val="0D0D0D"/>
                <w:sz w:val="24"/>
                <w:lang w:val="en-GB" w:eastAsia="en-GB"/>
              </w:rPr>
            </w:pPr>
          </w:p>
        </w:tc>
        <w:tc>
          <w:tcPr>
            <w:tcW w:w="1879" w:type="dxa"/>
            <w:shd w:val="clear" w:color="auto" w:fill="auto"/>
            <w:vAlign w:val="bottom"/>
          </w:tcPr>
          <w:p w14:paraId="6CB32AE8" w14:textId="77777777" w:rsidR="00774993" w:rsidRPr="00B26F67" w:rsidRDefault="00774993" w:rsidP="00C01D9A">
            <w:pPr>
              <w:pStyle w:val="TableCell"/>
              <w:rPr>
                <w:rFonts w:cs="Arial"/>
                <w:color w:val="0D0D0D"/>
                <w:sz w:val="24"/>
                <w:lang w:val="en-GB" w:eastAsia="en-GB"/>
              </w:rPr>
            </w:pPr>
          </w:p>
        </w:tc>
      </w:tr>
      <w:tr w:rsidR="00774993" w:rsidRPr="0058102A" w14:paraId="41B0EDCE" w14:textId="77777777" w:rsidTr="00CB6FF6">
        <w:tc>
          <w:tcPr>
            <w:tcW w:w="4653" w:type="dxa"/>
            <w:shd w:val="clear" w:color="auto" w:fill="auto"/>
            <w:vAlign w:val="bottom"/>
          </w:tcPr>
          <w:p w14:paraId="07AFAFD4" w14:textId="77777777" w:rsidR="00774993" w:rsidRPr="00FB3E25" w:rsidRDefault="00774993" w:rsidP="00C01D9A">
            <w:pPr>
              <w:pStyle w:val="TableRowHead"/>
              <w:rPr>
                <w:rFonts w:ascii="Gill Sans" w:hAnsi="Gill Sans"/>
                <w:sz w:val="24"/>
                <w:lang w:val="en-GB" w:eastAsia="en-GB"/>
              </w:rPr>
            </w:pPr>
            <w:r w:rsidRPr="00FB3E25">
              <w:rPr>
                <w:rFonts w:ascii="Gill Sans" w:hAnsi="Gill Sans"/>
                <w:sz w:val="24"/>
                <w:lang w:val="en-GB" w:eastAsia="en-GB"/>
              </w:rPr>
              <w:t>Prepayments and Other Debtors</w:t>
            </w:r>
          </w:p>
        </w:tc>
        <w:tc>
          <w:tcPr>
            <w:tcW w:w="1621" w:type="dxa"/>
            <w:shd w:val="clear" w:color="auto" w:fill="auto"/>
            <w:vAlign w:val="bottom"/>
          </w:tcPr>
          <w:p w14:paraId="79F911B5" w14:textId="77777777" w:rsidR="00774993" w:rsidRPr="00B26F67" w:rsidRDefault="00774993" w:rsidP="00C01D9A">
            <w:pPr>
              <w:pStyle w:val="TableCell"/>
              <w:rPr>
                <w:rFonts w:cs="Arial"/>
                <w:color w:val="0D0D0D"/>
                <w:sz w:val="24"/>
                <w:lang w:val="en-GB" w:eastAsia="en-GB"/>
              </w:rPr>
            </w:pPr>
            <w:r>
              <w:rPr>
                <w:rFonts w:cs="Arial"/>
                <w:color w:val="0D0D0D"/>
                <w:sz w:val="24"/>
                <w:lang w:val="en-GB" w:eastAsia="en-GB"/>
              </w:rPr>
              <w:t>(€17,637)</w:t>
            </w:r>
          </w:p>
        </w:tc>
        <w:tc>
          <w:tcPr>
            <w:tcW w:w="1879" w:type="dxa"/>
            <w:shd w:val="clear" w:color="auto" w:fill="auto"/>
            <w:vAlign w:val="bottom"/>
          </w:tcPr>
          <w:p w14:paraId="632947B6" w14:textId="77777777" w:rsidR="00774993" w:rsidRPr="00B26F67" w:rsidRDefault="00774993" w:rsidP="00C01D9A">
            <w:pPr>
              <w:pStyle w:val="TableCell"/>
              <w:rPr>
                <w:rFonts w:cs="Arial"/>
                <w:color w:val="0D0D0D"/>
                <w:sz w:val="24"/>
                <w:lang w:val="en-GB" w:eastAsia="en-GB"/>
              </w:rPr>
            </w:pPr>
            <w:r>
              <w:rPr>
                <w:rFonts w:cs="Arial"/>
                <w:color w:val="0D0D0D"/>
                <w:sz w:val="24"/>
                <w:lang w:val="en-GB" w:eastAsia="en-GB"/>
              </w:rPr>
              <w:t>(€2,654)</w:t>
            </w:r>
          </w:p>
        </w:tc>
      </w:tr>
      <w:tr w:rsidR="00774993" w:rsidRPr="0058102A" w14:paraId="3D4CABE4" w14:textId="77777777" w:rsidTr="00CB6FF6">
        <w:tc>
          <w:tcPr>
            <w:tcW w:w="4653" w:type="dxa"/>
            <w:shd w:val="clear" w:color="auto" w:fill="auto"/>
            <w:vAlign w:val="bottom"/>
          </w:tcPr>
          <w:p w14:paraId="3B9FC5C3" w14:textId="77777777" w:rsidR="00774993" w:rsidRPr="00FB3E25" w:rsidRDefault="00774993" w:rsidP="00C01D9A">
            <w:pPr>
              <w:pStyle w:val="TableRowHead"/>
              <w:rPr>
                <w:rFonts w:ascii="Gill Sans" w:hAnsi="Gill Sans"/>
                <w:sz w:val="24"/>
                <w:lang w:val="en-GB" w:eastAsia="en-GB"/>
              </w:rPr>
            </w:pPr>
            <w:r w:rsidRPr="00FB3E25">
              <w:rPr>
                <w:rFonts w:ascii="Gill Sans" w:hAnsi="Gill Sans"/>
                <w:sz w:val="24"/>
                <w:lang w:val="en-GB" w:eastAsia="en-GB"/>
              </w:rPr>
              <w:t>Accruals</w:t>
            </w:r>
          </w:p>
        </w:tc>
        <w:tc>
          <w:tcPr>
            <w:tcW w:w="1621" w:type="dxa"/>
            <w:shd w:val="clear" w:color="auto" w:fill="auto"/>
            <w:vAlign w:val="bottom"/>
          </w:tcPr>
          <w:p w14:paraId="7B72A014" w14:textId="77777777" w:rsidR="00774993" w:rsidRPr="00633087" w:rsidRDefault="00774993" w:rsidP="00C01D9A">
            <w:pPr>
              <w:pStyle w:val="TableCell"/>
              <w:rPr>
                <w:rFonts w:cs="Arial"/>
                <w:sz w:val="24"/>
                <w:lang w:val="en-GB" w:eastAsia="en-GB"/>
              </w:rPr>
            </w:pPr>
            <w:r>
              <w:rPr>
                <w:rFonts w:cs="Arial"/>
                <w:sz w:val="24"/>
                <w:lang w:val="en-GB" w:eastAsia="en-GB"/>
              </w:rPr>
              <w:t>€25,593</w:t>
            </w:r>
          </w:p>
        </w:tc>
        <w:tc>
          <w:tcPr>
            <w:tcW w:w="1879" w:type="dxa"/>
            <w:shd w:val="clear" w:color="auto" w:fill="auto"/>
            <w:vAlign w:val="bottom"/>
          </w:tcPr>
          <w:p w14:paraId="77742216" w14:textId="77777777" w:rsidR="00774993" w:rsidRPr="00633087" w:rsidRDefault="00774993" w:rsidP="00C01D9A">
            <w:pPr>
              <w:pStyle w:val="TableCell"/>
              <w:rPr>
                <w:rFonts w:cs="Arial"/>
                <w:sz w:val="24"/>
                <w:lang w:val="en-GB" w:eastAsia="en-GB"/>
              </w:rPr>
            </w:pPr>
            <w:r>
              <w:rPr>
                <w:rFonts w:cs="Arial"/>
                <w:sz w:val="24"/>
                <w:lang w:val="en-GB" w:eastAsia="en-GB"/>
              </w:rPr>
              <w:t>(€25,048)</w:t>
            </w:r>
          </w:p>
        </w:tc>
      </w:tr>
      <w:tr w:rsidR="00774993" w:rsidRPr="0058102A" w14:paraId="0D125BC5" w14:textId="77777777" w:rsidTr="00CB6FF6">
        <w:tc>
          <w:tcPr>
            <w:tcW w:w="4653" w:type="dxa"/>
            <w:shd w:val="clear" w:color="auto" w:fill="auto"/>
            <w:vAlign w:val="bottom"/>
          </w:tcPr>
          <w:p w14:paraId="416B1415" w14:textId="77777777" w:rsidR="00774993" w:rsidRPr="00FB3E25" w:rsidRDefault="00774993" w:rsidP="00C01D9A">
            <w:pPr>
              <w:pStyle w:val="TableRowHead"/>
              <w:rPr>
                <w:rFonts w:ascii="Gill Sans" w:hAnsi="Gill Sans"/>
                <w:sz w:val="24"/>
                <w:lang w:val="en-GB" w:eastAsia="en-GB"/>
              </w:rPr>
            </w:pPr>
            <w:r w:rsidRPr="00FB3E25">
              <w:rPr>
                <w:rFonts w:ascii="Gill Sans" w:hAnsi="Gill Sans"/>
                <w:sz w:val="24"/>
                <w:lang w:val="en-GB" w:eastAsia="en-GB"/>
              </w:rPr>
              <w:t>Pension Suspense</w:t>
            </w:r>
          </w:p>
        </w:tc>
        <w:tc>
          <w:tcPr>
            <w:tcW w:w="1621" w:type="dxa"/>
            <w:shd w:val="clear" w:color="auto" w:fill="auto"/>
            <w:vAlign w:val="bottom"/>
          </w:tcPr>
          <w:p w14:paraId="43EE43B1" w14:textId="77777777" w:rsidR="00774993" w:rsidRPr="00FB3E25" w:rsidRDefault="00774993" w:rsidP="00C01D9A">
            <w:pPr>
              <w:pStyle w:val="TableCell"/>
              <w:rPr>
                <w:rFonts w:cs="Arial"/>
                <w:sz w:val="24"/>
                <w:lang w:val="en-GB" w:eastAsia="en-GB"/>
              </w:rPr>
            </w:pPr>
            <w:r>
              <w:rPr>
                <w:rFonts w:cs="Arial"/>
                <w:sz w:val="24"/>
                <w:lang w:val="en-GB" w:eastAsia="en-GB"/>
              </w:rPr>
              <w:t>€</w:t>
            </w:r>
            <w:r w:rsidRPr="00FB3E25">
              <w:rPr>
                <w:rFonts w:cs="Arial"/>
                <w:sz w:val="24"/>
                <w:lang w:val="en-GB" w:eastAsia="en-GB"/>
              </w:rPr>
              <w:t>63,561</w:t>
            </w:r>
          </w:p>
        </w:tc>
        <w:tc>
          <w:tcPr>
            <w:tcW w:w="1879" w:type="dxa"/>
            <w:shd w:val="clear" w:color="auto" w:fill="auto"/>
            <w:vAlign w:val="bottom"/>
          </w:tcPr>
          <w:p w14:paraId="26A7C3E1" w14:textId="77777777" w:rsidR="00774993" w:rsidRPr="00680B0A" w:rsidRDefault="00774993" w:rsidP="00C01D9A">
            <w:pPr>
              <w:pStyle w:val="TableCell"/>
              <w:rPr>
                <w:rFonts w:cs="Arial"/>
                <w:sz w:val="24"/>
                <w:lang w:val="en-GB" w:eastAsia="en-GB"/>
              </w:rPr>
            </w:pPr>
            <w:r w:rsidRPr="00680B0A">
              <w:rPr>
                <w:rFonts w:cs="Arial"/>
                <w:sz w:val="24"/>
                <w:lang w:val="en-GB" w:eastAsia="en-GB"/>
              </w:rPr>
              <w:t>€57,759</w:t>
            </w:r>
          </w:p>
        </w:tc>
      </w:tr>
      <w:tr w:rsidR="00774993" w:rsidRPr="0058102A" w14:paraId="037F5F82" w14:textId="77777777" w:rsidTr="00CB6FF6">
        <w:tc>
          <w:tcPr>
            <w:tcW w:w="4653" w:type="dxa"/>
            <w:shd w:val="clear" w:color="auto" w:fill="auto"/>
            <w:vAlign w:val="bottom"/>
          </w:tcPr>
          <w:p w14:paraId="14573D8E" w14:textId="77777777" w:rsidR="00774993" w:rsidRPr="00FB3E25" w:rsidRDefault="00774993" w:rsidP="00C01D9A">
            <w:pPr>
              <w:pStyle w:val="TableRowHead"/>
              <w:rPr>
                <w:rFonts w:ascii="Gill Sans" w:hAnsi="Gill Sans"/>
                <w:sz w:val="24"/>
                <w:lang w:val="en-GB" w:eastAsia="en-GB"/>
              </w:rPr>
            </w:pPr>
            <w:r w:rsidRPr="00FB3E25">
              <w:rPr>
                <w:rFonts w:ascii="Gill Sans" w:hAnsi="Gill Sans"/>
                <w:sz w:val="24"/>
                <w:lang w:val="en-GB" w:eastAsia="en-GB"/>
              </w:rPr>
              <w:t>Decrease in bank account</w:t>
            </w:r>
          </w:p>
        </w:tc>
        <w:tc>
          <w:tcPr>
            <w:tcW w:w="1621" w:type="dxa"/>
            <w:shd w:val="clear" w:color="auto" w:fill="auto"/>
            <w:vAlign w:val="bottom"/>
          </w:tcPr>
          <w:p w14:paraId="71E131C5" w14:textId="77777777" w:rsidR="00774993" w:rsidRPr="00FB3E25" w:rsidRDefault="00774993" w:rsidP="00C01D9A">
            <w:pPr>
              <w:pStyle w:val="TableCell"/>
              <w:rPr>
                <w:rFonts w:cs="Arial"/>
                <w:sz w:val="24"/>
                <w:lang w:val="en-GB" w:eastAsia="en-GB"/>
              </w:rPr>
            </w:pPr>
            <w:r>
              <w:rPr>
                <w:rFonts w:cs="Arial"/>
                <w:sz w:val="24"/>
                <w:lang w:val="en-GB" w:eastAsia="en-GB"/>
              </w:rPr>
              <w:t>(€</w:t>
            </w:r>
            <w:r w:rsidRPr="00FB3E25">
              <w:rPr>
                <w:rFonts w:cs="Arial"/>
                <w:sz w:val="24"/>
                <w:lang w:val="en-GB" w:eastAsia="en-GB"/>
              </w:rPr>
              <w:t>339</w:t>
            </w:r>
            <w:r>
              <w:rPr>
                <w:rFonts w:cs="Arial"/>
                <w:sz w:val="24"/>
                <w:lang w:val="en-GB" w:eastAsia="en-GB"/>
              </w:rPr>
              <w:t>)</w:t>
            </w:r>
          </w:p>
        </w:tc>
        <w:tc>
          <w:tcPr>
            <w:tcW w:w="1879" w:type="dxa"/>
            <w:shd w:val="clear" w:color="auto" w:fill="auto"/>
            <w:vAlign w:val="bottom"/>
          </w:tcPr>
          <w:p w14:paraId="673F53D1" w14:textId="77777777" w:rsidR="00774993" w:rsidRPr="00382790" w:rsidRDefault="00774993" w:rsidP="00C01D9A">
            <w:pPr>
              <w:pStyle w:val="TableCell"/>
              <w:rPr>
                <w:rFonts w:cs="Arial"/>
                <w:sz w:val="24"/>
                <w:lang w:val="en-GB" w:eastAsia="en-GB"/>
              </w:rPr>
            </w:pPr>
            <w:r w:rsidRPr="00382790">
              <w:rPr>
                <w:rFonts w:cs="Arial"/>
                <w:sz w:val="24"/>
                <w:lang w:val="en-GB" w:eastAsia="en-GB"/>
              </w:rPr>
              <w:t>(€6,037)</w:t>
            </w:r>
          </w:p>
        </w:tc>
      </w:tr>
      <w:tr w:rsidR="00774993" w:rsidRPr="0058102A" w14:paraId="36E2C172" w14:textId="77777777" w:rsidTr="00CB6FF6">
        <w:tc>
          <w:tcPr>
            <w:tcW w:w="4653" w:type="dxa"/>
            <w:shd w:val="clear" w:color="auto" w:fill="auto"/>
            <w:vAlign w:val="bottom"/>
          </w:tcPr>
          <w:p w14:paraId="487FA4E4" w14:textId="77777777" w:rsidR="00774993" w:rsidRDefault="00774993" w:rsidP="00C01D9A">
            <w:pPr>
              <w:pStyle w:val="TableRowHead"/>
              <w:rPr>
                <w:rFonts w:ascii="Gill Sans" w:hAnsi="Gill Sans"/>
                <w:color w:val="0D0D0D"/>
                <w:sz w:val="24"/>
                <w:lang w:val="en-GB" w:eastAsia="en-GB"/>
              </w:rPr>
            </w:pPr>
            <w:r>
              <w:rPr>
                <w:rFonts w:ascii="Gill Sans" w:hAnsi="Gill Sans"/>
                <w:color w:val="0D0D0D"/>
                <w:sz w:val="24"/>
                <w:lang w:val="en-GB" w:eastAsia="en-GB"/>
              </w:rPr>
              <w:t>Total Recognised Gain for the year</w:t>
            </w:r>
          </w:p>
        </w:tc>
        <w:tc>
          <w:tcPr>
            <w:tcW w:w="1621" w:type="dxa"/>
            <w:shd w:val="clear" w:color="auto" w:fill="auto"/>
            <w:vAlign w:val="bottom"/>
          </w:tcPr>
          <w:p w14:paraId="63E58E2D" w14:textId="77777777" w:rsidR="00774993" w:rsidRDefault="00774993" w:rsidP="00C01D9A">
            <w:pPr>
              <w:pStyle w:val="TableCell"/>
              <w:rPr>
                <w:rFonts w:cs="Arial"/>
                <w:b/>
                <w:sz w:val="24"/>
                <w:lang w:val="en-GB" w:eastAsia="en-GB"/>
              </w:rPr>
            </w:pPr>
            <w:r>
              <w:rPr>
                <w:rFonts w:cs="Arial"/>
                <w:b/>
                <w:sz w:val="24"/>
                <w:lang w:val="en-GB" w:eastAsia="en-GB"/>
              </w:rPr>
              <w:t>€71,178</w:t>
            </w:r>
          </w:p>
        </w:tc>
        <w:tc>
          <w:tcPr>
            <w:tcW w:w="1879" w:type="dxa"/>
            <w:shd w:val="clear" w:color="auto" w:fill="auto"/>
            <w:vAlign w:val="bottom"/>
          </w:tcPr>
          <w:p w14:paraId="788C3BE5" w14:textId="77777777" w:rsidR="00774993" w:rsidRPr="00B26F67" w:rsidRDefault="00774993" w:rsidP="00C01D9A">
            <w:pPr>
              <w:pStyle w:val="TableCell"/>
              <w:rPr>
                <w:rFonts w:cs="Arial"/>
                <w:b/>
                <w:sz w:val="24"/>
                <w:lang w:val="en-GB" w:eastAsia="en-GB"/>
              </w:rPr>
            </w:pPr>
            <w:r>
              <w:rPr>
                <w:rFonts w:cs="Arial"/>
                <w:b/>
                <w:sz w:val="24"/>
                <w:lang w:val="en-GB" w:eastAsia="en-GB"/>
              </w:rPr>
              <w:t>€24,020</w:t>
            </w:r>
          </w:p>
        </w:tc>
      </w:tr>
      <w:tr w:rsidR="00774993" w:rsidRPr="0058102A" w14:paraId="42141B86" w14:textId="77777777" w:rsidTr="00CB6FF6">
        <w:tc>
          <w:tcPr>
            <w:tcW w:w="4653" w:type="dxa"/>
            <w:shd w:val="clear" w:color="auto" w:fill="auto"/>
            <w:vAlign w:val="bottom"/>
          </w:tcPr>
          <w:p w14:paraId="3423F2A1" w14:textId="77777777" w:rsidR="00774993" w:rsidRDefault="00774993" w:rsidP="00C01D9A">
            <w:pPr>
              <w:pStyle w:val="TableRowHead"/>
              <w:rPr>
                <w:rFonts w:ascii="Gill Sans" w:hAnsi="Gill Sans"/>
                <w:color w:val="0D0D0D"/>
                <w:sz w:val="24"/>
                <w:lang w:val="en-GB" w:eastAsia="en-GB"/>
              </w:rPr>
            </w:pPr>
          </w:p>
        </w:tc>
        <w:tc>
          <w:tcPr>
            <w:tcW w:w="1621" w:type="dxa"/>
            <w:shd w:val="clear" w:color="auto" w:fill="auto"/>
            <w:vAlign w:val="bottom"/>
          </w:tcPr>
          <w:p w14:paraId="621FD783" w14:textId="77777777" w:rsidR="00774993" w:rsidRDefault="00774993" w:rsidP="00C01D9A">
            <w:pPr>
              <w:pStyle w:val="TableCell"/>
              <w:rPr>
                <w:rFonts w:cs="Arial"/>
                <w:b/>
                <w:sz w:val="24"/>
                <w:lang w:val="en-GB" w:eastAsia="en-GB"/>
              </w:rPr>
            </w:pPr>
          </w:p>
        </w:tc>
        <w:tc>
          <w:tcPr>
            <w:tcW w:w="1879" w:type="dxa"/>
            <w:shd w:val="clear" w:color="auto" w:fill="auto"/>
            <w:vAlign w:val="bottom"/>
          </w:tcPr>
          <w:p w14:paraId="7A9BB24D" w14:textId="77777777" w:rsidR="00774993" w:rsidRPr="00B26F67" w:rsidRDefault="00774993" w:rsidP="00C01D9A">
            <w:pPr>
              <w:pStyle w:val="TableCell"/>
              <w:rPr>
                <w:rFonts w:cs="Arial"/>
                <w:b/>
                <w:sz w:val="24"/>
                <w:lang w:val="en-GB" w:eastAsia="en-GB"/>
              </w:rPr>
            </w:pPr>
          </w:p>
        </w:tc>
      </w:tr>
      <w:tr w:rsidR="00774993" w:rsidRPr="0058102A" w14:paraId="09D4DA72" w14:textId="77777777" w:rsidTr="00CB6FF6">
        <w:tc>
          <w:tcPr>
            <w:tcW w:w="4653" w:type="dxa"/>
            <w:shd w:val="clear" w:color="auto" w:fill="auto"/>
            <w:vAlign w:val="bottom"/>
          </w:tcPr>
          <w:p w14:paraId="1870BEB8" w14:textId="77777777" w:rsidR="00774993" w:rsidRPr="000626A3" w:rsidRDefault="00774993" w:rsidP="00C01D9A">
            <w:pPr>
              <w:pStyle w:val="TableRowHead"/>
              <w:rPr>
                <w:rFonts w:ascii="Gill Sans" w:hAnsi="Gill Sans"/>
                <w:sz w:val="24"/>
                <w:lang w:val="en-GB" w:eastAsia="en-GB"/>
              </w:rPr>
            </w:pPr>
            <w:r>
              <w:rPr>
                <w:rFonts w:ascii="Gill Sans" w:hAnsi="Gill Sans"/>
                <w:color w:val="0D0D0D"/>
                <w:sz w:val="24"/>
                <w:lang w:val="en-GB" w:eastAsia="en-GB"/>
              </w:rPr>
              <w:t xml:space="preserve">Retained Surplus </w:t>
            </w:r>
            <w:proofErr w:type="gramStart"/>
            <w:r>
              <w:rPr>
                <w:rFonts w:ascii="Gill Sans" w:hAnsi="Gill Sans"/>
                <w:color w:val="0D0D0D"/>
                <w:sz w:val="24"/>
                <w:lang w:val="en-GB" w:eastAsia="en-GB"/>
              </w:rPr>
              <w:t>at</w:t>
            </w:r>
            <w:proofErr w:type="gramEnd"/>
            <w:r>
              <w:rPr>
                <w:rFonts w:ascii="Gill Sans" w:hAnsi="Gill Sans"/>
                <w:color w:val="0D0D0D"/>
                <w:sz w:val="24"/>
                <w:lang w:val="en-GB" w:eastAsia="en-GB"/>
              </w:rPr>
              <w:t xml:space="preserve"> 31 December</w:t>
            </w:r>
            <w:r w:rsidRPr="000626A3">
              <w:rPr>
                <w:rFonts w:ascii="Gill Sans" w:hAnsi="Gill Sans"/>
                <w:sz w:val="24"/>
                <w:lang w:val="en-GB" w:eastAsia="en-GB"/>
              </w:rPr>
              <w:t xml:space="preserve"> </w:t>
            </w:r>
          </w:p>
        </w:tc>
        <w:tc>
          <w:tcPr>
            <w:tcW w:w="1621" w:type="dxa"/>
            <w:shd w:val="clear" w:color="auto" w:fill="auto"/>
            <w:vAlign w:val="bottom"/>
          </w:tcPr>
          <w:p w14:paraId="385166EB" w14:textId="77777777" w:rsidR="00774993" w:rsidRPr="00B26F67" w:rsidRDefault="00774993" w:rsidP="00C01D9A">
            <w:pPr>
              <w:pStyle w:val="TableCell"/>
              <w:rPr>
                <w:rFonts w:cs="Arial"/>
                <w:b/>
                <w:sz w:val="24"/>
                <w:lang w:val="en-GB" w:eastAsia="en-GB"/>
              </w:rPr>
            </w:pPr>
            <w:r>
              <w:rPr>
                <w:rFonts w:cs="Arial"/>
                <w:b/>
                <w:sz w:val="24"/>
                <w:lang w:val="en-GB" w:eastAsia="en-GB"/>
              </w:rPr>
              <w:t>€268,846</w:t>
            </w:r>
          </w:p>
        </w:tc>
        <w:tc>
          <w:tcPr>
            <w:tcW w:w="1879" w:type="dxa"/>
            <w:shd w:val="clear" w:color="auto" w:fill="auto"/>
            <w:vAlign w:val="bottom"/>
          </w:tcPr>
          <w:p w14:paraId="25E6298D" w14:textId="77777777" w:rsidR="00774993" w:rsidRPr="00B26F67" w:rsidRDefault="00774993" w:rsidP="00C01D9A">
            <w:pPr>
              <w:pStyle w:val="TableCell"/>
              <w:rPr>
                <w:rFonts w:cs="Arial"/>
                <w:b/>
                <w:sz w:val="24"/>
                <w:lang w:val="en-GB" w:eastAsia="en-GB"/>
              </w:rPr>
            </w:pPr>
            <w:r w:rsidRPr="00B26F67">
              <w:rPr>
                <w:rFonts w:cs="Arial"/>
                <w:b/>
                <w:sz w:val="24"/>
                <w:lang w:val="en-GB" w:eastAsia="en-GB"/>
              </w:rPr>
              <w:t>€</w:t>
            </w:r>
            <w:r>
              <w:rPr>
                <w:rFonts w:cs="Arial"/>
                <w:b/>
                <w:sz w:val="24"/>
                <w:lang w:val="en-GB" w:eastAsia="en-GB"/>
              </w:rPr>
              <w:t>197,668</w:t>
            </w:r>
          </w:p>
        </w:tc>
      </w:tr>
    </w:tbl>
    <w:p w14:paraId="45CD012F" w14:textId="77777777" w:rsidR="001354ED" w:rsidRDefault="001354ED" w:rsidP="001354ED"/>
    <w:p w14:paraId="64B343A2" w14:textId="77777777" w:rsidR="00421776" w:rsidRPr="009079DB" w:rsidRDefault="00421776" w:rsidP="008E106B">
      <w:pPr>
        <w:pStyle w:val="Heading3"/>
        <w:rPr>
          <w:lang w:val="en-GB" w:eastAsia="en-GB"/>
        </w:rPr>
      </w:pPr>
      <w:bookmarkStart w:id="61" w:name="_Toc335836408"/>
      <w:r w:rsidRPr="00680B0A">
        <w:rPr>
          <w:lang w:eastAsia="ar-SA"/>
        </w:rPr>
        <w:t>14. Contingent Liabilities</w:t>
      </w:r>
      <w:bookmarkEnd w:id="61"/>
    </w:p>
    <w:p w14:paraId="4C369CB4" w14:textId="77777777" w:rsidR="00421776" w:rsidRPr="006A65D8" w:rsidRDefault="00421776" w:rsidP="008E106B">
      <w:r w:rsidRPr="006A65D8">
        <w:t xml:space="preserve"> </w:t>
      </w:r>
      <w:r w:rsidRPr="009079DB">
        <w:rPr>
          <w:lang w:val="en-GB" w:eastAsia="en-GB"/>
        </w:rPr>
        <w:t>There are no contingent</w:t>
      </w:r>
      <w:r>
        <w:rPr>
          <w:lang w:val="en-GB" w:eastAsia="en-GB"/>
        </w:rPr>
        <w:t xml:space="preserve"> liabilities </w:t>
      </w:r>
      <w:proofErr w:type="gramStart"/>
      <w:r>
        <w:rPr>
          <w:lang w:val="en-GB" w:eastAsia="en-GB"/>
        </w:rPr>
        <w:t>at</w:t>
      </w:r>
      <w:proofErr w:type="gramEnd"/>
      <w:r>
        <w:rPr>
          <w:lang w:val="en-GB" w:eastAsia="en-GB"/>
        </w:rPr>
        <w:t xml:space="preserve"> 31 December 2014</w:t>
      </w:r>
      <w:r w:rsidRPr="009079DB">
        <w:rPr>
          <w:lang w:val="en-GB" w:eastAsia="en-GB"/>
        </w:rPr>
        <w:t>.</w:t>
      </w:r>
    </w:p>
    <w:p w14:paraId="66269315" w14:textId="77777777" w:rsidR="00421776" w:rsidRPr="00E731E7" w:rsidRDefault="00421776" w:rsidP="008E106B">
      <w:pPr>
        <w:pStyle w:val="Heading3"/>
      </w:pPr>
      <w:bookmarkStart w:id="62" w:name="_Toc335836409"/>
      <w:r w:rsidRPr="00680B0A">
        <w:rPr>
          <w:lang w:eastAsia="ar-SA"/>
        </w:rPr>
        <w:t>15. Capital Commitments</w:t>
      </w:r>
      <w:bookmarkEnd w:id="62"/>
    </w:p>
    <w:p w14:paraId="70E589D5" w14:textId="77777777" w:rsidR="00421776" w:rsidRPr="009079DB" w:rsidRDefault="00421776" w:rsidP="008E106B">
      <w:pPr>
        <w:rPr>
          <w:lang w:val="en-GB" w:eastAsia="en-GB"/>
        </w:rPr>
      </w:pPr>
      <w:r w:rsidRPr="009079DB">
        <w:rPr>
          <w:lang w:val="en-GB" w:eastAsia="en-GB"/>
        </w:rPr>
        <w:t>The Authority had no outstanding capital co</w:t>
      </w:r>
      <w:r>
        <w:rPr>
          <w:lang w:val="en-GB" w:eastAsia="en-GB"/>
        </w:rPr>
        <w:t xml:space="preserve">mmitments as </w:t>
      </w:r>
      <w:proofErr w:type="gramStart"/>
      <w:r>
        <w:rPr>
          <w:lang w:val="en-GB" w:eastAsia="en-GB"/>
        </w:rPr>
        <w:t>at</w:t>
      </w:r>
      <w:proofErr w:type="gramEnd"/>
      <w:r>
        <w:rPr>
          <w:lang w:val="en-GB" w:eastAsia="en-GB"/>
        </w:rPr>
        <w:t xml:space="preserve"> 31 December 2014</w:t>
      </w:r>
      <w:r w:rsidRPr="009079DB">
        <w:rPr>
          <w:lang w:val="en-GB" w:eastAsia="en-GB"/>
        </w:rPr>
        <w:t>.</w:t>
      </w:r>
    </w:p>
    <w:p w14:paraId="30E59E3A" w14:textId="77777777" w:rsidR="00421776" w:rsidRPr="00680B0A" w:rsidRDefault="00421776" w:rsidP="008E106B">
      <w:pPr>
        <w:pStyle w:val="Heading3"/>
        <w:rPr>
          <w:lang w:eastAsia="ar-SA"/>
        </w:rPr>
      </w:pPr>
      <w:bookmarkStart w:id="63" w:name="_Toc335836411"/>
      <w:r w:rsidRPr="00680B0A">
        <w:rPr>
          <w:lang w:eastAsia="ar-SA"/>
        </w:rPr>
        <w:t>16. Approval of Financial Statements</w:t>
      </w:r>
      <w:bookmarkEnd w:id="63"/>
    </w:p>
    <w:p w14:paraId="73F3D5A2" w14:textId="77777777" w:rsidR="00421776" w:rsidRPr="00D13462" w:rsidRDefault="00774993" w:rsidP="008E106B">
      <w:pPr>
        <w:rPr>
          <w:b/>
          <w:lang w:val="en-GB" w:eastAsia="en-GB"/>
        </w:rPr>
      </w:pPr>
      <w:r w:rsidRPr="00774993">
        <w:rPr>
          <w:lang w:val="en-GB" w:eastAsia="en-GB"/>
        </w:rPr>
        <w:t>The Financial Statements were approved by the Authority on</w:t>
      </w:r>
      <w:r>
        <w:rPr>
          <w:lang w:val="en-GB" w:eastAsia="en-GB"/>
        </w:rPr>
        <w:t xml:space="preserve"> </w:t>
      </w:r>
      <w:r w:rsidR="00C51290">
        <w:rPr>
          <w:lang w:val="en-GB" w:eastAsia="en-GB"/>
        </w:rPr>
        <w:t>16th July</w:t>
      </w:r>
      <w:r w:rsidRPr="00774993">
        <w:rPr>
          <w:lang w:val="en-GB" w:eastAsia="en-GB"/>
        </w:rPr>
        <w:t xml:space="preserve"> 2015</w:t>
      </w:r>
      <w:r w:rsidR="00421776">
        <w:rPr>
          <w:lang w:val="en-GB" w:eastAsia="en-GB"/>
        </w:rPr>
        <w:t>.</w:t>
      </w:r>
    </w:p>
    <w:p w14:paraId="6C579B63" w14:textId="77777777" w:rsidR="00E54C88" w:rsidRDefault="00E54C88" w:rsidP="007166FD"/>
    <w:p w14:paraId="77F128C3" w14:textId="77777777" w:rsidR="00421776" w:rsidRPr="007064BD" w:rsidRDefault="00421776" w:rsidP="007166FD"/>
    <w:p w14:paraId="79B5AE28" w14:textId="77777777" w:rsidR="00E54C88" w:rsidRDefault="00E54C88" w:rsidP="00804BF1">
      <w:pPr>
        <w:pStyle w:val="Heading1"/>
      </w:pPr>
      <w:bookmarkStart w:id="64" w:name="_Toc429053912"/>
      <w:bookmarkStart w:id="65" w:name="_Toc429054122"/>
      <w:bookmarkStart w:id="66" w:name="_Toc431218799"/>
      <w:r w:rsidRPr="007166FD">
        <w:lastRenderedPageBreak/>
        <w:t xml:space="preserve">Appendix 1: Authority and other committees in </w:t>
      </w:r>
      <w:r w:rsidR="00192C94">
        <w:t>2014</w:t>
      </w:r>
      <w:bookmarkEnd w:id="64"/>
      <w:bookmarkEnd w:id="65"/>
      <w:bookmarkEnd w:id="66"/>
    </w:p>
    <w:p w14:paraId="49E73555" w14:textId="77777777" w:rsidR="00E54C88" w:rsidRDefault="007C3955" w:rsidP="007166FD">
      <w:r w:rsidRPr="007C3955">
        <w:t xml:space="preserve">A new Authority was appointed in </w:t>
      </w:r>
      <w:r w:rsidR="00532D04">
        <w:t>July</w:t>
      </w:r>
      <w:r w:rsidRPr="007C3955">
        <w:t xml:space="preserve"> 2014.</w:t>
      </w:r>
    </w:p>
    <w:p w14:paraId="45F5E102" w14:textId="77777777" w:rsidR="007C3955" w:rsidRDefault="007C3955" w:rsidP="007C3955">
      <w:pPr>
        <w:pStyle w:val="ListBullet"/>
      </w:pPr>
      <w:r>
        <w:t>Ms. Helen Guinan (Chair)</w:t>
      </w:r>
    </w:p>
    <w:p w14:paraId="04C5EF7C" w14:textId="77777777" w:rsidR="007C3955" w:rsidRDefault="007C3955" w:rsidP="007C3955">
      <w:pPr>
        <w:pStyle w:val="ListBullet"/>
      </w:pPr>
      <w:r>
        <w:t>Ms. Orla Barry</w:t>
      </w:r>
    </w:p>
    <w:p w14:paraId="38810EC9" w14:textId="77777777" w:rsidR="007C3955" w:rsidRDefault="007C3955" w:rsidP="007C3955">
      <w:pPr>
        <w:pStyle w:val="ListBullet"/>
      </w:pPr>
      <w:r>
        <w:t xml:space="preserve">Mr. Frank </w:t>
      </w:r>
      <w:proofErr w:type="spellStart"/>
      <w:r>
        <w:t>Cunneen</w:t>
      </w:r>
      <w:proofErr w:type="spellEnd"/>
    </w:p>
    <w:p w14:paraId="4A210B56" w14:textId="77777777" w:rsidR="007C3955" w:rsidRDefault="007C3955" w:rsidP="007C3955">
      <w:pPr>
        <w:pStyle w:val="ListBullet"/>
      </w:pPr>
      <w:r>
        <w:t>Mr. Des Kenny</w:t>
      </w:r>
    </w:p>
    <w:p w14:paraId="70BCC5AB" w14:textId="77777777" w:rsidR="007C3955" w:rsidRDefault="007C3955" w:rsidP="007C3955">
      <w:pPr>
        <w:pStyle w:val="ListBullet"/>
      </w:pPr>
      <w:r>
        <w:t xml:space="preserve">Ms. Ruthann La </w:t>
      </w:r>
      <w:proofErr w:type="spellStart"/>
      <w:r>
        <w:t>Malfa</w:t>
      </w:r>
      <w:proofErr w:type="spellEnd"/>
    </w:p>
    <w:p w14:paraId="14F832C0" w14:textId="77777777" w:rsidR="007C3955" w:rsidRDefault="007C3955" w:rsidP="007C3955">
      <w:pPr>
        <w:pStyle w:val="ListBullet"/>
      </w:pPr>
      <w:r>
        <w:t>Ms. Mary Lavelle</w:t>
      </w:r>
    </w:p>
    <w:p w14:paraId="10BFAC85" w14:textId="77777777" w:rsidR="007C3955" w:rsidRDefault="007C3955" w:rsidP="007C3955">
      <w:pPr>
        <w:pStyle w:val="ListBullet"/>
      </w:pPr>
      <w:r>
        <w:t>Ms. Teresa McDonnell</w:t>
      </w:r>
    </w:p>
    <w:p w14:paraId="244A29B5" w14:textId="77777777" w:rsidR="007C3955" w:rsidRDefault="007C3955" w:rsidP="007C3955">
      <w:pPr>
        <w:pStyle w:val="ListBullet"/>
      </w:pPr>
      <w:r>
        <w:t xml:space="preserve">Mr. </w:t>
      </w:r>
      <w:proofErr w:type="spellStart"/>
      <w:r>
        <w:t>Deaglan</w:t>
      </w:r>
      <w:proofErr w:type="spellEnd"/>
      <w:r>
        <w:t xml:space="preserve"> </w:t>
      </w:r>
      <w:proofErr w:type="spellStart"/>
      <w:r>
        <w:t>O</w:t>
      </w:r>
      <w:r w:rsidR="00320EA8">
        <w:t>’</w:t>
      </w:r>
      <w:r>
        <w:t>Briain</w:t>
      </w:r>
      <w:proofErr w:type="spellEnd"/>
    </w:p>
    <w:p w14:paraId="4C2ED1DB" w14:textId="77777777" w:rsidR="007C3955" w:rsidRDefault="007C3955" w:rsidP="007C3955">
      <w:pPr>
        <w:pStyle w:val="ListBullet"/>
      </w:pPr>
      <w:r>
        <w:t>Ms. Deirdre O</w:t>
      </w:r>
      <w:r w:rsidR="00320EA8">
        <w:t>’</w:t>
      </w:r>
      <w:r>
        <w:t>Connor</w:t>
      </w:r>
    </w:p>
    <w:p w14:paraId="3B3594E0" w14:textId="77777777" w:rsidR="007C3955" w:rsidRDefault="007C3955" w:rsidP="007C3955">
      <w:pPr>
        <w:pStyle w:val="ListBullet"/>
      </w:pPr>
      <w:r>
        <w:t>Mr. James O</w:t>
      </w:r>
      <w:r w:rsidR="00320EA8">
        <w:t>’</w:t>
      </w:r>
      <w:r>
        <w:t>Grady</w:t>
      </w:r>
    </w:p>
    <w:p w14:paraId="119D38CF" w14:textId="77777777" w:rsidR="007C3955" w:rsidRDefault="007C3955" w:rsidP="007C3955">
      <w:pPr>
        <w:pStyle w:val="ListBullet"/>
      </w:pPr>
      <w:r>
        <w:t xml:space="preserve">Mr. </w:t>
      </w:r>
      <w:proofErr w:type="spellStart"/>
      <w:r>
        <w:t>Donie</w:t>
      </w:r>
      <w:proofErr w:type="spellEnd"/>
      <w:r>
        <w:t xml:space="preserve"> O</w:t>
      </w:r>
      <w:r w:rsidR="00320EA8">
        <w:t>’</w:t>
      </w:r>
      <w:r>
        <w:t>Leary</w:t>
      </w:r>
    </w:p>
    <w:p w14:paraId="57991219" w14:textId="77777777" w:rsidR="007C3955" w:rsidRDefault="007C3955" w:rsidP="007C3955">
      <w:pPr>
        <w:pStyle w:val="ListBullet"/>
      </w:pPr>
      <w:r>
        <w:t>Mr</w:t>
      </w:r>
      <w:r w:rsidR="00532D04">
        <w:t>.</w:t>
      </w:r>
      <w:r>
        <w:t xml:space="preserve"> </w:t>
      </w:r>
      <w:proofErr w:type="spellStart"/>
      <w:r>
        <w:t>Dónal</w:t>
      </w:r>
      <w:proofErr w:type="spellEnd"/>
      <w:r>
        <w:t xml:space="preserve"> Rice</w:t>
      </w:r>
    </w:p>
    <w:p w14:paraId="26582C10" w14:textId="77777777" w:rsidR="007C3955" w:rsidRDefault="007C3955" w:rsidP="007C3955">
      <w:pPr>
        <w:pStyle w:val="ListBullet"/>
      </w:pPr>
      <w:r>
        <w:t>Ms. Alison Ryan</w:t>
      </w:r>
    </w:p>
    <w:p w14:paraId="1F9F39A1" w14:textId="77777777" w:rsidR="00433761" w:rsidRDefault="00433761" w:rsidP="00433761">
      <w:pPr>
        <w:pStyle w:val="Heading2"/>
      </w:pPr>
      <w:r>
        <w:t>Audit Committee</w:t>
      </w:r>
    </w:p>
    <w:p w14:paraId="3A72AAD5" w14:textId="77777777" w:rsidR="00433761" w:rsidRDefault="00433761" w:rsidP="00433761">
      <w:pPr>
        <w:pStyle w:val="ListBullet"/>
      </w:pPr>
      <w:r>
        <w:t>Donal Lawlor (Chair)</w:t>
      </w:r>
    </w:p>
    <w:p w14:paraId="5C1082F2" w14:textId="77777777" w:rsidR="005A6123" w:rsidRDefault="005A6123" w:rsidP="005A6123">
      <w:pPr>
        <w:pStyle w:val="ListBullet"/>
      </w:pPr>
      <w:r>
        <w:t xml:space="preserve">Lawrence Byrne </w:t>
      </w:r>
    </w:p>
    <w:p w14:paraId="007C6864" w14:textId="77777777" w:rsidR="005A6123" w:rsidRDefault="005A6123" w:rsidP="005A6123">
      <w:pPr>
        <w:pStyle w:val="ListBullet"/>
      </w:pPr>
      <w:r>
        <w:t xml:space="preserve">Robert </w:t>
      </w:r>
      <w:proofErr w:type="spellStart"/>
      <w:r>
        <w:t>Cashell</w:t>
      </w:r>
      <w:proofErr w:type="spellEnd"/>
    </w:p>
    <w:p w14:paraId="3FBD7C13" w14:textId="77777777" w:rsidR="00433761" w:rsidRDefault="00433761" w:rsidP="00433761">
      <w:pPr>
        <w:pStyle w:val="ListBullet"/>
      </w:pPr>
      <w:r>
        <w:t xml:space="preserve">Frank </w:t>
      </w:r>
      <w:proofErr w:type="spellStart"/>
      <w:r>
        <w:t>Cunneen</w:t>
      </w:r>
      <w:proofErr w:type="spellEnd"/>
    </w:p>
    <w:p w14:paraId="634DC423" w14:textId="77777777" w:rsidR="00433761" w:rsidRDefault="00433761" w:rsidP="00433761">
      <w:pPr>
        <w:pStyle w:val="ListBullet"/>
      </w:pPr>
      <w:r>
        <w:t>Des Kenny</w:t>
      </w:r>
    </w:p>
    <w:p w14:paraId="396A52D9" w14:textId="77777777" w:rsidR="00433761" w:rsidRDefault="00433761" w:rsidP="00433761">
      <w:pPr>
        <w:pStyle w:val="ListBullet"/>
      </w:pPr>
      <w:r>
        <w:t>Alison Ryan</w:t>
      </w:r>
    </w:p>
    <w:p w14:paraId="3EF92A65" w14:textId="77777777" w:rsidR="005A6123" w:rsidRDefault="005A6123" w:rsidP="005A6123">
      <w:pPr>
        <w:pStyle w:val="Heading2"/>
      </w:pPr>
      <w:r>
        <w:t>Finance Committee</w:t>
      </w:r>
    </w:p>
    <w:p w14:paraId="77DC3D2E" w14:textId="77777777" w:rsidR="005A6123" w:rsidRDefault="005A6123" w:rsidP="005A6123">
      <w:pPr>
        <w:pStyle w:val="ListBullet"/>
      </w:pPr>
      <w:r>
        <w:t xml:space="preserve">Frank </w:t>
      </w:r>
      <w:proofErr w:type="spellStart"/>
      <w:r>
        <w:t>Cunneen</w:t>
      </w:r>
      <w:proofErr w:type="spellEnd"/>
      <w:r>
        <w:t xml:space="preserve"> (Chair)</w:t>
      </w:r>
    </w:p>
    <w:p w14:paraId="5723FB68" w14:textId="77777777" w:rsidR="005A6123" w:rsidRDefault="005A6123" w:rsidP="005A6123">
      <w:pPr>
        <w:pStyle w:val="ListBullet"/>
      </w:pPr>
      <w:r>
        <w:t>Pat Fitzsimons</w:t>
      </w:r>
    </w:p>
    <w:p w14:paraId="1A709BA0" w14:textId="77777777" w:rsidR="005A6123" w:rsidRPr="007166FD" w:rsidRDefault="005A6123" w:rsidP="005A6123">
      <w:pPr>
        <w:pStyle w:val="ListBullet"/>
      </w:pPr>
      <w:r>
        <w:t>Des Kenny</w:t>
      </w:r>
    </w:p>
    <w:p w14:paraId="6D0F109B" w14:textId="77777777" w:rsidR="005A6123" w:rsidRDefault="005A6123" w:rsidP="005A6123">
      <w:pPr>
        <w:pStyle w:val="ListBullet"/>
      </w:pPr>
      <w:r>
        <w:t xml:space="preserve">Ruthann La </w:t>
      </w:r>
      <w:proofErr w:type="spellStart"/>
      <w:r>
        <w:t>Malfa</w:t>
      </w:r>
      <w:proofErr w:type="spellEnd"/>
    </w:p>
    <w:p w14:paraId="75FCEF16" w14:textId="77777777" w:rsidR="005A6123" w:rsidRDefault="005A6123" w:rsidP="005A6123">
      <w:pPr>
        <w:pStyle w:val="ListBullet"/>
      </w:pPr>
      <w:r>
        <w:lastRenderedPageBreak/>
        <w:t>Teresa McDonnell</w:t>
      </w:r>
    </w:p>
    <w:p w14:paraId="036D04AD" w14:textId="77777777" w:rsidR="005A6123" w:rsidRDefault="005A6123" w:rsidP="005A6123">
      <w:pPr>
        <w:pStyle w:val="ListBullet"/>
      </w:pPr>
      <w:r>
        <w:t>David Scott</w:t>
      </w:r>
    </w:p>
    <w:p w14:paraId="085900B2" w14:textId="77777777" w:rsidR="00E54C88" w:rsidRDefault="00E54C88" w:rsidP="00804BF1">
      <w:pPr>
        <w:pStyle w:val="Heading1"/>
      </w:pPr>
      <w:bookmarkStart w:id="67" w:name="_Toc429053913"/>
      <w:bookmarkStart w:id="68" w:name="_Toc429054123"/>
      <w:bookmarkStart w:id="69" w:name="_Toc431218800"/>
      <w:r w:rsidRPr="00B20CE8">
        <w:lastRenderedPageBreak/>
        <w:t>Appendix 2: Representation on external bodies in</w:t>
      </w:r>
      <w:r>
        <w:t> </w:t>
      </w:r>
      <w:r w:rsidR="00192C94">
        <w:t>2014</w:t>
      </w:r>
      <w:bookmarkEnd w:id="67"/>
      <w:bookmarkEnd w:id="68"/>
      <w:bookmarkEnd w:id="69"/>
    </w:p>
    <w:p w14:paraId="597C67B5" w14:textId="77777777" w:rsidR="00E54C88" w:rsidRDefault="00E54C88" w:rsidP="007166FD">
      <w:pPr>
        <w:pStyle w:val="Heading2"/>
      </w:pPr>
      <w:r w:rsidRPr="007166FD">
        <w:t>Public</w:t>
      </w:r>
      <w:r>
        <w:t xml:space="preserve"> sector:</w:t>
      </w:r>
    </w:p>
    <w:p w14:paraId="14A369B1" w14:textId="77777777" w:rsidR="00BB7B00" w:rsidRDefault="00BB7B00" w:rsidP="00BB7B00">
      <w:pPr>
        <w:pStyle w:val="Heading3"/>
      </w:pPr>
      <w:bookmarkStart w:id="70" w:name="_Toc335836421"/>
      <w:r>
        <w:t>Department of Education and Skills</w:t>
      </w:r>
    </w:p>
    <w:p w14:paraId="5C1A6418" w14:textId="77777777" w:rsidR="00BB7B00" w:rsidRDefault="00BB7B00" w:rsidP="00FF03FE">
      <w:pPr>
        <w:pStyle w:val="ListBullet"/>
      </w:pPr>
      <w:r>
        <w:t>Member of Disability Advisory Committee</w:t>
      </w:r>
    </w:p>
    <w:p w14:paraId="7B7EE0C8" w14:textId="77777777" w:rsidR="00BB7B00" w:rsidRDefault="00BB7B00" w:rsidP="00FF03FE">
      <w:pPr>
        <w:pStyle w:val="ListBullet"/>
      </w:pPr>
      <w:r>
        <w:t>Membership of the National Council for Special Education, and of its Consultative Forum</w:t>
      </w:r>
    </w:p>
    <w:p w14:paraId="4D82405B" w14:textId="77777777" w:rsidR="00BB7B00" w:rsidRDefault="00BB7B00" w:rsidP="00FF03FE">
      <w:pPr>
        <w:pStyle w:val="ListBullet"/>
      </w:pPr>
      <w:r>
        <w:t>Membership of the Working Group on a new model for allocation of resource teaching</w:t>
      </w:r>
    </w:p>
    <w:p w14:paraId="18EBCBE3" w14:textId="77777777" w:rsidR="00E54C88" w:rsidRPr="00BB36D6" w:rsidRDefault="00E54C88" w:rsidP="007166FD">
      <w:pPr>
        <w:pStyle w:val="Heading3"/>
      </w:pPr>
      <w:r w:rsidRPr="00BB36D6">
        <w:t>Department of Communications, Energy</w:t>
      </w:r>
      <w:r w:rsidR="00BB7B00">
        <w:t>,</w:t>
      </w:r>
      <w:r w:rsidRPr="00BB36D6">
        <w:t xml:space="preserve"> and Natural</w:t>
      </w:r>
      <w:r>
        <w:t> </w:t>
      </w:r>
      <w:r w:rsidRPr="00BB36D6">
        <w:t>Resources</w:t>
      </w:r>
      <w:bookmarkEnd w:id="70"/>
    </w:p>
    <w:p w14:paraId="28F97B5D" w14:textId="77777777" w:rsidR="008B4698" w:rsidRDefault="008B4698" w:rsidP="00FF03FE">
      <w:pPr>
        <w:pStyle w:val="ListBullet"/>
      </w:pPr>
      <w:r>
        <w:t>Sectoral Plan and Part 5 Monitoring Committee</w:t>
      </w:r>
    </w:p>
    <w:p w14:paraId="05FE6599" w14:textId="77777777" w:rsidR="00FF03FE" w:rsidRDefault="00FF03FE" w:rsidP="00FF03FE">
      <w:pPr>
        <w:pStyle w:val="ListBullet"/>
      </w:pPr>
      <w:r w:rsidRPr="00FF03FE">
        <w:t>Broadcasting Authority of Ireland (Working group on Representation of People with Disabilities in Broadcast Media)</w:t>
      </w:r>
    </w:p>
    <w:p w14:paraId="0B8C44A6" w14:textId="77777777" w:rsidR="008B4698" w:rsidRDefault="008B4698" w:rsidP="00FF03FE">
      <w:pPr>
        <w:pStyle w:val="ListBullet"/>
      </w:pPr>
      <w:r>
        <w:t>Commission for Communications Regulation</w:t>
      </w:r>
      <w:r w:rsidR="00320EA8">
        <w:t>’</w:t>
      </w:r>
      <w:r>
        <w:t>s Consumer Advisory Panel and its Industry Forum on Electronic Communications Services for People with Disabilities</w:t>
      </w:r>
    </w:p>
    <w:p w14:paraId="1F325246" w14:textId="77777777" w:rsidR="00E54C88" w:rsidRPr="007166FD" w:rsidRDefault="008B4698" w:rsidP="008B4698">
      <w:pPr>
        <w:pStyle w:val="ListBullet"/>
      </w:pPr>
      <w:r>
        <w:t>Commission for Energy Regulation</w:t>
      </w:r>
      <w:r w:rsidR="00320EA8">
        <w:t>’</w:t>
      </w:r>
      <w:r>
        <w:t>s Consumer Stakeholder Group</w:t>
      </w:r>
    </w:p>
    <w:p w14:paraId="688B0338" w14:textId="77777777" w:rsidR="00E54C88" w:rsidRPr="003716E2" w:rsidRDefault="00E54C88" w:rsidP="007166FD">
      <w:pPr>
        <w:pStyle w:val="Heading3"/>
      </w:pPr>
      <w:r>
        <w:t>D</w:t>
      </w:r>
      <w:r w:rsidRPr="003716E2">
        <w:t>epartment of the Environment, Community</w:t>
      </w:r>
      <w:r w:rsidR="00BB7B00">
        <w:t>,</w:t>
      </w:r>
      <w:r w:rsidRPr="003716E2">
        <w:t xml:space="preserve"> and Local</w:t>
      </w:r>
      <w:r>
        <w:t> </w:t>
      </w:r>
      <w:r w:rsidRPr="003716E2">
        <w:t>Government</w:t>
      </w:r>
    </w:p>
    <w:p w14:paraId="38077999" w14:textId="77777777" w:rsidR="008B4698" w:rsidRDefault="008B4698" w:rsidP="00FF03FE">
      <w:pPr>
        <w:pStyle w:val="ListBullet"/>
      </w:pPr>
      <w:r>
        <w:t>Monitoring Group for Housing Strategy for people with disabilities</w:t>
      </w:r>
    </w:p>
    <w:p w14:paraId="11D0BEE6" w14:textId="77777777" w:rsidR="008B4698" w:rsidRDefault="008B4698" w:rsidP="00FF03FE">
      <w:pPr>
        <w:pStyle w:val="ListBullet"/>
      </w:pPr>
      <w:r>
        <w:t xml:space="preserve">Implementation Monitoring Group for National Housing Strategy for People with a Disability, and Housing Agency sub-committee on its implementation </w:t>
      </w:r>
    </w:p>
    <w:p w14:paraId="103828A4" w14:textId="77777777" w:rsidR="00E54C88" w:rsidRDefault="008B4698" w:rsidP="008B4698">
      <w:pPr>
        <w:pStyle w:val="ListBullet"/>
      </w:pPr>
      <w:r>
        <w:t>Irish Water Stakeholder Forum</w:t>
      </w:r>
    </w:p>
    <w:p w14:paraId="557BE010" w14:textId="77777777" w:rsidR="00E54C88" w:rsidRDefault="00E54C88" w:rsidP="007166FD">
      <w:pPr>
        <w:pStyle w:val="Heading3"/>
      </w:pPr>
      <w:r w:rsidRPr="007166FD">
        <w:t>Department</w:t>
      </w:r>
      <w:r>
        <w:t xml:space="preserve"> of Health</w:t>
      </w:r>
    </w:p>
    <w:p w14:paraId="0C4FA067" w14:textId="77777777" w:rsidR="008B4698" w:rsidRDefault="008B4698" w:rsidP="00FF03FE">
      <w:pPr>
        <w:pStyle w:val="ListBullet"/>
      </w:pPr>
      <w:r>
        <w:t>Member of Implementation Steering Group of Value for Money Policy Review of Disability Services, and of Working Groups 1, 2, 4 and 5 of the implementation process</w:t>
      </w:r>
    </w:p>
    <w:p w14:paraId="65C95A0B" w14:textId="77777777" w:rsidR="008B4698" w:rsidRDefault="008B4698" w:rsidP="00FF03FE">
      <w:pPr>
        <w:pStyle w:val="ListBullet"/>
      </w:pPr>
      <w:r>
        <w:t>Member of Disability Advisory Committee</w:t>
      </w:r>
    </w:p>
    <w:p w14:paraId="789054E6" w14:textId="77777777" w:rsidR="008B4698" w:rsidRDefault="008B4698" w:rsidP="00FF03FE">
      <w:pPr>
        <w:pStyle w:val="ListBullet"/>
      </w:pPr>
      <w:r>
        <w:t>Member of HSE</w:t>
      </w:r>
      <w:r w:rsidR="00320EA8">
        <w:t>’</w:t>
      </w:r>
      <w:r>
        <w:t>s National Consultative Forum</w:t>
      </w:r>
    </w:p>
    <w:p w14:paraId="5415F3E3" w14:textId="77777777" w:rsidR="008B4698" w:rsidRDefault="008B4698" w:rsidP="00FF03FE">
      <w:pPr>
        <w:pStyle w:val="ListBullet"/>
      </w:pPr>
      <w:r>
        <w:t>Member of HSE</w:t>
      </w:r>
      <w:r w:rsidR="00320EA8">
        <w:t>’</w:t>
      </w:r>
      <w:r>
        <w:t>s Working Group on Shaping the Future of Intellectual Disability Nursing in Ireland</w:t>
      </w:r>
    </w:p>
    <w:p w14:paraId="693A40E0" w14:textId="77777777" w:rsidR="008B4698" w:rsidRPr="008F667B" w:rsidRDefault="008B4698" w:rsidP="00FF03FE">
      <w:pPr>
        <w:pStyle w:val="ListBullet"/>
      </w:pPr>
      <w:r>
        <w:lastRenderedPageBreak/>
        <w:t>Member of HSE</w:t>
      </w:r>
      <w:r w:rsidR="00320EA8">
        <w:t>’</w:t>
      </w:r>
      <w:r>
        <w:t>s Universal Access Committee</w:t>
      </w:r>
    </w:p>
    <w:p w14:paraId="7AD7C36A" w14:textId="77777777" w:rsidR="00E54C88" w:rsidRPr="00BB36D6" w:rsidRDefault="00E54C88" w:rsidP="007166FD">
      <w:pPr>
        <w:pStyle w:val="Heading3"/>
      </w:pPr>
      <w:r w:rsidRPr="00BB36D6">
        <w:t>Department of Justice and</w:t>
      </w:r>
      <w:r>
        <w:t> </w:t>
      </w:r>
      <w:r w:rsidRPr="00BB36D6">
        <w:t>Equality</w:t>
      </w:r>
    </w:p>
    <w:p w14:paraId="4270A4E1" w14:textId="77777777" w:rsidR="008B4698" w:rsidRDefault="008B4698" w:rsidP="00FF03FE">
      <w:pPr>
        <w:pStyle w:val="ListBullet"/>
      </w:pPr>
      <w:bookmarkStart w:id="71" w:name="_Toc335836422"/>
      <w:r>
        <w:t>Part 5 Monitoring Committee</w:t>
      </w:r>
    </w:p>
    <w:p w14:paraId="767230D0" w14:textId="77777777" w:rsidR="00E54C88" w:rsidRPr="003716E2" w:rsidRDefault="008B4698" w:rsidP="008B4698">
      <w:pPr>
        <w:pStyle w:val="ListBullet"/>
      </w:pPr>
      <w:r>
        <w:t>The National Steering Committee on Violence Against Women, and its Public Awareness sub-committee</w:t>
      </w:r>
    </w:p>
    <w:bookmarkEnd w:id="71"/>
    <w:p w14:paraId="15C79D0B" w14:textId="77777777" w:rsidR="00E54C88" w:rsidRDefault="00E54C88" w:rsidP="007166FD">
      <w:pPr>
        <w:pStyle w:val="Heading3"/>
      </w:pPr>
      <w:r w:rsidRPr="00BB36D6">
        <w:t xml:space="preserve">Department of </w:t>
      </w:r>
      <w:r w:rsidRPr="00572766">
        <w:t>Social Protection</w:t>
      </w:r>
    </w:p>
    <w:p w14:paraId="25E05DAE" w14:textId="77777777" w:rsidR="008B4698" w:rsidRDefault="008B4698" w:rsidP="00FF03FE">
      <w:pPr>
        <w:pStyle w:val="ListBullet"/>
      </w:pPr>
      <w:r>
        <w:t>Board of National Advocacy Service for People with Disabilities</w:t>
      </w:r>
    </w:p>
    <w:p w14:paraId="2B7695E8" w14:textId="77777777" w:rsidR="008B4698" w:rsidRDefault="008B4698" w:rsidP="00FF03FE">
      <w:pPr>
        <w:pStyle w:val="ListBullet"/>
      </w:pPr>
      <w:r>
        <w:t>Disability Consultative Forum</w:t>
      </w:r>
    </w:p>
    <w:p w14:paraId="7F61B9DF" w14:textId="77777777" w:rsidR="00E54C88" w:rsidRPr="009135B0" w:rsidRDefault="008B4698" w:rsidP="008B4698">
      <w:pPr>
        <w:pStyle w:val="ListBullet"/>
      </w:pPr>
      <w:r>
        <w:t xml:space="preserve">Implementation group </w:t>
      </w:r>
      <w:r w:rsidR="00BB7B00">
        <w:t>—</w:t>
      </w:r>
      <w:r>
        <w:t xml:space="preserve"> Domiciliary Care Allowance</w:t>
      </w:r>
    </w:p>
    <w:p w14:paraId="6324A2FC" w14:textId="77777777" w:rsidR="00E54C88" w:rsidRPr="00BB36D6" w:rsidRDefault="00E54C88" w:rsidP="007166FD">
      <w:pPr>
        <w:pStyle w:val="Heading3"/>
      </w:pPr>
      <w:r w:rsidRPr="00BB36D6">
        <w:t>Department of Transport, Tourism</w:t>
      </w:r>
      <w:r w:rsidR="00BB7B00">
        <w:t>,</w:t>
      </w:r>
      <w:r w:rsidRPr="00BB36D6">
        <w:t xml:space="preserve"> and Sport</w:t>
      </w:r>
    </w:p>
    <w:p w14:paraId="0F8D8ADF" w14:textId="77777777" w:rsidR="008B4698" w:rsidRDefault="008B4698" w:rsidP="00FF03FE">
      <w:pPr>
        <w:pStyle w:val="ListBullet"/>
      </w:pPr>
      <w:r>
        <w:t>Accessibility Consultative Committee</w:t>
      </w:r>
    </w:p>
    <w:p w14:paraId="44154103" w14:textId="77777777" w:rsidR="00E54C88" w:rsidRPr="00BB36D6" w:rsidRDefault="008B4698" w:rsidP="008B4698">
      <w:pPr>
        <w:pStyle w:val="ListBullet"/>
      </w:pPr>
      <w:r>
        <w:t xml:space="preserve">National Transport Authority </w:t>
      </w:r>
      <w:r w:rsidR="00BB7B00">
        <w:t>—</w:t>
      </w:r>
      <w:r>
        <w:t xml:space="preserve"> Taxi Advisory Committee</w:t>
      </w:r>
    </w:p>
    <w:p w14:paraId="7E6BEC2C" w14:textId="77777777" w:rsidR="00E54C88" w:rsidRDefault="00E54C88" w:rsidP="00277432">
      <w:pPr>
        <w:pStyle w:val="Heading2"/>
      </w:pPr>
      <w:r>
        <w:t>Other</w:t>
      </w:r>
    </w:p>
    <w:p w14:paraId="0D505D42" w14:textId="77777777" w:rsidR="00E54C88" w:rsidRDefault="008B5BDA" w:rsidP="008B5BDA">
      <w:pPr>
        <w:pStyle w:val="ListBullet"/>
      </w:pPr>
      <w:r>
        <w:t>RIAI (Royal Institute of Architects of Ireland) Universal Design Task</w:t>
      </w:r>
      <w:r>
        <w:rPr>
          <w:rFonts w:ascii="Gill Sans MT" w:hAnsi="Gill Sans MT"/>
        </w:rPr>
        <w:t> </w:t>
      </w:r>
      <w:r>
        <w:t>Force</w:t>
      </w:r>
    </w:p>
    <w:p w14:paraId="5F165776" w14:textId="77777777" w:rsidR="00E54C88" w:rsidRDefault="00E54C88" w:rsidP="00804BF1">
      <w:pPr>
        <w:pStyle w:val="Heading1"/>
      </w:pPr>
      <w:bookmarkStart w:id="72" w:name="_Toc429053914"/>
      <w:bookmarkStart w:id="73" w:name="_Toc429054124"/>
      <w:bookmarkStart w:id="74" w:name="_Toc431218801"/>
      <w:r w:rsidRPr="00B20CE8">
        <w:lastRenderedPageBreak/>
        <w:t>Appendix 3: Publications in</w:t>
      </w:r>
      <w:r>
        <w:t> </w:t>
      </w:r>
      <w:r w:rsidR="00192C94">
        <w:t>2014</w:t>
      </w:r>
      <w:bookmarkEnd w:id="72"/>
      <w:bookmarkEnd w:id="73"/>
      <w:bookmarkEnd w:id="74"/>
    </w:p>
    <w:p w14:paraId="77262354" w14:textId="77777777" w:rsidR="008B4698" w:rsidRPr="008B4698" w:rsidRDefault="008B4698" w:rsidP="00CB6FF6">
      <w:pPr>
        <w:pStyle w:val="ListBullet"/>
      </w:pPr>
      <w:r w:rsidRPr="008B4698">
        <w:t>Annual Report 2013</w:t>
      </w:r>
    </w:p>
    <w:p w14:paraId="0D264913" w14:textId="77777777" w:rsidR="008B4698" w:rsidRPr="008B4698" w:rsidRDefault="008B4698" w:rsidP="00CB6FF6">
      <w:pPr>
        <w:pStyle w:val="ListBullet"/>
      </w:pPr>
      <w:r w:rsidRPr="008B4698">
        <w:t xml:space="preserve">Consultation with people with disabilities on public attitudes </w:t>
      </w:r>
      <w:r w:rsidR="000B0AD7">
        <w:t>—</w:t>
      </w:r>
      <w:r w:rsidRPr="008B4698">
        <w:t xml:space="preserve"> Your Voice Your Choice Report 2013</w:t>
      </w:r>
    </w:p>
    <w:p w14:paraId="10CE259D" w14:textId="77777777" w:rsidR="008B4698" w:rsidRPr="008B4698" w:rsidRDefault="008B4698" w:rsidP="00CB6FF6">
      <w:pPr>
        <w:pStyle w:val="ListBullet"/>
      </w:pPr>
      <w:r w:rsidRPr="008B4698">
        <w:t>Living with an acquired brain injury</w:t>
      </w:r>
    </w:p>
    <w:p w14:paraId="4F85A4FE" w14:textId="77777777" w:rsidR="008B4698" w:rsidRPr="008B4698" w:rsidRDefault="008B4698" w:rsidP="00CB6FF6">
      <w:pPr>
        <w:pStyle w:val="ListBullet"/>
      </w:pPr>
      <w:r w:rsidRPr="008B4698">
        <w:t>National Disability Authority Resource Allocation Feasibility Study Phase 2</w:t>
      </w:r>
    </w:p>
    <w:p w14:paraId="55177D83" w14:textId="77777777" w:rsidR="008B4698" w:rsidRPr="008B4698" w:rsidRDefault="008B4698" w:rsidP="00CB6FF6">
      <w:pPr>
        <w:pStyle w:val="ListBullet"/>
      </w:pPr>
      <w:r w:rsidRPr="008B4698">
        <w:t xml:space="preserve">National Disability Authority </w:t>
      </w:r>
      <w:proofErr w:type="spellStart"/>
      <w:r w:rsidRPr="008B4698">
        <w:t>eNewsletters</w:t>
      </w:r>
      <w:proofErr w:type="spellEnd"/>
    </w:p>
    <w:p w14:paraId="0136F13F" w14:textId="77777777" w:rsidR="008B4698" w:rsidRPr="008B4698" w:rsidRDefault="008B4698" w:rsidP="00CB6FF6">
      <w:pPr>
        <w:pStyle w:val="ListBullet"/>
      </w:pPr>
      <w:r w:rsidRPr="008B4698">
        <w:t>Post school education and training options for people with disabilities (</w:t>
      </w:r>
      <w:r w:rsidR="000B0AD7">
        <w:t>j</w:t>
      </w:r>
      <w:r w:rsidRPr="008B4698">
        <w:t>ointly with NCSE)</w:t>
      </w:r>
    </w:p>
    <w:p w14:paraId="33D1AB85" w14:textId="77777777" w:rsidR="008B4698" w:rsidRPr="008B4698" w:rsidRDefault="008B4698" w:rsidP="00CB6FF6">
      <w:pPr>
        <w:pStyle w:val="ListBullet"/>
      </w:pPr>
      <w:r w:rsidRPr="008B4698">
        <w:t xml:space="preserve">Reasonable Accommodation for people with </w:t>
      </w:r>
      <w:proofErr w:type="gramStart"/>
      <w:r w:rsidRPr="008B4698">
        <w:t>Autism Spectrum</w:t>
      </w:r>
      <w:r w:rsidR="000B0AD7">
        <w:rPr>
          <w:rFonts w:ascii="Gill Sans MT" w:hAnsi="Gill Sans MT"/>
        </w:rPr>
        <w:t> </w:t>
      </w:r>
      <w:r w:rsidRPr="008B4698">
        <w:t>Disorder</w:t>
      </w:r>
      <w:proofErr w:type="gramEnd"/>
    </w:p>
    <w:p w14:paraId="0DADD88D" w14:textId="77777777" w:rsidR="008B4698" w:rsidRPr="008B4698" w:rsidRDefault="008B4698" w:rsidP="00CB6FF6">
      <w:pPr>
        <w:pStyle w:val="ListBullet"/>
      </w:pPr>
      <w:r w:rsidRPr="008B4698">
        <w:t>Survey on National Disability Strategy Indicators 2013</w:t>
      </w:r>
    </w:p>
    <w:p w14:paraId="61593FEC" w14:textId="77777777" w:rsidR="008B4698" w:rsidRPr="008B4698" w:rsidRDefault="008B4698" w:rsidP="00CB6FF6">
      <w:pPr>
        <w:pStyle w:val="ListBullet"/>
      </w:pPr>
      <w:r w:rsidRPr="008B4698">
        <w:t>The effect of a disability on siblings (conference presentation)</w:t>
      </w:r>
    </w:p>
    <w:p w14:paraId="37F626C0" w14:textId="77777777" w:rsidR="008B4698" w:rsidRPr="008B4698" w:rsidRDefault="008B4698" w:rsidP="00CB6FF6">
      <w:pPr>
        <w:pStyle w:val="ListBullet"/>
      </w:pPr>
      <w:r w:rsidRPr="008B4698">
        <w:t>Understanding Emotional, Psychological</w:t>
      </w:r>
      <w:r w:rsidR="00BB7B00">
        <w:t>,</w:t>
      </w:r>
      <w:r w:rsidRPr="008B4698">
        <w:t xml:space="preserve"> and Mental Health disability in Ireland: Factors Facilitating Social Inclusion (Jointly with ESRI)</w:t>
      </w:r>
    </w:p>
    <w:p w14:paraId="79396605" w14:textId="77777777" w:rsidR="00E54C88" w:rsidRPr="00FE57CD" w:rsidRDefault="008B4698" w:rsidP="00CB6FF6">
      <w:pPr>
        <w:pStyle w:val="ListBullet"/>
      </w:pPr>
      <w:r w:rsidRPr="008B4698">
        <w:t>2013 Report on Compliance with Part 5 of the Disability Act</w:t>
      </w:r>
    </w:p>
    <w:p w14:paraId="2A0BB897" w14:textId="77777777" w:rsidR="00E54C88" w:rsidRPr="00B20CE8" w:rsidRDefault="00E54C88" w:rsidP="00804BF1">
      <w:pPr>
        <w:pStyle w:val="Heading1"/>
        <w:rPr>
          <w:lang w:val="ga-IE"/>
        </w:rPr>
      </w:pPr>
      <w:bookmarkStart w:id="75" w:name="_Toc429053915"/>
      <w:bookmarkStart w:id="76" w:name="_Toc429054125"/>
      <w:bookmarkStart w:id="77" w:name="_Toc431218802"/>
      <w:r w:rsidRPr="00B20CE8">
        <w:lastRenderedPageBreak/>
        <w:t>Appendix 4: Policy advice papers in</w:t>
      </w:r>
      <w:r>
        <w:t> </w:t>
      </w:r>
      <w:r w:rsidR="00192C94">
        <w:t>2014</w:t>
      </w:r>
      <w:bookmarkEnd w:id="75"/>
      <w:bookmarkEnd w:id="76"/>
      <w:bookmarkEnd w:id="77"/>
    </w:p>
    <w:p w14:paraId="1EB54C8D" w14:textId="77777777" w:rsidR="008B4698" w:rsidRDefault="008B4698" w:rsidP="00CB6FF6">
      <w:pPr>
        <w:pStyle w:val="ListBullet"/>
      </w:pPr>
      <w:r>
        <w:t>Broadcasting Authority of Ireland Access Rules Consultation</w:t>
      </w:r>
    </w:p>
    <w:p w14:paraId="2C4692F1" w14:textId="77777777" w:rsidR="008B4698" w:rsidRDefault="008B4698" w:rsidP="00CB6FF6">
      <w:pPr>
        <w:pStyle w:val="ListBullet"/>
      </w:pPr>
      <w:r>
        <w:t xml:space="preserve">Department of Children and Youth Affairs </w:t>
      </w:r>
      <w:r w:rsidR="007E2498">
        <w:t>—</w:t>
      </w:r>
      <w:r>
        <w:t xml:space="preserve"> Statement of Strategy 2015</w:t>
      </w:r>
      <w:r w:rsidR="000B0AD7">
        <w:t>–</w:t>
      </w:r>
      <w:r>
        <w:t>2017</w:t>
      </w:r>
    </w:p>
    <w:p w14:paraId="2A7FF999" w14:textId="77777777" w:rsidR="008B4698" w:rsidRDefault="008B4698" w:rsidP="00CB6FF6">
      <w:pPr>
        <w:pStyle w:val="ListBullet"/>
      </w:pPr>
      <w:r>
        <w:t xml:space="preserve">Department of Education and Skills </w:t>
      </w:r>
      <w:r w:rsidR="007E2498">
        <w:t>—</w:t>
      </w:r>
      <w:r>
        <w:t xml:space="preserve"> NCSE Working Group Report on new models of allocating teaching resources</w:t>
      </w:r>
    </w:p>
    <w:p w14:paraId="0A973874" w14:textId="77777777" w:rsidR="008B4698" w:rsidRDefault="008B4698" w:rsidP="00CB6FF6">
      <w:pPr>
        <w:pStyle w:val="ListBullet"/>
      </w:pPr>
      <w:r>
        <w:t xml:space="preserve">Department of Health </w:t>
      </w:r>
      <w:r w:rsidR="007E2498">
        <w:t>—</w:t>
      </w:r>
      <w:r>
        <w:t xml:space="preserve"> Expert panel review of medical cards scheme</w:t>
      </w:r>
    </w:p>
    <w:p w14:paraId="665D73C2" w14:textId="77777777" w:rsidR="008B4698" w:rsidRDefault="008B4698" w:rsidP="00CB6FF6">
      <w:pPr>
        <w:pStyle w:val="ListBullet"/>
      </w:pPr>
      <w:r>
        <w:t xml:space="preserve">Department of Health </w:t>
      </w:r>
      <w:r w:rsidR="007E2498">
        <w:t>—</w:t>
      </w:r>
      <w:r>
        <w:t xml:space="preserve"> Statement of Strategy 2015</w:t>
      </w:r>
      <w:r w:rsidR="000B0AD7">
        <w:t>–</w:t>
      </w:r>
      <w:r>
        <w:t>2017</w:t>
      </w:r>
    </w:p>
    <w:p w14:paraId="2A2ECD78" w14:textId="77777777" w:rsidR="008B4698" w:rsidRDefault="008B4698" w:rsidP="00CB6FF6">
      <w:pPr>
        <w:pStyle w:val="ListBullet"/>
      </w:pPr>
      <w:r>
        <w:t xml:space="preserve">Department of Health </w:t>
      </w:r>
      <w:r w:rsidR="007E2498">
        <w:t>—</w:t>
      </w:r>
      <w:r>
        <w:t xml:space="preserve"> Universal Health Insurance</w:t>
      </w:r>
    </w:p>
    <w:p w14:paraId="608D2EF6" w14:textId="77777777" w:rsidR="008B4698" w:rsidRDefault="008B4698" w:rsidP="00CB6FF6">
      <w:pPr>
        <w:pStyle w:val="ListBullet"/>
      </w:pPr>
      <w:r>
        <w:t xml:space="preserve">HSE </w:t>
      </w:r>
      <w:r w:rsidR="007E2498">
        <w:t>—</w:t>
      </w:r>
      <w:r>
        <w:t xml:space="preserve"> on Shaping the Future of Intellectual Disability Nursing in</w:t>
      </w:r>
      <w:r w:rsidR="007E2498">
        <w:rPr>
          <w:rFonts w:ascii="Gill Sans MT" w:hAnsi="Gill Sans MT"/>
        </w:rPr>
        <w:t> </w:t>
      </w:r>
      <w:r>
        <w:t>Ireland</w:t>
      </w:r>
    </w:p>
    <w:p w14:paraId="234F8051" w14:textId="77777777" w:rsidR="008B4698" w:rsidRDefault="008B4698" w:rsidP="00CB6FF6">
      <w:pPr>
        <w:pStyle w:val="ListBullet"/>
      </w:pPr>
      <w:r>
        <w:t>National Transport Authority</w:t>
      </w:r>
      <w:r w:rsidR="00320EA8">
        <w:t>’</w:t>
      </w:r>
      <w:r>
        <w:t>s Dra</w:t>
      </w:r>
      <w:r w:rsidR="007E2498">
        <w:t>ft Small Public Service Vehicle</w:t>
      </w:r>
      <w:r>
        <w:t xml:space="preserve"> (Consolidation and Reform) Regulations 2014</w:t>
      </w:r>
    </w:p>
    <w:p w14:paraId="3BFA5AF3" w14:textId="77777777" w:rsidR="008B4698" w:rsidRDefault="008B4698" w:rsidP="00CB6FF6">
      <w:pPr>
        <w:pStyle w:val="ListBullet"/>
      </w:pPr>
      <w:r>
        <w:t>Submission to the Department of Justice and Equality on the new National Strategy on Domestic, Sexual</w:t>
      </w:r>
      <w:r w:rsidR="007E2498">
        <w:t>,</w:t>
      </w:r>
      <w:r>
        <w:t xml:space="preserve"> and Gender-based Violence.</w:t>
      </w:r>
    </w:p>
    <w:p w14:paraId="0E7FE69C" w14:textId="77777777" w:rsidR="008B4698" w:rsidRDefault="008B4698" w:rsidP="00CB6FF6">
      <w:pPr>
        <w:pStyle w:val="ListBullet"/>
      </w:pPr>
      <w:r>
        <w:t>Submission to the Department of Justice and Equality on Sexual Violence against Vulnerable adults (in context of the Criminal Law (Sexual Offences) Bill 2015)</w:t>
      </w:r>
    </w:p>
    <w:p w14:paraId="5BBEA957" w14:textId="77777777" w:rsidR="008B4698" w:rsidRDefault="008B4698" w:rsidP="00CB6FF6">
      <w:pPr>
        <w:pStyle w:val="ListBullet"/>
      </w:pPr>
      <w:r>
        <w:t>Submission on the draft General Scheme of legislative provisions for Advance Healthcare Directives to be incorporated into the Assisted Decision-Making (Capacity) Bill 2013</w:t>
      </w:r>
    </w:p>
    <w:p w14:paraId="3C735110" w14:textId="77777777" w:rsidR="008B4698" w:rsidRDefault="008B4698" w:rsidP="00CB6FF6">
      <w:pPr>
        <w:pStyle w:val="ListBullet"/>
      </w:pPr>
      <w:r>
        <w:t>Submission to the Department of the Environment, Community</w:t>
      </w:r>
      <w:r w:rsidR="007E2498">
        <w:t>,</w:t>
      </w:r>
      <w:r>
        <w:t xml:space="preserve"> and Local Government on the review of Social Housing Strategy</w:t>
      </w:r>
    </w:p>
    <w:p w14:paraId="2EF9A037" w14:textId="77777777" w:rsidR="00E54C88" w:rsidRPr="00C37FF7" w:rsidRDefault="008B4698" w:rsidP="00CB6FF6">
      <w:pPr>
        <w:pStyle w:val="ListBullet"/>
      </w:pPr>
      <w:r>
        <w:t>Submission to the Department of the Environment, Community</w:t>
      </w:r>
      <w:r w:rsidR="007E2498">
        <w:t>,</w:t>
      </w:r>
      <w:r>
        <w:t xml:space="preserve"> and Local Government on the review of the Department</w:t>
      </w:r>
      <w:r w:rsidR="00320EA8">
        <w:t>’</w:t>
      </w:r>
      <w:r>
        <w:t>s Statement o</w:t>
      </w:r>
      <w:r w:rsidR="00CB6FF6">
        <w:t>f S</w:t>
      </w:r>
      <w:r>
        <w:t>trategy</w:t>
      </w:r>
      <w:r w:rsidR="00E54C88">
        <w:br w:type="column"/>
      </w:r>
      <w:r w:rsidR="00E54C88" w:rsidRPr="004B7CEB">
        <w:rPr>
          <w:b/>
        </w:rPr>
        <w:lastRenderedPageBreak/>
        <w:t>National Disability Authority</w:t>
      </w:r>
      <w:r w:rsidR="00E54C88">
        <w:br/>
      </w:r>
      <w:r w:rsidR="00E54C88" w:rsidRPr="00AD4605">
        <w:t>25 Clyde Road, Dublin 4</w:t>
      </w:r>
      <w:r w:rsidR="00E54C88" w:rsidRPr="00AD4605">
        <w:br/>
      </w:r>
      <w:r w:rsidR="00E54C88" w:rsidRPr="004B7CEB">
        <w:rPr>
          <w:b/>
        </w:rPr>
        <w:t>Telephone</w:t>
      </w:r>
      <w:r w:rsidR="00E54C88">
        <w:t>:</w:t>
      </w:r>
      <w:r w:rsidR="00E54C88" w:rsidRPr="00AD4605">
        <w:t xml:space="preserve"> (01) 608 0400</w:t>
      </w:r>
      <w:r w:rsidR="00E54C88" w:rsidRPr="00AD4605">
        <w:br/>
      </w:r>
      <w:r w:rsidR="00E54C88" w:rsidRPr="004B7CEB">
        <w:rPr>
          <w:b/>
        </w:rPr>
        <w:t>Fax</w:t>
      </w:r>
      <w:r w:rsidR="00E54C88">
        <w:t>:</w:t>
      </w:r>
      <w:r w:rsidR="00E54C88" w:rsidRPr="00AD4605">
        <w:t xml:space="preserve"> (01) 660 9935</w:t>
      </w:r>
      <w:r w:rsidR="00E54C88" w:rsidRPr="00AD4605">
        <w:br/>
      </w:r>
      <w:r w:rsidR="00E54C88" w:rsidRPr="004B7CEB">
        <w:rPr>
          <w:b/>
        </w:rPr>
        <w:t>www.nda.ie</w:t>
      </w:r>
    </w:p>
    <w:p w14:paraId="398429CF" w14:textId="77777777" w:rsidR="00E54C88" w:rsidRDefault="009938C4" w:rsidP="00804BF1">
      <w:pPr>
        <w:pStyle w:val="Blurb"/>
      </w:pPr>
      <w:r>
        <w:rPr>
          <w:noProof/>
          <w:lang w:eastAsia="en-IE"/>
        </w:rPr>
        <w:drawing>
          <wp:inline distT="0" distB="0" distL="0" distR="0" wp14:anchorId="338BAC01" wp14:editId="54CCFEDA">
            <wp:extent cx="845820" cy="356235"/>
            <wp:effectExtent l="0" t="0" r="0" b="5715"/>
            <wp:docPr id="4"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13"/>
                    <a:srcRect/>
                    <a:stretch>
                      <a:fillRect/>
                    </a:stretch>
                  </pic:blipFill>
                  <pic:spPr bwMode="auto">
                    <a:xfrm>
                      <a:off x="0" y="0"/>
                      <a:ext cx="845820" cy="356235"/>
                    </a:xfrm>
                    <a:prstGeom prst="rect">
                      <a:avLst/>
                    </a:prstGeom>
                    <a:noFill/>
                  </pic:spPr>
                </pic:pic>
              </a:graphicData>
            </a:graphic>
          </wp:inline>
        </w:drawing>
      </w:r>
      <w:r w:rsidR="00E54C88">
        <w:t xml:space="preserve">National Disability Authority is the independent state body providing expert advice on disability policy and practice to the </w:t>
      </w:r>
      <w:proofErr w:type="gramStart"/>
      <w:r w:rsidR="00E54C88">
        <w:t>Minister, and</w:t>
      </w:r>
      <w:proofErr w:type="gramEnd"/>
      <w:r w:rsidR="00E54C88">
        <w:t xml:space="preserve"> promoting Universal Design in Ireland.</w:t>
      </w:r>
    </w:p>
    <w:p w14:paraId="1E44BD26" w14:textId="77777777" w:rsidR="00E54C88" w:rsidRDefault="00E54C88" w:rsidP="009B7368"/>
    <w:p w14:paraId="4E191134" w14:textId="77777777" w:rsidR="00E54C88" w:rsidRPr="000E07C7" w:rsidRDefault="00E54C88" w:rsidP="00620EC8">
      <w:pPr>
        <w:pStyle w:val="Title"/>
        <w:rPr>
          <w:lang w:val="ga-IE"/>
        </w:rPr>
      </w:pPr>
      <w:r>
        <w:br w:type="page"/>
      </w:r>
      <w:bookmarkStart w:id="78" w:name="_Toc368587364"/>
      <w:bookmarkStart w:id="79" w:name="_Toc368646732"/>
      <w:bookmarkStart w:id="80" w:name="_Toc383612207"/>
      <w:bookmarkStart w:id="81" w:name="_Toc429053916"/>
      <w:bookmarkStart w:id="82" w:name="_Toc429054126"/>
      <w:bookmarkStart w:id="83" w:name="_Toc431218803"/>
      <w:r w:rsidRPr="000E07C7">
        <w:rPr>
          <w:lang w:val="ga-IE"/>
        </w:rPr>
        <w:lastRenderedPageBreak/>
        <w:t>Tuarascáil Bhliantúil</w:t>
      </w:r>
      <w:r w:rsidRPr="000E07C7">
        <w:rPr>
          <w:lang w:val="ga-IE"/>
        </w:rPr>
        <w:br/>
      </w:r>
      <w:bookmarkEnd w:id="78"/>
      <w:bookmarkEnd w:id="79"/>
      <w:r w:rsidR="00192C94" w:rsidRPr="000E07C7">
        <w:rPr>
          <w:lang w:val="ga-IE"/>
        </w:rPr>
        <w:t>2014</w:t>
      </w:r>
      <w:bookmarkEnd w:id="80"/>
      <w:bookmarkEnd w:id="81"/>
      <w:bookmarkEnd w:id="82"/>
      <w:bookmarkEnd w:id="83"/>
    </w:p>
    <w:p w14:paraId="32B5CCC9" w14:textId="77777777" w:rsidR="00E54C88" w:rsidRPr="000E07C7" w:rsidRDefault="009938C4" w:rsidP="00620EC8">
      <w:pPr>
        <w:pStyle w:val="StyleBefore288pt"/>
        <w:rPr>
          <w:lang w:val="ga-IE"/>
        </w:rPr>
      </w:pPr>
      <w:bookmarkStart w:id="84" w:name="_Toc368587365"/>
      <w:bookmarkStart w:id="85" w:name="_Toc368646733"/>
      <w:r w:rsidRPr="000E07C7">
        <w:rPr>
          <w:noProof/>
          <w:lang w:eastAsia="en-IE"/>
        </w:rPr>
        <w:drawing>
          <wp:inline distT="0" distB="0" distL="0" distR="0" wp14:anchorId="44DE864F" wp14:editId="27D352DA">
            <wp:extent cx="2295525" cy="1628775"/>
            <wp:effectExtent l="19050" t="0" r="9525" b="0"/>
            <wp:docPr id="2" name="Picture 2"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Authority logo"/>
                    <pic:cNvPicPr>
                      <a:picLocks noChangeAspect="1" noChangeArrowheads="1"/>
                    </pic:cNvPicPr>
                  </pic:nvPicPr>
                  <pic:blipFill>
                    <a:blip r:embed="rId8"/>
                    <a:srcRect/>
                    <a:stretch>
                      <a:fillRect/>
                    </a:stretch>
                  </pic:blipFill>
                  <pic:spPr bwMode="auto">
                    <a:xfrm>
                      <a:off x="0" y="0"/>
                      <a:ext cx="2295525" cy="1628775"/>
                    </a:xfrm>
                    <a:prstGeom prst="rect">
                      <a:avLst/>
                    </a:prstGeom>
                    <a:noFill/>
                    <a:ln w="9525">
                      <a:noFill/>
                      <a:miter lim="800000"/>
                      <a:headEnd/>
                      <a:tailEnd/>
                    </a:ln>
                  </pic:spPr>
                </pic:pic>
              </a:graphicData>
            </a:graphic>
          </wp:inline>
        </w:drawing>
      </w:r>
      <w:bookmarkEnd w:id="84"/>
      <w:bookmarkEnd w:id="85"/>
    </w:p>
    <w:p w14:paraId="037E0D25" w14:textId="77777777" w:rsidR="00E54C88" w:rsidRPr="000E07C7" w:rsidRDefault="00E54C88" w:rsidP="00422DFF">
      <w:pPr>
        <w:rPr>
          <w:lang w:val="ga-IE"/>
        </w:rPr>
      </w:pPr>
      <w:r w:rsidRPr="000E07C7">
        <w:rPr>
          <w:lang w:val="ga-IE"/>
        </w:rPr>
        <w:lastRenderedPageBreak/>
        <w:t xml:space="preserve"> </w:t>
      </w:r>
    </w:p>
    <w:p w14:paraId="15CAFAEB" w14:textId="77777777" w:rsidR="000E07C7" w:rsidRPr="000E07C7" w:rsidRDefault="000E07C7" w:rsidP="000E07C7">
      <w:pPr>
        <w:pStyle w:val="Heading1"/>
        <w:rPr>
          <w:lang w:val="ga-IE"/>
        </w:rPr>
      </w:pPr>
      <w:bookmarkStart w:id="86" w:name="_Toc429053917"/>
      <w:bookmarkStart w:id="87" w:name="_Toc429054127"/>
      <w:bookmarkStart w:id="88" w:name="_Toc431218804"/>
      <w:r w:rsidRPr="000E07C7">
        <w:rPr>
          <w:lang w:val="ga-IE"/>
        </w:rPr>
        <w:lastRenderedPageBreak/>
        <w:t>Ráiteas an Chathaoirligh</w:t>
      </w:r>
      <w:bookmarkEnd w:id="86"/>
      <w:bookmarkEnd w:id="87"/>
      <w:bookmarkEnd w:id="88"/>
    </w:p>
    <w:p w14:paraId="2708BEDF" w14:textId="77777777" w:rsidR="000E07C7" w:rsidRPr="000E07C7" w:rsidRDefault="000E07C7" w:rsidP="000E07C7">
      <w:pPr>
        <w:rPr>
          <w:lang w:val="ga-IE" w:eastAsia="en-GB"/>
        </w:rPr>
      </w:pPr>
      <w:r w:rsidRPr="000E07C7">
        <w:rPr>
          <w:lang w:val="ga-IE" w:eastAsia="en-GB"/>
        </w:rPr>
        <w:t>Tá</w:t>
      </w:r>
      <w:r w:rsidR="00D00624">
        <w:rPr>
          <w:lang w:val="ga-IE" w:eastAsia="en-GB"/>
        </w:rPr>
        <w:t xml:space="preserve"> </w:t>
      </w:r>
      <w:r w:rsidRPr="000E07C7">
        <w:rPr>
          <w:lang w:val="ga-IE" w:eastAsia="en-GB"/>
        </w:rPr>
        <w:t>áthas orm Tuarascáil Bhliantúil seo an Údaráis Náisiúnta Mhíchumais don bhliain 2014 a chur bhráid an Aire Dlí agus Cirt agus Comhionannais.</w:t>
      </w:r>
    </w:p>
    <w:p w14:paraId="158F3F04" w14:textId="77777777" w:rsidR="000E07C7" w:rsidRPr="000E07C7" w:rsidRDefault="000E07C7" w:rsidP="000E07C7">
      <w:pPr>
        <w:rPr>
          <w:lang w:val="ga-IE" w:eastAsia="en-GB"/>
        </w:rPr>
      </w:pPr>
      <w:r w:rsidRPr="000E07C7">
        <w:rPr>
          <w:lang w:val="ga-IE" w:eastAsia="en-GB"/>
        </w:rPr>
        <w:t xml:space="preserve">Mar an gcathaoirleach a ceapadh leis an Údarás nua a ghlac leis an oifig in Iúil 2014, is rí-dheas liom tuairisciú a dhéanamh ar conas a d’éirigh leis an Údarás Náisiúnta Míchumais sa bhliain sin maidir le tabhairt faoi chuspóirí straitéiseacha tiomanta agus ár ról reachtúil mar an gcomhlacht neamhspleách náisiúnta atá freagrach as comhairle atá bunaithe ar fhianaise a sholáthar don Aire ar shaincheisteanna míchumais agus dearadh uilíoch. </w:t>
      </w:r>
    </w:p>
    <w:p w14:paraId="3371334D" w14:textId="77777777" w:rsidR="000E07C7" w:rsidRPr="000E07C7" w:rsidRDefault="000E07C7" w:rsidP="000E07C7">
      <w:pPr>
        <w:rPr>
          <w:lang w:val="ga-IE" w:eastAsia="en-GB"/>
        </w:rPr>
      </w:pPr>
      <w:r w:rsidRPr="000E07C7">
        <w:rPr>
          <w:lang w:val="ga-IE" w:eastAsia="en-GB"/>
        </w:rPr>
        <w:t xml:space="preserve">Tugtar cuntas sa tuarascáil ar conas a lean an tÚdarás Náisiúnta Míchumais, i gcaitheamh na bliana, lena ról a chomhlíonadh maidir le cur i bhfeidhm éifeachtach na </w:t>
      </w:r>
      <w:proofErr w:type="spellStart"/>
      <w:r w:rsidRPr="000E07C7">
        <w:rPr>
          <w:lang w:val="ga-IE" w:eastAsia="en-GB"/>
        </w:rPr>
        <w:t>bpríomhstraitéisí</w:t>
      </w:r>
      <w:proofErr w:type="spellEnd"/>
      <w:r w:rsidRPr="000E07C7">
        <w:rPr>
          <w:lang w:val="ga-IE" w:eastAsia="en-GB"/>
        </w:rPr>
        <w:t xml:space="preserve"> agus na </w:t>
      </w:r>
      <w:proofErr w:type="spellStart"/>
      <w:r w:rsidRPr="000E07C7">
        <w:rPr>
          <w:lang w:val="ga-IE" w:eastAsia="en-GB"/>
        </w:rPr>
        <w:t>bpríomhbheartas</w:t>
      </w:r>
      <w:proofErr w:type="spellEnd"/>
      <w:r w:rsidRPr="000E07C7">
        <w:rPr>
          <w:lang w:val="ga-IE" w:eastAsia="en-GB"/>
        </w:rPr>
        <w:t xml:space="preserve"> a threorú lenar ghlac an Rialtas lena gcur i bhfeidhm i gcaitheamh roinnt blianta chun sochaí Éireannach a bhaint amach a bhfuil luach aici ar dhaoine atá faoi mhíchumas mar shaoránaigh chomhionanna.</w:t>
      </w:r>
      <w:r w:rsidR="00D00624">
        <w:rPr>
          <w:lang w:val="ga-IE" w:eastAsia="en-GB"/>
        </w:rPr>
        <w:t xml:space="preserve"> </w:t>
      </w:r>
      <w:r w:rsidRPr="000E07C7">
        <w:rPr>
          <w:lang w:val="ga-IE" w:eastAsia="en-GB"/>
        </w:rPr>
        <w:t xml:space="preserve"> Anuas air sin, leanamar lenár gcuid iarrachtaí a dhéanamh chun tuiscint agus glacadh feabhsaithe le dearadh uirbeach a chur chun cinn, agus rinneamar breis forbartha ar acmhainní breise chun tacú le dearthóirí chun sin a bhaint amach. </w:t>
      </w:r>
    </w:p>
    <w:p w14:paraId="18C9E951" w14:textId="77777777" w:rsidR="000E07C7" w:rsidRPr="000E07C7" w:rsidRDefault="000E07C7" w:rsidP="000E07C7">
      <w:pPr>
        <w:rPr>
          <w:lang w:val="ga-IE" w:eastAsia="en-GB"/>
        </w:rPr>
      </w:pPr>
      <w:r w:rsidRPr="000E07C7">
        <w:rPr>
          <w:lang w:val="ga-IE" w:eastAsia="en-GB"/>
        </w:rPr>
        <w:t xml:space="preserve">Tugadh isteach caighdeáin agus rialacháin d’ionaid mhíchumas cónaithe ó Shamhain 2013 ar aghaidh, agus chuir an tÚdarás um Fhaisnéis agus Cáilíocht Sláinte (an ÚFCS) tús le próiseas clárúcháin agus cigireachta seirbhísí ón dáta sin. I Lúnasa 2014, d’iarr an tAire Cúraim Phríomhúil agus Shóisialta, Kathleen Lynch, T.D., orainn athbhreithniú a dhéanamh ar an eispéireas agus ar an méid a foghlaimíodh uaidh seo, bliain amháin chun cinn. Cuireadh tús leis an tionscadal seo in 2014 agus tabharfar chun críche í in 2015. Soláthróidh seo foghlaim luachmhar do bheartas agus cleachtas. Tá ár n-obair á stiúradh ag comhairliúchán le réimse fairsing de pháirtithe leasmhara, lena n-áirítear cónaitheoirí, a dteaghlaigh, soláthraithe seirbhíse agus an ÚFCS. </w:t>
      </w:r>
    </w:p>
    <w:p w14:paraId="150881D3" w14:textId="77777777" w:rsidR="000E07C7" w:rsidRPr="000E07C7" w:rsidRDefault="000E07C7" w:rsidP="000E07C7">
      <w:pPr>
        <w:rPr>
          <w:lang w:val="ga-IE" w:eastAsia="en-GB"/>
        </w:rPr>
      </w:pPr>
      <w:r w:rsidRPr="000E07C7">
        <w:rPr>
          <w:lang w:val="ga-IE" w:eastAsia="en-GB"/>
        </w:rPr>
        <w:t xml:space="preserve">Tá clár mór claochlaithe le haghaidh seirbhísí agus tacaíochtaí míchumais ar bun faoi láthair. Is é an treo beartais lenar </w:t>
      </w:r>
      <w:proofErr w:type="spellStart"/>
      <w:r w:rsidRPr="000E07C7">
        <w:rPr>
          <w:lang w:val="ga-IE" w:eastAsia="en-GB"/>
        </w:rPr>
        <w:t>chomhaontaigh</w:t>
      </w:r>
      <w:proofErr w:type="spellEnd"/>
      <w:r w:rsidRPr="000E07C7">
        <w:rPr>
          <w:lang w:val="ga-IE" w:eastAsia="en-GB"/>
        </w:rPr>
        <w:t xml:space="preserve"> an Rialtas chun tacú le daoine atá faoi mhíchumas chun gnáthshaol a chaitheamh i </w:t>
      </w:r>
      <w:proofErr w:type="spellStart"/>
      <w:r w:rsidRPr="000E07C7">
        <w:rPr>
          <w:lang w:val="ga-IE" w:eastAsia="en-GB"/>
        </w:rPr>
        <w:t>ngnátháiteanna</w:t>
      </w:r>
      <w:proofErr w:type="spellEnd"/>
      <w:r w:rsidRPr="000E07C7">
        <w:rPr>
          <w:lang w:val="ga-IE" w:eastAsia="en-GB"/>
        </w:rPr>
        <w:t>. Tá ról tábhachtach á chomhlíonadh ag an Údarás Náisiúnta Míchumais chun seo a threorú, mar shampla, trínár gcuid oibre ar chreatlach thorthaí le haghaidh seirbhísí míchumais, ar chaighdeáin chun bheith mar bhonn agus taca le samhail nua do sheirbhísí lae, agus ar chórais leithdháilte acmhainní.</w:t>
      </w:r>
      <w:r w:rsidR="00D00624">
        <w:rPr>
          <w:lang w:val="ga-IE" w:eastAsia="en-GB"/>
        </w:rPr>
        <w:t xml:space="preserve"> </w:t>
      </w:r>
      <w:r w:rsidRPr="000E07C7">
        <w:rPr>
          <w:lang w:val="ga-IE" w:eastAsia="en-GB"/>
        </w:rPr>
        <w:t xml:space="preserve">Táimid coinsiasach, áfach, go bhfuil claochlú na </w:t>
      </w:r>
      <w:r w:rsidRPr="000E07C7">
        <w:rPr>
          <w:lang w:val="ga-IE" w:eastAsia="en-GB"/>
        </w:rPr>
        <w:lastRenderedPageBreak/>
        <w:t xml:space="preserve">seirbhíse fós ag tosach aistir, agus go gcónaíonn go leor daoine go fóill in institiúidí nó ionaid mhóra chónaithe. </w:t>
      </w:r>
    </w:p>
    <w:p w14:paraId="02693461" w14:textId="77777777" w:rsidR="000E07C7" w:rsidRPr="000E07C7" w:rsidRDefault="000E07C7" w:rsidP="000E07C7">
      <w:pPr>
        <w:rPr>
          <w:lang w:val="ga-IE" w:eastAsia="en-GB"/>
        </w:rPr>
      </w:pPr>
      <w:r w:rsidRPr="000E07C7">
        <w:rPr>
          <w:lang w:val="ga-IE" w:eastAsia="en-GB"/>
        </w:rPr>
        <w:t>Ar nós go leor eile, bhí déistin ar an ÚNM faoin bhfianaise i leith drochíde a tháinig chun solais i roinnt seirbhísí cónaithe, atá á fiosrú anois, ar eascair clár mór gníomhaíochta as atá faoi stiúir FSS maidir le cónaitheoirí i ngach ionad cónaithe a chosaint agus chun feabhsú cáilíochta a chur chun cinn. Ceapadh an ÚNM leis an Tascfhórsa a bhfuil FSS mar chathaoirleach air, a raibh a gcruinniú tionscnaimh acu an 16 Nollaig 2014 d’fhonn maoirsiú a dhéanamh ar chur i bhfeidhm an chláir ghníomhaíochta.</w:t>
      </w:r>
    </w:p>
    <w:p w14:paraId="190B0D9C" w14:textId="77777777" w:rsidR="000E07C7" w:rsidRPr="000E07C7" w:rsidRDefault="000E07C7" w:rsidP="000E07C7">
      <w:pPr>
        <w:pStyle w:val="NormalBeforeList"/>
        <w:rPr>
          <w:lang w:val="ga-IE" w:eastAsia="en-GB"/>
        </w:rPr>
      </w:pPr>
      <w:r w:rsidRPr="000E07C7">
        <w:rPr>
          <w:lang w:val="ga-IE" w:eastAsia="en-GB"/>
        </w:rPr>
        <w:t>In 2014, áiríodh le hobair an Údaráis Náisiúnta Mhíchumais:</w:t>
      </w:r>
    </w:p>
    <w:p w14:paraId="5815DF22" w14:textId="77777777" w:rsidR="000E07C7" w:rsidRPr="000E07C7" w:rsidRDefault="000E07C7" w:rsidP="000E07C7">
      <w:pPr>
        <w:pStyle w:val="ListBullet"/>
        <w:rPr>
          <w:lang w:val="ga-IE" w:eastAsia="en-GB"/>
        </w:rPr>
      </w:pPr>
      <w:r w:rsidRPr="000E07C7">
        <w:rPr>
          <w:lang w:val="ga-IE" w:eastAsia="en-GB"/>
        </w:rPr>
        <w:t xml:space="preserve">Obair chun athbhreithniú a dhéanamh ar Chuid 4 den Acht Míchumais, 2005 maidir le húsáid a bhaint as faisnéis faoi thástáil ghéiniteach le haghaidh rochtana ar árachas, morgáistí agus fostaíocht. </w:t>
      </w:r>
    </w:p>
    <w:p w14:paraId="5A1DF471" w14:textId="77777777" w:rsidR="000E07C7" w:rsidRPr="000E07C7" w:rsidRDefault="000E07C7" w:rsidP="000E07C7">
      <w:pPr>
        <w:pStyle w:val="ListBullet"/>
        <w:rPr>
          <w:lang w:val="ga-IE" w:eastAsia="en-GB"/>
        </w:rPr>
      </w:pPr>
      <w:r w:rsidRPr="000E07C7">
        <w:rPr>
          <w:lang w:val="ga-IE" w:eastAsia="en-GB"/>
        </w:rPr>
        <w:t xml:space="preserve">Taighde agus treoir chun cabhrú le straitéis chuimsitheach </w:t>
      </w:r>
      <w:proofErr w:type="spellStart"/>
      <w:r w:rsidRPr="000E07C7">
        <w:rPr>
          <w:lang w:val="ga-IE" w:eastAsia="en-GB"/>
        </w:rPr>
        <w:t>trasrialtais</w:t>
      </w:r>
      <w:proofErr w:type="spellEnd"/>
      <w:r w:rsidRPr="000E07C7">
        <w:rPr>
          <w:lang w:val="ga-IE" w:eastAsia="en-GB"/>
        </w:rPr>
        <w:t xml:space="preserve"> fostaíochta a fhorbairt do dhaoine atá faoi mhíchumas. </w:t>
      </w:r>
    </w:p>
    <w:p w14:paraId="4A376BC4" w14:textId="77777777" w:rsidR="000E07C7" w:rsidRPr="000E07C7" w:rsidRDefault="000E07C7" w:rsidP="000E07C7">
      <w:pPr>
        <w:pStyle w:val="ListBullet"/>
        <w:rPr>
          <w:lang w:val="ga-IE" w:eastAsia="en-GB"/>
        </w:rPr>
      </w:pPr>
      <w:r w:rsidRPr="000E07C7">
        <w:rPr>
          <w:lang w:val="ga-IE" w:eastAsia="en-GB"/>
        </w:rPr>
        <w:t xml:space="preserve">Taighde agus comhairliúchán chun faisnéis a sholáthar do bheartas agus cleachtas maidir le seirbhísí poiblí do dhaoine atá thíos le </w:t>
      </w:r>
      <w:proofErr w:type="spellStart"/>
      <w:r w:rsidRPr="000E07C7">
        <w:rPr>
          <w:lang w:val="ga-IE" w:eastAsia="en-GB"/>
        </w:rPr>
        <w:t>huathachas</w:t>
      </w:r>
      <w:proofErr w:type="spellEnd"/>
      <w:r w:rsidRPr="000E07C7">
        <w:rPr>
          <w:lang w:val="ga-IE" w:eastAsia="en-GB"/>
        </w:rPr>
        <w:t>.</w:t>
      </w:r>
      <w:r w:rsidR="00D00624">
        <w:rPr>
          <w:lang w:val="ga-IE" w:eastAsia="en-GB"/>
        </w:rPr>
        <w:t xml:space="preserve"> </w:t>
      </w:r>
    </w:p>
    <w:p w14:paraId="4B2E1A71" w14:textId="77777777" w:rsidR="000E07C7" w:rsidRPr="000E07C7" w:rsidRDefault="000E07C7" w:rsidP="000E07C7">
      <w:pPr>
        <w:pStyle w:val="ListBullet"/>
        <w:rPr>
          <w:lang w:val="ga-IE" w:eastAsia="en-GB"/>
        </w:rPr>
      </w:pPr>
      <w:r w:rsidRPr="000E07C7">
        <w:rPr>
          <w:lang w:val="ga-IE" w:eastAsia="en-GB"/>
        </w:rPr>
        <w:t xml:space="preserve">Oibríonn caighdeáin chríochnaithe Eorpacha agus Idirnáisiúnta i limistéir </w:t>
      </w:r>
      <w:proofErr w:type="spellStart"/>
      <w:r w:rsidRPr="000E07C7">
        <w:rPr>
          <w:lang w:val="ga-IE" w:eastAsia="en-GB"/>
        </w:rPr>
        <w:t>fála</w:t>
      </w:r>
      <w:proofErr w:type="spellEnd"/>
      <w:r w:rsidRPr="000E07C7">
        <w:rPr>
          <w:lang w:val="ga-IE" w:eastAsia="en-GB"/>
        </w:rPr>
        <w:t xml:space="preserve"> TFC agus treoirlínte le haghaidh </w:t>
      </w:r>
      <w:proofErr w:type="spellStart"/>
      <w:r w:rsidRPr="000E07C7">
        <w:rPr>
          <w:lang w:val="ga-IE" w:eastAsia="en-GB"/>
        </w:rPr>
        <w:t>forbróirí</w:t>
      </w:r>
      <w:proofErr w:type="spellEnd"/>
      <w:r w:rsidRPr="000E07C7">
        <w:rPr>
          <w:lang w:val="ga-IE" w:eastAsia="en-GB"/>
        </w:rPr>
        <w:t xml:space="preserve"> caighdeán maidir le dearadh agus inrochtaineacht uilíoch a chur i bhfeidhm.</w:t>
      </w:r>
    </w:p>
    <w:p w14:paraId="42B92B88" w14:textId="77777777" w:rsidR="000E07C7" w:rsidRPr="000E07C7" w:rsidRDefault="000E07C7" w:rsidP="000E07C7">
      <w:pPr>
        <w:pStyle w:val="ListBullet"/>
        <w:rPr>
          <w:lang w:val="ga-IE" w:eastAsia="en-GB"/>
        </w:rPr>
      </w:pPr>
      <w:proofErr w:type="spellStart"/>
      <w:r w:rsidRPr="000E07C7">
        <w:rPr>
          <w:lang w:val="ga-IE" w:eastAsia="en-GB"/>
        </w:rPr>
        <w:t>Olldúshlán</w:t>
      </w:r>
      <w:proofErr w:type="spellEnd"/>
      <w:r w:rsidRPr="000E07C7">
        <w:rPr>
          <w:lang w:val="ga-IE" w:eastAsia="en-GB"/>
        </w:rPr>
        <w:t xml:space="preserve"> Dearaidh Uilíoch ina raibh baint ag mic léinn a raibh smaointe nuálacha uilíocha á bhforbairt acu do tháirgí, áiseanna agus teicneolaíochtaí.</w:t>
      </w:r>
    </w:p>
    <w:p w14:paraId="54C7C903" w14:textId="77777777" w:rsidR="000E07C7" w:rsidRPr="000E07C7" w:rsidRDefault="000E07C7" w:rsidP="000E07C7">
      <w:pPr>
        <w:rPr>
          <w:lang w:val="ga-IE" w:eastAsia="en-GB"/>
        </w:rPr>
      </w:pPr>
      <w:r w:rsidRPr="000E07C7">
        <w:rPr>
          <w:lang w:val="ga-IE" w:eastAsia="en-GB"/>
        </w:rPr>
        <w:t xml:space="preserve">Ba mhian liom buíochas a ghlacadh, chomh maith leis sin, leo siúd a raibh idirchaidreamh acu leis an ÚNM, trí chomhairliúchán agus trí pháirt a ghlacadh inár gceardlanna agus seimineáir. Tá luach againn ar an idirchaidreamh lenár bpáirtithe leasmhara go léir i ranna rialtais, comhlachtaí poiblí, comhlachtaí na hearnála míchumais, daoine atá faoi mhíchumas agus a dteaghlaigh mar aon lenár bpáirtithe leasmhara dearaidh uilíoch – comhlachtaí gairmiúla, caighdeán agus oideachais mar aon leis an tionscal agus an earnáil phoiblí. </w:t>
      </w:r>
    </w:p>
    <w:p w14:paraId="0F77524F" w14:textId="77777777" w:rsidR="000E07C7" w:rsidRPr="000E07C7" w:rsidRDefault="000E07C7" w:rsidP="000E07C7">
      <w:pPr>
        <w:rPr>
          <w:lang w:val="ga-IE" w:eastAsia="en-GB"/>
        </w:rPr>
      </w:pPr>
      <w:r w:rsidRPr="000E07C7">
        <w:rPr>
          <w:lang w:val="ga-IE" w:eastAsia="en-GB"/>
        </w:rPr>
        <w:t xml:space="preserve">Ba mhian liom buíochas a ghabháil le foireann aonad an Bheartais Mhíchumais sa Roinn Dlí agus Cirt agus Comhionannais mar aon leis an bhfoireann ón Aonad Seirbhísí Comhroinnte Airgeadais agus na seirbhísí comhroinnte TF. </w:t>
      </w:r>
    </w:p>
    <w:p w14:paraId="6F9D487C" w14:textId="77777777" w:rsidR="000E07C7" w:rsidRPr="000E07C7" w:rsidRDefault="000E07C7" w:rsidP="000E07C7">
      <w:pPr>
        <w:rPr>
          <w:lang w:val="ga-IE" w:eastAsia="en-GB"/>
        </w:rPr>
      </w:pPr>
      <w:r w:rsidRPr="000E07C7">
        <w:rPr>
          <w:lang w:val="ga-IE" w:eastAsia="en-GB"/>
        </w:rPr>
        <w:t xml:space="preserve">Ba mhian liom buíochas a ghabháil leis na comhaltaí a thaispeáin fuinneamh agus díocas mar aon le réimse fairsing taithí ó ceapadh iad leis an Údarás, a </w:t>
      </w:r>
      <w:r w:rsidRPr="000E07C7">
        <w:rPr>
          <w:lang w:val="ga-IE" w:eastAsia="en-GB"/>
        </w:rPr>
        <w:lastRenderedPageBreak/>
        <w:t>chuirfidh ar chumas againn oibriú as lámh a chéile lena chinntiú go bhfuil difear dearfach á dhéanamh ag an ÚNM.</w:t>
      </w:r>
    </w:p>
    <w:p w14:paraId="7FF2A831" w14:textId="77777777" w:rsidR="000E07C7" w:rsidRPr="000E07C7" w:rsidRDefault="000E07C7" w:rsidP="000E07C7">
      <w:pPr>
        <w:rPr>
          <w:lang w:val="ga-IE" w:eastAsia="en-GB"/>
        </w:rPr>
      </w:pPr>
      <w:r w:rsidRPr="000E07C7">
        <w:rPr>
          <w:lang w:val="ga-IE" w:eastAsia="en-GB"/>
        </w:rPr>
        <w:t>Ba mhian liom tiomantas, ardchaighdeán oibre agus taithí fhoireann an Údaráis Náisiúnta Mhíchumais a aithint, a sholáthair clár an-lán oibre.</w:t>
      </w:r>
      <w:r w:rsidR="00D00624">
        <w:rPr>
          <w:lang w:val="ga-IE" w:eastAsia="en-GB"/>
        </w:rPr>
        <w:t xml:space="preserve"> </w:t>
      </w:r>
    </w:p>
    <w:p w14:paraId="1B2B566A" w14:textId="77777777" w:rsidR="000E07C7" w:rsidRPr="000E07C7" w:rsidRDefault="000E07C7" w:rsidP="000E07C7">
      <w:pPr>
        <w:rPr>
          <w:lang w:val="ga-IE"/>
        </w:rPr>
      </w:pPr>
      <w:r w:rsidRPr="000E07C7">
        <w:rPr>
          <w:lang w:val="ga-IE" w:eastAsia="en-GB"/>
        </w:rPr>
        <w:t>Is mise, le meas,</w:t>
      </w:r>
      <w:r w:rsidRPr="000E07C7">
        <w:rPr>
          <w:lang w:val="ga-IE" w:eastAsia="en-GB"/>
        </w:rPr>
        <w:br/>
        <w:t xml:space="preserve">Helen </w:t>
      </w:r>
      <w:proofErr w:type="spellStart"/>
      <w:r w:rsidRPr="000E07C7">
        <w:rPr>
          <w:lang w:val="ga-IE" w:eastAsia="en-GB"/>
        </w:rPr>
        <w:t>Guinan</w:t>
      </w:r>
      <w:proofErr w:type="spellEnd"/>
      <w:r w:rsidRPr="000E07C7">
        <w:rPr>
          <w:lang w:val="ga-IE" w:eastAsia="en-GB"/>
        </w:rPr>
        <w:br/>
        <w:t>Cathaoirleach.</w:t>
      </w:r>
    </w:p>
    <w:p w14:paraId="689EE8A9" w14:textId="77777777" w:rsidR="000E07C7" w:rsidRPr="000E07C7" w:rsidRDefault="000E07C7" w:rsidP="000E07C7">
      <w:pPr>
        <w:pStyle w:val="Heading1"/>
        <w:rPr>
          <w:lang w:val="ga-IE"/>
        </w:rPr>
      </w:pPr>
      <w:bookmarkStart w:id="89" w:name="_Toc429053918"/>
      <w:bookmarkStart w:id="90" w:name="_Toc429054128"/>
      <w:bookmarkStart w:id="91" w:name="_Toc431218805"/>
      <w:r w:rsidRPr="000E07C7">
        <w:rPr>
          <w:lang w:val="ga-IE"/>
        </w:rPr>
        <w:lastRenderedPageBreak/>
        <w:t>Forbhreathnú ar 2014</w:t>
      </w:r>
      <w:bookmarkEnd w:id="89"/>
      <w:bookmarkEnd w:id="90"/>
      <w:bookmarkEnd w:id="91"/>
    </w:p>
    <w:p w14:paraId="33509887" w14:textId="77777777" w:rsidR="000E07C7" w:rsidRPr="000E07C7" w:rsidRDefault="000E07C7" w:rsidP="000E07C7">
      <w:pPr>
        <w:rPr>
          <w:lang w:val="ga-IE"/>
        </w:rPr>
      </w:pPr>
      <w:r w:rsidRPr="000E07C7">
        <w:rPr>
          <w:lang w:val="ga-IE"/>
        </w:rPr>
        <w:t>Rinne a bPlean Straitéiseach chomh maith le deiseanna chun dul i bhfeidhm ar bheartais agus cleachtas náisiúnta chun comhionannas agus cáilíocht níos fearr saoil a sholáthar do dhaoine atá faoi mhíchumas agus chun dearadh uilíoch a chur chun cinn, obair an Údaráis Náisiúnta Mhíchumais a threorú in 2014.</w:t>
      </w:r>
    </w:p>
    <w:p w14:paraId="35F8338F" w14:textId="77777777" w:rsidR="000E07C7" w:rsidRPr="000E07C7" w:rsidRDefault="000E07C7" w:rsidP="000E07C7">
      <w:pPr>
        <w:rPr>
          <w:lang w:val="ga-IE"/>
        </w:rPr>
      </w:pPr>
      <w:r w:rsidRPr="000E07C7">
        <w:rPr>
          <w:lang w:val="ga-IE"/>
        </w:rPr>
        <w:t>I rith 2014, cheap an Roinn Dlí agus Cirt agus an Roinn Ealaíon, Oidhreachta agus Gaeltachta Aire nua, ar a bhfuil</w:t>
      </w:r>
      <w:r w:rsidR="00D00624">
        <w:rPr>
          <w:lang w:val="ga-IE"/>
        </w:rPr>
        <w:t xml:space="preserve"> </w:t>
      </w:r>
      <w:r w:rsidRPr="000E07C7">
        <w:rPr>
          <w:lang w:val="ga-IE"/>
        </w:rPr>
        <w:t xml:space="preserve">freagracht speisialta as Comhionannas, Pobail Nua agus an Cultúr. Sa mhullach air sin, ghlac an tAire le ról cathaoirligh Ghrúpa um Fheidhmiú na Straitéise Náisiúnta Míchumais. Déanann an grúpa stiúrtha seo monatóireacht ar chur i bhfeidhm Phlean um Fheidhmiú na Straitéise Náisiúnta Míchumais 2013-2015. I measc na ballraíochta, tá oifigigh shinsearacha ó réimse leathan de ranna rialtais, na húdaráis áitiúla, an grúpa Náisiúnta Míchumais agus an grúpa Páirtithe Leasmhara Míchumais. </w:t>
      </w:r>
    </w:p>
    <w:p w14:paraId="0DDEB77D" w14:textId="77777777" w:rsidR="000E07C7" w:rsidRPr="000E07C7" w:rsidRDefault="000E07C7" w:rsidP="000E07C7">
      <w:pPr>
        <w:pStyle w:val="NormalBeforeList"/>
        <w:rPr>
          <w:lang w:val="ga-IE"/>
        </w:rPr>
      </w:pPr>
      <w:r w:rsidRPr="000E07C7">
        <w:rPr>
          <w:lang w:val="ga-IE"/>
        </w:rPr>
        <w:t>Cuimsíonn Plean um Fheidhmiú na Straitéise Náisiúnta Míchumais gach duine atá faoi mhíchumas. Leagtar amach ann gníomhartha a bhfuil gach roinn agus gníomhaireacht rialtais le tabhairt fúthu faoi na spriocanna ardleibhéil a leanas:</w:t>
      </w:r>
    </w:p>
    <w:p w14:paraId="3431F547" w14:textId="77777777" w:rsidR="000E07C7" w:rsidRPr="000E07C7" w:rsidRDefault="000E07C7" w:rsidP="000E07C7">
      <w:pPr>
        <w:pStyle w:val="ListNumber"/>
        <w:rPr>
          <w:lang w:val="ga-IE"/>
        </w:rPr>
      </w:pPr>
      <w:r w:rsidRPr="000E07C7">
        <w:rPr>
          <w:lang w:val="ga-IE"/>
        </w:rPr>
        <w:t>1.</w:t>
      </w:r>
      <w:r w:rsidRPr="000E07C7">
        <w:rPr>
          <w:lang w:val="ga-IE"/>
        </w:rPr>
        <w:tab/>
        <w:t>Saoránaigh Chomhionanna – tá daoine atá faoi mhíchumas saor ó idirdhealú. Caitheann a gcomhshaoránaigh leo mar shaoránaigh chomhionanna.</w:t>
      </w:r>
      <w:r w:rsidR="00D00624">
        <w:rPr>
          <w:lang w:val="ga-IE"/>
        </w:rPr>
        <w:t xml:space="preserve"> </w:t>
      </w:r>
      <w:r w:rsidRPr="000E07C7">
        <w:rPr>
          <w:lang w:val="ga-IE"/>
        </w:rPr>
        <w:t>Cuireann seirbhísí poiblí san áireamh iad mar dhaoine comhionanna a fháiltíonn agus a fhreastalaíonn ar éagsúlacht.</w:t>
      </w:r>
    </w:p>
    <w:p w14:paraId="7B9B677A" w14:textId="77777777" w:rsidR="000E07C7" w:rsidRPr="000E07C7" w:rsidRDefault="000E07C7" w:rsidP="000E07C7">
      <w:pPr>
        <w:pStyle w:val="ListNumber"/>
        <w:rPr>
          <w:lang w:val="ga-IE"/>
        </w:rPr>
      </w:pPr>
      <w:r w:rsidRPr="000E07C7">
        <w:rPr>
          <w:lang w:val="ga-IE"/>
        </w:rPr>
        <w:t>2.</w:t>
      </w:r>
      <w:r w:rsidRPr="000E07C7">
        <w:rPr>
          <w:lang w:val="ga-IE"/>
        </w:rPr>
        <w:tab/>
        <w:t>Neamhspleáchas agus Rogha – tacaítear le daoine atá faoi mhíchumas chun an saol a roghnaíonn siad a chaitheamh.</w:t>
      </w:r>
    </w:p>
    <w:p w14:paraId="13DDA67D" w14:textId="77777777" w:rsidR="000E07C7" w:rsidRPr="000E07C7" w:rsidRDefault="000E07C7" w:rsidP="000E07C7">
      <w:pPr>
        <w:pStyle w:val="ListNumber"/>
        <w:rPr>
          <w:lang w:val="ga-IE"/>
        </w:rPr>
      </w:pPr>
      <w:r w:rsidRPr="000E07C7">
        <w:rPr>
          <w:lang w:val="ga-IE"/>
        </w:rPr>
        <w:t>3.</w:t>
      </w:r>
      <w:r w:rsidRPr="000E07C7">
        <w:rPr>
          <w:lang w:val="ga-IE"/>
        </w:rPr>
        <w:tab/>
        <w:t xml:space="preserve">Rannpháirtíocht – caitheann daoine atá faoi mhíchumas gnáthshaol i </w:t>
      </w:r>
      <w:proofErr w:type="spellStart"/>
      <w:r w:rsidRPr="000E07C7">
        <w:rPr>
          <w:lang w:val="ga-IE"/>
        </w:rPr>
        <w:t>ngnátháiteanna</w:t>
      </w:r>
      <w:proofErr w:type="spellEnd"/>
      <w:r w:rsidRPr="000E07C7">
        <w:rPr>
          <w:lang w:val="ga-IE"/>
        </w:rPr>
        <w:t>, agus glacann siad páirt i mbeatha an phobail.</w:t>
      </w:r>
    </w:p>
    <w:p w14:paraId="3948C3EE" w14:textId="77777777" w:rsidR="000E07C7" w:rsidRPr="000E07C7" w:rsidRDefault="000E07C7" w:rsidP="000E07C7">
      <w:pPr>
        <w:pStyle w:val="ListNumber"/>
        <w:spacing w:after="240"/>
        <w:ind w:left="357" w:hanging="357"/>
        <w:rPr>
          <w:lang w:val="ga-IE"/>
        </w:rPr>
      </w:pPr>
      <w:r w:rsidRPr="000E07C7">
        <w:rPr>
          <w:lang w:val="ga-IE"/>
        </w:rPr>
        <w:t>4.</w:t>
      </w:r>
      <w:r w:rsidRPr="000E07C7">
        <w:rPr>
          <w:lang w:val="ga-IE"/>
        </w:rPr>
        <w:tab/>
        <w:t xml:space="preserve">Cumas a uasmhéadú – cuirtear ar chumas daoine atá faoi mhíchumas a lánchumas a bhaint amach. </w:t>
      </w:r>
    </w:p>
    <w:p w14:paraId="379155FB" w14:textId="77777777" w:rsidR="000E07C7" w:rsidRPr="000E07C7" w:rsidRDefault="000E07C7" w:rsidP="000E07C7">
      <w:pPr>
        <w:pStyle w:val="NormalAfterList"/>
        <w:rPr>
          <w:lang w:val="ga-IE"/>
        </w:rPr>
      </w:pPr>
      <w:r w:rsidRPr="000E07C7">
        <w:rPr>
          <w:lang w:val="ga-IE"/>
        </w:rPr>
        <w:t xml:space="preserve">Lean an ÚNM ag oibriú go déthaobhach le Ranna agus gníomhaireachtaí chun treorú a thabhairt ar chur i bhfeidhm, lena n-áirítear páirt a ghlacadh sna coistí ábhartha. Thug an tÚdarás Náisiúnta Míchumais faoi athbhreithniú meántéarmach ar dhul chun cinn leis an bplean a chur i bhfeidhm agus rinne siad measúnacht air. Chomh maith leis sin, bhí an ÚNM ina gcathaoirleach don Ghrúpa Páirtithe Leasmhara Míchumais agus thug siad tacaíocht rúnaíochta dóibh, a chuir a dtuairimí agus a moltaí san áireamh don ghrúpa náisiúnta stiúrtha i dtaca leis an bPlean. Ina theannta </w:t>
      </w:r>
      <w:r w:rsidRPr="000E07C7">
        <w:rPr>
          <w:lang w:val="ga-IE"/>
        </w:rPr>
        <w:lastRenderedPageBreak/>
        <w:t>sin, thug an ÚNM faoi obair chun treorú a dhéanamh ar conas a d’fhéadfadh an Plean freastal go héifeachtach ar riachtanais iad siúd a bhfuil uathachas orthu. Áiríodh leis seo comhairliúchán le páirtithe leasmhara, ceardlann, taighde agus moltaí a chuirfeadh faisnéis ar fáil do chlár sonrach gníomhaíochta a chríochnú in 2015.</w:t>
      </w:r>
    </w:p>
    <w:p w14:paraId="5D9C53D3" w14:textId="77777777" w:rsidR="000E07C7" w:rsidRPr="000E07C7" w:rsidRDefault="000E07C7" w:rsidP="000E07C7">
      <w:pPr>
        <w:rPr>
          <w:lang w:val="ga-IE"/>
        </w:rPr>
      </w:pPr>
      <w:r w:rsidRPr="000E07C7">
        <w:rPr>
          <w:lang w:val="ga-IE"/>
        </w:rPr>
        <w:t xml:space="preserve">Lean an ÚNM ag oibriú le Ranna chun straitéis chuimsitheach fostaíochta 10 mbliana a fhorbairt, ina gcuimsítear plean gníomhaíochta do na chéad trí bliana. Ó 2014 i leith, cuid lárnach den Phlean Náisiúnta Gnímh maidir le Poist, a fhoilsíonn an Roinn Post, Fiontar agus </w:t>
      </w:r>
      <w:proofErr w:type="spellStart"/>
      <w:r w:rsidRPr="000E07C7">
        <w:rPr>
          <w:lang w:val="ga-IE"/>
        </w:rPr>
        <w:t>Nuálaíochta</w:t>
      </w:r>
      <w:proofErr w:type="spellEnd"/>
      <w:r w:rsidRPr="000E07C7">
        <w:rPr>
          <w:lang w:val="ga-IE"/>
        </w:rPr>
        <w:t xml:space="preserve"> gach bliain, is ea an Straitéis seo a chur i dtoll a chéile. Anuas air sin, thug an ÚNM faoi thaighde chun treorú a dhéanamh ar an straitéis agus choimisiúnaigh siad taighde ar chórais athinmheachán gairme a chuirfidh faisnéis ar fáil do breis gníomhartha faoin straitéis. Bhí Comhdháil Bhliantúil an ÚNM tiomnaithe do théama na fostaíochta le foghlaim chomhroinnte chun straitéis éifeachtach a threorú.</w:t>
      </w:r>
    </w:p>
    <w:p w14:paraId="5148B718" w14:textId="77777777" w:rsidR="000E07C7" w:rsidRPr="000E07C7" w:rsidRDefault="000E07C7" w:rsidP="000E07C7">
      <w:pPr>
        <w:rPr>
          <w:lang w:val="ga-IE"/>
        </w:rPr>
      </w:pPr>
      <w:r w:rsidRPr="000E07C7">
        <w:rPr>
          <w:lang w:val="ga-IE"/>
        </w:rPr>
        <w:t xml:space="preserve">Lean an </w:t>
      </w:r>
      <w:proofErr w:type="spellStart"/>
      <w:r w:rsidRPr="000E07C7">
        <w:rPr>
          <w:lang w:val="ga-IE"/>
        </w:rPr>
        <w:t>moratóir</w:t>
      </w:r>
      <w:proofErr w:type="spellEnd"/>
      <w:r w:rsidRPr="000E07C7">
        <w:rPr>
          <w:lang w:val="ga-IE"/>
        </w:rPr>
        <w:t xml:space="preserve"> ar earcú don earnáil phoiblí ag oibriú agus ba bheag scáinte na deiseanna earcaíochta a bhí ann. Ar aon dul lena bhfeidhm reachtúil, thuairiscigh an ÚNM don Aire maidir le comhlíonadh ag ranna rialtais agus comhlachtaí poiblí a bhfuil dualgais orthu sprioc 3% a bhaint amach i dtaca le daoine atá faoi mhíchumas a fhostú.</w:t>
      </w:r>
      <w:r w:rsidR="00D00624">
        <w:rPr>
          <w:lang w:val="ga-IE"/>
        </w:rPr>
        <w:t xml:space="preserve"> </w:t>
      </w:r>
      <w:r w:rsidRPr="000E07C7">
        <w:rPr>
          <w:lang w:val="ga-IE"/>
        </w:rPr>
        <w:t>Cé gur baineadh amach an sprioc fhoriomlán 3% an bhliain roimhe sin, níor léirigh roinnt comhlachtaí aonair comhlíonadh go fóill.</w:t>
      </w:r>
    </w:p>
    <w:p w14:paraId="6DA4EDB5" w14:textId="77777777" w:rsidR="000E07C7" w:rsidRPr="000E07C7" w:rsidRDefault="000E07C7" w:rsidP="000E07C7">
      <w:pPr>
        <w:rPr>
          <w:lang w:val="ga-IE"/>
        </w:rPr>
      </w:pPr>
      <w:r w:rsidRPr="000E07C7">
        <w:rPr>
          <w:lang w:val="ga-IE"/>
        </w:rPr>
        <w:t>Cé nár dhaingnigh Rialtas na hÉireann Coinbhinsiún na Náisiún Aontaithe ar Chearta Daoine atá faoi Mhíchumas, tá go leor d’fhorálacha an Choinbhinsiúin á gcur i bhfeidhm tríd an Straitéis Náisiúnta Míchumais. Áirítear leis seo forbairt leanúnach a dhéanamh ar reachtaíocht um Chinnteoireacht Chuidithe. Táthar ag súil leis go n-achtófar seo an bhliain seo chugainn nuair a leanfaidh an ÚNM le treorú a thabhairt ar a cur i bhfeidhm.</w:t>
      </w:r>
    </w:p>
    <w:p w14:paraId="6B40185C" w14:textId="77777777" w:rsidR="000E07C7" w:rsidRPr="000E07C7" w:rsidRDefault="000E07C7" w:rsidP="000E07C7">
      <w:pPr>
        <w:rPr>
          <w:lang w:val="ga-IE"/>
        </w:rPr>
      </w:pPr>
      <w:r w:rsidRPr="000E07C7">
        <w:rPr>
          <w:lang w:val="ga-IE"/>
        </w:rPr>
        <w:t xml:space="preserve">Lean an Grúpa Náisiúnta um Fheidhmiú um Luach ar Airgead agus Athbhreithniú ar Bheartas Míchumais, ina ndéantar ionadaíocht don ÚNM, le cur i bhfeidhm an Chláir chomhaontaithe Ghníomhaíochta a chur chun cinn. Tá na beartais nua atá bainteach ar aon dul le hAirteagal 19 de Choinbhinsiún na </w:t>
      </w:r>
      <w:proofErr w:type="spellStart"/>
      <w:r w:rsidRPr="000E07C7">
        <w:rPr>
          <w:lang w:val="ga-IE"/>
        </w:rPr>
        <w:t>NA</w:t>
      </w:r>
      <w:proofErr w:type="spellEnd"/>
      <w:r w:rsidRPr="000E07C7">
        <w:rPr>
          <w:lang w:val="ga-IE"/>
        </w:rPr>
        <w:t>. Lean an ÚNM le hoibriú ar réimse tionscadal chun gnéithe sonracha an chláir a sholáthar, lena n-áirítear córas leithdháilte acmhainní níos éifeachtaí; creatlach chuí thorthaí; agus caighdeáin do roghanna um threoracha nua ar sheirbhísí traidisiúnta lae do dhaoine fásta. Leanfaidh an obair seo isteach in 2015.</w:t>
      </w:r>
    </w:p>
    <w:p w14:paraId="14F378EF" w14:textId="77777777" w:rsidR="000E07C7" w:rsidRPr="000E07C7" w:rsidRDefault="000E07C7" w:rsidP="000E07C7">
      <w:pPr>
        <w:rPr>
          <w:lang w:val="ga-IE"/>
        </w:rPr>
      </w:pPr>
      <w:r w:rsidRPr="000E07C7">
        <w:rPr>
          <w:lang w:val="ga-IE"/>
        </w:rPr>
        <w:lastRenderedPageBreak/>
        <w:t xml:space="preserve">Buncheart atá i vótáil atá ag gach saoránach Éireannach, agus bhí an ÚNM ag oibriú leis an Roinn Comhshaoil, Pobail agus Rialtais Áitiúil maidir leis na dúshláin shonracha dóibh siúd atá dall nó a bhfuil lagú amhairc orthu. In 2014, áiríodh leis seo clár píolótach de mhodhanna malartacha chun vótáil a dhéanamh d’fhonn roghanna a fhiosrú le haghaidh deiseanna vótála amach anseo maidir le reifrinn agus olltoghchán. </w:t>
      </w:r>
    </w:p>
    <w:p w14:paraId="5B7337DF" w14:textId="77777777" w:rsidR="000E07C7" w:rsidRPr="000E07C7" w:rsidRDefault="000E07C7" w:rsidP="000E07C7">
      <w:pPr>
        <w:rPr>
          <w:lang w:val="ga-IE"/>
        </w:rPr>
      </w:pPr>
      <w:r w:rsidRPr="000E07C7">
        <w:rPr>
          <w:lang w:val="ga-IE"/>
        </w:rPr>
        <w:t>I rith 2014, lean an ÚNM lena gcuid oibre tar éis iarratas a fháil ón Aire Dlí agus Cirt agus Comhionannais chun athbhreithniú a dhéanamh ar oibriú an Achta Míchumais maidir le faisnéis a úsáid maidir le tástáil ghéiniteach, a thabharfadh treorú ar cibé acu an dteastaíonn nó nach dteastaíonn Rialacháin. Tugadh isteach caighdeáin agus rialacháin d’ionaid mhíchumas cónaithe ó Shamhain 2013 ar aghaidh, agus chuir an tÚdarás um Fhaisnéis agus Cáilíocht Sláinte (an ÚFCS) tús le próiseas clárúcháin agus cigireachta seirbhísí ón dáta sin. Sa mhullach air sin, chuir an ÚNM tús le hobair chun eispéireas agus foghlaim a athbhreithniú ón bpróiseas rialachán agus caighdeán i seirbhísí míchumais tar éis iarratas a fháil ón Aire Cúraim Phríomhúil agus Shóisialta.</w:t>
      </w:r>
      <w:r w:rsidR="00D00624">
        <w:rPr>
          <w:lang w:val="ga-IE"/>
        </w:rPr>
        <w:t xml:space="preserve"> </w:t>
      </w:r>
      <w:r w:rsidRPr="000E07C7">
        <w:rPr>
          <w:lang w:val="ga-IE"/>
        </w:rPr>
        <w:t>Anuas air sin, tugadh cuireadh don ÚNM bheith rannpháirteach i dTascfhórsa FSS um Shábháilteacht Daoine Leochaileacha chun stiúradh agus maoirsiú a dhéanamh ar chlár gníomhaíochta a chur i bhfeidhm le seirbhísí sábháilte agus ardchaighdeáin a chinntiú do dhaoine atá faoi mhíchumas.</w:t>
      </w:r>
    </w:p>
    <w:p w14:paraId="6E33580D" w14:textId="77777777" w:rsidR="000E07C7" w:rsidRPr="000E07C7" w:rsidRDefault="000E07C7" w:rsidP="000E07C7">
      <w:pPr>
        <w:rPr>
          <w:lang w:val="ga-IE"/>
        </w:rPr>
      </w:pPr>
      <w:r w:rsidRPr="000E07C7">
        <w:rPr>
          <w:lang w:val="ga-IE"/>
        </w:rPr>
        <w:t xml:space="preserve">Tá feidhmeanna reachtúla ag an Lárionad </w:t>
      </w:r>
      <w:proofErr w:type="spellStart"/>
      <w:r w:rsidRPr="000E07C7">
        <w:rPr>
          <w:lang w:val="ga-IE"/>
        </w:rPr>
        <w:t>Sármhaitheasa</w:t>
      </w:r>
      <w:proofErr w:type="spellEnd"/>
      <w:r w:rsidRPr="000E07C7">
        <w:rPr>
          <w:lang w:val="ga-IE"/>
        </w:rPr>
        <w:t xml:space="preserve"> i nDearadh Uirbeach de chuid an ÚNM chun dearadh na timpeallachta tógtha, seirbhísí, táirgí agus TFC a chur chun cinn ionas gur féidir le gach duine rochtain a fháil orthu, iad a úsáid agus iad a thuiscint, gan aird ar a n-aois, méid, cumas nó míchumas. Bhí an Lárionad ag oibriú le páirtithe leasmhara sna hearnálacha cuí, lena n-áirítear comhlachtaí gairmiúla, comhlachtaí caighdeán, comhlachtaí oideachais agus an tionscal i gcoitinne. </w:t>
      </w:r>
    </w:p>
    <w:p w14:paraId="42C5D618" w14:textId="77777777" w:rsidR="000E07C7" w:rsidRPr="000E07C7" w:rsidRDefault="000E07C7" w:rsidP="000E07C7">
      <w:pPr>
        <w:rPr>
          <w:lang w:val="ga-IE"/>
        </w:rPr>
      </w:pPr>
      <w:r w:rsidRPr="000E07C7">
        <w:rPr>
          <w:lang w:val="ga-IE"/>
        </w:rPr>
        <w:t xml:space="preserve">Trína gcuid oibre le comhlachtaí caighdeán Eorpach agus idirnáisiúnta, chinntigh an Lárionad gur díríodh ar dhearadh uirbeach i gcaighdeáin nua a chuimsíonn soláthar in TFC agus toradh obair ceithre bliana ar threoirlínte nua a chuireann dearadh uilíoch i bhfeidhm i measc na gcaighdeán nua a fhorbraítear ar leibhéal Eorpach agus idirnáisiúnta. Áiríodh le hobair nua in 2014 ról cathaoirligh ar choiste i dtaca le caighdeán a chumhdaigh dearadh, forbairt agus próiseas táirgthe earraí déantúsaíochta. Tacaíonn díriú na hoibre go léir seo le fís an ÚNM de thodhchaí ina mbeidh seirbhísí, táirgí agus timpeallachtaí tógtha níos fearr againn. </w:t>
      </w:r>
    </w:p>
    <w:p w14:paraId="3AB33BCC" w14:textId="77777777" w:rsidR="000E07C7" w:rsidRPr="000E07C7" w:rsidRDefault="000E07C7" w:rsidP="000E07C7">
      <w:pPr>
        <w:rPr>
          <w:lang w:val="ga-IE"/>
        </w:rPr>
      </w:pPr>
      <w:r w:rsidRPr="000E07C7">
        <w:rPr>
          <w:lang w:val="ga-IE"/>
        </w:rPr>
        <w:lastRenderedPageBreak/>
        <w:t>Lean obair ar siúl ar thaighde agus forbairt treoirlínte do dhearadh uilíoch áitreabh a sheolfar go luath in 2015. Tacóidh iad seo leis an obair ar chur i bhfeidhm na straitéise náisiúnta tithíocht mhíchumais.</w:t>
      </w:r>
    </w:p>
    <w:p w14:paraId="0909DC3A" w14:textId="77777777" w:rsidR="000E07C7" w:rsidRPr="000E07C7" w:rsidRDefault="000E07C7" w:rsidP="000E07C7">
      <w:pPr>
        <w:rPr>
          <w:lang w:val="ga-IE"/>
        </w:rPr>
      </w:pPr>
      <w:r w:rsidRPr="000E07C7">
        <w:rPr>
          <w:lang w:val="ga-IE"/>
        </w:rPr>
        <w:t xml:space="preserve">Agus aird ar a bhfeidhmeanna reachtúla chun corprú an dearaidh uilíoch in oideachas agus in oiliúint do na gairmeacha a chur chun cinn, lean an ÚNM le cur le taighde agus treoir chun eolas a sholáthar do na curaclaim </w:t>
      </w:r>
      <w:proofErr w:type="spellStart"/>
      <w:r w:rsidRPr="000E07C7">
        <w:rPr>
          <w:lang w:val="ga-IE"/>
        </w:rPr>
        <w:t>thríú</w:t>
      </w:r>
      <w:proofErr w:type="spellEnd"/>
      <w:r w:rsidRPr="000E07C7">
        <w:rPr>
          <w:lang w:val="ga-IE"/>
        </w:rPr>
        <w:t xml:space="preserve"> leibhéal a sholáthrófar sna blianta amach romhainn. Anuas air sin, chuir siad tús le hobair ar churaclam dearaidh uilíoch a fhorbairt don dara leibhéal ina raibh baint ag </w:t>
      </w:r>
      <w:proofErr w:type="spellStart"/>
      <w:r w:rsidRPr="000E07C7">
        <w:rPr>
          <w:lang w:val="ga-IE"/>
        </w:rPr>
        <w:t>gearrchúrsa</w:t>
      </w:r>
      <w:proofErr w:type="spellEnd"/>
      <w:r w:rsidRPr="000E07C7">
        <w:rPr>
          <w:lang w:val="ga-IE"/>
        </w:rPr>
        <w:t xml:space="preserve"> dóibh siúd a d’fhéadfadh bheith ag machnamh ar thabhairt faoi dhearadh ar an tríú leibhéal.</w:t>
      </w:r>
    </w:p>
    <w:p w14:paraId="5A524BC0" w14:textId="77777777" w:rsidR="000E07C7" w:rsidRPr="000E07C7" w:rsidRDefault="000E07C7" w:rsidP="000E07C7">
      <w:pPr>
        <w:rPr>
          <w:lang w:val="ga-IE"/>
        </w:rPr>
      </w:pPr>
      <w:r w:rsidRPr="000E07C7">
        <w:rPr>
          <w:lang w:val="ga-IE"/>
        </w:rPr>
        <w:t xml:space="preserve">Ba léir go raibh feasacht mhéadaitheach ar dhearadh uilíoch tríd an gcaighdeán iontrálacha chuig </w:t>
      </w:r>
      <w:proofErr w:type="spellStart"/>
      <w:r w:rsidRPr="000E07C7">
        <w:rPr>
          <w:lang w:val="ga-IE"/>
        </w:rPr>
        <w:t>Olldúshlán</w:t>
      </w:r>
      <w:proofErr w:type="spellEnd"/>
      <w:r w:rsidRPr="000E07C7">
        <w:rPr>
          <w:lang w:val="ga-IE"/>
        </w:rPr>
        <w:t xml:space="preserve"> Dearaidh Uilíoch an ÚNM agus an méid spéise atá ann seo. Díríodh seo ar mhic léinn – dearthóirí na todhchaí agus lean an buaiteoir ar aghaidh lena ndearadh a chur i láthair i bhfóraim eile. Cuirfear le rath an chláir bhliantúil seo i mblianta amach anseo. Ina theannta sin, cuireadh feabhas ar fheasacht, chomh maith, trí obair leantach leis an earnáil turasóireachta agus sraith straitéisí a chur chun cinn i limistéir sheirbhíse eile agus trí idirchaidreamh le </w:t>
      </w:r>
      <w:proofErr w:type="spellStart"/>
      <w:r w:rsidRPr="000E07C7">
        <w:rPr>
          <w:lang w:val="ga-IE"/>
        </w:rPr>
        <w:t>déantóirí</w:t>
      </w:r>
      <w:proofErr w:type="spellEnd"/>
      <w:r w:rsidRPr="000E07C7">
        <w:rPr>
          <w:lang w:val="ga-IE"/>
        </w:rPr>
        <w:t xml:space="preserve"> beartais agus leis an tionscal i gcoitinne de réir mar a </w:t>
      </w:r>
      <w:proofErr w:type="spellStart"/>
      <w:r w:rsidRPr="000E07C7">
        <w:rPr>
          <w:lang w:val="ga-IE"/>
        </w:rPr>
        <w:t>fhairsingítear</w:t>
      </w:r>
      <w:proofErr w:type="spellEnd"/>
      <w:r w:rsidRPr="000E07C7">
        <w:rPr>
          <w:lang w:val="ga-IE"/>
        </w:rPr>
        <w:t xml:space="preserve"> an líonra de sheaimpíní dearaidh.</w:t>
      </w:r>
    </w:p>
    <w:p w14:paraId="2230E4CF" w14:textId="77777777" w:rsidR="000E07C7" w:rsidRPr="000E07C7" w:rsidRDefault="000E07C7" w:rsidP="000E07C7">
      <w:pPr>
        <w:rPr>
          <w:lang w:val="ga-IE"/>
        </w:rPr>
      </w:pPr>
      <w:r w:rsidRPr="000E07C7">
        <w:rPr>
          <w:lang w:val="ga-IE"/>
        </w:rPr>
        <w:t xml:space="preserve">Mar gheall go lorgaíonn an earnáil phoiblí le rochtain saoránach a fheabhsú ar sheirbhísí agus fhorbairtí poiblí ar leibhéal an AE ar Threoir, bainfidh ríthábhacht le hobair chun inrochtaineacht agus inúsáidteacht láithreáin ghréasáin earnála poiblí. Lean an ÚNM ag tabhairt faoi thionscadal comhpháirtíochta leis an Roinn Cumarsáide, Fuinnimh agus Acmhainní Nádúrtha agus le fiosrú a dhéanamh ar inrochtaineacht láithreáin ghréasáin na hearnála poiblí in Éirinn agus i dtíortha Eorpacha eile chun foghlaim a sholáthar do sheirbhís phoiblí na hÉireann. Foilsíodh an tuarascáil in 2014. </w:t>
      </w:r>
    </w:p>
    <w:p w14:paraId="48C6ADCB" w14:textId="77777777" w:rsidR="000E07C7" w:rsidRPr="000E07C7" w:rsidRDefault="000E07C7" w:rsidP="000E07C7">
      <w:pPr>
        <w:rPr>
          <w:lang w:val="ga-IE"/>
        </w:rPr>
      </w:pPr>
      <w:r w:rsidRPr="000E07C7">
        <w:rPr>
          <w:lang w:val="ga-IE"/>
        </w:rPr>
        <w:t xml:space="preserve">Sonraítear sa tuarascáil na tionscadail thuas agus go leor eile i mbliain inar ceapadh Údarás agus Cathaoirleach nua leis an ÚNM ar feadh téarma 4 bliana. Leanfaidh an ÚNM ag cur leis an gclár oibre seo isteach in 2015. </w:t>
      </w:r>
    </w:p>
    <w:p w14:paraId="0906215C" w14:textId="77777777" w:rsidR="000E07C7" w:rsidRPr="000E07C7" w:rsidRDefault="000E07C7" w:rsidP="000E07C7">
      <w:pPr>
        <w:pStyle w:val="Heading1"/>
        <w:rPr>
          <w:lang w:val="ga-IE"/>
        </w:rPr>
      </w:pPr>
      <w:bookmarkStart w:id="92" w:name="_Toc429053919"/>
      <w:bookmarkStart w:id="93" w:name="_Toc429054129"/>
      <w:bookmarkStart w:id="94" w:name="_Toc431218806"/>
      <w:r w:rsidRPr="000E07C7">
        <w:rPr>
          <w:lang w:val="ga-IE"/>
        </w:rPr>
        <w:lastRenderedPageBreak/>
        <w:t>Tosaíocht straitéiseach 1:</w:t>
      </w:r>
      <w:r w:rsidRPr="000E07C7">
        <w:rPr>
          <w:lang w:val="ga-IE"/>
        </w:rPr>
        <w:br/>
        <w:t>An Straitéis Náisiúnta Míchumais</w:t>
      </w:r>
      <w:bookmarkEnd w:id="92"/>
      <w:bookmarkEnd w:id="93"/>
      <w:bookmarkEnd w:id="94"/>
    </w:p>
    <w:p w14:paraId="4B3A8D61" w14:textId="77777777" w:rsidR="000E07C7" w:rsidRPr="000E07C7" w:rsidRDefault="000E07C7" w:rsidP="000E07C7">
      <w:pPr>
        <w:rPr>
          <w:b/>
          <w:lang w:val="ga-IE"/>
        </w:rPr>
      </w:pPr>
      <w:r w:rsidRPr="000E07C7">
        <w:rPr>
          <w:b/>
          <w:lang w:val="ga-IE"/>
        </w:rPr>
        <w:t>“Tacú le soláthar éifeachtach Phlean um Fheidhmiú na Straitéise Náisiúnta Míchumais trínár dtaighde, comhairle agus treoir do Ranna Rialtais agus comhlachtaí poiblí agus chun monatóireacht a dhéanamh ar thorthaí do dhaoine atá faoi mhíchumas.”</w:t>
      </w:r>
    </w:p>
    <w:p w14:paraId="204E9C9B" w14:textId="77777777" w:rsidR="000E07C7" w:rsidRPr="000E07C7" w:rsidRDefault="000E07C7" w:rsidP="000E07C7">
      <w:pPr>
        <w:rPr>
          <w:lang w:val="ga-IE"/>
        </w:rPr>
      </w:pPr>
      <w:r w:rsidRPr="000E07C7">
        <w:rPr>
          <w:lang w:val="ga-IE"/>
        </w:rPr>
        <w:t>Lean an tÚdarás Náisiúnta Míchumais le comhairle a chur ar Ranna Rialtais ar bheartas agus cleachtas míchumais, agus go háirithe maidir leis na gealltanais i bPlean um Fheidhmiú na Straitéise Náisiúnta Míchumais 2013-2015 a chur i bhfeidhm. Taispeántar roinnt buaicphointí den obair sin anseo.</w:t>
      </w:r>
    </w:p>
    <w:p w14:paraId="02DA9C09" w14:textId="77777777" w:rsidR="000E07C7" w:rsidRPr="000E07C7" w:rsidRDefault="000E07C7" w:rsidP="000E07C7">
      <w:pPr>
        <w:pStyle w:val="Heading2"/>
        <w:rPr>
          <w:lang w:val="ga-IE"/>
        </w:rPr>
      </w:pPr>
      <w:r w:rsidRPr="000E07C7">
        <w:rPr>
          <w:lang w:val="ga-IE"/>
        </w:rPr>
        <w:t>Athbhreithniú Meántéarmach ar Phlean um Fheidhmiú na Straitéise Náisiúnta Míchumais</w:t>
      </w:r>
    </w:p>
    <w:p w14:paraId="17A0C1D0" w14:textId="77777777" w:rsidR="000E07C7" w:rsidRPr="000E07C7" w:rsidRDefault="000E07C7" w:rsidP="000E07C7">
      <w:pPr>
        <w:rPr>
          <w:lang w:val="ga-IE"/>
        </w:rPr>
      </w:pPr>
      <w:r w:rsidRPr="000E07C7">
        <w:rPr>
          <w:lang w:val="ga-IE"/>
        </w:rPr>
        <w:t xml:space="preserve">Ar iarraidh na Roinne Dlí agus Cirt agus Comhionannais, chomhordaigh an ÚNM tuarascáil a chur i dtoll a chéile inar tugadh achoimriú ar dhul chun cinn a rinne Ranna agus Gníomhaireachtaí maidir lena ngealltanais. </w:t>
      </w:r>
    </w:p>
    <w:p w14:paraId="0D38196A" w14:textId="77777777" w:rsidR="000E07C7" w:rsidRPr="000E07C7" w:rsidRDefault="000E07C7" w:rsidP="000E07C7">
      <w:pPr>
        <w:rPr>
          <w:lang w:val="ga-IE"/>
        </w:rPr>
      </w:pPr>
      <w:r w:rsidRPr="000E07C7">
        <w:rPr>
          <w:lang w:val="ga-IE"/>
        </w:rPr>
        <w:t xml:space="preserve">Go leithleach, d’ullmhaigh an ÚNM a bpáipéar comhairle neamhspleáiche do ghrúpa um Fheidhmiú na Straitéise Náisiúnta Míchumais, a leag an bhéim ar </w:t>
      </w:r>
      <w:proofErr w:type="spellStart"/>
      <w:r w:rsidRPr="000E07C7">
        <w:rPr>
          <w:lang w:val="ga-IE"/>
        </w:rPr>
        <w:t>phríomhláidreachtaí</w:t>
      </w:r>
      <w:proofErr w:type="spellEnd"/>
      <w:r w:rsidRPr="000E07C7">
        <w:rPr>
          <w:lang w:val="ga-IE"/>
        </w:rPr>
        <w:t xml:space="preserve"> agus </w:t>
      </w:r>
      <w:proofErr w:type="spellStart"/>
      <w:r w:rsidRPr="000E07C7">
        <w:rPr>
          <w:lang w:val="ga-IE"/>
        </w:rPr>
        <w:t>príomhlaigeachtaí</w:t>
      </w:r>
      <w:proofErr w:type="spellEnd"/>
      <w:r w:rsidRPr="000E07C7">
        <w:rPr>
          <w:lang w:val="ga-IE"/>
        </w:rPr>
        <w:t xml:space="preserve"> maidir le tabhairt faoi ghealltanais ag an bpointe meántéarmach. </w:t>
      </w:r>
    </w:p>
    <w:p w14:paraId="3C33C19D" w14:textId="77777777" w:rsidR="000E07C7" w:rsidRPr="000E07C7" w:rsidRDefault="000E07C7" w:rsidP="000E07C7">
      <w:pPr>
        <w:pStyle w:val="Heading3"/>
        <w:rPr>
          <w:lang w:val="ga-IE"/>
        </w:rPr>
      </w:pPr>
      <w:r w:rsidRPr="000E07C7">
        <w:rPr>
          <w:lang w:val="ga-IE"/>
        </w:rPr>
        <w:t xml:space="preserve">Suirbhé chun monatóireacht a dhéanamh ar thionchar na Straitéise Náisiúnta Míchumais </w:t>
      </w:r>
    </w:p>
    <w:p w14:paraId="2897702A" w14:textId="77777777" w:rsidR="000E07C7" w:rsidRPr="000E07C7" w:rsidRDefault="000E07C7" w:rsidP="000E07C7">
      <w:pPr>
        <w:rPr>
          <w:lang w:val="ga-IE"/>
        </w:rPr>
      </w:pPr>
      <w:r w:rsidRPr="000E07C7">
        <w:rPr>
          <w:lang w:val="ga-IE"/>
        </w:rPr>
        <w:t>D’fhoilsigh an ÚNM torthaí suirbhé faoinar tugadh in 2013 chun rannpháirtíocht daoine atá faoi mhíchumas a rianú i bpríomhlimistéir na Straitéise Náisiúnta Míchumais, ar nós rochtain ar iompar, éascaíocht úsáid na timpeallachta tógtha agus rochtain ar theicneolaíocht. Chaith tuarascáil an tsuirbhé súil ar athruithe a tharla ó rinneadh suirbhéanna roimhe sin in 2009 agus 2011.</w:t>
      </w:r>
    </w:p>
    <w:p w14:paraId="54B6C3B6" w14:textId="77777777" w:rsidR="000E07C7" w:rsidRPr="000E07C7" w:rsidRDefault="000E07C7" w:rsidP="000E07C7">
      <w:pPr>
        <w:pStyle w:val="Heading3"/>
        <w:rPr>
          <w:lang w:val="ga-IE"/>
        </w:rPr>
      </w:pPr>
      <w:r w:rsidRPr="000E07C7">
        <w:rPr>
          <w:lang w:val="ga-IE"/>
        </w:rPr>
        <w:t>Grúpa Páirtithe Leasmhara Míchumais</w:t>
      </w:r>
    </w:p>
    <w:p w14:paraId="027F0FC3" w14:textId="77777777" w:rsidR="000E07C7" w:rsidRPr="000E07C7" w:rsidRDefault="000E07C7" w:rsidP="000E07C7">
      <w:pPr>
        <w:rPr>
          <w:lang w:val="ga-IE"/>
        </w:rPr>
      </w:pPr>
      <w:r w:rsidRPr="000E07C7">
        <w:rPr>
          <w:lang w:val="ga-IE"/>
        </w:rPr>
        <w:t xml:space="preserve">Tá Stiúrthóir an ÚNM mar chathaoirleach ar an nGrúpa Páirtithe Leasmhara Míchumais, atá ceaptha ag an Aire Stáit, Kathleen Lynch, T.D., chun páirt a ghlacadh i gcomhairle a sholáthar agus i monatóireacht a </w:t>
      </w:r>
      <w:r w:rsidRPr="000E07C7">
        <w:rPr>
          <w:lang w:val="ga-IE"/>
        </w:rPr>
        <w:lastRenderedPageBreak/>
        <w:t>dhéanamh ar an Straitéis Náisiúnta Míchumais, agus soláthraíonn an ÚNM an rúnaíocht don ghrúpa chomh maith. Is éard atá sa ghrúpa Páirtithe Leasmhara Míchumais ná na príomh-</w:t>
      </w:r>
      <w:proofErr w:type="spellStart"/>
      <w:r w:rsidRPr="000E07C7">
        <w:rPr>
          <w:lang w:val="ga-IE"/>
        </w:rPr>
        <w:t>bhrateagraíochtaí</w:t>
      </w:r>
      <w:proofErr w:type="spellEnd"/>
      <w:r w:rsidRPr="000E07C7">
        <w:rPr>
          <w:lang w:val="ga-IE"/>
        </w:rPr>
        <w:t xml:space="preserve"> míchumais, mar aon le líon daoine aonair a bhfuil fíor-thaithí acu bheith faoi mhíchumas. Bhí sé </w:t>
      </w:r>
      <w:proofErr w:type="spellStart"/>
      <w:r w:rsidRPr="000E07C7">
        <w:rPr>
          <w:lang w:val="ga-IE"/>
        </w:rPr>
        <w:t>ghnáthchruinniú</w:t>
      </w:r>
      <w:proofErr w:type="spellEnd"/>
      <w:r w:rsidRPr="000E07C7">
        <w:rPr>
          <w:lang w:val="ga-IE"/>
        </w:rPr>
        <w:t xml:space="preserve"> ar siúl ag an nGrúpa in 2014 agus ghlac siad páirt in dhá chruinniú Ghrúpa um Fheidhmiú na Straitéise Náisiúnta Míchumais.</w:t>
      </w:r>
    </w:p>
    <w:p w14:paraId="5F8C5BDE" w14:textId="77777777" w:rsidR="000E07C7" w:rsidRPr="000E07C7" w:rsidRDefault="000E07C7" w:rsidP="000E07C7">
      <w:pPr>
        <w:pStyle w:val="Heading2"/>
        <w:rPr>
          <w:lang w:val="ga-IE"/>
        </w:rPr>
      </w:pPr>
      <w:r w:rsidRPr="000E07C7">
        <w:rPr>
          <w:lang w:val="ga-IE"/>
        </w:rPr>
        <w:t>Straitéis chuimsitheach fostaíochta do dhaoine atá faoi mhíchumas</w:t>
      </w:r>
    </w:p>
    <w:p w14:paraId="26AD3E0D" w14:textId="77777777" w:rsidR="000E07C7" w:rsidRPr="000E07C7" w:rsidRDefault="000E07C7" w:rsidP="000E07C7">
      <w:pPr>
        <w:rPr>
          <w:lang w:val="ga-IE"/>
        </w:rPr>
      </w:pPr>
      <w:r w:rsidRPr="000E07C7">
        <w:rPr>
          <w:lang w:val="ga-IE"/>
        </w:rPr>
        <w:t xml:space="preserve">D’iarr an tAire Kathleen Lynch, T.D., ar an ÚNM chun ullmhú straitéis chuimsitheach fostaíochta deich mbliana a chomhordú do dhaoine atá faoi mhíchumas, agus lean siad le </w:t>
      </w:r>
      <w:proofErr w:type="spellStart"/>
      <w:r w:rsidRPr="000E07C7">
        <w:rPr>
          <w:lang w:val="ga-IE"/>
        </w:rPr>
        <w:t>hidirchaidreamh</w:t>
      </w:r>
      <w:proofErr w:type="spellEnd"/>
      <w:r w:rsidRPr="000E07C7">
        <w:rPr>
          <w:lang w:val="ga-IE"/>
        </w:rPr>
        <w:t xml:space="preserve"> a dhéanamh leis na Ranna Rialtais ábhartha agus le comhlachtaí eile ina leith seo. Faoi dheireadh 2014, rinneadh dul chun cinn substainteach maidir leis an téacs a fhorbairt agus comhaontú a dhéanamh ar chlár gníomhaíochta inar thiomnaigh Ranna agus comhlachtaí stáit do ghníomhartha agus </w:t>
      </w:r>
      <w:proofErr w:type="spellStart"/>
      <w:r w:rsidRPr="000E07C7">
        <w:rPr>
          <w:lang w:val="ga-IE"/>
        </w:rPr>
        <w:t>amfhrámaí</w:t>
      </w:r>
      <w:proofErr w:type="spellEnd"/>
      <w:r w:rsidRPr="000E07C7">
        <w:rPr>
          <w:lang w:val="ga-IE"/>
        </w:rPr>
        <w:t xml:space="preserve"> sonracha. Chomh maith leis sin, d’ullmhaigh an tÚdarás Náisiúnta Míchumais páipéar teicniúil chun an straitéis a threorú maidir le sprioc fhoriomlán fostaíochta agus chuir siad comhairle ar an Aire maidir le gníomhartha sonracha chun tacú le baint amach na spriocanna straitéiseacha. </w:t>
      </w:r>
    </w:p>
    <w:p w14:paraId="5F324081" w14:textId="77777777" w:rsidR="000E07C7" w:rsidRPr="000E07C7" w:rsidRDefault="000E07C7" w:rsidP="000E07C7">
      <w:pPr>
        <w:pStyle w:val="Heading3"/>
        <w:rPr>
          <w:lang w:val="ga-IE"/>
        </w:rPr>
      </w:pPr>
      <w:r w:rsidRPr="000E07C7">
        <w:rPr>
          <w:lang w:val="ga-IE"/>
        </w:rPr>
        <w:t>Taighde ar athinmheachán gairme</w:t>
      </w:r>
    </w:p>
    <w:p w14:paraId="25E16F27" w14:textId="77777777" w:rsidR="000E07C7" w:rsidRPr="000E07C7" w:rsidRDefault="000E07C7" w:rsidP="000E07C7">
      <w:pPr>
        <w:rPr>
          <w:lang w:val="ga-IE"/>
        </w:rPr>
      </w:pPr>
      <w:r w:rsidRPr="000E07C7">
        <w:rPr>
          <w:lang w:val="ga-IE"/>
        </w:rPr>
        <w:t>Choimisiúnaigh an ÚNM taighde a bhí le críochnú in 2015, ar an bhfoghlaim ó chórais d’athinmheachán gairme i ndlínsí eile, mar ionchur isteach sa straitéis fostaíochta.</w:t>
      </w:r>
      <w:r w:rsidR="00D00624">
        <w:rPr>
          <w:lang w:val="ga-IE"/>
        </w:rPr>
        <w:t xml:space="preserve"> </w:t>
      </w:r>
    </w:p>
    <w:p w14:paraId="54720049" w14:textId="77777777" w:rsidR="000E07C7" w:rsidRPr="000E07C7" w:rsidRDefault="000E07C7" w:rsidP="000E07C7">
      <w:pPr>
        <w:pStyle w:val="Heading3"/>
        <w:rPr>
          <w:lang w:val="ga-IE"/>
        </w:rPr>
      </w:pPr>
      <w:r w:rsidRPr="000E07C7">
        <w:rPr>
          <w:lang w:val="ga-IE"/>
        </w:rPr>
        <w:t>Treoir maidir le roghanna iarscoile</w:t>
      </w:r>
    </w:p>
    <w:p w14:paraId="3481D78C" w14:textId="77777777" w:rsidR="000E07C7" w:rsidRPr="000E07C7" w:rsidRDefault="000E07C7" w:rsidP="000E07C7">
      <w:pPr>
        <w:rPr>
          <w:lang w:val="ga-IE"/>
        </w:rPr>
      </w:pPr>
      <w:r w:rsidRPr="000E07C7">
        <w:rPr>
          <w:lang w:val="ga-IE"/>
        </w:rPr>
        <w:t xml:space="preserve">Rinne an ÚNM </w:t>
      </w:r>
      <w:proofErr w:type="spellStart"/>
      <w:r w:rsidRPr="000E07C7">
        <w:rPr>
          <w:lang w:val="ga-IE"/>
        </w:rPr>
        <w:t>comhfhoilsiú</w:t>
      </w:r>
      <w:proofErr w:type="spellEnd"/>
      <w:r w:rsidRPr="000E07C7">
        <w:rPr>
          <w:lang w:val="ga-IE"/>
        </w:rPr>
        <w:t xml:space="preserve"> agus </w:t>
      </w:r>
      <w:proofErr w:type="spellStart"/>
      <w:r w:rsidRPr="000E07C7">
        <w:rPr>
          <w:lang w:val="ga-IE"/>
        </w:rPr>
        <w:t>comhchistiú</w:t>
      </w:r>
      <w:proofErr w:type="spellEnd"/>
      <w:r w:rsidRPr="000E07C7">
        <w:rPr>
          <w:lang w:val="ga-IE"/>
        </w:rPr>
        <w:t xml:space="preserve"> ar threoir a cuireadh i gcló a d’ullmhaigh an Chomhairle Náisiúnta um Oideachas Speisialta ar roghanna iarscoile do dhaoine óga atá faoi mhíchumas nó a bhfuil riachtanais speisialta oideachais acu. </w:t>
      </w:r>
    </w:p>
    <w:p w14:paraId="7436E654" w14:textId="77777777" w:rsidR="000E07C7" w:rsidRPr="000E07C7" w:rsidRDefault="000E07C7" w:rsidP="000E07C7">
      <w:pPr>
        <w:pStyle w:val="Heading2"/>
        <w:rPr>
          <w:lang w:val="ga-IE"/>
        </w:rPr>
      </w:pPr>
      <w:r w:rsidRPr="000E07C7">
        <w:rPr>
          <w:lang w:val="ga-IE"/>
        </w:rPr>
        <w:t>Comhairle don Roinn Sláinte agus do FSS</w:t>
      </w:r>
    </w:p>
    <w:p w14:paraId="792F27DD" w14:textId="77777777" w:rsidR="000E07C7" w:rsidRPr="000E07C7" w:rsidRDefault="000E07C7" w:rsidP="000E07C7">
      <w:pPr>
        <w:pStyle w:val="Heading3"/>
        <w:rPr>
          <w:lang w:val="ga-IE"/>
        </w:rPr>
      </w:pPr>
      <w:r w:rsidRPr="000E07C7">
        <w:rPr>
          <w:lang w:val="ga-IE"/>
        </w:rPr>
        <w:t>Measúnacht ar fhoghlaim ó chigireachtaí an ÚFCS</w:t>
      </w:r>
    </w:p>
    <w:p w14:paraId="21193329" w14:textId="77777777" w:rsidR="000E07C7" w:rsidRPr="000E07C7" w:rsidRDefault="000E07C7" w:rsidP="000E07C7">
      <w:pPr>
        <w:rPr>
          <w:lang w:val="ga-IE"/>
        </w:rPr>
      </w:pPr>
      <w:r w:rsidRPr="000E07C7">
        <w:rPr>
          <w:lang w:val="ga-IE"/>
        </w:rPr>
        <w:t xml:space="preserve">Chuir an tÚdarás um Fhaisnéis agus Cáilíocht Sláinte tús le clárú agus le cigireacht a dhéanamh ar ionaid chónaithe do dhaoine atá faoi mhíchumas i Samhain 2013. D’iarr an tAire Stáit Cúraim Phríomhúil agus Shóisialta, Kathleen Lynch, T.D., ar an Údarás Náisiúnta Míchumais chun tabhairt faoi athbhreithniú ar an bhfoghlaim ón bpróiseas seo, bliain amháin chun cinn. Thit obair amach leis an measúnacht a </w:t>
      </w:r>
      <w:proofErr w:type="spellStart"/>
      <w:r w:rsidRPr="000E07C7">
        <w:rPr>
          <w:lang w:val="ga-IE"/>
        </w:rPr>
        <w:t>scóipeáil</w:t>
      </w:r>
      <w:proofErr w:type="spellEnd"/>
      <w:r w:rsidRPr="000E07C7">
        <w:rPr>
          <w:lang w:val="ga-IE"/>
        </w:rPr>
        <w:t xml:space="preserve"> in 2014, agus tá an mheasúnacht le críochnú in 2015. </w:t>
      </w:r>
    </w:p>
    <w:p w14:paraId="5ECC78B2" w14:textId="77777777" w:rsidR="000E07C7" w:rsidRPr="000E07C7" w:rsidRDefault="000E07C7" w:rsidP="000E07C7">
      <w:pPr>
        <w:pStyle w:val="Heading3"/>
        <w:rPr>
          <w:lang w:val="ga-IE"/>
        </w:rPr>
      </w:pPr>
      <w:r w:rsidRPr="000E07C7">
        <w:rPr>
          <w:lang w:val="ga-IE"/>
        </w:rPr>
        <w:lastRenderedPageBreak/>
        <w:t>Treoirlínte Náisiúnta ar Sheirbhísí Inrochtana Sláinte agus Cúraim Shóisialta</w:t>
      </w:r>
    </w:p>
    <w:p w14:paraId="653F2578" w14:textId="77777777" w:rsidR="000E07C7" w:rsidRPr="000E07C7" w:rsidRDefault="000E07C7" w:rsidP="000E07C7">
      <w:pPr>
        <w:rPr>
          <w:lang w:val="ga-IE"/>
        </w:rPr>
      </w:pPr>
      <w:r w:rsidRPr="000E07C7">
        <w:rPr>
          <w:lang w:val="ga-IE"/>
        </w:rPr>
        <w:t xml:space="preserve">D’fhorbair FSS na treoirlínte i gcomhpháirtíocht leis an Údarás Náisiúnta Míchumais i ndiaidh próiseas cuimsitheach comhairliúcháin le daoine atá faoi mhíchumas agus leis an bhfoireann. Tugtar treoir phraiticiúil sna treoirlínte seo ar conas pleanáil a dhéanamh agus seirbhísí sláinte agus cúraim shóisialta a sholáthar atá inrochtana d’othair nó d’úsáideoirí seirbhíse atá faoi mhíchumas. Is iad na </w:t>
      </w:r>
      <w:proofErr w:type="spellStart"/>
      <w:r w:rsidRPr="000E07C7">
        <w:rPr>
          <w:lang w:val="ga-IE"/>
        </w:rPr>
        <w:t>príomhtheachtaireachtaí</w:t>
      </w:r>
      <w:proofErr w:type="spellEnd"/>
      <w:r w:rsidRPr="000E07C7">
        <w:rPr>
          <w:lang w:val="ga-IE"/>
        </w:rPr>
        <w:t xml:space="preserve"> ná ‘Iarr, Éist, Pleanáil agus Déan’. </w:t>
      </w:r>
    </w:p>
    <w:p w14:paraId="428D6082" w14:textId="77777777" w:rsidR="000E07C7" w:rsidRPr="000E07C7" w:rsidRDefault="000E07C7" w:rsidP="000E07C7">
      <w:pPr>
        <w:rPr>
          <w:lang w:val="ga-IE"/>
        </w:rPr>
      </w:pPr>
      <w:r w:rsidRPr="000E07C7">
        <w:rPr>
          <w:lang w:val="ga-IE"/>
        </w:rPr>
        <w:t>Cabhróidh na treoirlínte seo leo siúd atá ag oibriú i seirbhísí príomhshrutha sláinte agus cúraim shóisialta chun tuiscint a fháil ar conas seirbhísí a fhreastalaíonn ar dhaoine atá faoi mhíchumas a sholáthar, conas áitreabh inrochtana a dhéanamh d’áitreabh, conas freastal ar riachtanais bhreise daoine atá faoi mhíchumas, agus conas cumarsáid a dhéanamh le daoine atá faoi mhíchumas ar bhealaí a oireann dá riachtanais. Seoladh na treoirlínte in Eanáir 2015.</w:t>
      </w:r>
    </w:p>
    <w:p w14:paraId="44BC34FE" w14:textId="77777777" w:rsidR="000E07C7" w:rsidRPr="000E07C7" w:rsidRDefault="000E07C7" w:rsidP="000E07C7">
      <w:pPr>
        <w:pStyle w:val="Heading3"/>
        <w:rPr>
          <w:lang w:val="ga-IE"/>
        </w:rPr>
      </w:pPr>
      <w:r w:rsidRPr="000E07C7">
        <w:rPr>
          <w:lang w:val="ga-IE"/>
        </w:rPr>
        <w:t>Luach ar Airgead agus Athbhreithniú Beartais ar Sheirbhísí Míchumais</w:t>
      </w:r>
    </w:p>
    <w:p w14:paraId="0349BEFB" w14:textId="77777777" w:rsidR="000E07C7" w:rsidRPr="000E07C7" w:rsidRDefault="000E07C7" w:rsidP="000E07C7">
      <w:pPr>
        <w:rPr>
          <w:lang w:val="ga-IE"/>
        </w:rPr>
      </w:pPr>
      <w:r w:rsidRPr="000E07C7">
        <w:rPr>
          <w:lang w:val="ga-IE"/>
        </w:rPr>
        <w:t xml:space="preserve">Comhalta iad an ÚNM den Ghrúpa Stiúrtha um fheidhmiú Luach ar Airgead agus Athbhreithniú Beartais ar Sheirbhísí Míchumais, agus de líon de na foghrúpaí a ceapadh chun cur i bhfeidhm chlaochlú mór na </w:t>
      </w:r>
      <w:proofErr w:type="spellStart"/>
      <w:r w:rsidRPr="000E07C7">
        <w:rPr>
          <w:lang w:val="ga-IE"/>
        </w:rPr>
        <w:t>dtacaíochtaí</w:t>
      </w:r>
      <w:proofErr w:type="spellEnd"/>
      <w:r w:rsidRPr="000E07C7">
        <w:rPr>
          <w:lang w:val="ga-IE"/>
        </w:rPr>
        <w:t xml:space="preserve"> agus na seirbhísí do dhaoine atá faoi mhíchumas atá cistithe ag FSS a chur chun cinn. </w:t>
      </w:r>
    </w:p>
    <w:p w14:paraId="3F305A55" w14:textId="77777777" w:rsidR="000E07C7" w:rsidRPr="000E07C7" w:rsidRDefault="000E07C7" w:rsidP="000E07C7">
      <w:pPr>
        <w:pStyle w:val="NormalBeforeList"/>
        <w:rPr>
          <w:lang w:val="ga-IE"/>
        </w:rPr>
      </w:pPr>
      <w:r w:rsidRPr="000E07C7">
        <w:rPr>
          <w:lang w:val="ga-IE"/>
        </w:rPr>
        <w:t>I measc na bpíosaí ar leith oibre faoinar tugadh, tá:</w:t>
      </w:r>
    </w:p>
    <w:p w14:paraId="3D063CBB" w14:textId="77777777" w:rsidR="000E07C7" w:rsidRPr="000E07C7" w:rsidRDefault="000E07C7" w:rsidP="000E07C7">
      <w:pPr>
        <w:pStyle w:val="ListBullet"/>
        <w:rPr>
          <w:lang w:val="ga-IE"/>
        </w:rPr>
      </w:pPr>
      <w:r w:rsidRPr="000E07C7">
        <w:rPr>
          <w:lang w:val="ga-IE"/>
        </w:rPr>
        <w:t>Dréacht-Chaighdeáin le haghaidh Seirbhísí Lae do Dhaoine Fásta arna n-ullmhú</w:t>
      </w:r>
    </w:p>
    <w:p w14:paraId="3354B836" w14:textId="77777777" w:rsidR="000E07C7" w:rsidRPr="000E07C7" w:rsidRDefault="000E07C7" w:rsidP="000E07C7">
      <w:pPr>
        <w:pStyle w:val="ListBullet"/>
        <w:rPr>
          <w:lang w:val="ga-IE"/>
        </w:rPr>
      </w:pPr>
      <w:r w:rsidRPr="000E07C7">
        <w:rPr>
          <w:lang w:val="ga-IE"/>
        </w:rPr>
        <w:t>Rinneadh comhpháirtíocht le FSS maidir le comhairliúchán a dhéanamh ar na caighdeáin seo, lena n-áirítear cruinnithe réigiúnacha, agus tuarascáil ar an gcomhairliúchán a réiteach.</w:t>
      </w:r>
    </w:p>
    <w:p w14:paraId="542BC722" w14:textId="77777777" w:rsidR="000E07C7" w:rsidRPr="000E07C7" w:rsidRDefault="000E07C7" w:rsidP="000E07C7">
      <w:pPr>
        <w:pStyle w:val="ListBullet"/>
        <w:rPr>
          <w:lang w:val="ga-IE"/>
        </w:rPr>
      </w:pPr>
      <w:r w:rsidRPr="000E07C7">
        <w:rPr>
          <w:lang w:val="ga-IE"/>
        </w:rPr>
        <w:t>Cuireadh comhairle ar FSS chun an beartas ar Dhaoine Fásta a chosaint ó Dhrochíde</w:t>
      </w:r>
    </w:p>
    <w:p w14:paraId="2E834330" w14:textId="77777777" w:rsidR="000E07C7" w:rsidRPr="000E07C7" w:rsidRDefault="000E07C7" w:rsidP="000E07C7">
      <w:pPr>
        <w:pStyle w:val="ListBullet"/>
        <w:rPr>
          <w:lang w:val="ga-IE"/>
        </w:rPr>
      </w:pPr>
      <w:r w:rsidRPr="000E07C7">
        <w:rPr>
          <w:lang w:val="ga-IE"/>
        </w:rPr>
        <w:t>Rinneadh idirchaidreamh leanúnach le FSS agus leis an Roinn Sláinte maidir le creatlach náisiúnta measúnaithe</w:t>
      </w:r>
    </w:p>
    <w:p w14:paraId="7CB54820" w14:textId="77777777" w:rsidR="000E07C7" w:rsidRPr="000E07C7" w:rsidRDefault="000E07C7" w:rsidP="000E07C7">
      <w:pPr>
        <w:pStyle w:val="ListBullet"/>
        <w:rPr>
          <w:lang w:val="ga-IE"/>
        </w:rPr>
      </w:pPr>
      <w:r w:rsidRPr="000E07C7">
        <w:rPr>
          <w:lang w:val="ga-IE"/>
        </w:rPr>
        <w:t>Rinneadh taighde agus comhairliúchán leanúnach ar chreatlach thorthaí náisiúnta do sheirbhísí míchumais</w:t>
      </w:r>
    </w:p>
    <w:p w14:paraId="519CDC99" w14:textId="77777777" w:rsidR="000E07C7" w:rsidRPr="000E07C7" w:rsidRDefault="000E07C7" w:rsidP="000E07C7">
      <w:pPr>
        <w:rPr>
          <w:lang w:val="ga-IE"/>
        </w:rPr>
      </w:pPr>
      <w:r w:rsidRPr="000E07C7">
        <w:rPr>
          <w:lang w:val="ga-IE"/>
        </w:rPr>
        <w:t xml:space="preserve">Déantar tuairisciú ar bhreis sonraí faoi obair an ÚNM sa limistéar seo faoi </w:t>
      </w:r>
      <w:hyperlink w:anchor="_Strategic_priority_2:" w:history="1">
        <w:r w:rsidRPr="000E07C7">
          <w:rPr>
            <w:rStyle w:val="Hyperlink"/>
            <w:lang w:val="ga-IE"/>
          </w:rPr>
          <w:t>Thosaíocht Straitéiseach 2</w:t>
        </w:r>
      </w:hyperlink>
      <w:r w:rsidRPr="000E07C7">
        <w:rPr>
          <w:lang w:val="ga-IE"/>
        </w:rPr>
        <w:t>.</w:t>
      </w:r>
    </w:p>
    <w:p w14:paraId="09C7C5DB" w14:textId="77777777" w:rsidR="000E07C7" w:rsidRPr="000E07C7" w:rsidRDefault="000E07C7" w:rsidP="000E07C7">
      <w:pPr>
        <w:pStyle w:val="Heading2"/>
        <w:rPr>
          <w:lang w:val="ga-IE"/>
        </w:rPr>
      </w:pPr>
      <w:r w:rsidRPr="000E07C7">
        <w:rPr>
          <w:lang w:val="ga-IE"/>
        </w:rPr>
        <w:lastRenderedPageBreak/>
        <w:t>Comhairle a chur ar an Roinn Cumarsáide, Fuinnimh agus Acmhainní Nádúrtha agus a ngníomhaireachtaí</w:t>
      </w:r>
    </w:p>
    <w:p w14:paraId="4FFE2817" w14:textId="77777777" w:rsidR="000E07C7" w:rsidRPr="000E07C7" w:rsidRDefault="000E07C7" w:rsidP="000E07C7">
      <w:pPr>
        <w:rPr>
          <w:lang w:val="ga-IE"/>
        </w:rPr>
      </w:pPr>
      <w:r w:rsidRPr="000E07C7">
        <w:rPr>
          <w:lang w:val="ga-IE"/>
        </w:rPr>
        <w:t xml:space="preserve">D’fhreagair an tÚdarás Náisiúnta Míchumais ar chomhairliúchán poiblí ar Phlean na Muirear Uisce. Anuas air sin, rinne an ÚNM idirchaidreamh leis an gCoimisiún um Rialáil Fuinnimh agus le </w:t>
      </w:r>
      <w:proofErr w:type="spellStart"/>
      <w:r w:rsidRPr="000E07C7">
        <w:rPr>
          <w:lang w:val="ga-IE"/>
        </w:rPr>
        <w:t>hUisce</w:t>
      </w:r>
      <w:proofErr w:type="spellEnd"/>
      <w:r w:rsidRPr="000E07C7">
        <w:rPr>
          <w:lang w:val="ga-IE"/>
        </w:rPr>
        <w:t xml:space="preserve"> Éireann maidir le conas faisnéis inrochtana fíor-ama a thabhairt do chustaiméirí ar úsáid uisce trí </w:t>
      </w:r>
      <w:proofErr w:type="spellStart"/>
      <w:r w:rsidRPr="000E07C7">
        <w:rPr>
          <w:lang w:val="ga-IE"/>
        </w:rPr>
        <w:t>thaispeáintí</w:t>
      </w:r>
      <w:proofErr w:type="spellEnd"/>
      <w:r w:rsidRPr="000E07C7">
        <w:rPr>
          <w:lang w:val="ga-IE"/>
        </w:rPr>
        <w:t xml:space="preserve"> </w:t>
      </w:r>
      <w:proofErr w:type="spellStart"/>
      <w:r w:rsidRPr="000E07C7">
        <w:rPr>
          <w:lang w:val="ga-IE"/>
        </w:rPr>
        <w:t>intí</w:t>
      </w:r>
      <w:proofErr w:type="spellEnd"/>
      <w:r w:rsidRPr="000E07C7">
        <w:rPr>
          <w:lang w:val="ga-IE"/>
        </w:rPr>
        <w:t xml:space="preserve"> a dheartar go huilíoch atá nasctha le méadair uisce, mar shampla. </w:t>
      </w:r>
    </w:p>
    <w:p w14:paraId="6454E9C6" w14:textId="77777777" w:rsidR="000E07C7" w:rsidRPr="000E07C7" w:rsidRDefault="000E07C7" w:rsidP="000E07C7">
      <w:pPr>
        <w:rPr>
          <w:lang w:val="ga-IE"/>
        </w:rPr>
      </w:pPr>
      <w:r w:rsidRPr="000E07C7">
        <w:rPr>
          <w:lang w:val="ga-IE"/>
        </w:rPr>
        <w:t xml:space="preserve">Lean an ÚNM ag oibriú le </w:t>
      </w:r>
      <w:proofErr w:type="spellStart"/>
      <w:r w:rsidRPr="000E07C7">
        <w:rPr>
          <w:lang w:val="ga-IE"/>
        </w:rPr>
        <w:t>hÚdarás</w:t>
      </w:r>
      <w:proofErr w:type="spellEnd"/>
      <w:r w:rsidRPr="000E07C7">
        <w:rPr>
          <w:lang w:val="ga-IE"/>
        </w:rPr>
        <w:t xml:space="preserve"> Craolacháin na hÉireann i dtreo Léiriú deonach Intinne a bhain le hionadaíocht a dhéanamh do dhaoine atá faoi mhíchumas agus na daoine siúd a léiriú i gcraolachán Éireannach.</w:t>
      </w:r>
      <w:r w:rsidR="00D00624">
        <w:rPr>
          <w:lang w:val="ga-IE"/>
        </w:rPr>
        <w:t xml:space="preserve"> </w:t>
      </w:r>
      <w:r w:rsidRPr="000E07C7">
        <w:rPr>
          <w:lang w:val="ga-IE"/>
        </w:rPr>
        <w:t xml:space="preserve">Sa mhullach air sin, rinne an ÚNM aighneacht le </w:t>
      </w:r>
      <w:proofErr w:type="spellStart"/>
      <w:r w:rsidRPr="000E07C7">
        <w:rPr>
          <w:lang w:val="ga-IE"/>
        </w:rPr>
        <w:t>hÚdarás</w:t>
      </w:r>
      <w:proofErr w:type="spellEnd"/>
      <w:r w:rsidRPr="000E07C7">
        <w:rPr>
          <w:lang w:val="ga-IE"/>
        </w:rPr>
        <w:t xml:space="preserve"> Craolacháin na hÉireann i dtaobh chomhairliúchán Rialacha Rochtana na hÉireann.</w:t>
      </w:r>
    </w:p>
    <w:p w14:paraId="28992E98" w14:textId="77777777" w:rsidR="000E07C7" w:rsidRPr="000E07C7" w:rsidRDefault="000E07C7" w:rsidP="000E07C7">
      <w:pPr>
        <w:pStyle w:val="Heading2"/>
        <w:rPr>
          <w:lang w:val="ga-IE"/>
        </w:rPr>
      </w:pPr>
      <w:r w:rsidRPr="000E07C7">
        <w:rPr>
          <w:lang w:val="ga-IE"/>
        </w:rPr>
        <w:t>Comhairle a chur ar an Roinn Comhshaoil, Pobail agus Rialtais Áitiúil</w:t>
      </w:r>
    </w:p>
    <w:p w14:paraId="179D32A5" w14:textId="77777777" w:rsidR="000E07C7" w:rsidRPr="000E07C7" w:rsidRDefault="000E07C7" w:rsidP="000E07C7">
      <w:pPr>
        <w:rPr>
          <w:lang w:val="ga-IE"/>
        </w:rPr>
      </w:pPr>
      <w:r w:rsidRPr="000E07C7">
        <w:rPr>
          <w:lang w:val="ga-IE"/>
        </w:rPr>
        <w:t xml:space="preserve">Thacaigh an ÚNM leis an Roinn agus leis an nGníomhaireacht Tithíochta i gcur i bhfeidhm na Straitéise Náisiúnta Tithíochta do Dhaoine atá faoi Mhíchumas, agus d’aistriú daoine atá faoi mhíchumas intleachtach in institiúidí cónaithe chuig tithíocht phobail. I measc na limistéar oibre, bhí plean fadtéarmach a </w:t>
      </w:r>
      <w:proofErr w:type="spellStart"/>
      <w:r w:rsidRPr="000E07C7">
        <w:rPr>
          <w:lang w:val="ga-IE"/>
        </w:rPr>
        <w:t>scóipeáil</w:t>
      </w:r>
      <w:proofErr w:type="spellEnd"/>
      <w:r w:rsidRPr="000E07C7">
        <w:rPr>
          <w:lang w:val="ga-IE"/>
        </w:rPr>
        <w:t xml:space="preserve"> le haghaidh dí-</w:t>
      </w:r>
      <w:proofErr w:type="spellStart"/>
      <w:r w:rsidRPr="000E07C7">
        <w:rPr>
          <w:lang w:val="ga-IE"/>
        </w:rPr>
        <w:t>institiúidiú</w:t>
      </w:r>
      <w:proofErr w:type="spellEnd"/>
      <w:r w:rsidRPr="000E07C7">
        <w:rPr>
          <w:lang w:val="ga-IE"/>
        </w:rPr>
        <w:t xml:space="preserve">, plean cumarsáide le haghaidh idirchaidrimh le cónaitheoirí, teaghlaigh agus foirne, agus saincheisteanna maidir le cumas dlíthiúil agus </w:t>
      </w:r>
      <w:proofErr w:type="spellStart"/>
      <w:r w:rsidRPr="000E07C7">
        <w:rPr>
          <w:lang w:val="ga-IE"/>
        </w:rPr>
        <w:t>tionóntachtaí</w:t>
      </w:r>
      <w:proofErr w:type="spellEnd"/>
      <w:r w:rsidRPr="000E07C7">
        <w:rPr>
          <w:lang w:val="ga-IE"/>
        </w:rPr>
        <w:t>.</w:t>
      </w:r>
      <w:r w:rsidR="00D00624">
        <w:rPr>
          <w:lang w:val="ga-IE"/>
        </w:rPr>
        <w:t xml:space="preserve"> </w:t>
      </w:r>
      <w:r w:rsidRPr="000E07C7">
        <w:rPr>
          <w:lang w:val="ga-IE"/>
        </w:rPr>
        <w:t xml:space="preserve">Rinne an ÚNM aighneachtaí mionsonraithe le hathbhreithniú na Roinne ar an Straitéis Tithíochta Sóisialta agus an Ráiteas Straitéise. </w:t>
      </w:r>
    </w:p>
    <w:p w14:paraId="04ACAAFA" w14:textId="77777777" w:rsidR="000E07C7" w:rsidRPr="000E07C7" w:rsidRDefault="000E07C7" w:rsidP="000E07C7">
      <w:pPr>
        <w:pStyle w:val="Heading3"/>
        <w:rPr>
          <w:lang w:val="ga-IE"/>
        </w:rPr>
      </w:pPr>
      <w:r w:rsidRPr="000E07C7">
        <w:rPr>
          <w:lang w:val="ga-IE"/>
        </w:rPr>
        <w:t>Trialacha Inrochtana Vótála</w:t>
      </w:r>
    </w:p>
    <w:p w14:paraId="6F27F3C9" w14:textId="77777777" w:rsidR="000E07C7" w:rsidRPr="000E07C7" w:rsidRDefault="000E07C7" w:rsidP="000E07C7">
      <w:pPr>
        <w:rPr>
          <w:lang w:val="ga-IE"/>
        </w:rPr>
      </w:pPr>
      <w:r w:rsidRPr="000E07C7">
        <w:rPr>
          <w:lang w:val="ga-IE"/>
        </w:rPr>
        <w:t xml:space="preserve">Thug an tÚdarás Náisiúnta Míchumais faoi thástáil ar úsáideoirí i Meitheamh 2014 ar roinnt bealaí malartacha go gcaithfidh daoine atá thíos le caillteanas radhairc vóta. Rinne fiche a seacht duine a bhí thíos le caillteanas tromchúiseach nó caillteanas iomlán radhairc tástáil ar thrí bealach éagsúla chun vóta a chaitheamh: forluí tadhlach ar an bpáipéar </w:t>
      </w:r>
      <w:proofErr w:type="spellStart"/>
      <w:r w:rsidRPr="000E07C7">
        <w:rPr>
          <w:lang w:val="ga-IE"/>
        </w:rPr>
        <w:t>ballóide</w:t>
      </w:r>
      <w:proofErr w:type="spellEnd"/>
      <w:r w:rsidRPr="000E07C7">
        <w:rPr>
          <w:lang w:val="ga-IE"/>
        </w:rPr>
        <w:t>, vótáil ar an nguthán agus vóta a chaitheamh go leictreonach.</w:t>
      </w:r>
    </w:p>
    <w:p w14:paraId="6AC06459" w14:textId="77777777" w:rsidR="000E07C7" w:rsidRPr="000E07C7" w:rsidRDefault="000E07C7" w:rsidP="000E07C7">
      <w:pPr>
        <w:rPr>
          <w:lang w:val="ga-IE"/>
        </w:rPr>
      </w:pPr>
      <w:r w:rsidRPr="000E07C7">
        <w:rPr>
          <w:lang w:val="ga-IE"/>
        </w:rPr>
        <w:t xml:space="preserve">Tugann torthaí foriomlána na dtrialacha le fios nach bhfuil aon réiteach amháin ann is dóchúil a oibreoidh i measc thromlach na vótálaithe atá thíos le caillteanas radhairc. D’fhéadfadh an chuid is mó de na rannpháirtithe an forluí tadhlach a úsáid go rathúil i gcás ballóid bhréige nó toghchán bréige i measc líon beag iarrthóirí, ach de réir mar a méadaíodh an líon iarrthóirí, </w:t>
      </w:r>
      <w:r w:rsidRPr="000E07C7">
        <w:rPr>
          <w:lang w:val="ga-IE"/>
        </w:rPr>
        <w:lastRenderedPageBreak/>
        <w:t xml:space="preserve">ní raibh an rogha seo chomh </w:t>
      </w:r>
      <w:proofErr w:type="spellStart"/>
      <w:r w:rsidRPr="000E07C7">
        <w:rPr>
          <w:lang w:val="ga-IE"/>
        </w:rPr>
        <w:t>hinúsáidte</w:t>
      </w:r>
      <w:proofErr w:type="spellEnd"/>
      <w:r w:rsidRPr="000E07C7">
        <w:rPr>
          <w:lang w:val="ga-IE"/>
        </w:rPr>
        <w:t xml:space="preserve"> agus chomh hiontaofa céanna.</w:t>
      </w:r>
      <w:r w:rsidR="00D00624">
        <w:rPr>
          <w:lang w:val="ga-IE"/>
        </w:rPr>
        <w:t xml:space="preserve"> </w:t>
      </w:r>
      <w:r w:rsidRPr="000E07C7">
        <w:rPr>
          <w:lang w:val="ga-IE"/>
        </w:rPr>
        <w:t xml:space="preserve">Molann an ÚNM go mbainfear triail as an gcóras seo i reifreann amach anseo mar rogha le haghaidh vótálaithe atá thíos le caillteanas radhairc, agus go ndéantar measúnú ar na torthaí. </w:t>
      </w:r>
    </w:p>
    <w:p w14:paraId="71D68DC2" w14:textId="77777777" w:rsidR="000E07C7" w:rsidRPr="000E07C7" w:rsidRDefault="000E07C7" w:rsidP="000E07C7">
      <w:pPr>
        <w:rPr>
          <w:lang w:val="ga-IE"/>
        </w:rPr>
      </w:pPr>
      <w:r w:rsidRPr="000E07C7">
        <w:rPr>
          <w:lang w:val="ga-IE"/>
        </w:rPr>
        <w:t xml:space="preserve">D’éirigh le vótáil trí ríomhaire i measc roinnt vótálaithe, is dócha gurbh iad seo na daoine a bhí compordach agus a raibh taithí acu le huirlisí léimh scáileáin a úsáid. Bhí vótáil ar an nguthán inúsáidte i measc thromlach na vótálaithe, ach cruthaíonn sí go leor dúshlán don vótálaí a bheith cinnte gur caitheadh a vóta ar aon dul lena raibh beartaithe acu. Ina theannta sin, bheadh breis machnaimh le déanamh ar shaincheisteanna </w:t>
      </w:r>
      <w:proofErr w:type="spellStart"/>
      <w:r w:rsidRPr="000E07C7">
        <w:rPr>
          <w:lang w:val="ga-IE"/>
        </w:rPr>
        <w:t>lóistíochta</w:t>
      </w:r>
      <w:proofErr w:type="spellEnd"/>
      <w:r w:rsidRPr="000E07C7">
        <w:rPr>
          <w:lang w:val="ga-IE"/>
        </w:rPr>
        <w:t xml:space="preserve"> agus shlándáil na roghanna siúd. Chuir an tÚdarás Náisiúnta Míchumais an taighde faoi bhráid na Roinne Comhshaoil, Pobail agus Rialtais Áitiúil go ndéanfaidh siad breithniú air.</w:t>
      </w:r>
    </w:p>
    <w:p w14:paraId="4F094D1A" w14:textId="77777777" w:rsidR="000E07C7" w:rsidRPr="000E07C7" w:rsidRDefault="000E07C7" w:rsidP="000E07C7">
      <w:pPr>
        <w:pStyle w:val="Heading2"/>
        <w:rPr>
          <w:lang w:val="ga-IE"/>
        </w:rPr>
      </w:pPr>
      <w:r w:rsidRPr="000E07C7">
        <w:rPr>
          <w:lang w:val="ga-IE"/>
        </w:rPr>
        <w:t>Straitéis Náisiúnta Tithíochta a chur i bhfeidhm do Dhaoine atá faoi Mhíchumas</w:t>
      </w:r>
    </w:p>
    <w:p w14:paraId="32DFC194" w14:textId="77777777" w:rsidR="000E07C7" w:rsidRPr="000E07C7" w:rsidRDefault="000E07C7" w:rsidP="000E07C7">
      <w:pPr>
        <w:rPr>
          <w:lang w:val="ga-IE"/>
        </w:rPr>
      </w:pPr>
      <w:r w:rsidRPr="000E07C7">
        <w:rPr>
          <w:lang w:val="ga-IE"/>
        </w:rPr>
        <w:t>Oibrímid go dlúth leis an nGníomhaireacht Tithíochta agus leis an Roinn Comhshaoil, Pobail agus Rialtais Áitiúil ar ghnéithe tithíochta an chláir chun thart ar 3,500 duine atá faoi mhíchumas intleachtach a aistriú ó institiúidí chuig tithíocht phobail. Bhí an Roinn á treorú againn maidir leis na dúshláin éagsúla a bhí i gceist chun tithíocht oiriúnach a chinntiú sa phobal, lena n-áirítear saincheisteanna soláthair, costais, ról na gcaighdeán agus rialacháin.</w:t>
      </w:r>
    </w:p>
    <w:p w14:paraId="4D120A28" w14:textId="77777777" w:rsidR="000E07C7" w:rsidRPr="000E07C7" w:rsidRDefault="000E07C7" w:rsidP="000E07C7">
      <w:pPr>
        <w:rPr>
          <w:lang w:val="ga-IE"/>
        </w:rPr>
      </w:pPr>
      <w:r w:rsidRPr="000E07C7">
        <w:rPr>
          <w:lang w:val="ga-IE"/>
        </w:rPr>
        <w:t>Rinne an ÚNM aighneacht leis an Straitéis Tithíochta Sóisialta nua, agus leagadh béim ar thábhacht Dearaidh Uilíoch mar chritéar bunúsach i dtaobh forbairtí nua tithíochta sóisialta a sheasfaidh an aimsir. Rinne an ÚNM aighneacht leis an Straitéis Tithíochta Sóisialta nua, agus leagadh béim ar thábhacht Dearaidh Uilíoch mar chritéar bunúsach i dtaobh forbairtí nua tithíochta sóisialta a sheasfaidh an aimsir.</w:t>
      </w:r>
    </w:p>
    <w:p w14:paraId="481C6DA2" w14:textId="77777777" w:rsidR="000E07C7" w:rsidRPr="000E07C7" w:rsidRDefault="000E07C7" w:rsidP="000E07C7">
      <w:pPr>
        <w:pStyle w:val="Heading2"/>
        <w:rPr>
          <w:lang w:val="ga-IE"/>
        </w:rPr>
      </w:pPr>
      <w:r w:rsidRPr="000E07C7">
        <w:rPr>
          <w:lang w:val="ga-IE"/>
        </w:rPr>
        <w:t>Comhairle a chur ar an Roinn Iompair, Turasóireachta agus Spóirt</w:t>
      </w:r>
    </w:p>
    <w:p w14:paraId="05A6B62C" w14:textId="77777777" w:rsidR="000E07C7" w:rsidRPr="000E07C7" w:rsidRDefault="000E07C7" w:rsidP="000E07C7">
      <w:pPr>
        <w:rPr>
          <w:lang w:val="ga-IE"/>
        </w:rPr>
      </w:pPr>
      <w:r w:rsidRPr="000E07C7">
        <w:rPr>
          <w:lang w:val="ga-IE"/>
        </w:rPr>
        <w:t>D’oibrigh an ÚNM leis an Roinn ar threoirlínte maidir le hoiliúint um fheasacht ar mhíchumas i measc chomhlachtaí poiblí na Roinne.</w:t>
      </w:r>
      <w:r w:rsidR="00D00624">
        <w:rPr>
          <w:lang w:val="ga-IE"/>
        </w:rPr>
        <w:t xml:space="preserve"> </w:t>
      </w:r>
      <w:r w:rsidRPr="000E07C7">
        <w:rPr>
          <w:lang w:val="ga-IE"/>
        </w:rPr>
        <w:t xml:space="preserve">Sholáthair an ÚNM comhairle agus cúnamh ar thionscadal don Údarás Náisiúnta Iompair chun measúnú a dhéanamh ar na saincheisteanna agus na himpleachtaí a bhaineann le haistriú i dtreo cabhrach atá go hiomlán inrochtana do chathaoireacha rothaí san earnáil bhusanna agus chóistí ceadúnaithe, agus d’oibrigh siad leo maidir le Treoirlínte Dearaidh chun faisnéis taistil a thaispeáint. Anuas air sin, rinne an ÚNM aighneacht le </w:t>
      </w:r>
      <w:r w:rsidRPr="000E07C7">
        <w:rPr>
          <w:lang w:val="ga-IE"/>
        </w:rPr>
        <w:lastRenderedPageBreak/>
        <w:t>Coiste Comhairleach Tacsaithe an Údaráis Náisiúnta Iompair maidir leis na Rialacháin um Fheithiclí Beaga Seirbhíse Poiblí (Comhdhlúthú agus Leasú), 2014, agus sholáthair siad ionchur sa Choiste maidir leis an mbonn féideartha custaiméirí le haghaidh tacsaithe atá inrochtana do chathaoireacha rothaí.</w:t>
      </w:r>
    </w:p>
    <w:p w14:paraId="67A7730D" w14:textId="77777777" w:rsidR="000E07C7" w:rsidRPr="000E07C7" w:rsidRDefault="000E07C7" w:rsidP="000E07C7">
      <w:pPr>
        <w:pStyle w:val="Heading2"/>
        <w:rPr>
          <w:lang w:val="ga-IE"/>
        </w:rPr>
      </w:pPr>
      <w:r w:rsidRPr="000E07C7">
        <w:rPr>
          <w:lang w:val="ga-IE"/>
        </w:rPr>
        <w:t>Athbhreithniú ar Chuid 4 den Acht Míchumais</w:t>
      </w:r>
    </w:p>
    <w:p w14:paraId="1DF594FD" w14:textId="77777777" w:rsidR="000E07C7" w:rsidRPr="000E07C7" w:rsidRDefault="000E07C7" w:rsidP="000E07C7">
      <w:pPr>
        <w:rPr>
          <w:lang w:val="ga-IE"/>
        </w:rPr>
      </w:pPr>
      <w:r w:rsidRPr="000E07C7">
        <w:rPr>
          <w:lang w:val="ga-IE"/>
        </w:rPr>
        <w:t xml:space="preserve">I Nollaig 2013, d’iarr an tAire Dlí agus Cirt agus Comhionannais ar an Údarás Náisiúnta Míchumais chun tabhairt faoi athbhreithniú ar oibriú Chuid 4 den Acht Míchumais, a chuireann toirmeasc ar fhaisnéis ar thástáil ghéiniteach a úsáid le haghaidh cuspóirí, ar nós árachais, pinsin nó morgáistí ceirde. D’fhoráil Alt 44 den Acht go gcuirfí tús le hathbhreithniú tráth nach déanaí ná 2014. D’eagraigh an ÚNM cruinnithe leis an </w:t>
      </w:r>
      <w:proofErr w:type="spellStart"/>
      <w:r w:rsidRPr="000E07C7">
        <w:rPr>
          <w:lang w:val="ga-IE"/>
        </w:rPr>
        <w:t>bpríomhleas</w:t>
      </w:r>
      <w:proofErr w:type="spellEnd"/>
      <w:r w:rsidRPr="000E07C7">
        <w:rPr>
          <w:lang w:val="ga-IE"/>
        </w:rPr>
        <w:t xml:space="preserve"> a bhí i gceist, chuir siad seimineár ar bun chun béim a leagan ar na </w:t>
      </w:r>
      <w:proofErr w:type="spellStart"/>
      <w:r w:rsidRPr="000E07C7">
        <w:rPr>
          <w:lang w:val="ga-IE"/>
        </w:rPr>
        <w:t>príomhshaincheisteanna</w:t>
      </w:r>
      <w:proofErr w:type="spellEnd"/>
      <w:r w:rsidRPr="000E07C7">
        <w:rPr>
          <w:lang w:val="ga-IE"/>
        </w:rPr>
        <w:t>, agus thug siad faoi phróiseas dírithe comhairliúcháin.</w:t>
      </w:r>
      <w:r w:rsidR="00D00624">
        <w:rPr>
          <w:lang w:val="ga-IE"/>
        </w:rPr>
        <w:t xml:space="preserve"> </w:t>
      </w:r>
      <w:r w:rsidRPr="000E07C7">
        <w:rPr>
          <w:lang w:val="ga-IE"/>
        </w:rPr>
        <w:t>Cuirfidh aiseolas ón gcomhairliúchán faisnéis ar fáil don tuarascáil deiridh ar an athbhreithniú, a chuirfear faoi bhráid an Aire in 2015.</w:t>
      </w:r>
    </w:p>
    <w:p w14:paraId="71616A86" w14:textId="77777777" w:rsidR="000E07C7" w:rsidRPr="000E07C7" w:rsidRDefault="000E07C7" w:rsidP="000E07C7">
      <w:pPr>
        <w:pStyle w:val="Heading2"/>
        <w:rPr>
          <w:lang w:val="ga-IE"/>
        </w:rPr>
      </w:pPr>
      <w:r w:rsidRPr="000E07C7">
        <w:rPr>
          <w:lang w:val="ga-IE"/>
        </w:rPr>
        <w:t xml:space="preserve">Taighde agus comhairliúchán maidir le </w:t>
      </w:r>
      <w:proofErr w:type="spellStart"/>
      <w:r w:rsidRPr="000E07C7">
        <w:rPr>
          <w:lang w:val="ga-IE"/>
        </w:rPr>
        <w:t>huathachas</w:t>
      </w:r>
      <w:proofErr w:type="spellEnd"/>
      <w:r w:rsidRPr="000E07C7">
        <w:rPr>
          <w:lang w:val="ga-IE"/>
        </w:rPr>
        <w:t xml:space="preserve"> </w:t>
      </w:r>
    </w:p>
    <w:p w14:paraId="414094DC" w14:textId="77777777" w:rsidR="000E07C7" w:rsidRPr="000E07C7" w:rsidRDefault="000E07C7" w:rsidP="000E07C7">
      <w:pPr>
        <w:rPr>
          <w:lang w:val="ga-IE"/>
        </w:rPr>
      </w:pPr>
      <w:r w:rsidRPr="000E07C7">
        <w:rPr>
          <w:lang w:val="ga-IE"/>
        </w:rPr>
        <w:t xml:space="preserve">Thug an ÚNM faoi thaighde ar an gcur chuige straitéiseach a glacadh i ndlínsí eile i dtaobh beartas agus seirbhísí a bhain le daoine a raibh uathachas orthu. Bhí imeacht comhairliúcháin ar siúl acu agus thug siad faoi phróiseas comhairliúcháin ní b’fhairsinge lena dheimhniú </w:t>
      </w:r>
      <w:proofErr w:type="spellStart"/>
      <w:r w:rsidRPr="000E07C7">
        <w:rPr>
          <w:lang w:val="ga-IE"/>
        </w:rPr>
        <w:t>cérbh</w:t>
      </w:r>
      <w:proofErr w:type="spellEnd"/>
      <w:r w:rsidRPr="000E07C7">
        <w:rPr>
          <w:lang w:val="ga-IE"/>
        </w:rPr>
        <w:t xml:space="preserve"> iad na </w:t>
      </w:r>
      <w:proofErr w:type="spellStart"/>
      <w:r w:rsidRPr="000E07C7">
        <w:rPr>
          <w:lang w:val="ga-IE"/>
        </w:rPr>
        <w:t>príomhdhúshláin</w:t>
      </w:r>
      <w:proofErr w:type="spellEnd"/>
      <w:r w:rsidRPr="000E07C7">
        <w:rPr>
          <w:lang w:val="ga-IE"/>
        </w:rPr>
        <w:t xml:space="preserve"> a bhí roimh dhaoine a bhfuil uathachas orthu agus a dteaghlaigh. D’ullmhaigh an ÚNM páipéar a rinne na gníomhartha a bhí i bhfeidhm cheana féin a léarscáiliú nó a raibh oiliúint á cur orthu maidir le daoine a bhfuil uathachas orthu. Chomh maith leis sin, d’fhoilsigh an ÚNM treoir maidir le freastal ar dhaoine a bhfuil uathachas orthu san oideachas nó san oiliúint, ag baint leasa ó thaighde agus ó threoir ó </w:t>
      </w:r>
      <w:proofErr w:type="spellStart"/>
      <w:r w:rsidRPr="000E07C7">
        <w:rPr>
          <w:lang w:val="ga-IE"/>
        </w:rPr>
        <w:t>dhlínsí</w:t>
      </w:r>
      <w:proofErr w:type="spellEnd"/>
      <w:r w:rsidRPr="000E07C7">
        <w:rPr>
          <w:lang w:val="ga-IE"/>
        </w:rPr>
        <w:t xml:space="preserve"> eile.</w:t>
      </w:r>
    </w:p>
    <w:p w14:paraId="659B9143" w14:textId="77777777" w:rsidR="000E07C7" w:rsidRPr="000E07C7" w:rsidRDefault="000E07C7" w:rsidP="000E07C7">
      <w:pPr>
        <w:pStyle w:val="Heading2"/>
        <w:rPr>
          <w:lang w:val="ga-IE"/>
        </w:rPr>
      </w:pPr>
      <w:r w:rsidRPr="000E07C7">
        <w:rPr>
          <w:lang w:val="ga-IE"/>
        </w:rPr>
        <w:t>Monatóireacht a dhéanamh ar dhaoine atá faoi mhíchumas a fhostú san earnáil phoiblí</w:t>
      </w:r>
    </w:p>
    <w:p w14:paraId="1C20B346" w14:textId="77777777" w:rsidR="000E07C7" w:rsidRPr="000E07C7" w:rsidRDefault="000E07C7" w:rsidP="000E07C7">
      <w:pPr>
        <w:rPr>
          <w:lang w:val="ga-IE"/>
        </w:rPr>
      </w:pPr>
      <w:r w:rsidRPr="000E07C7">
        <w:rPr>
          <w:lang w:val="ga-IE"/>
        </w:rPr>
        <w:t xml:space="preserve">Sholáthair an tÚdarás Náisiúnta Míchumais a ról reachtúil chun monatóireacht a dhéanamh ar chomhlíonadh dualgais chomhlachtaí poiblí maidir le daoine a fhostú atá faoi mhíchumas san earnáil phoiblí. Don tríú bliain as a chéile, rinne comhréir na foirne atá faoi mhíchumas a tuairiscíodh don tseirbhís phoiblí don bhliain 2013 (3.4%) an sprioc 3% a leagtar amach san Acht Míchumais, 2005 a shárú. B’ionann líon na </w:t>
      </w:r>
      <w:r w:rsidRPr="000E07C7">
        <w:rPr>
          <w:lang w:val="ga-IE"/>
        </w:rPr>
        <w:lastRenderedPageBreak/>
        <w:t xml:space="preserve">bhfostaithe atá faoi mhíchumas, a cuireadh i dtaifead don bhliain 2013 agus 6,464, ar laghdú 147 duine é seo anuas ón mbliain 2012. B’ionann líon iomlán na bhfostaithe san earnáil phoiblí sa bhliain 2013 agus thart ar 193,000, ar laghdú 5,000 duine é seo anuas ó 2012, i gcomhthéacs an </w:t>
      </w:r>
      <w:proofErr w:type="spellStart"/>
      <w:r w:rsidRPr="000E07C7">
        <w:rPr>
          <w:lang w:val="ga-IE"/>
        </w:rPr>
        <w:t>lánchoisc</w:t>
      </w:r>
      <w:proofErr w:type="spellEnd"/>
      <w:r w:rsidRPr="000E07C7">
        <w:rPr>
          <w:lang w:val="ga-IE"/>
        </w:rPr>
        <w:t xml:space="preserve"> leanúnaigh ar earcaíocht. </w:t>
      </w:r>
    </w:p>
    <w:p w14:paraId="2D8A488A" w14:textId="77777777" w:rsidR="000E07C7" w:rsidRPr="000E07C7" w:rsidRDefault="000E07C7" w:rsidP="000E07C7">
      <w:pPr>
        <w:rPr>
          <w:lang w:val="ga-IE"/>
        </w:rPr>
      </w:pPr>
      <w:r w:rsidRPr="000E07C7">
        <w:rPr>
          <w:lang w:val="ga-IE"/>
        </w:rPr>
        <w:t>Thug an ÚNM faoina bpróiseas rialta ina ndéantar athbhreithniú ar na comhlachtaí poiblí siúd nár bhain 3% den fhoireann amach atá faoi mhíchumas sa dá bhliain roimhe sin.</w:t>
      </w:r>
      <w:r w:rsidR="00D00624">
        <w:rPr>
          <w:lang w:val="ga-IE"/>
        </w:rPr>
        <w:t xml:space="preserve"> </w:t>
      </w:r>
      <w:r w:rsidRPr="000E07C7">
        <w:rPr>
          <w:lang w:val="ga-IE"/>
        </w:rPr>
        <w:t xml:space="preserve">Eisíodh iarratais reachtúla ar fhaisnéis níos sonraí do sheacht gcomhlacht. Tar éis anailís a dhéanamh ar an bhfaisnéis bhreise seo, ní dhearnadh aon rialú foirmiúil i leith </w:t>
      </w:r>
      <w:proofErr w:type="spellStart"/>
      <w:r w:rsidRPr="000E07C7">
        <w:rPr>
          <w:lang w:val="ga-IE"/>
        </w:rPr>
        <w:t>neamhchomhlíonta</w:t>
      </w:r>
      <w:proofErr w:type="spellEnd"/>
      <w:r w:rsidRPr="000E07C7">
        <w:rPr>
          <w:lang w:val="ga-IE"/>
        </w:rPr>
        <w:t>.</w:t>
      </w:r>
      <w:r w:rsidR="00D00624">
        <w:rPr>
          <w:lang w:val="ga-IE"/>
        </w:rPr>
        <w:t xml:space="preserve"> </w:t>
      </w:r>
      <w:r w:rsidRPr="000E07C7">
        <w:rPr>
          <w:lang w:val="ga-IE"/>
        </w:rPr>
        <w:t xml:space="preserve">Eisíodh treoir </w:t>
      </w:r>
      <w:proofErr w:type="spellStart"/>
      <w:r w:rsidRPr="000E07C7">
        <w:rPr>
          <w:lang w:val="ga-IE"/>
        </w:rPr>
        <w:t>shaindeartha</w:t>
      </w:r>
      <w:proofErr w:type="spellEnd"/>
      <w:r w:rsidRPr="000E07C7">
        <w:rPr>
          <w:lang w:val="ga-IE"/>
        </w:rPr>
        <w:t xml:space="preserve"> do chomhlachtaí nár bhain an sprioc 3% amach. </w:t>
      </w:r>
    </w:p>
    <w:p w14:paraId="2D0DB43F" w14:textId="77777777" w:rsidR="000E07C7" w:rsidRPr="000E07C7" w:rsidRDefault="000E07C7" w:rsidP="000E07C7">
      <w:pPr>
        <w:rPr>
          <w:lang w:val="ga-IE"/>
        </w:rPr>
      </w:pPr>
      <w:r w:rsidRPr="000E07C7">
        <w:rPr>
          <w:lang w:val="ga-IE"/>
        </w:rPr>
        <w:t>Anuas air sin, chuir an ÚNM tuarascáil leasaithe faoi bhráid an Aire maidir le comhlíonadh Chuid 5 in 2012, tar éis sonraí leasaithe a fháil ó chomhlacht poiblí mór as ar eascair mionathruithe ar an tráchtaireacht.</w:t>
      </w:r>
    </w:p>
    <w:p w14:paraId="01C88DC3" w14:textId="77777777" w:rsidR="000E07C7" w:rsidRPr="000E07C7" w:rsidRDefault="000E07C7" w:rsidP="000E07C7">
      <w:pPr>
        <w:rPr>
          <w:lang w:val="ga-IE"/>
        </w:rPr>
      </w:pPr>
    </w:p>
    <w:p w14:paraId="05F32026" w14:textId="77777777" w:rsidR="000E07C7" w:rsidRPr="000E07C7" w:rsidRDefault="000E07C7" w:rsidP="000E07C7">
      <w:pPr>
        <w:pStyle w:val="Heading1"/>
        <w:rPr>
          <w:lang w:val="ga-IE"/>
        </w:rPr>
      </w:pPr>
      <w:bookmarkStart w:id="95" w:name="_Toc429053920"/>
      <w:bookmarkStart w:id="96" w:name="_Toc429054130"/>
      <w:bookmarkStart w:id="97" w:name="_Toc431218807"/>
      <w:r w:rsidRPr="000E07C7">
        <w:rPr>
          <w:lang w:val="ga-IE"/>
        </w:rPr>
        <w:lastRenderedPageBreak/>
        <w:t>Tosaíocht straitéiseach 2: Ag maireachtáil go neamhspleách sa phobal</w:t>
      </w:r>
      <w:bookmarkEnd w:id="95"/>
      <w:bookmarkEnd w:id="96"/>
      <w:bookmarkEnd w:id="97"/>
    </w:p>
    <w:p w14:paraId="5B250F06" w14:textId="77777777" w:rsidR="000E07C7" w:rsidRPr="000E07C7" w:rsidRDefault="000E07C7" w:rsidP="000E07C7">
      <w:pPr>
        <w:rPr>
          <w:b/>
          <w:lang w:val="ga-IE"/>
        </w:rPr>
      </w:pPr>
      <w:r w:rsidRPr="000E07C7">
        <w:rPr>
          <w:b/>
          <w:lang w:val="ga-IE"/>
        </w:rPr>
        <w:t>“Chun taighde a dhéanamh agus a chomhordú maidir le sonraí a bhailiú, agus faisnéis, comhairle agus treoir a thabhairt chun athruithe beartais, córas agus seirbhíse a threorú lena chinntiú gur féidir le daoine atá faoi mhíchumas maireachtáil go neamhspleách agus páirt a ghlacadh sa phobal mar shaoránaigh ghníomhacha.”</w:t>
      </w:r>
    </w:p>
    <w:p w14:paraId="37BE3303" w14:textId="77777777" w:rsidR="000E07C7" w:rsidRPr="000E07C7" w:rsidRDefault="000E07C7" w:rsidP="000E07C7">
      <w:pPr>
        <w:pStyle w:val="Heading2"/>
        <w:rPr>
          <w:lang w:val="ga-IE"/>
        </w:rPr>
      </w:pPr>
      <w:r w:rsidRPr="000E07C7">
        <w:rPr>
          <w:lang w:val="ga-IE"/>
        </w:rPr>
        <w:t>Clár taighde</w:t>
      </w:r>
    </w:p>
    <w:p w14:paraId="16B7BC7B" w14:textId="77777777" w:rsidR="000E07C7" w:rsidRPr="000E07C7" w:rsidRDefault="000E07C7" w:rsidP="000E07C7">
      <w:pPr>
        <w:rPr>
          <w:lang w:val="ga-IE"/>
        </w:rPr>
      </w:pPr>
      <w:r w:rsidRPr="000E07C7">
        <w:rPr>
          <w:lang w:val="ga-IE"/>
        </w:rPr>
        <w:t xml:space="preserve">Thug an tÚdarás Náisiúnta Míchumais, iad féin, faoi </w:t>
      </w:r>
      <w:proofErr w:type="spellStart"/>
      <w:r w:rsidRPr="000E07C7">
        <w:rPr>
          <w:lang w:val="ga-IE"/>
        </w:rPr>
        <w:t>phíosaí</w:t>
      </w:r>
      <w:proofErr w:type="spellEnd"/>
      <w:r w:rsidRPr="000E07C7">
        <w:rPr>
          <w:lang w:val="ga-IE"/>
        </w:rPr>
        <w:t xml:space="preserve"> taighde chun faisnéis a sholáthar do bheartas agus do chleachtas nó choimisiúnaigh siad an taighde seo a dhéanamh. </w:t>
      </w:r>
    </w:p>
    <w:p w14:paraId="21C66B9D" w14:textId="77777777" w:rsidR="000E07C7" w:rsidRPr="000E07C7" w:rsidRDefault="000E07C7" w:rsidP="000E07C7">
      <w:pPr>
        <w:pStyle w:val="Heading3"/>
        <w:rPr>
          <w:lang w:val="ga-IE"/>
        </w:rPr>
      </w:pPr>
      <w:r w:rsidRPr="000E07C7">
        <w:rPr>
          <w:lang w:val="ga-IE"/>
        </w:rPr>
        <w:t>Painéal taighde</w:t>
      </w:r>
    </w:p>
    <w:p w14:paraId="541B30F6" w14:textId="77777777" w:rsidR="000E07C7" w:rsidRPr="000E07C7" w:rsidRDefault="000E07C7" w:rsidP="000E07C7">
      <w:pPr>
        <w:rPr>
          <w:lang w:val="ga-IE"/>
        </w:rPr>
      </w:pPr>
      <w:r w:rsidRPr="000E07C7">
        <w:rPr>
          <w:lang w:val="ga-IE"/>
        </w:rPr>
        <w:t xml:space="preserve">Tar éis gur mhol an tÚdarás a bhí ag dul as oifig, thug an ÚNM faoi phróiseas tairisceana chun painéal taighdeoirí a chruthú a raibh inniúlachtaí acu i dtascanna éagsúla taighde a bhain le míchumas. Iarradh ar thaighdeoirí tairiscint a dhéanamh d’aon </w:t>
      </w:r>
      <w:proofErr w:type="spellStart"/>
      <w:r w:rsidRPr="000E07C7">
        <w:rPr>
          <w:lang w:val="ga-IE"/>
        </w:rPr>
        <w:t>fhophainéil</w:t>
      </w:r>
      <w:proofErr w:type="spellEnd"/>
      <w:r w:rsidRPr="000E07C7">
        <w:rPr>
          <w:lang w:val="ga-IE"/>
        </w:rPr>
        <w:t xml:space="preserve"> nó gach </w:t>
      </w:r>
      <w:proofErr w:type="spellStart"/>
      <w:r w:rsidRPr="000E07C7">
        <w:rPr>
          <w:lang w:val="ga-IE"/>
        </w:rPr>
        <w:t>fophainéal</w:t>
      </w:r>
      <w:proofErr w:type="spellEnd"/>
      <w:r w:rsidRPr="000E07C7">
        <w:rPr>
          <w:lang w:val="ga-IE"/>
        </w:rPr>
        <w:t xml:space="preserve"> a bhain le </w:t>
      </w:r>
      <w:proofErr w:type="spellStart"/>
      <w:r w:rsidRPr="000E07C7">
        <w:rPr>
          <w:lang w:val="ga-IE"/>
        </w:rPr>
        <w:t>hinniúlachtaí</w:t>
      </w:r>
      <w:proofErr w:type="spellEnd"/>
      <w:r w:rsidRPr="000E07C7">
        <w:rPr>
          <w:lang w:val="ga-IE"/>
        </w:rPr>
        <w:t xml:space="preserve"> éagsúla taighde, </w:t>
      </w:r>
      <w:proofErr w:type="spellStart"/>
      <w:r w:rsidRPr="000E07C7">
        <w:rPr>
          <w:lang w:val="ga-IE"/>
        </w:rPr>
        <w:t>e.g</w:t>
      </w:r>
      <w:proofErr w:type="spellEnd"/>
      <w:r w:rsidRPr="000E07C7">
        <w:rPr>
          <w:lang w:val="ga-IE"/>
        </w:rPr>
        <w:t>. grúpaí fócais, anailís ar shonraí cáilíochtúla, anailís staitistiúil.</w:t>
      </w:r>
      <w:r w:rsidR="00D00624">
        <w:rPr>
          <w:lang w:val="ga-IE"/>
        </w:rPr>
        <w:t xml:space="preserve"> </w:t>
      </w:r>
      <w:r w:rsidRPr="000E07C7">
        <w:rPr>
          <w:lang w:val="ga-IE"/>
        </w:rPr>
        <w:t xml:space="preserve">I ndiaidh measúnú a dhéanamh ar iarratais, cuireadh iad siúd a bhí cáilithe ar phainéal taighde óna bhféadfaí taighdeoirí a bhain na cáilíochtaí cuí amach, a roghnú chun tairiscint a dhéanamh do </w:t>
      </w:r>
      <w:proofErr w:type="spellStart"/>
      <w:r w:rsidRPr="000E07C7">
        <w:rPr>
          <w:lang w:val="ga-IE"/>
        </w:rPr>
        <w:t>phíosaí</w:t>
      </w:r>
      <w:proofErr w:type="spellEnd"/>
      <w:r w:rsidRPr="000E07C7">
        <w:rPr>
          <w:lang w:val="ga-IE"/>
        </w:rPr>
        <w:t xml:space="preserve"> ar leith oibre. I rith 2014, soláthraíodh líon píosaí taighde tríd an bpainéal seo. </w:t>
      </w:r>
    </w:p>
    <w:p w14:paraId="32323FC9" w14:textId="77777777" w:rsidR="000E07C7" w:rsidRPr="000E07C7" w:rsidRDefault="000E07C7" w:rsidP="000E07C7">
      <w:pPr>
        <w:pStyle w:val="Heading3"/>
        <w:rPr>
          <w:lang w:val="ga-IE"/>
        </w:rPr>
      </w:pPr>
      <w:r w:rsidRPr="000E07C7">
        <w:rPr>
          <w:lang w:val="ga-IE"/>
        </w:rPr>
        <w:t xml:space="preserve">Taighde ar sheirbhísí teiripe mhíchumais leanaí </w:t>
      </w:r>
    </w:p>
    <w:p w14:paraId="4CC5C382" w14:textId="77777777" w:rsidR="000E07C7" w:rsidRPr="000E07C7" w:rsidRDefault="000E07C7" w:rsidP="000E07C7">
      <w:pPr>
        <w:rPr>
          <w:lang w:val="ga-IE"/>
        </w:rPr>
      </w:pPr>
      <w:r w:rsidRPr="000E07C7">
        <w:rPr>
          <w:lang w:val="ga-IE"/>
        </w:rPr>
        <w:t xml:space="preserve">Tá Feidhmeannacht na Seirbhíse Sláinte ag tabhairt faoi chláir chun seirbhísí </w:t>
      </w:r>
      <w:proofErr w:type="spellStart"/>
      <w:r w:rsidRPr="000E07C7">
        <w:rPr>
          <w:lang w:val="ga-IE"/>
        </w:rPr>
        <w:t>ildisciplíneacha</w:t>
      </w:r>
      <w:proofErr w:type="spellEnd"/>
      <w:r w:rsidRPr="000E07C7">
        <w:rPr>
          <w:lang w:val="ga-IE"/>
        </w:rPr>
        <w:t xml:space="preserve"> teiripe a atheagrú do leanaí atá faoi mhíchumas isteach i bhfoirne atá bunaithe i dtaobh tíreolaíochta de chun freastal ar na leanaí ina </w:t>
      </w:r>
      <w:proofErr w:type="spellStart"/>
      <w:r w:rsidRPr="000E07C7">
        <w:rPr>
          <w:lang w:val="ga-IE"/>
        </w:rPr>
        <w:t>ndobharcheantair</w:t>
      </w:r>
      <w:proofErr w:type="spellEnd"/>
      <w:r w:rsidRPr="000E07C7">
        <w:rPr>
          <w:lang w:val="ga-IE"/>
        </w:rPr>
        <w:t>, gan aird ar an saghas lagaithe a bhí orthu. D’iarr Feidhmeannacht na Seirbhíse Sláinte ar an Údarás Náisiúnta Míchumais chun tabhairt faoi thaighde ar mhéid agus chumraíocht chuí na bhfoirne seo.</w:t>
      </w:r>
      <w:r w:rsidR="00D00624">
        <w:rPr>
          <w:b/>
          <w:sz w:val="36"/>
          <w:szCs w:val="36"/>
          <w:lang w:val="ga-IE"/>
        </w:rPr>
        <w:t xml:space="preserve"> </w:t>
      </w:r>
      <w:r w:rsidRPr="000E07C7">
        <w:rPr>
          <w:lang w:val="ga-IE"/>
        </w:rPr>
        <w:t xml:space="preserve">Rinne tuarascáil an ÚNM athbhreithniú ar an litríocht, scrúdú ar an gcleachtas idirnáisiúnta, agus anailís ar fhoinsí éagsúla sonraí chun meastacháin a sholáthar den líon breise </w:t>
      </w:r>
      <w:proofErr w:type="spellStart"/>
      <w:r w:rsidRPr="000E07C7">
        <w:rPr>
          <w:lang w:val="ga-IE"/>
        </w:rPr>
        <w:t>teiripeoirí</w:t>
      </w:r>
      <w:proofErr w:type="spellEnd"/>
      <w:r w:rsidRPr="000E07C7">
        <w:rPr>
          <w:lang w:val="ga-IE"/>
        </w:rPr>
        <w:t xml:space="preserve"> i </w:t>
      </w:r>
      <w:proofErr w:type="spellStart"/>
      <w:r w:rsidRPr="000E07C7">
        <w:rPr>
          <w:lang w:val="ga-IE"/>
        </w:rPr>
        <w:t>speisialtachtaí</w:t>
      </w:r>
      <w:proofErr w:type="spellEnd"/>
      <w:r w:rsidRPr="000E07C7">
        <w:rPr>
          <w:lang w:val="ga-IE"/>
        </w:rPr>
        <w:t xml:space="preserve"> éagsúla ar gá dóibh freastal ar riachtanais leanaí atá faoi mhíchumas. Cuireadh an </w:t>
      </w:r>
      <w:r w:rsidRPr="000E07C7">
        <w:rPr>
          <w:lang w:val="ga-IE"/>
        </w:rPr>
        <w:lastRenderedPageBreak/>
        <w:t>tuarascáil faoi bhráid FSS agus chuir sí faisnéis ar fáil do phoist bhreise teiripe a fógraíodh don bhliain 2015.</w:t>
      </w:r>
    </w:p>
    <w:p w14:paraId="59EA22A0" w14:textId="77777777" w:rsidR="000E07C7" w:rsidRPr="000E07C7" w:rsidRDefault="000E07C7" w:rsidP="000E07C7">
      <w:pPr>
        <w:pStyle w:val="Heading3"/>
        <w:rPr>
          <w:lang w:val="ga-IE"/>
        </w:rPr>
      </w:pPr>
      <w:r w:rsidRPr="000E07C7">
        <w:rPr>
          <w:lang w:val="ga-IE"/>
        </w:rPr>
        <w:t xml:space="preserve">Bulaíocht scoile ar leanaí a bhfuil riachtanais speisialta oideachais acu nó atá faoi mhíchumas a chosc </w:t>
      </w:r>
    </w:p>
    <w:p w14:paraId="063F2A26" w14:textId="77777777" w:rsidR="000E07C7" w:rsidRPr="000E07C7" w:rsidRDefault="000E07C7" w:rsidP="000E07C7">
      <w:pPr>
        <w:rPr>
          <w:lang w:val="ga-IE"/>
        </w:rPr>
      </w:pPr>
      <w:r w:rsidRPr="000E07C7">
        <w:rPr>
          <w:lang w:val="ga-IE"/>
        </w:rPr>
        <w:t xml:space="preserve">D’iarr an Roinn Oideachais agus Scileanna ar an Údarás Náisiúnta Míchumais chun tabhairt faoi thaighde ar idirghabháil éifeachtach chun bulaíocht leanaí atá faoi mhíchumas nó a bhfuil riachtanais speisialta oideachais acu a chosc, mar chuid de Phlean Gníomhaíochta na Roinne ar Bhulaíocht. Rinne taighde an ÚNM athbhreithniú ar an litríocht sa limistéar seo, rinne siad anailís ar an bhfaisnéis ón Suirbhé ‘Ag Fás Aníos in Éirinn’, bhí plé acu le cleachtóirí agus saineolaithe oideachais trí phlé duine ar dhuine agus fóram </w:t>
      </w:r>
      <w:proofErr w:type="spellStart"/>
      <w:r w:rsidRPr="000E07C7">
        <w:rPr>
          <w:lang w:val="ga-IE"/>
        </w:rPr>
        <w:t>comhchéime</w:t>
      </w:r>
      <w:proofErr w:type="spellEnd"/>
      <w:r w:rsidRPr="000E07C7">
        <w:rPr>
          <w:lang w:val="ga-IE"/>
        </w:rPr>
        <w:t xml:space="preserve">, agus thug siad cuairt ar roinnt scoileanna ar sainaithníodh go bhfuil dea-chleachtas iontu. Leagann torthaí an tsuirbhé an bhéim ar thábhacht chur chuige ‘scoile iomláine’. Cuireadh an tuarascáil faoi bhráid na Roinne Oideachais agus Scileanna agus meastar go seolfar go foirmiúil í in 2015. </w:t>
      </w:r>
    </w:p>
    <w:p w14:paraId="40409500" w14:textId="77777777" w:rsidR="000E07C7" w:rsidRPr="000E07C7" w:rsidRDefault="000E07C7" w:rsidP="000E07C7">
      <w:pPr>
        <w:pStyle w:val="Heading3"/>
        <w:rPr>
          <w:lang w:val="ga-IE"/>
        </w:rPr>
      </w:pPr>
      <w:r w:rsidRPr="000E07C7">
        <w:rPr>
          <w:lang w:val="ga-IE"/>
        </w:rPr>
        <w:t>Cuntas ar leanaí atá faoi mhíchumas in Éirinn</w:t>
      </w:r>
    </w:p>
    <w:p w14:paraId="08A0E663" w14:textId="77777777" w:rsidR="000E07C7" w:rsidRPr="000E07C7" w:rsidRDefault="000E07C7" w:rsidP="000E07C7">
      <w:pPr>
        <w:rPr>
          <w:lang w:val="ga-IE"/>
        </w:rPr>
      </w:pPr>
      <w:r w:rsidRPr="000E07C7">
        <w:rPr>
          <w:lang w:val="ga-IE"/>
        </w:rPr>
        <w:t xml:space="preserve">Rinne píosa taighde a coimisiúnaíodh anailís ar shonraí ón sampla de leanaí a bhí curtha san áireamh sa Suirbhé Náisiúnta ar Mhíchumas (2006). Léirigh na torthaí gur dhóchúla go raibh buachaillí faoi mhíchumas ná cailíní, agus go raibh comhréir ní b’airde de leanaí faoi mhíchumas i ngrúpaí socheacnamaíocha níos ísle agus i measc teaghlaigh aontuismitheora. Cuireadh oideachas ar fhormhór na leanaí a bhí faoi mhíchumas i scoileanna príomhshrutha, ach d’fhreastail comhréir ní b’airde de leanaí ar scoileanna speisialaithe ag céim na hiar-bhunscoile. Bhí leanaí ar a raibh lagú meabhairshláinte thíos le heaspa d’idirchaidreamh sóisialta lena bpiaraí, agus ba dhóchúla go mbeidís as láthair go fadálach ón scoil. </w:t>
      </w:r>
      <w:proofErr w:type="spellStart"/>
      <w:r w:rsidRPr="000E07C7">
        <w:rPr>
          <w:lang w:val="ga-IE"/>
        </w:rPr>
        <w:t>Chomhfhoilsigh</w:t>
      </w:r>
      <w:proofErr w:type="spellEnd"/>
      <w:r w:rsidRPr="000E07C7">
        <w:rPr>
          <w:lang w:val="ga-IE"/>
        </w:rPr>
        <w:t xml:space="preserve"> an tÚdarás Náisiúnta Míchumais agus an Institiúid Taighde Eacnamaíochta agus Sóisialta (ITES) in 2015.</w:t>
      </w:r>
    </w:p>
    <w:p w14:paraId="1FB31F16" w14:textId="77777777" w:rsidR="000E07C7" w:rsidRPr="000E07C7" w:rsidRDefault="000E07C7" w:rsidP="000E07C7">
      <w:pPr>
        <w:pStyle w:val="Heading3"/>
        <w:rPr>
          <w:lang w:val="ga-IE"/>
        </w:rPr>
      </w:pPr>
      <w:r w:rsidRPr="000E07C7">
        <w:rPr>
          <w:lang w:val="ga-IE"/>
        </w:rPr>
        <w:t>Ionchais tuismitheora</w:t>
      </w:r>
    </w:p>
    <w:p w14:paraId="35BC4E88" w14:textId="77777777" w:rsidR="000E07C7" w:rsidRPr="000E07C7" w:rsidRDefault="000E07C7" w:rsidP="000E07C7">
      <w:pPr>
        <w:rPr>
          <w:lang w:val="ga-IE"/>
        </w:rPr>
      </w:pPr>
      <w:r w:rsidRPr="000E07C7">
        <w:rPr>
          <w:lang w:val="ga-IE"/>
        </w:rPr>
        <w:t>Choimisiúnaigh an ÚNM an ITES chun sonraí a úsáid ón Suirbhé ‘Ag Fás Aníos in Éirinn’ chun scrúdú a dhéanamh ar ionchais do leanaí atá faoi mhíchumas. Cuirfear seo i gcrích in 2015.</w:t>
      </w:r>
    </w:p>
    <w:p w14:paraId="141D9272" w14:textId="77777777" w:rsidR="000E07C7" w:rsidRPr="000E07C7" w:rsidRDefault="000E07C7" w:rsidP="000E07C7">
      <w:pPr>
        <w:pStyle w:val="Heading3"/>
        <w:rPr>
          <w:lang w:val="ga-IE"/>
        </w:rPr>
      </w:pPr>
      <w:r w:rsidRPr="000E07C7">
        <w:rPr>
          <w:lang w:val="ga-IE"/>
        </w:rPr>
        <w:t>Teaghlaigh a bhfuil leanaí atá faoi mhíchumas acu</w:t>
      </w:r>
    </w:p>
    <w:p w14:paraId="4D87ED7D" w14:textId="77777777" w:rsidR="000E07C7" w:rsidRPr="000E07C7" w:rsidRDefault="000E07C7" w:rsidP="000E07C7">
      <w:pPr>
        <w:rPr>
          <w:lang w:val="ga-IE"/>
        </w:rPr>
      </w:pPr>
      <w:r w:rsidRPr="000E07C7">
        <w:rPr>
          <w:lang w:val="ga-IE"/>
        </w:rPr>
        <w:t xml:space="preserve">D’úsáid an tÚdarás Náisiúnta Míchumais </w:t>
      </w:r>
      <w:proofErr w:type="spellStart"/>
      <w:r w:rsidRPr="000E07C7">
        <w:rPr>
          <w:lang w:val="ga-IE"/>
        </w:rPr>
        <w:t>micreashonraí</w:t>
      </w:r>
      <w:proofErr w:type="spellEnd"/>
      <w:r w:rsidRPr="000E07C7">
        <w:rPr>
          <w:lang w:val="ga-IE"/>
        </w:rPr>
        <w:t xml:space="preserve"> ón suirbhé ‘Ag Fás Aníos in Éirinn’ chun anailís a dhéanamh ar conas a d’éirigh le siblíní i dteaghlaigh ina raibh leanbh atá faoi mhíchumas. Thug an fhianaise le fios </w:t>
      </w:r>
      <w:r w:rsidRPr="000E07C7">
        <w:rPr>
          <w:lang w:val="ga-IE"/>
        </w:rPr>
        <w:lastRenderedPageBreak/>
        <w:t xml:space="preserve">gur éirigh go maith leo, seachas i gcásanna ina raibh deacrachtaí tromchúiseacha ag an máthair chun déileáil leis na deacrachtaí í féin. </w:t>
      </w:r>
    </w:p>
    <w:p w14:paraId="72AEB896" w14:textId="77777777" w:rsidR="000E07C7" w:rsidRPr="000E07C7" w:rsidRDefault="000E07C7" w:rsidP="000E07C7">
      <w:pPr>
        <w:pStyle w:val="Heading3"/>
        <w:rPr>
          <w:lang w:val="ga-IE"/>
        </w:rPr>
      </w:pPr>
      <w:r w:rsidRPr="000E07C7">
        <w:rPr>
          <w:lang w:val="ga-IE"/>
        </w:rPr>
        <w:t>Daoine a bhfuil deacrachtaí mothúchánacha, iompair nó meabhairshláinte acu</w:t>
      </w:r>
    </w:p>
    <w:p w14:paraId="33EC4D13" w14:textId="77777777" w:rsidR="000E07C7" w:rsidRPr="000E07C7" w:rsidRDefault="000E07C7" w:rsidP="000E07C7">
      <w:pPr>
        <w:rPr>
          <w:lang w:val="ga-IE"/>
        </w:rPr>
      </w:pPr>
      <w:r w:rsidRPr="000E07C7">
        <w:rPr>
          <w:lang w:val="ga-IE"/>
        </w:rPr>
        <w:t xml:space="preserve">Rinne taighde a choimisiúnaigh an ÚNM anailís ar na sonraí ón Suirbhé Náisiúnta Míchumais ar dhaoine a bhfuil deacrachtaí mothúchánacha, iompair nó meabhairshláinte acu. Ar cheann de na </w:t>
      </w:r>
      <w:proofErr w:type="spellStart"/>
      <w:r w:rsidRPr="000E07C7">
        <w:rPr>
          <w:lang w:val="ga-IE"/>
        </w:rPr>
        <w:t>príomhthorthaí</w:t>
      </w:r>
      <w:proofErr w:type="spellEnd"/>
      <w:r w:rsidRPr="000E07C7">
        <w:rPr>
          <w:lang w:val="ga-IE"/>
        </w:rPr>
        <w:t xml:space="preserve">, deimhníodh go raibh ar a laghad saghas amháin eile de mhíchumas ar naonúr as gach deichniúr a raibh deacracht mheabhairshláinte acu, agus i dtromlach na gcásanna, ainmníodh an míchumas eile mar a bpríomh-mhíchumas. Léiríonn an taighde gur cheart go mbeadh tacaíocht le meabhairshláinte dhaoine mar chuid lárnach de thacaíocht mhíchumais. I gcomparáid le míchumas eile, ba dhóchúla go raibh stiogma ar dhaoine ar a raibh </w:t>
      </w:r>
      <w:proofErr w:type="spellStart"/>
      <w:r w:rsidRPr="000E07C7">
        <w:rPr>
          <w:lang w:val="ga-IE"/>
        </w:rPr>
        <w:t>riochtaí</w:t>
      </w:r>
      <w:proofErr w:type="spellEnd"/>
      <w:r w:rsidRPr="000E07C7">
        <w:rPr>
          <w:lang w:val="ga-IE"/>
        </w:rPr>
        <w:t xml:space="preserve"> meabhairshláinte, agus ba dhóchúla gur sheachain siad rudaí a dhéanamh mar gheall ar </w:t>
      </w:r>
      <w:proofErr w:type="spellStart"/>
      <w:r w:rsidRPr="000E07C7">
        <w:rPr>
          <w:lang w:val="ga-IE"/>
        </w:rPr>
        <w:t>mheonta</w:t>
      </w:r>
      <w:proofErr w:type="spellEnd"/>
      <w:r w:rsidRPr="000E07C7">
        <w:rPr>
          <w:lang w:val="ga-IE"/>
        </w:rPr>
        <w:t xml:space="preserve"> daoine eile. </w:t>
      </w:r>
      <w:proofErr w:type="spellStart"/>
      <w:r w:rsidRPr="000E07C7">
        <w:rPr>
          <w:lang w:val="ga-IE"/>
        </w:rPr>
        <w:t>Chomhfhoilsigh</w:t>
      </w:r>
      <w:proofErr w:type="spellEnd"/>
      <w:r w:rsidRPr="000E07C7">
        <w:rPr>
          <w:lang w:val="ga-IE"/>
        </w:rPr>
        <w:t xml:space="preserve"> an ÚNM agus an ITES an taighde.</w:t>
      </w:r>
    </w:p>
    <w:p w14:paraId="0B55B20A" w14:textId="77777777" w:rsidR="000E07C7" w:rsidRPr="000E07C7" w:rsidRDefault="000E07C7" w:rsidP="000E07C7">
      <w:pPr>
        <w:pStyle w:val="Heading3"/>
        <w:rPr>
          <w:lang w:val="ga-IE"/>
        </w:rPr>
      </w:pPr>
      <w:proofErr w:type="spellStart"/>
      <w:r w:rsidRPr="000E07C7">
        <w:rPr>
          <w:lang w:val="ga-IE"/>
        </w:rPr>
        <w:t>Teileachúram</w:t>
      </w:r>
      <w:proofErr w:type="spellEnd"/>
      <w:r w:rsidRPr="000E07C7">
        <w:rPr>
          <w:lang w:val="ga-IE"/>
        </w:rPr>
        <w:t xml:space="preserve">, </w:t>
      </w:r>
      <w:proofErr w:type="spellStart"/>
      <w:r w:rsidRPr="000E07C7">
        <w:rPr>
          <w:lang w:val="ga-IE"/>
        </w:rPr>
        <w:t>teileashláinte</w:t>
      </w:r>
      <w:proofErr w:type="spellEnd"/>
      <w:r w:rsidRPr="000E07C7">
        <w:rPr>
          <w:lang w:val="ga-IE"/>
        </w:rPr>
        <w:t xml:space="preserve"> agus teicneolaíocht oiriúnaitheach </w:t>
      </w:r>
    </w:p>
    <w:p w14:paraId="719BDED4" w14:textId="77777777" w:rsidR="000E07C7" w:rsidRPr="000E07C7" w:rsidRDefault="000E07C7" w:rsidP="000E07C7">
      <w:pPr>
        <w:rPr>
          <w:lang w:val="ga-IE"/>
        </w:rPr>
      </w:pPr>
      <w:r w:rsidRPr="000E07C7">
        <w:rPr>
          <w:lang w:val="ga-IE"/>
        </w:rPr>
        <w:t xml:space="preserve">Lean dhá staidéar choimisiúnaithe taighde, ar </w:t>
      </w:r>
      <w:proofErr w:type="spellStart"/>
      <w:r w:rsidRPr="000E07C7">
        <w:rPr>
          <w:lang w:val="ga-IE"/>
        </w:rPr>
        <w:t>theileashláinte</w:t>
      </w:r>
      <w:proofErr w:type="spellEnd"/>
      <w:r w:rsidRPr="000E07C7">
        <w:rPr>
          <w:lang w:val="ga-IE"/>
        </w:rPr>
        <w:t xml:space="preserve"> agus </w:t>
      </w:r>
      <w:proofErr w:type="spellStart"/>
      <w:r w:rsidRPr="000E07C7">
        <w:rPr>
          <w:lang w:val="ga-IE"/>
        </w:rPr>
        <w:t>theileachúram</w:t>
      </w:r>
      <w:proofErr w:type="spellEnd"/>
      <w:r w:rsidRPr="000E07C7">
        <w:rPr>
          <w:lang w:val="ga-IE"/>
        </w:rPr>
        <w:t>, agus ar anailís ar thacar sonraí an tSuirbhé Náisiúnta Míchumais maidir le teicneolaíocht oiriúnaitheach, ar aghaidh in 2014 agus meastar go gcríochnófar iad in 2015.</w:t>
      </w:r>
    </w:p>
    <w:p w14:paraId="03C069E0" w14:textId="77777777" w:rsidR="000E07C7" w:rsidRPr="000E07C7" w:rsidRDefault="000E07C7" w:rsidP="000E07C7">
      <w:pPr>
        <w:pStyle w:val="Heading3"/>
        <w:rPr>
          <w:lang w:val="ga-IE"/>
        </w:rPr>
      </w:pPr>
      <w:r w:rsidRPr="000E07C7">
        <w:rPr>
          <w:lang w:val="ga-IE"/>
        </w:rPr>
        <w:t>Scéim Deontas um Chur chun Cinn Taighde</w:t>
      </w:r>
    </w:p>
    <w:p w14:paraId="07AA576C" w14:textId="77777777" w:rsidR="000E07C7" w:rsidRPr="000E07C7" w:rsidRDefault="000E07C7" w:rsidP="000E07C7">
      <w:pPr>
        <w:rPr>
          <w:lang w:val="ga-IE"/>
        </w:rPr>
      </w:pPr>
      <w:r w:rsidRPr="000E07C7">
        <w:rPr>
          <w:lang w:val="ga-IE"/>
        </w:rPr>
        <w:t xml:space="preserve">Tugann an tÚdarás Náisiúnta Míchumais cuireadh do </w:t>
      </w:r>
      <w:proofErr w:type="spellStart"/>
      <w:r w:rsidRPr="000E07C7">
        <w:rPr>
          <w:lang w:val="ga-IE"/>
        </w:rPr>
        <w:t>thograí</w:t>
      </w:r>
      <w:proofErr w:type="spellEnd"/>
      <w:r w:rsidRPr="000E07C7">
        <w:rPr>
          <w:lang w:val="ga-IE"/>
        </w:rPr>
        <w:t xml:space="preserve"> gach bliain faoina Scéim Deontas um Chur chun Cinn Taighde faoi théama sonrach, agus roghnaíonn siad na tionscadail atá le cistiú trí phróiseas iomaíoch atá bunaithe ar chritéir lena n-áirítear cáilíocht an togra, agus a mhéid a bhaineann siad le beartas nó cleachtas. </w:t>
      </w:r>
    </w:p>
    <w:p w14:paraId="2CE881AF" w14:textId="77777777" w:rsidR="000E07C7" w:rsidRPr="000E07C7" w:rsidRDefault="000E07C7" w:rsidP="000E07C7">
      <w:pPr>
        <w:rPr>
          <w:lang w:val="ga-IE"/>
        </w:rPr>
      </w:pPr>
      <w:r w:rsidRPr="000E07C7">
        <w:rPr>
          <w:lang w:val="ga-IE"/>
        </w:rPr>
        <w:t xml:space="preserve">Foilsíodh ceann de na tionscadail a </w:t>
      </w:r>
      <w:proofErr w:type="spellStart"/>
      <w:r w:rsidRPr="000E07C7">
        <w:rPr>
          <w:lang w:val="ga-IE"/>
        </w:rPr>
        <w:t>cistíodh</w:t>
      </w:r>
      <w:proofErr w:type="spellEnd"/>
      <w:r w:rsidRPr="000E07C7">
        <w:rPr>
          <w:lang w:val="ga-IE"/>
        </w:rPr>
        <w:t xml:space="preserve"> faoi Scéim 2013, ar théama daoine atá faoi mhíchumas faighte a chónaíonn sa phobal, in 2014. Thug Coláiste na hOllscoile, Corcaigh faoin taighde dar teideal </w:t>
      </w:r>
      <w:r w:rsidR="00771CAA">
        <w:rPr>
          <w:lang w:val="ga-IE"/>
        </w:rPr>
        <w:t>“</w:t>
      </w:r>
      <w:r w:rsidRPr="000E07C7">
        <w:rPr>
          <w:lang w:val="ga-IE"/>
        </w:rPr>
        <w:t>Ag Maireachtáil le Gortú Faighte Inchinne</w:t>
      </w:r>
      <w:r w:rsidR="00771CAA">
        <w:rPr>
          <w:lang w:val="ga-IE"/>
        </w:rPr>
        <w:t>”</w:t>
      </w:r>
      <w:r w:rsidRPr="000E07C7">
        <w:rPr>
          <w:lang w:val="ga-IE"/>
        </w:rPr>
        <w:t xml:space="preserve"> (</w:t>
      </w:r>
      <w:r w:rsidR="00771CAA">
        <w:rPr>
          <w:lang w:val="ga-IE"/>
        </w:rPr>
        <w:t>“</w:t>
      </w:r>
      <w:r w:rsidRPr="00771CAA">
        <w:t>Living with an Acquired Brain Injury</w:t>
      </w:r>
      <w:r w:rsidR="00771CAA">
        <w:rPr>
          <w:lang w:val="ga-IE"/>
        </w:rPr>
        <w:t>”</w:t>
      </w:r>
      <w:r w:rsidRPr="000E07C7">
        <w:rPr>
          <w:lang w:val="ga-IE"/>
        </w:rPr>
        <w:t>).</w:t>
      </w:r>
      <w:r w:rsidR="00D00624">
        <w:rPr>
          <w:lang w:val="ga-IE"/>
        </w:rPr>
        <w:t xml:space="preserve"> </w:t>
      </w:r>
      <w:r w:rsidRPr="000E07C7">
        <w:rPr>
          <w:lang w:val="ga-IE"/>
        </w:rPr>
        <w:t xml:space="preserve">Dheimhnigh an tionscadal gurbh iad </w:t>
      </w:r>
      <w:proofErr w:type="spellStart"/>
      <w:r w:rsidRPr="000E07C7">
        <w:rPr>
          <w:lang w:val="ga-IE"/>
        </w:rPr>
        <w:t>neasteaghlach</w:t>
      </w:r>
      <w:proofErr w:type="spellEnd"/>
      <w:r w:rsidRPr="000E07C7">
        <w:rPr>
          <w:lang w:val="ga-IE"/>
        </w:rPr>
        <w:t xml:space="preserve"> agus cairde daoine na tacaíochtaí is tábhachtaí, mar aon le grúpaí </w:t>
      </w:r>
      <w:proofErr w:type="spellStart"/>
      <w:r w:rsidRPr="000E07C7">
        <w:rPr>
          <w:lang w:val="ga-IE"/>
        </w:rPr>
        <w:t>piarthacaíochta</w:t>
      </w:r>
      <w:proofErr w:type="spellEnd"/>
      <w:r w:rsidRPr="000E07C7">
        <w:rPr>
          <w:lang w:val="ga-IE"/>
        </w:rPr>
        <w:t>; agus comharsana agus eagraíochtaí pobalbhunaithe, ar nós grúpaí spóirt nó grúpaí atá bunaithe ar ghníomhaíochtaí ina dhiaidh sin.</w:t>
      </w:r>
      <w:r w:rsidR="00D00624">
        <w:rPr>
          <w:lang w:val="ga-IE"/>
        </w:rPr>
        <w:t xml:space="preserve"> </w:t>
      </w:r>
      <w:r w:rsidRPr="000E07C7">
        <w:rPr>
          <w:lang w:val="ga-IE"/>
        </w:rPr>
        <w:t xml:space="preserve">De réir mar a aistríonn daoine atá faoi mhíchumas ó sheirbhísí sláinte ard-déine, chuig seirbhísí athshlánaithe, agus ar ais chuig an bpobal, leag an tuarascáil béim </w:t>
      </w:r>
      <w:r w:rsidRPr="000E07C7">
        <w:rPr>
          <w:lang w:val="ga-IE"/>
        </w:rPr>
        <w:lastRenderedPageBreak/>
        <w:t xml:space="preserve">air go mbaineann ríthábhacht le haistrithe míne agus </w:t>
      </w:r>
      <w:proofErr w:type="spellStart"/>
      <w:r w:rsidRPr="000E07C7">
        <w:rPr>
          <w:lang w:val="ga-IE"/>
        </w:rPr>
        <w:t>idirnascacht</w:t>
      </w:r>
      <w:proofErr w:type="spellEnd"/>
      <w:r w:rsidRPr="000E07C7">
        <w:rPr>
          <w:lang w:val="ga-IE"/>
        </w:rPr>
        <w:t xml:space="preserve"> seirbhísí chun an próiseas téarnaimh seo a éascú. </w:t>
      </w:r>
    </w:p>
    <w:p w14:paraId="6EC3D9EF" w14:textId="77777777" w:rsidR="000E07C7" w:rsidRPr="000E07C7" w:rsidRDefault="000E07C7" w:rsidP="000E07C7">
      <w:pPr>
        <w:pStyle w:val="Heading4"/>
        <w:spacing w:line="320" w:lineRule="atLeast"/>
        <w:rPr>
          <w:lang w:val="ga-IE"/>
        </w:rPr>
      </w:pPr>
      <w:r w:rsidRPr="000E07C7">
        <w:rPr>
          <w:lang w:val="ga-IE"/>
        </w:rPr>
        <w:t>Deontais taighde a bronnadh in 2014</w:t>
      </w:r>
    </w:p>
    <w:p w14:paraId="6A8C8AFA" w14:textId="77777777" w:rsidR="000E07C7" w:rsidRPr="000E07C7" w:rsidRDefault="000E07C7" w:rsidP="000E07C7">
      <w:pPr>
        <w:pStyle w:val="NormalBeforeList"/>
        <w:rPr>
          <w:lang w:val="ga-IE"/>
        </w:rPr>
      </w:pPr>
      <w:r w:rsidRPr="000E07C7">
        <w:rPr>
          <w:lang w:val="ga-IE"/>
        </w:rPr>
        <w:t xml:space="preserve">Ba iad fostaíocht agus míchumas an téama do </w:t>
      </w:r>
      <w:proofErr w:type="spellStart"/>
      <w:r w:rsidRPr="000E07C7">
        <w:rPr>
          <w:lang w:val="ga-IE"/>
        </w:rPr>
        <w:t>bhabhta</w:t>
      </w:r>
      <w:proofErr w:type="spellEnd"/>
      <w:r w:rsidRPr="000E07C7">
        <w:rPr>
          <w:lang w:val="ga-IE"/>
        </w:rPr>
        <w:t xml:space="preserve"> deontas 2014, agus </w:t>
      </w:r>
      <w:proofErr w:type="spellStart"/>
      <w:r w:rsidRPr="000E07C7">
        <w:rPr>
          <w:lang w:val="ga-IE"/>
        </w:rPr>
        <w:t>cistíodh</w:t>
      </w:r>
      <w:proofErr w:type="spellEnd"/>
      <w:r w:rsidRPr="000E07C7">
        <w:rPr>
          <w:lang w:val="ga-IE"/>
        </w:rPr>
        <w:t xml:space="preserve"> na tionscadail a leanas:</w:t>
      </w:r>
    </w:p>
    <w:p w14:paraId="2CBC7B0E" w14:textId="77777777" w:rsidR="000E07C7" w:rsidRPr="000E07C7" w:rsidRDefault="000E07C7" w:rsidP="000E07C7">
      <w:pPr>
        <w:pStyle w:val="ListBullet"/>
        <w:rPr>
          <w:lang w:val="ga-IE"/>
        </w:rPr>
      </w:pPr>
      <w:r w:rsidRPr="000E07C7">
        <w:rPr>
          <w:lang w:val="ga-IE"/>
        </w:rPr>
        <w:t>Anailís ar shonraí faoi fhostaíocht ón Suirbhé Náisiúnta Míchumais (ITES)</w:t>
      </w:r>
    </w:p>
    <w:p w14:paraId="55C98095" w14:textId="77777777" w:rsidR="000E07C7" w:rsidRPr="000E07C7" w:rsidRDefault="000E07C7" w:rsidP="000E07C7">
      <w:pPr>
        <w:pStyle w:val="ListBullet"/>
        <w:rPr>
          <w:lang w:val="ga-IE"/>
        </w:rPr>
      </w:pPr>
      <w:r w:rsidRPr="000E07C7">
        <w:rPr>
          <w:lang w:val="ga-IE"/>
        </w:rPr>
        <w:t>Na tosca a fhiosrú a bhaineann le filleadh ar obair i ndiaidh stróc (Coláiste Ríoga na Máinlianna in Éirinn)</w:t>
      </w:r>
    </w:p>
    <w:p w14:paraId="2E56AC52" w14:textId="77777777" w:rsidR="000E07C7" w:rsidRPr="000E07C7" w:rsidRDefault="000E07C7" w:rsidP="000E07C7">
      <w:pPr>
        <w:pStyle w:val="ListBullet"/>
        <w:rPr>
          <w:lang w:val="ga-IE"/>
        </w:rPr>
      </w:pPr>
      <w:r w:rsidRPr="000E07C7">
        <w:rPr>
          <w:lang w:val="ga-IE"/>
        </w:rPr>
        <w:t xml:space="preserve">Tionchar na tuirse ar chumas oibre daoine ar a bhfuil galair </w:t>
      </w:r>
      <w:proofErr w:type="spellStart"/>
      <w:r w:rsidRPr="000E07C7">
        <w:rPr>
          <w:lang w:val="ga-IE"/>
        </w:rPr>
        <w:t>réamatacha</w:t>
      </w:r>
      <w:proofErr w:type="spellEnd"/>
      <w:r w:rsidRPr="000E07C7">
        <w:rPr>
          <w:lang w:val="ga-IE"/>
        </w:rPr>
        <w:t xml:space="preserve"> (Coláiste na Tríonóide, Baile Átha Cliath)</w:t>
      </w:r>
    </w:p>
    <w:p w14:paraId="4E1D979C" w14:textId="77777777" w:rsidR="000E07C7" w:rsidRPr="000E07C7" w:rsidRDefault="000E07C7" w:rsidP="000E07C7">
      <w:pPr>
        <w:pStyle w:val="ListBullet"/>
        <w:rPr>
          <w:lang w:val="ga-IE"/>
        </w:rPr>
      </w:pPr>
      <w:r w:rsidRPr="000E07C7">
        <w:rPr>
          <w:lang w:val="ga-IE"/>
        </w:rPr>
        <w:t>Aistrithe ó oideachas/oiliúint chuig fostaíocht i measc daoine atá faoi mhíchumas (Ollscoil Chathair Bhaile Átha Cliath)</w:t>
      </w:r>
    </w:p>
    <w:p w14:paraId="604E22FF" w14:textId="77777777" w:rsidR="000E07C7" w:rsidRPr="000E07C7" w:rsidRDefault="000E07C7" w:rsidP="000E07C7">
      <w:pPr>
        <w:pStyle w:val="Heading2"/>
        <w:rPr>
          <w:lang w:val="ga-IE"/>
        </w:rPr>
      </w:pPr>
      <w:r w:rsidRPr="000E07C7">
        <w:rPr>
          <w:lang w:val="ga-IE"/>
        </w:rPr>
        <w:t xml:space="preserve">Taighde ar Leithdháileadh Acmhainní </w:t>
      </w:r>
    </w:p>
    <w:p w14:paraId="30A17CFC" w14:textId="77777777" w:rsidR="000E07C7" w:rsidRPr="000E07C7" w:rsidRDefault="000E07C7" w:rsidP="000E07C7">
      <w:pPr>
        <w:rPr>
          <w:lang w:val="ga-IE"/>
        </w:rPr>
      </w:pPr>
      <w:r w:rsidRPr="000E07C7">
        <w:rPr>
          <w:lang w:val="ga-IE"/>
        </w:rPr>
        <w:t xml:space="preserve">Chríochnaigh an tÚdarás Náisiúnta Míchumais a measúnacht ar thoradh an dara tástáil allamuigh de chórais leithdháilte acmhainní le haghaidh seirbhísí míchumais, agus cuireadh córais FACE agus </w:t>
      </w:r>
      <w:proofErr w:type="spellStart"/>
      <w:r w:rsidRPr="000E07C7">
        <w:rPr>
          <w:lang w:val="ga-IE"/>
        </w:rPr>
        <w:t>InterRAI</w:t>
      </w:r>
      <w:proofErr w:type="spellEnd"/>
      <w:r w:rsidRPr="000E07C7">
        <w:rPr>
          <w:lang w:val="ga-IE"/>
        </w:rPr>
        <w:t xml:space="preserve"> i gcomparáid lena chéile, agus tugadh faoi anailís chomparáideach ar na ceithre chóras ar a ndearnadh staidéar thar an dá thástáil allamuigh. Tá páipéar comhairle á ullmhú.</w:t>
      </w:r>
    </w:p>
    <w:p w14:paraId="3E449C0D" w14:textId="77777777" w:rsidR="000E07C7" w:rsidRPr="000E07C7" w:rsidRDefault="000E07C7" w:rsidP="000E07C7">
      <w:pPr>
        <w:pStyle w:val="Heading2"/>
        <w:rPr>
          <w:lang w:val="ga-IE"/>
        </w:rPr>
      </w:pPr>
      <w:proofErr w:type="spellStart"/>
      <w:r w:rsidRPr="000E07C7">
        <w:rPr>
          <w:lang w:val="ga-IE"/>
        </w:rPr>
        <w:t>Meonta</w:t>
      </w:r>
      <w:proofErr w:type="spellEnd"/>
      <w:r w:rsidRPr="000E07C7">
        <w:rPr>
          <w:lang w:val="ga-IE"/>
        </w:rPr>
        <w:t xml:space="preserve"> dearfacha i leith míchumais a chur chun cinn</w:t>
      </w:r>
    </w:p>
    <w:p w14:paraId="692363A8" w14:textId="77777777" w:rsidR="000E07C7" w:rsidRPr="000E07C7" w:rsidRDefault="000E07C7" w:rsidP="000E07C7">
      <w:pPr>
        <w:rPr>
          <w:lang w:val="ga-IE"/>
        </w:rPr>
      </w:pPr>
      <w:r w:rsidRPr="000E07C7">
        <w:rPr>
          <w:lang w:val="ga-IE"/>
        </w:rPr>
        <w:t>D’fhoilsigh an ÚNM tuarascáil an chomhairliúcháin “Do Ghlór, Do Rogha” (“</w:t>
      </w:r>
      <w:r w:rsidRPr="00771CAA">
        <w:t>Your Voice, Your Choice</w:t>
      </w:r>
      <w:r w:rsidRPr="000E07C7">
        <w:rPr>
          <w:lang w:val="ga-IE"/>
        </w:rPr>
        <w:t xml:space="preserve">”) a bhí ar siúl ag deireadh na bliana 2013 i dteannta daoine atá faoi mhíchumas agus a dteaghlaigh maidir le </w:t>
      </w:r>
      <w:proofErr w:type="spellStart"/>
      <w:r w:rsidRPr="000E07C7">
        <w:rPr>
          <w:lang w:val="ga-IE"/>
        </w:rPr>
        <w:t>meonta</w:t>
      </w:r>
      <w:proofErr w:type="spellEnd"/>
      <w:r w:rsidRPr="000E07C7">
        <w:rPr>
          <w:lang w:val="ga-IE"/>
        </w:rPr>
        <w:t xml:space="preserve"> poiblí i leith daoine atá faoi mhíchumas, agus céimeanna dearfacha a bhféadfaí tabhairt fúthu i dtreo feabhas a chur ar </w:t>
      </w:r>
      <w:proofErr w:type="spellStart"/>
      <w:r w:rsidRPr="000E07C7">
        <w:rPr>
          <w:lang w:val="ga-IE"/>
        </w:rPr>
        <w:t>mheonta</w:t>
      </w:r>
      <w:proofErr w:type="spellEnd"/>
      <w:r w:rsidRPr="000E07C7">
        <w:rPr>
          <w:lang w:val="ga-IE"/>
        </w:rPr>
        <w:t>.</w:t>
      </w:r>
    </w:p>
    <w:p w14:paraId="0DB30212" w14:textId="77777777" w:rsidR="000E07C7" w:rsidRPr="000E07C7" w:rsidRDefault="000E07C7" w:rsidP="000E07C7">
      <w:pPr>
        <w:pStyle w:val="Heading2"/>
        <w:rPr>
          <w:lang w:val="ga-IE"/>
        </w:rPr>
      </w:pPr>
      <w:r w:rsidRPr="000E07C7">
        <w:rPr>
          <w:lang w:val="ga-IE"/>
        </w:rPr>
        <w:t>Comhdháil Bhliantúil 2014 – Daoine atá faoi mhíchumas a fhostú</w:t>
      </w:r>
    </w:p>
    <w:p w14:paraId="27631E71" w14:textId="77777777" w:rsidR="000E07C7" w:rsidRPr="000E07C7" w:rsidRDefault="000E07C7" w:rsidP="000E07C7">
      <w:pPr>
        <w:rPr>
          <w:lang w:val="ga-IE"/>
        </w:rPr>
      </w:pPr>
      <w:r w:rsidRPr="000E07C7">
        <w:rPr>
          <w:lang w:val="ga-IE"/>
        </w:rPr>
        <w:t xml:space="preserve">Cuireadh Comhdháil Bhliantúil an Údaráis Náisiúnta Mhíchumais ar bun i nDeireadh Fómhair ar théama na fostaíochta. I measc na n-aoichainteoirí, bhí an Seanadóir Fergal Quinn; an </w:t>
      </w:r>
      <w:proofErr w:type="spellStart"/>
      <w:r w:rsidRPr="000E07C7">
        <w:rPr>
          <w:lang w:val="ga-IE"/>
        </w:rPr>
        <w:t>Dr</w:t>
      </w:r>
      <w:proofErr w:type="spellEnd"/>
      <w:r w:rsidRPr="000E07C7">
        <w:rPr>
          <w:lang w:val="ga-IE"/>
        </w:rPr>
        <w:t xml:space="preserve"> Michael </w:t>
      </w:r>
      <w:proofErr w:type="spellStart"/>
      <w:r w:rsidRPr="000E07C7">
        <w:rPr>
          <w:lang w:val="ga-IE"/>
        </w:rPr>
        <w:t>Prince</w:t>
      </w:r>
      <w:proofErr w:type="spellEnd"/>
      <w:r w:rsidRPr="000E07C7">
        <w:rPr>
          <w:lang w:val="ga-IE"/>
        </w:rPr>
        <w:t xml:space="preserve">, Ollscoil </w:t>
      </w:r>
      <w:proofErr w:type="spellStart"/>
      <w:r w:rsidRPr="000E07C7">
        <w:rPr>
          <w:lang w:val="ga-IE"/>
        </w:rPr>
        <w:t>Victoria</w:t>
      </w:r>
      <w:proofErr w:type="spellEnd"/>
      <w:r w:rsidRPr="000E07C7">
        <w:rPr>
          <w:lang w:val="ga-IE"/>
        </w:rPr>
        <w:t xml:space="preserve">; Gráinne </w:t>
      </w:r>
      <w:proofErr w:type="spellStart"/>
      <w:r w:rsidRPr="000E07C7">
        <w:rPr>
          <w:lang w:val="ga-IE"/>
        </w:rPr>
        <w:t>Berrill</w:t>
      </w:r>
      <w:proofErr w:type="spellEnd"/>
      <w:r w:rsidRPr="000E07C7">
        <w:rPr>
          <w:lang w:val="ga-IE"/>
        </w:rPr>
        <w:t xml:space="preserve">, </w:t>
      </w:r>
      <w:proofErr w:type="spellStart"/>
      <w:r w:rsidRPr="000E07C7">
        <w:rPr>
          <w:lang w:val="ga-IE"/>
        </w:rPr>
        <w:t>Piarthionscadal</w:t>
      </w:r>
      <w:proofErr w:type="spellEnd"/>
      <w:r w:rsidRPr="000E07C7">
        <w:rPr>
          <w:lang w:val="ga-IE"/>
        </w:rPr>
        <w:t xml:space="preserve"> WALK; Peter </w:t>
      </w:r>
      <w:proofErr w:type="spellStart"/>
      <w:r w:rsidRPr="000E07C7">
        <w:rPr>
          <w:lang w:val="ga-IE"/>
        </w:rPr>
        <w:t>Furlong</w:t>
      </w:r>
      <w:proofErr w:type="spellEnd"/>
      <w:r w:rsidRPr="000E07C7">
        <w:rPr>
          <w:lang w:val="ga-IE"/>
        </w:rPr>
        <w:t xml:space="preserve"> agus </w:t>
      </w:r>
      <w:proofErr w:type="spellStart"/>
      <w:r w:rsidRPr="000E07C7">
        <w:rPr>
          <w:lang w:val="ga-IE"/>
        </w:rPr>
        <w:t>Alice</w:t>
      </w:r>
      <w:proofErr w:type="spellEnd"/>
      <w:r w:rsidRPr="000E07C7">
        <w:rPr>
          <w:lang w:val="ga-IE"/>
        </w:rPr>
        <w:t xml:space="preserve"> </w:t>
      </w:r>
      <w:proofErr w:type="spellStart"/>
      <w:r w:rsidRPr="000E07C7">
        <w:rPr>
          <w:lang w:val="ga-IE"/>
        </w:rPr>
        <w:t>Kinsella</w:t>
      </w:r>
      <w:proofErr w:type="spellEnd"/>
      <w:r w:rsidRPr="000E07C7">
        <w:rPr>
          <w:lang w:val="ga-IE"/>
        </w:rPr>
        <w:t xml:space="preserve">, tionscadal </w:t>
      </w:r>
      <w:proofErr w:type="spellStart"/>
      <w:r w:rsidRPr="000E07C7">
        <w:rPr>
          <w:lang w:val="ga-IE"/>
        </w:rPr>
        <w:t>intéirneachta</w:t>
      </w:r>
      <w:proofErr w:type="spellEnd"/>
      <w:r w:rsidRPr="000E07C7">
        <w:rPr>
          <w:lang w:val="ga-IE"/>
        </w:rPr>
        <w:t xml:space="preserve"> Ospidéal an Náis; agus beirt oibrithe atá faoi </w:t>
      </w:r>
      <w:r w:rsidRPr="000E07C7">
        <w:rPr>
          <w:lang w:val="ga-IE"/>
        </w:rPr>
        <w:lastRenderedPageBreak/>
        <w:t>mhíchumas a labhair faoina gcuid eispéireas. Rinne 10 n-eagraíocht cur i láthair ag seisiún póstaer.</w:t>
      </w:r>
      <w:r w:rsidR="00D00624">
        <w:rPr>
          <w:lang w:val="ga-IE"/>
        </w:rPr>
        <w:t xml:space="preserve"> </w:t>
      </w:r>
      <w:r w:rsidRPr="000E07C7">
        <w:rPr>
          <w:lang w:val="ga-IE"/>
        </w:rPr>
        <w:t>D’fhreastail os cionn 250 duine ar an gcomhdháil.</w:t>
      </w:r>
    </w:p>
    <w:p w14:paraId="2093ADD8" w14:textId="77777777" w:rsidR="000E07C7" w:rsidRPr="000E07C7" w:rsidRDefault="000E07C7" w:rsidP="000E07C7">
      <w:pPr>
        <w:pStyle w:val="Heading2"/>
        <w:rPr>
          <w:lang w:val="ga-IE"/>
        </w:rPr>
      </w:pPr>
      <w:r w:rsidRPr="000E07C7">
        <w:rPr>
          <w:lang w:val="ga-IE"/>
        </w:rPr>
        <w:t xml:space="preserve">Seimineár ar </w:t>
      </w:r>
      <w:proofErr w:type="spellStart"/>
      <w:r w:rsidRPr="000E07C7">
        <w:rPr>
          <w:lang w:val="ga-IE"/>
        </w:rPr>
        <w:t>Luachshocrú</w:t>
      </w:r>
      <w:proofErr w:type="spellEnd"/>
      <w:r w:rsidRPr="000E07C7">
        <w:rPr>
          <w:lang w:val="ga-IE"/>
        </w:rPr>
        <w:t xml:space="preserve"> Róil Shóisialta</w:t>
      </w:r>
    </w:p>
    <w:p w14:paraId="5C80F44F" w14:textId="77777777" w:rsidR="000E07C7" w:rsidRPr="000E07C7" w:rsidRDefault="000E07C7" w:rsidP="000E07C7">
      <w:pPr>
        <w:rPr>
          <w:lang w:val="ga-IE"/>
        </w:rPr>
      </w:pPr>
      <w:r w:rsidRPr="000E07C7">
        <w:rPr>
          <w:lang w:val="ga-IE"/>
        </w:rPr>
        <w:t xml:space="preserve">Bhí an tÚdarás Náisiúnta Míchumais ina n-óstaigh ar </w:t>
      </w:r>
      <w:proofErr w:type="spellStart"/>
      <w:r w:rsidRPr="000E07C7">
        <w:rPr>
          <w:lang w:val="ga-IE"/>
        </w:rPr>
        <w:t>sheimineár</w:t>
      </w:r>
      <w:proofErr w:type="spellEnd"/>
      <w:r w:rsidRPr="000E07C7">
        <w:rPr>
          <w:lang w:val="ga-IE"/>
        </w:rPr>
        <w:t xml:space="preserve"> don </w:t>
      </w:r>
      <w:proofErr w:type="spellStart"/>
      <w:r w:rsidRPr="000E07C7">
        <w:rPr>
          <w:lang w:val="ga-IE"/>
        </w:rPr>
        <w:t>phríomhlucht</w:t>
      </w:r>
      <w:proofErr w:type="spellEnd"/>
      <w:r w:rsidRPr="000E07C7">
        <w:rPr>
          <w:lang w:val="ga-IE"/>
        </w:rPr>
        <w:t xml:space="preserve"> déanta beartais agus do </w:t>
      </w:r>
      <w:proofErr w:type="spellStart"/>
      <w:r w:rsidRPr="000E07C7">
        <w:rPr>
          <w:lang w:val="ga-IE"/>
        </w:rPr>
        <w:t>chleachtóirí</w:t>
      </w:r>
      <w:proofErr w:type="spellEnd"/>
      <w:r w:rsidRPr="000E07C7">
        <w:rPr>
          <w:lang w:val="ga-IE"/>
        </w:rPr>
        <w:t xml:space="preserve">, i dteannta an </w:t>
      </w:r>
      <w:proofErr w:type="spellStart"/>
      <w:r w:rsidRPr="000E07C7">
        <w:rPr>
          <w:lang w:val="ga-IE"/>
        </w:rPr>
        <w:t>aoichainteora</w:t>
      </w:r>
      <w:proofErr w:type="spellEnd"/>
      <w:r w:rsidRPr="000E07C7">
        <w:rPr>
          <w:lang w:val="ga-IE"/>
        </w:rPr>
        <w:t xml:space="preserve"> </w:t>
      </w:r>
      <w:proofErr w:type="spellStart"/>
      <w:r w:rsidRPr="000E07C7">
        <w:rPr>
          <w:lang w:val="ga-IE"/>
        </w:rPr>
        <w:t>shaineolaigh</w:t>
      </w:r>
      <w:proofErr w:type="spellEnd"/>
      <w:r w:rsidRPr="000E07C7">
        <w:rPr>
          <w:lang w:val="ga-IE"/>
        </w:rPr>
        <w:t xml:space="preserve">, John </w:t>
      </w:r>
      <w:proofErr w:type="spellStart"/>
      <w:r w:rsidRPr="000E07C7">
        <w:rPr>
          <w:lang w:val="ga-IE"/>
        </w:rPr>
        <w:t>Armstrong</w:t>
      </w:r>
      <w:proofErr w:type="spellEnd"/>
      <w:r w:rsidRPr="000E07C7">
        <w:rPr>
          <w:lang w:val="ga-IE"/>
        </w:rPr>
        <w:t>, lena fhiosrú conas is féidir tacú le daoine atá faoi mhíchumas go léireofar luach ar a róil shóisialta ina dteaghlaigh agus a bpobail (“</w:t>
      </w:r>
      <w:proofErr w:type="spellStart"/>
      <w:r w:rsidRPr="000E07C7">
        <w:rPr>
          <w:lang w:val="ga-IE"/>
        </w:rPr>
        <w:t>luachshocrú</w:t>
      </w:r>
      <w:proofErr w:type="spellEnd"/>
      <w:r w:rsidRPr="000E07C7">
        <w:rPr>
          <w:lang w:val="ga-IE"/>
        </w:rPr>
        <w:t xml:space="preserve"> róil shóisialta”), agus conas a d’fhéadfaí an ról seo a chuimsiú i bpleanáil </w:t>
      </w:r>
      <w:proofErr w:type="spellStart"/>
      <w:r w:rsidRPr="000E07C7">
        <w:rPr>
          <w:lang w:val="ga-IE"/>
        </w:rPr>
        <w:t>dhuinelárnach</w:t>
      </w:r>
      <w:proofErr w:type="spellEnd"/>
      <w:r w:rsidRPr="000E07C7">
        <w:rPr>
          <w:lang w:val="ga-IE"/>
        </w:rPr>
        <w:t xml:space="preserve"> i seirbhísí míchumais.</w:t>
      </w:r>
    </w:p>
    <w:p w14:paraId="5A29676B" w14:textId="77777777" w:rsidR="000E07C7" w:rsidRPr="000E07C7" w:rsidRDefault="000E07C7" w:rsidP="000E07C7">
      <w:pPr>
        <w:pStyle w:val="Heading2"/>
        <w:rPr>
          <w:lang w:val="ga-IE"/>
        </w:rPr>
      </w:pPr>
      <w:r w:rsidRPr="000E07C7">
        <w:rPr>
          <w:lang w:val="ga-IE"/>
        </w:rPr>
        <w:t xml:space="preserve">Cruinniú </w:t>
      </w:r>
      <w:proofErr w:type="spellStart"/>
      <w:r w:rsidRPr="000E07C7">
        <w:rPr>
          <w:lang w:val="ga-IE"/>
        </w:rPr>
        <w:t>comhchéime</w:t>
      </w:r>
      <w:proofErr w:type="spellEnd"/>
      <w:r w:rsidRPr="000E07C7">
        <w:rPr>
          <w:lang w:val="ga-IE"/>
        </w:rPr>
        <w:t xml:space="preserve"> maidir le tuismitheoirí agus tuistiú faoi mhíchumas</w:t>
      </w:r>
    </w:p>
    <w:p w14:paraId="01716338" w14:textId="77777777" w:rsidR="000E07C7" w:rsidRPr="000E07C7" w:rsidRDefault="000E07C7" w:rsidP="000E07C7">
      <w:pPr>
        <w:rPr>
          <w:lang w:val="ga-IE"/>
        </w:rPr>
      </w:pPr>
      <w:r w:rsidRPr="000E07C7">
        <w:rPr>
          <w:lang w:val="ga-IE"/>
        </w:rPr>
        <w:t xml:space="preserve">Rinne an ÚNM </w:t>
      </w:r>
      <w:proofErr w:type="spellStart"/>
      <w:r w:rsidRPr="000E07C7">
        <w:rPr>
          <w:lang w:val="ga-IE"/>
        </w:rPr>
        <w:t>comhóstáil</w:t>
      </w:r>
      <w:proofErr w:type="spellEnd"/>
      <w:r w:rsidRPr="000E07C7">
        <w:rPr>
          <w:lang w:val="ga-IE"/>
        </w:rPr>
        <w:t xml:space="preserve"> ar Chruinniú Comhchéime leis an nGníomhaireacht um Leanaí agus an Teaghlach (TÚSLA) ar shaincheisteanna agus dúshláin atá roimh thuismitheoirí agus tuistiú faoi mhíchumas a dhéanamh.</w:t>
      </w:r>
      <w:r w:rsidR="00D00624">
        <w:rPr>
          <w:lang w:val="ga-IE"/>
        </w:rPr>
        <w:t xml:space="preserve"> </w:t>
      </w:r>
      <w:r w:rsidRPr="000E07C7">
        <w:rPr>
          <w:lang w:val="ga-IE"/>
        </w:rPr>
        <w:t xml:space="preserve">I measc na rannpháirtithe, bhí TÚSLA, FSS, eagraíochtaí míchumais, soláthraithe seirbhís mhíchumais, an tSeirbhís Náisiúnta Abhcóideachta agus an Bord um Fhaisnéis do Shaoránaigh. Tugadh an tuarascáil ón gcruinniú </w:t>
      </w:r>
      <w:proofErr w:type="spellStart"/>
      <w:r w:rsidRPr="000E07C7">
        <w:rPr>
          <w:lang w:val="ga-IE"/>
        </w:rPr>
        <w:t>comhchéime</w:t>
      </w:r>
      <w:proofErr w:type="spellEnd"/>
      <w:r w:rsidRPr="000E07C7">
        <w:rPr>
          <w:lang w:val="ga-IE"/>
        </w:rPr>
        <w:t xml:space="preserve"> do TÚSLA go dtabharfar treoir ar na chéad chéimeanna eile.</w:t>
      </w:r>
    </w:p>
    <w:p w14:paraId="75F80BAB" w14:textId="77777777" w:rsidR="000E07C7" w:rsidRPr="000E07C7" w:rsidRDefault="000E07C7" w:rsidP="000E07C7">
      <w:pPr>
        <w:pStyle w:val="Heading2"/>
        <w:rPr>
          <w:lang w:val="ga-IE"/>
        </w:rPr>
      </w:pPr>
      <w:r w:rsidRPr="000E07C7">
        <w:rPr>
          <w:lang w:val="ga-IE"/>
        </w:rPr>
        <w:t>Seimineár ar thacú le mic léinn tríú leibhéal atá faoi mhíchumas</w:t>
      </w:r>
    </w:p>
    <w:p w14:paraId="47E4A565" w14:textId="77777777" w:rsidR="000E07C7" w:rsidRPr="000E07C7" w:rsidRDefault="000E07C7" w:rsidP="000E07C7">
      <w:pPr>
        <w:rPr>
          <w:lang w:val="ga-IE"/>
        </w:rPr>
      </w:pPr>
      <w:r w:rsidRPr="000E07C7">
        <w:rPr>
          <w:lang w:val="ga-IE"/>
        </w:rPr>
        <w:t xml:space="preserve">Bhí an ÚNM ina gcomhpháirtithe le hOllscoil na hÉireann, Má Nuad maidir le seimineár ar </w:t>
      </w:r>
      <w:proofErr w:type="spellStart"/>
      <w:r w:rsidRPr="000E07C7">
        <w:rPr>
          <w:lang w:val="ga-IE"/>
        </w:rPr>
        <w:t>ar</w:t>
      </w:r>
      <w:proofErr w:type="spellEnd"/>
      <w:r w:rsidRPr="000E07C7">
        <w:rPr>
          <w:lang w:val="ga-IE"/>
        </w:rPr>
        <w:t xml:space="preserve"> fhreastail an t-aoichainteoir, </w:t>
      </w:r>
      <w:proofErr w:type="spellStart"/>
      <w:r w:rsidRPr="000E07C7">
        <w:rPr>
          <w:lang w:val="ga-IE"/>
        </w:rPr>
        <w:t>Myra</w:t>
      </w:r>
      <w:proofErr w:type="spellEnd"/>
      <w:r w:rsidRPr="000E07C7">
        <w:rPr>
          <w:lang w:val="ga-IE"/>
        </w:rPr>
        <w:t xml:space="preserve"> </w:t>
      </w:r>
      <w:proofErr w:type="spellStart"/>
      <w:r w:rsidRPr="000E07C7">
        <w:rPr>
          <w:lang w:val="ga-IE"/>
        </w:rPr>
        <w:t>Berloff</w:t>
      </w:r>
      <w:proofErr w:type="spellEnd"/>
      <w:r w:rsidRPr="000E07C7">
        <w:rPr>
          <w:lang w:val="ga-IE"/>
        </w:rPr>
        <w:t xml:space="preserve">, Stiúrthóir ag Oifig Mhíchumais </w:t>
      </w:r>
      <w:proofErr w:type="spellStart"/>
      <w:r w:rsidRPr="000E07C7">
        <w:rPr>
          <w:lang w:val="ga-IE"/>
        </w:rPr>
        <w:t>Massachusetts</w:t>
      </w:r>
      <w:proofErr w:type="spellEnd"/>
      <w:r w:rsidRPr="000E07C7">
        <w:rPr>
          <w:lang w:val="ga-IE"/>
        </w:rPr>
        <w:t xml:space="preserve">, maidir le tacú le mic léinn atá faoi mhíchumas ar an tríú leibhéal. Anuas air sin, bhí an ÚNM ina n-óstaigh ar cheardlann leis an aoichainteoir agus leis na príomhpháirtithe leasmhara. </w:t>
      </w:r>
    </w:p>
    <w:p w14:paraId="29A9E5E4" w14:textId="77777777" w:rsidR="000E07C7" w:rsidRPr="000E07C7" w:rsidRDefault="000E07C7" w:rsidP="000E07C7">
      <w:pPr>
        <w:pStyle w:val="Heading2"/>
        <w:rPr>
          <w:lang w:val="ga-IE"/>
        </w:rPr>
      </w:pPr>
      <w:r w:rsidRPr="000E07C7">
        <w:rPr>
          <w:lang w:val="ga-IE"/>
        </w:rPr>
        <w:t>An Bille um Chinnteoireacht Chuidithe (Cumas), 2013</w:t>
      </w:r>
    </w:p>
    <w:p w14:paraId="75E51944" w14:textId="77777777" w:rsidR="000E07C7" w:rsidRPr="000E07C7" w:rsidRDefault="000E07C7" w:rsidP="000E07C7">
      <w:pPr>
        <w:rPr>
          <w:lang w:val="ga-IE"/>
        </w:rPr>
      </w:pPr>
      <w:r w:rsidRPr="000E07C7">
        <w:rPr>
          <w:lang w:val="ga-IE"/>
        </w:rPr>
        <w:t xml:space="preserve">Lean an ÚNM le comhairle a sholáthar don Roinn Dlí agus Cirt agus Comhionannais ar </w:t>
      </w:r>
      <w:proofErr w:type="spellStart"/>
      <w:r w:rsidRPr="000E07C7">
        <w:rPr>
          <w:lang w:val="ga-IE"/>
        </w:rPr>
        <w:t>phríomhlimistéir</w:t>
      </w:r>
      <w:proofErr w:type="spellEnd"/>
      <w:r w:rsidRPr="000E07C7">
        <w:rPr>
          <w:lang w:val="ga-IE"/>
        </w:rPr>
        <w:t xml:space="preserve"> an Bhille, ar </w:t>
      </w:r>
      <w:proofErr w:type="spellStart"/>
      <w:r w:rsidRPr="000E07C7">
        <w:rPr>
          <w:lang w:val="ga-IE"/>
        </w:rPr>
        <w:t>garsprioc</w:t>
      </w:r>
      <w:proofErr w:type="spellEnd"/>
      <w:r w:rsidRPr="000E07C7">
        <w:rPr>
          <w:lang w:val="ga-IE"/>
        </w:rPr>
        <w:t xml:space="preserve"> thábhachtach iad i dtreo dhaingniú Choinbhinsiún na Náisiún Aontaithe ar Chearta Daoine faoi Mhíchumas ag Éirinn.</w:t>
      </w:r>
    </w:p>
    <w:p w14:paraId="710743CE" w14:textId="77777777" w:rsidR="000E07C7" w:rsidRPr="000E07C7" w:rsidRDefault="000E07C7" w:rsidP="000E07C7">
      <w:pPr>
        <w:pStyle w:val="Heading2"/>
        <w:rPr>
          <w:lang w:val="ga-IE"/>
        </w:rPr>
      </w:pPr>
      <w:r w:rsidRPr="000E07C7">
        <w:rPr>
          <w:lang w:val="ga-IE"/>
        </w:rPr>
        <w:lastRenderedPageBreak/>
        <w:t>Caighdeáin eatramhacha le haghaidh Seirbhísí Lae do Dhaoine Fásta bunaithe ar Threoracha Nua</w:t>
      </w:r>
    </w:p>
    <w:p w14:paraId="3EC12AA6" w14:textId="77777777" w:rsidR="000E07C7" w:rsidRPr="000E07C7" w:rsidRDefault="000E07C7" w:rsidP="000E07C7">
      <w:pPr>
        <w:rPr>
          <w:lang w:val="ga-IE"/>
        </w:rPr>
      </w:pPr>
      <w:r w:rsidRPr="000E07C7">
        <w:rPr>
          <w:lang w:val="ga-IE"/>
        </w:rPr>
        <w:t xml:space="preserve">Foilsíodh an t-athbhreithniú ar Sheirbhísí Lae do Dhaoine Fásta FSS dar teideal ‘Treoracha Nua’ i bhFeabhra 2012. Déanann seo samhail nua seirbhíse a bheartú a leagann an bhéim ar thacú le daoine atá faoi mhíchumas chun tabhairt faoi ghníomhaíochtaí príomhshrutha sa phobal. Déantar ionadaíocht don Údarás Náisiúnta Míchumais ar an ngrúpa um fheidhmiú. Faoin bplean um fheidhmiú, iarradh ar an Údarás Náisiúnta Míchumais Caighdeáin Eatramhacha a fhorbairt don tsamhail nua a leagtar amach in Treoracha Nua, i gcomhoibriú le foghrúpa den ghrúpa um fheidhmiú. In 2014, áiríodh leis an obair seo comhairliúchán poiblí ar </w:t>
      </w:r>
      <w:proofErr w:type="spellStart"/>
      <w:r w:rsidRPr="000E07C7">
        <w:rPr>
          <w:lang w:val="ga-IE"/>
        </w:rPr>
        <w:t>Dhréacht</w:t>
      </w:r>
      <w:proofErr w:type="spellEnd"/>
      <w:r w:rsidRPr="000E07C7">
        <w:rPr>
          <w:lang w:val="ga-IE"/>
        </w:rPr>
        <w:t>-Chaighdeáin Eatramhacha, a raibh 424 aighneacht ann mar fhreagairt air seo. Táthar ag súil leis go gcríochnófar na Caighdeáin Eatramhacha in 2015, i ndiaidh breithniú a dhéanamh ar na haighneachtaí.</w:t>
      </w:r>
    </w:p>
    <w:p w14:paraId="138E030A" w14:textId="77777777" w:rsidR="000E07C7" w:rsidRPr="000E07C7" w:rsidRDefault="000E07C7" w:rsidP="000E07C7">
      <w:pPr>
        <w:pStyle w:val="Heading2"/>
        <w:rPr>
          <w:lang w:val="ga-IE"/>
        </w:rPr>
      </w:pPr>
      <w:r w:rsidRPr="000E07C7">
        <w:rPr>
          <w:lang w:val="ga-IE"/>
        </w:rPr>
        <w:t>Tuarascáil don Aire Sláinte ar chur i bhfeidhm Chaighdeáin agus Rialacháin an ÚFCS um Sheirbhísí Cónaithe do Dhaoine atá faoi Mhíchumas “Bliain Amháin chun Cinn” (“</w:t>
      </w:r>
      <w:r w:rsidRPr="00771CAA">
        <w:t>One Year On</w:t>
      </w:r>
      <w:r w:rsidRPr="000E07C7">
        <w:rPr>
          <w:lang w:val="ga-IE"/>
        </w:rPr>
        <w:t>”)</w:t>
      </w:r>
    </w:p>
    <w:p w14:paraId="4A175D37" w14:textId="77777777" w:rsidR="000E07C7" w:rsidRPr="000E07C7" w:rsidRDefault="000E07C7" w:rsidP="000E07C7">
      <w:pPr>
        <w:rPr>
          <w:lang w:val="ga-IE"/>
        </w:rPr>
      </w:pPr>
      <w:r w:rsidRPr="000E07C7">
        <w:rPr>
          <w:lang w:val="ga-IE"/>
        </w:rPr>
        <w:t>Tháinig cumhachtaí dlíthiúla an ÚFCS chun seirbhísí cónaithe míchumais a rialáil i bhfeidhm Dé hAoine, an 1 Samhain 2013. D’iarr an tAire Stáit ag an Roinn Sláinte, Kathleen Lynch, T.D., go n-ullmhóidh an ÚNM tuarascáil ar eispéireas agus tionchar na Rialachán ‘bliain amháin chun cinn’ tar éis gur cuireadh i bhfeidhm iad. Ina theannta sin uile, d’iarr an tAire go ndéanfaí breithniú ar cheardlann a chur ar bun ar fhoghlaim ó chur i bhfeidhm Chaighdeáin agus Rialacháin an ÚFCS agus go gcuirfí na príomhpháirtithe leasmhara míchumais san áireamh sa phróiseas seo.</w:t>
      </w:r>
    </w:p>
    <w:p w14:paraId="7D5FE4DD" w14:textId="77777777" w:rsidR="000E07C7" w:rsidRPr="000E07C7" w:rsidRDefault="000E07C7" w:rsidP="000E07C7">
      <w:pPr>
        <w:rPr>
          <w:lang w:val="ga-IE"/>
        </w:rPr>
      </w:pPr>
    </w:p>
    <w:p w14:paraId="62DBE2FA" w14:textId="77777777" w:rsidR="000E07C7" w:rsidRPr="000E07C7" w:rsidRDefault="000E07C7" w:rsidP="000E07C7">
      <w:pPr>
        <w:rPr>
          <w:lang w:val="ga-IE"/>
        </w:rPr>
      </w:pPr>
    </w:p>
    <w:p w14:paraId="289F71DB" w14:textId="77777777" w:rsidR="000E07C7" w:rsidRPr="000E07C7" w:rsidRDefault="000E07C7" w:rsidP="000E07C7">
      <w:pPr>
        <w:pStyle w:val="Heading1"/>
        <w:rPr>
          <w:lang w:val="ga-IE"/>
        </w:rPr>
      </w:pPr>
      <w:bookmarkStart w:id="98" w:name="_Toc429053921"/>
      <w:bookmarkStart w:id="99" w:name="_Toc429054131"/>
      <w:bookmarkStart w:id="100" w:name="_Toc431218808"/>
      <w:r w:rsidRPr="000E07C7">
        <w:rPr>
          <w:lang w:val="ga-IE"/>
        </w:rPr>
        <w:lastRenderedPageBreak/>
        <w:t>Tosaíocht straitéiseach 3: Dearadh uirbeach na timpeallachta</w:t>
      </w:r>
      <w:bookmarkEnd w:id="98"/>
      <w:bookmarkEnd w:id="99"/>
      <w:bookmarkEnd w:id="100"/>
      <w:r w:rsidRPr="000E07C7">
        <w:rPr>
          <w:lang w:val="ga-IE"/>
        </w:rPr>
        <w:t xml:space="preserve"> </w:t>
      </w:r>
    </w:p>
    <w:p w14:paraId="07DF9AA8" w14:textId="77777777" w:rsidR="000E07C7" w:rsidRPr="000E07C7" w:rsidRDefault="000E07C7" w:rsidP="000E07C7">
      <w:pPr>
        <w:rPr>
          <w:b/>
          <w:lang w:val="ga-IE"/>
        </w:rPr>
      </w:pPr>
      <w:r w:rsidRPr="000E07C7">
        <w:rPr>
          <w:b/>
          <w:lang w:val="ga-IE"/>
        </w:rPr>
        <w:t>“Sármhaitheas i ndearadh uilíoch a chur chun cinn chun rannpháirtíocht uasta i sochaí na hÉireann a éascú”</w:t>
      </w:r>
    </w:p>
    <w:p w14:paraId="283CC612" w14:textId="77777777" w:rsidR="000E07C7" w:rsidRPr="000E07C7" w:rsidRDefault="000E07C7" w:rsidP="000E07C7">
      <w:pPr>
        <w:pStyle w:val="Heading2"/>
        <w:rPr>
          <w:lang w:val="ga-IE"/>
        </w:rPr>
      </w:pPr>
      <w:r w:rsidRPr="000E07C7">
        <w:rPr>
          <w:lang w:val="ga-IE"/>
        </w:rPr>
        <w:t>Prionsabail um dhearadh uilíoch a chur chun cinn i gcomhthéacs Éireannach</w:t>
      </w:r>
    </w:p>
    <w:p w14:paraId="3E876C5E" w14:textId="77777777" w:rsidR="000E07C7" w:rsidRPr="000E07C7" w:rsidRDefault="000E07C7" w:rsidP="000E07C7">
      <w:pPr>
        <w:pStyle w:val="Heading3"/>
        <w:rPr>
          <w:lang w:val="ga-IE"/>
        </w:rPr>
      </w:pPr>
      <w:r w:rsidRPr="000E07C7">
        <w:rPr>
          <w:lang w:val="ga-IE"/>
        </w:rPr>
        <w:t>Taighde ar Uirlis Iniúchta Dearaidh Uilíoch do Bhóithre agus Sráideanna</w:t>
      </w:r>
    </w:p>
    <w:p w14:paraId="6C552517" w14:textId="77777777" w:rsidR="000E07C7" w:rsidRPr="000E07C7" w:rsidRDefault="000E07C7" w:rsidP="000E07C7">
      <w:pPr>
        <w:rPr>
          <w:lang w:val="ga-IE"/>
        </w:rPr>
      </w:pPr>
      <w:r w:rsidRPr="000E07C7">
        <w:rPr>
          <w:lang w:val="ga-IE"/>
        </w:rPr>
        <w:t xml:space="preserve">D’oibrigh an ÚNM le </w:t>
      </w:r>
      <w:proofErr w:type="spellStart"/>
      <w:r w:rsidRPr="000E07C7">
        <w:rPr>
          <w:lang w:val="ga-IE"/>
        </w:rPr>
        <w:t>hAoisbhá</w:t>
      </w:r>
      <w:proofErr w:type="spellEnd"/>
      <w:r w:rsidRPr="000E07C7">
        <w:rPr>
          <w:lang w:val="ga-IE"/>
        </w:rPr>
        <w:t xml:space="preserve"> Éireann i dtaca le </w:t>
      </w:r>
      <w:proofErr w:type="spellStart"/>
      <w:r w:rsidRPr="000E07C7">
        <w:rPr>
          <w:lang w:val="ga-IE"/>
        </w:rPr>
        <w:t>hiniúchtaí</w:t>
      </w:r>
      <w:proofErr w:type="spellEnd"/>
      <w:r w:rsidRPr="000E07C7">
        <w:rPr>
          <w:lang w:val="ga-IE"/>
        </w:rPr>
        <w:t xml:space="preserve"> </w:t>
      </w:r>
      <w:proofErr w:type="spellStart"/>
      <w:r w:rsidRPr="000E07C7">
        <w:rPr>
          <w:lang w:val="ga-IE"/>
        </w:rPr>
        <w:t>Insiúilte</w:t>
      </w:r>
      <w:proofErr w:type="spellEnd"/>
      <w:r w:rsidRPr="000E07C7">
        <w:rPr>
          <w:lang w:val="ga-IE"/>
        </w:rPr>
        <w:t xml:space="preserve"> ag 8 láthair timpeall na hÉireann. Úsáidfear an fhaisnéis a bhailítear sna </w:t>
      </w:r>
      <w:proofErr w:type="spellStart"/>
      <w:r w:rsidRPr="000E07C7">
        <w:rPr>
          <w:lang w:val="ga-IE"/>
        </w:rPr>
        <w:t>hiniúchtaí</w:t>
      </w:r>
      <w:proofErr w:type="spellEnd"/>
      <w:r w:rsidRPr="000E07C7">
        <w:rPr>
          <w:lang w:val="ga-IE"/>
        </w:rPr>
        <w:t xml:space="preserve"> </w:t>
      </w:r>
      <w:proofErr w:type="spellStart"/>
      <w:r w:rsidRPr="000E07C7">
        <w:rPr>
          <w:lang w:val="ga-IE"/>
        </w:rPr>
        <w:t>Insiúilte</w:t>
      </w:r>
      <w:proofErr w:type="spellEnd"/>
      <w:r w:rsidRPr="000E07C7">
        <w:rPr>
          <w:lang w:val="ga-IE"/>
        </w:rPr>
        <w:t xml:space="preserve"> chun faisnéis a sholáthar d’uirlis ardchaighdeáin iniúchta le haghaidh bóithre agus sráideanna a </w:t>
      </w:r>
      <w:proofErr w:type="spellStart"/>
      <w:r w:rsidRPr="000E07C7">
        <w:rPr>
          <w:lang w:val="ga-IE"/>
        </w:rPr>
        <w:t>fhorbróidh</w:t>
      </w:r>
      <w:proofErr w:type="spellEnd"/>
      <w:r w:rsidRPr="000E07C7">
        <w:rPr>
          <w:lang w:val="ga-IE"/>
        </w:rPr>
        <w:t xml:space="preserve"> an Lárionad </w:t>
      </w:r>
      <w:proofErr w:type="spellStart"/>
      <w:r w:rsidRPr="000E07C7">
        <w:rPr>
          <w:lang w:val="ga-IE"/>
        </w:rPr>
        <w:t>Sármhaitheasa</w:t>
      </w:r>
      <w:proofErr w:type="spellEnd"/>
      <w:r w:rsidRPr="000E07C7">
        <w:rPr>
          <w:lang w:val="ga-IE"/>
        </w:rPr>
        <w:t xml:space="preserve"> i nDearadh Uilíoch (LSDU) san ÚNM, i gcomhairliúchán leis an Roinn Iompair, Turasóireachta agus Spóirt. Cuireann an uirlis iniúchta ar chumas fianaise luachmhar a bhailiú i leith gnéithe bóithre agus sráideanna ar féidir leo cosc a chur ar dhaoine a bhfuil réimse leathan cumais acu ó rochtain gan stró a fháil ar fhóntais, siopaí agus seirbhísí áitiúla atá ina bpobal.</w:t>
      </w:r>
      <w:r w:rsidR="00D00624">
        <w:rPr>
          <w:lang w:val="ga-IE"/>
        </w:rPr>
        <w:t xml:space="preserve"> </w:t>
      </w:r>
      <w:r w:rsidRPr="000E07C7">
        <w:rPr>
          <w:lang w:val="ga-IE"/>
        </w:rPr>
        <w:t xml:space="preserve">Foilseofar an tuarascáil ar na </w:t>
      </w:r>
      <w:proofErr w:type="spellStart"/>
      <w:r w:rsidRPr="000E07C7">
        <w:rPr>
          <w:lang w:val="ga-IE"/>
        </w:rPr>
        <w:t>hiniúchtaí</w:t>
      </w:r>
      <w:proofErr w:type="spellEnd"/>
      <w:r w:rsidRPr="000E07C7">
        <w:rPr>
          <w:lang w:val="ga-IE"/>
        </w:rPr>
        <w:t xml:space="preserve"> </w:t>
      </w:r>
      <w:proofErr w:type="spellStart"/>
      <w:r w:rsidRPr="000E07C7">
        <w:rPr>
          <w:lang w:val="ga-IE"/>
        </w:rPr>
        <w:t>Insiúilte</w:t>
      </w:r>
      <w:proofErr w:type="spellEnd"/>
      <w:r w:rsidRPr="000E07C7">
        <w:rPr>
          <w:lang w:val="ga-IE"/>
        </w:rPr>
        <w:t xml:space="preserve"> in 2015.</w:t>
      </w:r>
    </w:p>
    <w:p w14:paraId="197CE67C" w14:textId="77777777" w:rsidR="000E07C7" w:rsidRPr="000E07C7" w:rsidRDefault="000E07C7" w:rsidP="000E07C7">
      <w:pPr>
        <w:pStyle w:val="Heading2"/>
        <w:rPr>
          <w:lang w:val="ga-IE"/>
        </w:rPr>
      </w:pPr>
      <w:r w:rsidRPr="000E07C7">
        <w:rPr>
          <w:lang w:val="ga-IE"/>
        </w:rPr>
        <w:t>Taighde agus Moltaí ar Champais Oideachais Chomhroinnte Dearaidh Uilíoch (UD-SEC)</w:t>
      </w:r>
    </w:p>
    <w:p w14:paraId="67A2D1BA" w14:textId="77777777" w:rsidR="000E07C7" w:rsidRPr="000E07C7" w:rsidRDefault="000E07C7" w:rsidP="000E07C7">
      <w:pPr>
        <w:rPr>
          <w:lang w:val="ga-IE"/>
        </w:rPr>
      </w:pPr>
      <w:r w:rsidRPr="000E07C7">
        <w:rPr>
          <w:lang w:val="ga-IE"/>
        </w:rPr>
        <w:t xml:space="preserve">Lean obair ar siúl ar thionscadal taighde chun cur chuige Dearaidh Uilíoch a threorú i leith </w:t>
      </w:r>
      <w:proofErr w:type="spellStart"/>
      <w:r w:rsidRPr="000E07C7">
        <w:rPr>
          <w:lang w:val="ga-IE"/>
        </w:rPr>
        <w:t>Campais</w:t>
      </w:r>
      <w:proofErr w:type="spellEnd"/>
      <w:r w:rsidRPr="000E07C7">
        <w:rPr>
          <w:lang w:val="ga-IE"/>
        </w:rPr>
        <w:t xml:space="preserve"> Oideachais Chomhroinnte in Éirinn, agus cur chuige Dearaidh Uilíoch á úsáid. Rinne an ÚNM idirchaidreamh leis an Roinn Oideachais maidir leis an obair seo a chur chun cinn. Thug ceardlann chun plé a dhéanamh ar na </w:t>
      </w:r>
      <w:proofErr w:type="spellStart"/>
      <w:r w:rsidRPr="000E07C7">
        <w:rPr>
          <w:lang w:val="ga-IE"/>
        </w:rPr>
        <w:t>príomhthorthaí</w:t>
      </w:r>
      <w:proofErr w:type="spellEnd"/>
      <w:r w:rsidRPr="000E07C7">
        <w:rPr>
          <w:lang w:val="ga-IE"/>
        </w:rPr>
        <w:t xml:space="preserve"> ón taighde lámh chúnta in Earrach 2014 i gcomhar leis an uile </w:t>
      </w:r>
      <w:proofErr w:type="spellStart"/>
      <w:r w:rsidRPr="000E07C7">
        <w:rPr>
          <w:lang w:val="ga-IE"/>
        </w:rPr>
        <w:t>phríomhpháirtí</w:t>
      </w:r>
      <w:proofErr w:type="spellEnd"/>
      <w:r w:rsidRPr="000E07C7">
        <w:rPr>
          <w:lang w:val="ga-IE"/>
        </w:rPr>
        <w:t xml:space="preserve"> leasmhar. Tá an obair seo le críochnú in Earrach 2015. </w:t>
      </w:r>
    </w:p>
    <w:p w14:paraId="6C54ACA0" w14:textId="77777777" w:rsidR="000E07C7" w:rsidRPr="000E07C7" w:rsidRDefault="000E07C7" w:rsidP="000E07C7">
      <w:pPr>
        <w:pStyle w:val="Heading2"/>
        <w:rPr>
          <w:lang w:val="ga-IE"/>
        </w:rPr>
      </w:pPr>
      <w:r w:rsidRPr="000E07C7">
        <w:rPr>
          <w:lang w:val="ga-IE"/>
        </w:rPr>
        <w:lastRenderedPageBreak/>
        <w:t>Comhairle agus cúnamh a thabhairt i gcaighdeáin um dhearadh uilíoch a fhorbairt</w:t>
      </w:r>
    </w:p>
    <w:p w14:paraId="076F7116" w14:textId="77777777" w:rsidR="000E07C7" w:rsidRPr="000E07C7" w:rsidRDefault="000E07C7" w:rsidP="000E07C7">
      <w:pPr>
        <w:pStyle w:val="Heading3"/>
        <w:rPr>
          <w:lang w:val="ga-IE"/>
        </w:rPr>
      </w:pPr>
      <w:r w:rsidRPr="000E07C7">
        <w:rPr>
          <w:lang w:val="ga-IE"/>
        </w:rPr>
        <w:t xml:space="preserve">Dearadh Uilíoch do </w:t>
      </w:r>
      <w:proofErr w:type="spellStart"/>
      <w:r w:rsidRPr="000E07C7">
        <w:rPr>
          <w:lang w:val="ga-IE"/>
        </w:rPr>
        <w:t>Shraitheanna</w:t>
      </w:r>
      <w:proofErr w:type="spellEnd"/>
      <w:r w:rsidRPr="000E07C7">
        <w:rPr>
          <w:lang w:val="ga-IE"/>
        </w:rPr>
        <w:t xml:space="preserve"> Straitéisí um Idirchaidreamh Custaiméirí</w:t>
      </w:r>
    </w:p>
    <w:p w14:paraId="59520F50" w14:textId="77777777" w:rsidR="000E07C7" w:rsidRPr="000E07C7" w:rsidRDefault="000E07C7" w:rsidP="000E07C7">
      <w:pPr>
        <w:rPr>
          <w:lang w:val="ga-IE"/>
        </w:rPr>
      </w:pPr>
      <w:r w:rsidRPr="000E07C7">
        <w:rPr>
          <w:lang w:val="ga-IE"/>
        </w:rPr>
        <w:t>Tar éis na sraitheanna straitéisí um Dhearadh Uilíoch d’</w:t>
      </w:r>
      <w:proofErr w:type="spellStart"/>
      <w:r w:rsidRPr="000E07C7">
        <w:rPr>
          <w:lang w:val="ga-IE"/>
        </w:rPr>
        <w:t>Idirchaireamh</w:t>
      </w:r>
      <w:proofErr w:type="spellEnd"/>
      <w:r w:rsidRPr="000E07C7">
        <w:rPr>
          <w:lang w:val="ga-IE"/>
        </w:rPr>
        <w:t xml:space="preserve"> Custaiméirí do na hearnálacha turasóireachta agus fuinnimh a fhoilsiú agus a sheoladh in 2012 agus 2013, tá oiriúnú na sraitheanna straitéisí á chur chun cinn ag an LSDU. Anuas air sin, rinne siad idirchaidreamh le Fáilte Éireann maidir le roinnt cás-staidéar a fhorbairt le roinnt soláthraithe seirbhís turasóireachta chun na tairbhí gnó a léiriú is féidir a bhaint trí na Sraitheanna Straitéisí a úsáid. Críochnófar an obair go luath in 2015.</w:t>
      </w:r>
    </w:p>
    <w:p w14:paraId="3C22645A" w14:textId="77777777" w:rsidR="000E07C7" w:rsidRPr="000E07C7" w:rsidRDefault="000E07C7" w:rsidP="000E07C7">
      <w:pPr>
        <w:pStyle w:val="Heading2"/>
        <w:rPr>
          <w:lang w:val="ga-IE"/>
        </w:rPr>
      </w:pPr>
      <w:r w:rsidRPr="000E07C7">
        <w:rPr>
          <w:lang w:val="ga-IE"/>
        </w:rPr>
        <w:t xml:space="preserve">Dearadh Uilíoch i dTreoir ISO/IEC 71 </w:t>
      </w:r>
    </w:p>
    <w:p w14:paraId="0E70A6F1" w14:textId="77777777" w:rsidR="000E07C7" w:rsidRPr="000E07C7" w:rsidRDefault="000E07C7" w:rsidP="000E07C7">
      <w:pPr>
        <w:rPr>
          <w:lang w:val="ga-IE"/>
        </w:rPr>
      </w:pPr>
      <w:r w:rsidRPr="000E07C7">
        <w:rPr>
          <w:lang w:val="ga-IE"/>
        </w:rPr>
        <w:t xml:space="preserve">Ghlac an Lárionad </w:t>
      </w:r>
      <w:proofErr w:type="spellStart"/>
      <w:r w:rsidRPr="000E07C7">
        <w:rPr>
          <w:lang w:val="ga-IE"/>
        </w:rPr>
        <w:t>Sármhaitheasa</w:t>
      </w:r>
      <w:proofErr w:type="spellEnd"/>
      <w:r w:rsidRPr="000E07C7">
        <w:rPr>
          <w:lang w:val="ga-IE"/>
        </w:rPr>
        <w:t xml:space="preserve"> i nDearadh Uilíoch ag an Údarás Náisiúnta Míchumas páirt mar shaineolaí i gComhghrúpa Comhairleach Teicniúil Idirnáisiúnta Caighdeán a </w:t>
      </w:r>
      <w:proofErr w:type="spellStart"/>
      <w:r w:rsidRPr="000E07C7">
        <w:rPr>
          <w:lang w:val="ga-IE"/>
        </w:rPr>
        <w:t>nuashonraíonn</w:t>
      </w:r>
      <w:proofErr w:type="spellEnd"/>
      <w:r w:rsidRPr="000E07C7">
        <w:rPr>
          <w:lang w:val="ga-IE"/>
        </w:rPr>
        <w:t xml:space="preserve"> an </w:t>
      </w:r>
      <w:proofErr w:type="spellStart"/>
      <w:r w:rsidRPr="000E07C7">
        <w:rPr>
          <w:lang w:val="ga-IE"/>
        </w:rPr>
        <w:t>phríomhcháipéis</w:t>
      </w:r>
      <w:proofErr w:type="spellEnd"/>
      <w:r w:rsidRPr="000E07C7">
        <w:rPr>
          <w:lang w:val="ga-IE"/>
        </w:rPr>
        <w:t xml:space="preserve"> idirnáisiúnta maidir le </w:t>
      </w:r>
      <w:proofErr w:type="spellStart"/>
      <w:r w:rsidRPr="000E07C7">
        <w:rPr>
          <w:lang w:val="ga-IE"/>
        </w:rPr>
        <w:t>hinrochtaineacht</w:t>
      </w:r>
      <w:proofErr w:type="spellEnd"/>
      <w:r w:rsidRPr="000E07C7">
        <w:rPr>
          <w:lang w:val="ga-IE"/>
        </w:rPr>
        <w:t xml:space="preserve"> d’</w:t>
      </w:r>
      <w:proofErr w:type="spellStart"/>
      <w:r w:rsidRPr="000E07C7">
        <w:rPr>
          <w:lang w:val="ga-IE"/>
        </w:rPr>
        <w:t>fhorbróirí</w:t>
      </w:r>
      <w:proofErr w:type="spellEnd"/>
      <w:r w:rsidRPr="000E07C7">
        <w:rPr>
          <w:lang w:val="ga-IE"/>
        </w:rPr>
        <w:t xml:space="preserve"> caighdeán, Treoirlínte chun Dul i nGleic le </w:t>
      </w:r>
      <w:proofErr w:type="spellStart"/>
      <w:r w:rsidRPr="000E07C7">
        <w:rPr>
          <w:lang w:val="ga-IE"/>
        </w:rPr>
        <w:t>hInrochtaineacht</w:t>
      </w:r>
      <w:proofErr w:type="spellEnd"/>
      <w:r w:rsidRPr="000E07C7">
        <w:rPr>
          <w:lang w:val="ga-IE"/>
        </w:rPr>
        <w:t xml:space="preserve"> i gCaighdeáin, ar a dtugtar Treoir ISO/IEC 71. Chomhcheangail an tÚdarás Náisiúnta Míchumais ábhar óna gcuid taighde ar antrapaiméadracht (méid an duine) agus ar Dhearadh Uilíoch, go háirithe, agus ábhar ó Aicmiú Idirnáisiúnta na hEagraíochta Sláinte Domhanda um Fheidhmiú (AIF).</w:t>
      </w:r>
    </w:p>
    <w:p w14:paraId="12C121A7" w14:textId="77777777" w:rsidR="000E07C7" w:rsidRPr="000E07C7" w:rsidRDefault="000E07C7" w:rsidP="000E07C7">
      <w:pPr>
        <w:rPr>
          <w:lang w:val="ga-IE"/>
        </w:rPr>
      </w:pPr>
      <w:r w:rsidRPr="000E07C7">
        <w:rPr>
          <w:lang w:val="ga-IE"/>
        </w:rPr>
        <w:t>Críochnaíodh agus foilsíodh an tionscadal seo go déanach in 2014. Bhí teanga choiteann a fhorbairt maidir le</w:t>
      </w:r>
      <w:r w:rsidR="00D00624">
        <w:rPr>
          <w:lang w:val="ga-IE"/>
        </w:rPr>
        <w:t xml:space="preserve"> </w:t>
      </w:r>
      <w:r w:rsidRPr="000E07C7">
        <w:rPr>
          <w:lang w:val="ga-IE"/>
        </w:rPr>
        <w:t xml:space="preserve">cumas fairsing úsáideora a shainiú ar cheann de phríomhthorthaí na hoibre seo. Cuimsítear ann téarmaíocht nuashonraithe agus cur chuige nua ar conas breithniú a dhéanamh ar chumas agus saintréithe réimse fairsing úsáideoirí (lena n-áirítear daoine </w:t>
      </w:r>
      <w:proofErr w:type="spellStart"/>
      <w:r w:rsidRPr="000E07C7">
        <w:rPr>
          <w:lang w:val="ga-IE"/>
        </w:rPr>
        <w:t>breacaosta</w:t>
      </w:r>
      <w:proofErr w:type="spellEnd"/>
      <w:r w:rsidRPr="000E07C7">
        <w:rPr>
          <w:lang w:val="ga-IE"/>
        </w:rPr>
        <w:t xml:space="preserve"> agus daoine atá faoi mhíchumas) i gcinntí dearaidh a bhaineann le </w:t>
      </w:r>
      <w:proofErr w:type="spellStart"/>
      <w:r w:rsidRPr="000E07C7">
        <w:rPr>
          <w:lang w:val="ga-IE"/>
        </w:rPr>
        <w:t>hinrochtaineacht</w:t>
      </w:r>
      <w:proofErr w:type="spellEnd"/>
      <w:r w:rsidRPr="000E07C7">
        <w:rPr>
          <w:lang w:val="ga-IE"/>
        </w:rPr>
        <w:t>. Mar gheall gurb intuigthe don tionscal inúsáidteacht agus inrochtaineacht a dtáirge nó a seirbhíse a shainiú, d’fhéadfaí é a chur i bhfeidhm in Éirinn gan stró, trí bhealach gan bhacainn a sholáthar chun na saincheisteanna a bhíonn i ndán d’úsáideoirí fairsinge dul i ngleic leo a shainiú. Tá an tionscadal i measc caighdeáin idirnáisiúnta ar bhonn uathúil agus tá sé i bhformáid inrochtana agus is féidir é a íoslódáil ón ngréasán saor in aisce.</w:t>
      </w:r>
    </w:p>
    <w:p w14:paraId="1634BCB1" w14:textId="77777777" w:rsidR="000E07C7" w:rsidRPr="000E07C7" w:rsidRDefault="000E07C7" w:rsidP="000E07C7">
      <w:pPr>
        <w:pStyle w:val="Heading2"/>
        <w:rPr>
          <w:lang w:val="ga-IE"/>
        </w:rPr>
      </w:pPr>
      <w:r w:rsidRPr="000E07C7">
        <w:rPr>
          <w:lang w:val="ga-IE"/>
        </w:rPr>
        <w:lastRenderedPageBreak/>
        <w:t>Dearadh Uilíoch i Sainordú CE M/473 “Dearadh do Chách” (“</w:t>
      </w:r>
      <w:r w:rsidRPr="00771CAA">
        <w:t>Design for All</w:t>
      </w:r>
      <w:r w:rsidRPr="000E07C7">
        <w:rPr>
          <w:lang w:val="ga-IE"/>
        </w:rPr>
        <w:t xml:space="preserve">”) </w:t>
      </w:r>
    </w:p>
    <w:p w14:paraId="00378E8C" w14:textId="77777777" w:rsidR="000E07C7" w:rsidRPr="000E07C7" w:rsidRDefault="000E07C7" w:rsidP="000E07C7">
      <w:pPr>
        <w:rPr>
          <w:lang w:val="ga-IE"/>
        </w:rPr>
      </w:pPr>
      <w:r w:rsidRPr="000E07C7">
        <w:rPr>
          <w:lang w:val="ga-IE"/>
        </w:rPr>
        <w:t xml:space="preserve">Tá baint ag an Lárionad </w:t>
      </w:r>
      <w:proofErr w:type="spellStart"/>
      <w:r w:rsidRPr="000E07C7">
        <w:rPr>
          <w:lang w:val="ga-IE"/>
        </w:rPr>
        <w:t>Sármhaitheasa</w:t>
      </w:r>
      <w:proofErr w:type="spellEnd"/>
      <w:r w:rsidRPr="000E07C7">
        <w:rPr>
          <w:lang w:val="ga-IE"/>
        </w:rPr>
        <w:t xml:space="preserve"> i nDearadh Uirbeach ag an Údarás Náisiúnta Míchumais le Sainordú M/473 “Dearadh do Chách” an Choimisiúin Eorpaigh.</w:t>
      </w:r>
      <w:r w:rsidR="00D00624">
        <w:rPr>
          <w:lang w:val="ga-IE"/>
        </w:rPr>
        <w:t xml:space="preserve"> </w:t>
      </w:r>
      <w:r w:rsidRPr="000E07C7">
        <w:rPr>
          <w:lang w:val="ga-IE"/>
        </w:rPr>
        <w:t xml:space="preserve">B’éard a bhí i gceist le cuid de ghnéithe </w:t>
      </w:r>
      <w:proofErr w:type="spellStart"/>
      <w:r w:rsidRPr="000E07C7">
        <w:rPr>
          <w:lang w:val="ga-IE"/>
        </w:rPr>
        <w:t>insoláthartha</w:t>
      </w:r>
      <w:proofErr w:type="spellEnd"/>
      <w:r w:rsidRPr="000E07C7">
        <w:rPr>
          <w:lang w:val="ga-IE"/>
        </w:rPr>
        <w:t xml:space="preserve"> Shainordú M/473 ná an ÚNM a cheapadh mar </w:t>
      </w:r>
      <w:proofErr w:type="spellStart"/>
      <w:r w:rsidRPr="000E07C7">
        <w:rPr>
          <w:lang w:val="ga-IE"/>
        </w:rPr>
        <w:t>Thionólaí</w:t>
      </w:r>
      <w:proofErr w:type="spellEnd"/>
      <w:r w:rsidRPr="000E07C7">
        <w:rPr>
          <w:lang w:val="ga-IE"/>
        </w:rPr>
        <w:t xml:space="preserve"> le haghaidh comhghrúpa oibre CEN-CENELEC chun tabhairt faoi chaighdeán nua a fhorbairt (nó a chomhionann de tháirge </w:t>
      </w:r>
      <w:proofErr w:type="spellStart"/>
      <w:r w:rsidRPr="000E07C7">
        <w:rPr>
          <w:lang w:val="ga-IE"/>
        </w:rPr>
        <w:t>insoláthartha</w:t>
      </w:r>
      <w:proofErr w:type="spellEnd"/>
      <w:r w:rsidRPr="000E07C7">
        <w:rPr>
          <w:lang w:val="ga-IE"/>
        </w:rPr>
        <w:t xml:space="preserve">) a rachadh i ngleic leis na limistéir thosaíochta do phróiseas dearaidh, forbartha agus táirgthe na déantúsaíochta earraí agus soláthair seirbhíse, chun cur síos a dhéanamh ar conas breithniú a dhéanamh ar inrochtaineacht do dhaoine atá faoi mhíchumas agus daoine </w:t>
      </w:r>
      <w:proofErr w:type="spellStart"/>
      <w:r w:rsidRPr="000E07C7">
        <w:rPr>
          <w:lang w:val="ga-IE"/>
        </w:rPr>
        <w:t>breacaosta</w:t>
      </w:r>
      <w:proofErr w:type="spellEnd"/>
      <w:r w:rsidRPr="000E07C7">
        <w:rPr>
          <w:lang w:val="ga-IE"/>
        </w:rPr>
        <w:t xml:space="preserve"> agus cur chuige um Dhearadh do Chách á leanúint (Dearadh Uilíoch). </w:t>
      </w:r>
    </w:p>
    <w:p w14:paraId="6E6445D5" w14:textId="77777777" w:rsidR="000E07C7" w:rsidRPr="000E07C7" w:rsidRDefault="000E07C7" w:rsidP="000E07C7">
      <w:pPr>
        <w:rPr>
          <w:lang w:val="ga-IE"/>
        </w:rPr>
      </w:pPr>
      <w:r w:rsidRPr="000E07C7">
        <w:rPr>
          <w:lang w:val="ga-IE"/>
        </w:rPr>
        <w:t xml:space="preserve">Tá sé mar chuid de shraith oibre lena dtacaíonn an Coimisiún Eorpach maidir le </w:t>
      </w:r>
      <w:proofErr w:type="spellStart"/>
      <w:r w:rsidRPr="000E07C7">
        <w:rPr>
          <w:lang w:val="ga-IE"/>
        </w:rPr>
        <w:t>hInrochtaineacht</w:t>
      </w:r>
      <w:proofErr w:type="spellEnd"/>
      <w:r w:rsidRPr="000E07C7">
        <w:rPr>
          <w:lang w:val="ga-IE"/>
        </w:rPr>
        <w:t xml:space="preserve"> a chur i bhfeidhm, faoi mar a bhaineann sé le Coinbhinsiún na Náisiún Aontaithe ar Chearta Daoine faoi Mhíchumas. Meastar go mbeidh sé ina fhoilseachán tábhachtach a chuirfidh faisnéis ar fáil ar bhreis caighdeán agus treorach a bhaineann go sonrach le hearnáil. Nuair a fhoilseofar é mar Chaighdeán Eorpach (faoi mar a bheifí ag súil leis), déanfaidh an Eagraíocht Náisiúnta Chaighdeán é a chomhchuibhiú agus a scaipeadh ar fud na hEorpa. Tá obair an ÚNM ar an tionscadal in ainm is bheith críochnaithe in 2018. Faigheann an ÚNM cistiú ón AE i dtreo chostais na rannpháirtíochta san obair seo.</w:t>
      </w:r>
    </w:p>
    <w:p w14:paraId="17D7E655" w14:textId="77777777" w:rsidR="000E07C7" w:rsidRPr="000E07C7" w:rsidRDefault="000E07C7" w:rsidP="000E07C7">
      <w:pPr>
        <w:pStyle w:val="Heading2"/>
        <w:rPr>
          <w:lang w:val="ga-IE"/>
        </w:rPr>
      </w:pPr>
      <w:r w:rsidRPr="000E07C7">
        <w:rPr>
          <w:lang w:val="ga-IE"/>
        </w:rPr>
        <w:t>Dearadh Uilíoch i nGníomh COST TU1204</w:t>
      </w:r>
    </w:p>
    <w:p w14:paraId="50AC0699" w14:textId="77777777" w:rsidR="000E07C7" w:rsidRPr="000E07C7" w:rsidRDefault="000E07C7" w:rsidP="000E07C7">
      <w:pPr>
        <w:rPr>
          <w:lang w:val="ga-IE"/>
        </w:rPr>
      </w:pPr>
      <w:r w:rsidRPr="000E07C7">
        <w:rPr>
          <w:lang w:val="ga-IE"/>
        </w:rPr>
        <w:t xml:space="preserve">Chomhoibrigh an Lárionad </w:t>
      </w:r>
      <w:proofErr w:type="spellStart"/>
      <w:r w:rsidRPr="000E07C7">
        <w:rPr>
          <w:lang w:val="ga-IE"/>
        </w:rPr>
        <w:t>Sármhaitheasa</w:t>
      </w:r>
      <w:proofErr w:type="spellEnd"/>
      <w:r w:rsidRPr="000E07C7">
        <w:rPr>
          <w:lang w:val="ga-IE"/>
        </w:rPr>
        <w:t xml:space="preserve"> i nDearadh Uilíoch ag an Údarás Náisiúnta Míchumais mar rannpháirtí i dtionscadal taighde Mhisean Eolaíochta Gearrthéarmach an AE. Cuireadh Dearadh Uilíoch i bhfeidhm mar </w:t>
      </w:r>
      <w:proofErr w:type="spellStart"/>
      <w:r w:rsidRPr="000E07C7">
        <w:rPr>
          <w:lang w:val="ga-IE"/>
        </w:rPr>
        <w:t>phríomhthagairt</w:t>
      </w:r>
      <w:proofErr w:type="spellEnd"/>
      <w:r w:rsidRPr="000E07C7">
        <w:rPr>
          <w:lang w:val="ga-IE"/>
        </w:rPr>
        <w:t xml:space="preserve"> i nGníomh COST TU 1204 ar a dtugtar “Cathracha atá Cairdiúil do Dhaoine i </w:t>
      </w:r>
      <w:proofErr w:type="spellStart"/>
      <w:r w:rsidRPr="000E07C7">
        <w:rPr>
          <w:lang w:val="ga-IE"/>
        </w:rPr>
        <w:t>nDomhan</w:t>
      </w:r>
      <w:proofErr w:type="spellEnd"/>
      <w:r w:rsidRPr="000E07C7">
        <w:rPr>
          <w:lang w:val="ga-IE"/>
        </w:rPr>
        <w:t xml:space="preserve"> ina bhfuil Saibhreas Sonraí” (“</w:t>
      </w:r>
      <w:r w:rsidRPr="00771CAA">
        <w:t>People-Friendly Cities in a Data Rich World</w:t>
      </w:r>
      <w:r w:rsidRPr="000E07C7">
        <w:rPr>
          <w:lang w:val="ga-IE"/>
        </w:rPr>
        <w:t xml:space="preserve">”). Bhí sé de chuspóir ag an tionscadal seo tuiscint a fháil ar mheicníochtaí na rannpháirtíochta poiblí i gcathair Thagartha </w:t>
      </w:r>
      <w:proofErr w:type="spellStart"/>
      <w:r w:rsidRPr="000E07C7">
        <w:rPr>
          <w:lang w:val="ga-IE"/>
        </w:rPr>
        <w:t>Lucca</w:t>
      </w:r>
      <w:proofErr w:type="spellEnd"/>
      <w:r w:rsidRPr="000E07C7">
        <w:rPr>
          <w:lang w:val="ga-IE"/>
        </w:rPr>
        <w:t xml:space="preserve"> san Iodáil agus chun samhail a fhorbairt do “Bhonn Braite na Cathrach” a d’fhéadfaí a chur i bhfeidhm i gcathracha Eorpacha eile. Is iad torthaí thuarascáil an tionscadail ná gur léiríodh Dearadh Uilíoch mar chuid éifeachtach de straitéis chun saoránaigh a spreagadh chun gnímh, chun teanga choiteann a úsáid maidir le dearadh agus chun próisis </w:t>
      </w:r>
      <w:proofErr w:type="spellStart"/>
      <w:r w:rsidRPr="000E07C7">
        <w:rPr>
          <w:lang w:val="ga-IE"/>
        </w:rPr>
        <w:t>chomhchruthaithe</w:t>
      </w:r>
      <w:proofErr w:type="spellEnd"/>
      <w:r w:rsidRPr="000E07C7">
        <w:rPr>
          <w:lang w:val="ga-IE"/>
        </w:rPr>
        <w:t xml:space="preserve"> </w:t>
      </w:r>
      <w:proofErr w:type="spellStart"/>
      <w:r w:rsidRPr="000E07C7">
        <w:rPr>
          <w:lang w:val="ga-IE"/>
        </w:rPr>
        <w:t>phobalbhunaithe</w:t>
      </w:r>
      <w:proofErr w:type="spellEnd"/>
      <w:r w:rsidRPr="000E07C7">
        <w:rPr>
          <w:lang w:val="ga-IE"/>
        </w:rPr>
        <w:t xml:space="preserve"> a chumasú.</w:t>
      </w:r>
    </w:p>
    <w:p w14:paraId="7285EC80" w14:textId="77777777" w:rsidR="000E07C7" w:rsidRPr="000E07C7" w:rsidRDefault="000E07C7" w:rsidP="000E07C7">
      <w:pPr>
        <w:pStyle w:val="Heading2"/>
        <w:rPr>
          <w:lang w:val="ga-IE"/>
        </w:rPr>
      </w:pPr>
      <w:proofErr w:type="spellStart"/>
      <w:r w:rsidRPr="000E07C7">
        <w:rPr>
          <w:lang w:val="ga-IE"/>
        </w:rPr>
        <w:lastRenderedPageBreak/>
        <w:t>Olldúshlán</w:t>
      </w:r>
      <w:proofErr w:type="spellEnd"/>
      <w:r w:rsidRPr="000E07C7">
        <w:rPr>
          <w:lang w:val="ga-IE"/>
        </w:rPr>
        <w:t xml:space="preserve"> Dearaidh Uilíoch 2014</w:t>
      </w:r>
    </w:p>
    <w:p w14:paraId="16CEF14D" w14:textId="77777777" w:rsidR="000E07C7" w:rsidRPr="000E07C7" w:rsidRDefault="000E07C7" w:rsidP="000E07C7">
      <w:pPr>
        <w:rPr>
          <w:lang w:val="ga-IE"/>
        </w:rPr>
      </w:pPr>
      <w:r w:rsidRPr="000E07C7">
        <w:rPr>
          <w:lang w:val="ga-IE"/>
        </w:rPr>
        <w:t xml:space="preserve">D’fhorbair agus d’oibrigh an Lárionad </w:t>
      </w:r>
      <w:proofErr w:type="spellStart"/>
      <w:r w:rsidRPr="000E07C7">
        <w:rPr>
          <w:lang w:val="ga-IE"/>
        </w:rPr>
        <w:t>Sármhaitheasa</w:t>
      </w:r>
      <w:proofErr w:type="spellEnd"/>
      <w:r w:rsidRPr="000E07C7">
        <w:rPr>
          <w:lang w:val="ga-IE"/>
        </w:rPr>
        <w:t xml:space="preserve"> i nDearadh Uilíoch comórtas dámhachtainí mic léinn </w:t>
      </w:r>
      <w:proofErr w:type="spellStart"/>
      <w:r w:rsidRPr="000E07C7">
        <w:rPr>
          <w:lang w:val="ga-IE"/>
        </w:rPr>
        <w:t>Olldúshlán</w:t>
      </w:r>
      <w:proofErr w:type="spellEnd"/>
      <w:r w:rsidRPr="000E07C7">
        <w:rPr>
          <w:lang w:val="ga-IE"/>
        </w:rPr>
        <w:t xml:space="preserve"> Dearaidh in 2014. Tugadh cuireadh do mhic léinn sa dá bhliain dheireanacha staidéir ar an tríú leibhéal agus i gcúrsaí iarchéime i scoileanna in Éirinn chun a dtionscadal mac léinn is fearr a iontráil chun dul san iomaíocht le haghaidh Dhámhachtain Rogha na Moltóirí agus Rogha na nDaoine. Príomhuirlis atá san </w:t>
      </w:r>
      <w:proofErr w:type="spellStart"/>
      <w:r w:rsidRPr="000E07C7">
        <w:rPr>
          <w:lang w:val="ga-IE"/>
        </w:rPr>
        <w:t>Olldúshlán</w:t>
      </w:r>
      <w:proofErr w:type="spellEnd"/>
      <w:r w:rsidRPr="000E07C7">
        <w:rPr>
          <w:lang w:val="ga-IE"/>
        </w:rPr>
        <w:t xml:space="preserve"> Dearaidh Uilíoch a chuireann ar chumas an ÚNM/LSDU chun a n-ábhair oideachais a chur chun cinn le haghaidh cúrsaí tríú leibhéal agus chun mic léinn agus teagascóirí a spreagadh chun breithniú a dhéanamh ar Dhearadh Uirbeach mar théama ina n-obair thionscadail.</w:t>
      </w:r>
    </w:p>
    <w:p w14:paraId="1C0BC1C2" w14:textId="77777777" w:rsidR="000E07C7" w:rsidRPr="000E07C7" w:rsidRDefault="000E07C7" w:rsidP="000E07C7">
      <w:pPr>
        <w:rPr>
          <w:lang w:val="ga-IE"/>
        </w:rPr>
      </w:pPr>
      <w:r w:rsidRPr="000E07C7">
        <w:rPr>
          <w:lang w:val="ga-IE"/>
        </w:rPr>
        <w:t xml:space="preserve">Bhí an LSDU mar </w:t>
      </w:r>
      <w:proofErr w:type="spellStart"/>
      <w:r w:rsidRPr="000E07C7">
        <w:rPr>
          <w:lang w:val="ga-IE"/>
        </w:rPr>
        <w:t>óstaigh</w:t>
      </w:r>
      <w:proofErr w:type="spellEnd"/>
      <w:r w:rsidRPr="000E07C7">
        <w:rPr>
          <w:lang w:val="ga-IE"/>
        </w:rPr>
        <w:t xml:space="preserve"> ar Thaithí Oibre / Intéirneacht le haghaidh Dearthóir Tionsclaíoch ón Iodáil chun oibriú le tionscadal an </w:t>
      </w:r>
      <w:proofErr w:type="spellStart"/>
      <w:r w:rsidRPr="000E07C7">
        <w:rPr>
          <w:lang w:val="ga-IE"/>
        </w:rPr>
        <w:t>Olldúshláin</w:t>
      </w:r>
      <w:proofErr w:type="spellEnd"/>
      <w:r w:rsidRPr="000E07C7">
        <w:rPr>
          <w:lang w:val="ga-IE"/>
        </w:rPr>
        <w:t xml:space="preserve"> Dearaidh Uilíoch. Chabhraigh an dearthóir le hoibriú an imeachta agus réitigh sé ábhair ghairmiúla a bhí bunaithe ar </w:t>
      </w:r>
      <w:proofErr w:type="spellStart"/>
      <w:r w:rsidRPr="000E07C7">
        <w:rPr>
          <w:lang w:val="ga-IE"/>
        </w:rPr>
        <w:t>ghrafaicí</w:t>
      </w:r>
      <w:proofErr w:type="spellEnd"/>
      <w:r w:rsidRPr="000E07C7">
        <w:rPr>
          <w:lang w:val="ga-IE"/>
        </w:rPr>
        <w:t xml:space="preserve"> ar choincheapa Dearaidh Uilíoch agus próisis bhreithiúnais ar féidir iad a mhacasamhlú le haghaidh imeachtaí amach anseo.</w:t>
      </w:r>
    </w:p>
    <w:p w14:paraId="0A14FE74" w14:textId="77777777" w:rsidR="000E07C7" w:rsidRPr="000E07C7" w:rsidRDefault="000E07C7" w:rsidP="000E07C7">
      <w:pPr>
        <w:pStyle w:val="Heading2"/>
        <w:rPr>
          <w:lang w:val="ga-IE"/>
        </w:rPr>
      </w:pPr>
      <w:r w:rsidRPr="000E07C7">
        <w:rPr>
          <w:lang w:val="ga-IE"/>
        </w:rPr>
        <w:t>Treoirlínte maidir le Dearadh Uilíoch do Thithe in Éirinn</w:t>
      </w:r>
    </w:p>
    <w:p w14:paraId="62726CD9" w14:textId="77777777" w:rsidR="000E07C7" w:rsidRPr="000E07C7" w:rsidRDefault="000E07C7" w:rsidP="000E07C7">
      <w:pPr>
        <w:rPr>
          <w:lang w:val="ga-IE"/>
        </w:rPr>
      </w:pPr>
      <w:r w:rsidRPr="000E07C7">
        <w:rPr>
          <w:lang w:val="ga-IE"/>
        </w:rPr>
        <w:t xml:space="preserve">Mar chuid dár n-obair chun treoirlínte a fhorbairt do Thithe a Dearadh go </w:t>
      </w:r>
      <w:proofErr w:type="spellStart"/>
      <w:r w:rsidRPr="000E07C7">
        <w:rPr>
          <w:lang w:val="ga-IE"/>
        </w:rPr>
        <w:t>hUilíoch</w:t>
      </w:r>
      <w:proofErr w:type="spellEnd"/>
      <w:r w:rsidRPr="000E07C7">
        <w:rPr>
          <w:lang w:val="ga-IE"/>
        </w:rPr>
        <w:t>, rinneamar scrúdú ar bhreithniúcháin chostais agus oibriú leis an nGníomhaireacht Tithíochta ina leith seo. . Lean an Ghníomhaireacht Tithíochta ag oibriú ar an tionscadal Measúnaithe Costais i gcaitheamh 2014. Soláthróidh an Measúnú Costais seo fíor-chostais réalaíocha chun Tithe Dearaidh Uilíoch a thógáil in Éirinn.</w:t>
      </w:r>
      <w:r w:rsidR="00D00624">
        <w:rPr>
          <w:b/>
          <w:sz w:val="40"/>
          <w:szCs w:val="40"/>
          <w:lang w:val="ga-IE"/>
        </w:rPr>
        <w:t xml:space="preserve"> </w:t>
      </w:r>
      <w:r w:rsidRPr="000E07C7">
        <w:rPr>
          <w:lang w:val="ga-IE"/>
        </w:rPr>
        <w:t xml:space="preserve">Anuas air sin, tá an obair seo fite fuaite sa cháipéis chríochnaithe um threoir dhearaidh, “Treoirlínte maidir le Dearadh Uilíoch do Thithe in Éirinn”. Táthar ag súil leis seo a bheith críochnaithe faoi lár 2015. Chuir an ÚNM Seimineár Tithíochta agus Dearaidh Uilíoch ar siúl agus ba í </w:t>
      </w:r>
      <w:r w:rsidRPr="00771CAA">
        <w:t>Kay Saville Smith</w:t>
      </w:r>
      <w:r w:rsidRPr="000E07C7">
        <w:rPr>
          <w:lang w:val="ga-IE"/>
        </w:rPr>
        <w:t>, saineolaí tithíochta agus taighde ón Nua-Shéalainn, an príomhchainteoir.</w:t>
      </w:r>
      <w:r w:rsidR="00D00624">
        <w:rPr>
          <w:lang w:val="ga-IE"/>
        </w:rPr>
        <w:t xml:space="preserve"> </w:t>
      </w:r>
      <w:r w:rsidRPr="000E07C7">
        <w:rPr>
          <w:lang w:val="ga-IE"/>
        </w:rPr>
        <w:t xml:space="preserve">D’fhreastail ceannasaithe san earnáil tithíochta ó na hearnálacha poiblí, príobháideacha agus rialtais araon. </w:t>
      </w:r>
    </w:p>
    <w:p w14:paraId="5AC6B053" w14:textId="77777777" w:rsidR="000E07C7" w:rsidRPr="000E07C7" w:rsidRDefault="000E07C7" w:rsidP="000E07C7">
      <w:pPr>
        <w:pStyle w:val="Heading2"/>
        <w:rPr>
          <w:lang w:val="ga-IE"/>
        </w:rPr>
      </w:pPr>
      <w:r w:rsidRPr="000E07C7">
        <w:rPr>
          <w:lang w:val="ga-IE"/>
        </w:rPr>
        <w:t>Tithe Dearaidh Uilíoch do Dhaoine a bhfuil néaltrú orthu, a dTeaghlaigh agus a gCúramóirí</w:t>
      </w:r>
    </w:p>
    <w:p w14:paraId="136744C9" w14:textId="77777777" w:rsidR="000E07C7" w:rsidRPr="000E07C7" w:rsidRDefault="000E07C7" w:rsidP="000E07C7">
      <w:pPr>
        <w:rPr>
          <w:lang w:val="ga-IE"/>
        </w:rPr>
      </w:pPr>
      <w:r w:rsidRPr="000E07C7">
        <w:rPr>
          <w:lang w:val="ga-IE"/>
        </w:rPr>
        <w:t xml:space="preserve">Tá sé de chuspóir ag an tionscadal gairmithe dearaidh agus páirtithe leasmhara ábhartha a sholáthar a bhfuil an treoir riachtanach um Dhearadh Uilíoch acu chun tithe nua a dhearadh nó chun stoc reatha tithíochta a </w:t>
      </w:r>
      <w:proofErr w:type="spellStart"/>
      <w:r w:rsidRPr="000E07C7">
        <w:rPr>
          <w:lang w:val="ga-IE"/>
        </w:rPr>
        <w:lastRenderedPageBreak/>
        <w:t>aisfheistiú</w:t>
      </w:r>
      <w:proofErr w:type="spellEnd"/>
      <w:r w:rsidRPr="000E07C7">
        <w:rPr>
          <w:lang w:val="ga-IE"/>
        </w:rPr>
        <w:t xml:space="preserve"> lena éascú, a fhad agus is féidir, go mbeidh daoine a bhfuil néaltrú orthu in ann fanacht ina gcónaí ina dtithe agus ina bpobail. Cuimseoidh an Taighde, na Moltaí agus an Treoir maidir le Dearadh ceanglais theaghlaigh na ndaoine siúd a bhfuil néaltrú orthu. Tá an obair seo le críochnú in Earrach 2015.</w:t>
      </w:r>
    </w:p>
    <w:p w14:paraId="7BC68452" w14:textId="77777777" w:rsidR="000E07C7" w:rsidRPr="000E07C7" w:rsidRDefault="000E07C7" w:rsidP="000E07C7">
      <w:pPr>
        <w:rPr>
          <w:lang w:val="ga-IE"/>
        </w:rPr>
      </w:pPr>
      <w:r w:rsidRPr="000E07C7">
        <w:rPr>
          <w:lang w:val="ga-IE"/>
        </w:rPr>
        <w:t>Tá sé beartaithe an Treoir um Dhearadh ina bhfuil “Treoirlínte um Dhearadh Uilíoch do Thithe in Éirinn” a sheoladh in 2015 mar chuid de Bhliain Dearaidh na hÉireann 2015.</w:t>
      </w:r>
    </w:p>
    <w:p w14:paraId="09CF2B90" w14:textId="77777777" w:rsidR="000E07C7" w:rsidRPr="000E07C7" w:rsidRDefault="000E07C7" w:rsidP="000E07C7">
      <w:pPr>
        <w:pStyle w:val="Heading2"/>
        <w:rPr>
          <w:lang w:val="ga-IE"/>
        </w:rPr>
      </w:pPr>
      <w:proofErr w:type="spellStart"/>
      <w:r w:rsidRPr="000E07C7">
        <w:rPr>
          <w:lang w:val="ga-IE"/>
        </w:rPr>
        <w:t>Gearrchúrsa</w:t>
      </w:r>
      <w:proofErr w:type="spellEnd"/>
      <w:r w:rsidRPr="000E07C7">
        <w:rPr>
          <w:lang w:val="ga-IE"/>
        </w:rPr>
        <w:t xml:space="preserve"> dara leibhéal i nDearadh Uilíoch</w:t>
      </w:r>
    </w:p>
    <w:p w14:paraId="6BC6EAD5" w14:textId="77777777" w:rsidR="000E07C7" w:rsidRPr="000E07C7" w:rsidRDefault="000E07C7" w:rsidP="000E07C7">
      <w:pPr>
        <w:rPr>
          <w:lang w:val="ga-IE"/>
        </w:rPr>
      </w:pPr>
      <w:r w:rsidRPr="000E07C7">
        <w:rPr>
          <w:lang w:val="ga-IE"/>
        </w:rPr>
        <w:t xml:space="preserve">Chuir an Lárionad </w:t>
      </w:r>
      <w:proofErr w:type="spellStart"/>
      <w:r w:rsidRPr="000E07C7">
        <w:rPr>
          <w:lang w:val="ga-IE"/>
        </w:rPr>
        <w:t>Sármhaitheasa</w:t>
      </w:r>
      <w:proofErr w:type="spellEnd"/>
      <w:r w:rsidRPr="000E07C7">
        <w:rPr>
          <w:lang w:val="ga-IE"/>
        </w:rPr>
        <w:t xml:space="preserve"> i nDearadh Uilíoch ag an Údarás Náisiúnta Míchumais tús le hobair i dtreo modúl curaclaim Dearaidh Uilíoch a fhorbairt a úsáidfear i scoileanna dara leibhéal. </w:t>
      </w:r>
    </w:p>
    <w:p w14:paraId="492BDE12" w14:textId="77777777" w:rsidR="000E07C7" w:rsidRPr="000E07C7" w:rsidRDefault="000E07C7" w:rsidP="000E07C7">
      <w:pPr>
        <w:rPr>
          <w:lang w:val="ga-IE"/>
        </w:rPr>
      </w:pPr>
      <w:r w:rsidRPr="000E07C7">
        <w:rPr>
          <w:lang w:val="ga-IE"/>
        </w:rPr>
        <w:t xml:space="preserve">Leagfaidh an curaclam béim ar mheas a léiriú ar éagsúlacht, i dtaobh fadhbréiteach dearaidh bunaithe ar chleachtais Dearaidh Uilíoch atá </w:t>
      </w:r>
      <w:proofErr w:type="spellStart"/>
      <w:r w:rsidRPr="000E07C7">
        <w:rPr>
          <w:lang w:val="ga-IE"/>
        </w:rPr>
        <w:t>úsáideoirlárnach</w:t>
      </w:r>
      <w:proofErr w:type="spellEnd"/>
      <w:r w:rsidRPr="000E07C7">
        <w:rPr>
          <w:lang w:val="ga-IE"/>
        </w:rPr>
        <w:t xml:space="preserve"> a mhúineadh do dhaltaí dara leibhéal.</w:t>
      </w:r>
      <w:r w:rsidR="00D00624">
        <w:rPr>
          <w:lang w:val="ga-IE"/>
        </w:rPr>
        <w:t xml:space="preserve"> </w:t>
      </w:r>
      <w:r w:rsidRPr="000E07C7">
        <w:rPr>
          <w:lang w:val="ga-IE"/>
        </w:rPr>
        <w:t xml:space="preserve"> Beidh an </w:t>
      </w:r>
      <w:proofErr w:type="spellStart"/>
      <w:r w:rsidRPr="000E07C7">
        <w:rPr>
          <w:lang w:val="ga-IE"/>
        </w:rPr>
        <w:t>Gearrchúrsa</w:t>
      </w:r>
      <w:proofErr w:type="spellEnd"/>
      <w:r w:rsidRPr="000E07C7">
        <w:rPr>
          <w:lang w:val="ga-IE"/>
        </w:rPr>
        <w:t xml:space="preserve"> ar aon dul leis na Ráitis </w:t>
      </w:r>
      <w:proofErr w:type="spellStart"/>
      <w:r w:rsidRPr="000E07C7">
        <w:rPr>
          <w:lang w:val="ga-IE"/>
        </w:rPr>
        <w:t>Príomhscileanna</w:t>
      </w:r>
      <w:proofErr w:type="spellEnd"/>
      <w:r w:rsidRPr="000E07C7">
        <w:rPr>
          <w:lang w:val="ga-IE"/>
        </w:rPr>
        <w:t xml:space="preserve"> agus Foghlama i gCreatlach leasaithe na Sraithe Sóisearaí de chuid na Comhairle Náisiúnta Curaclaim agus Measúnachta. </w:t>
      </w:r>
    </w:p>
    <w:p w14:paraId="32F33993" w14:textId="77777777" w:rsidR="000E07C7" w:rsidRPr="000E07C7" w:rsidRDefault="000E07C7" w:rsidP="000E07C7">
      <w:pPr>
        <w:rPr>
          <w:lang w:val="ga-IE"/>
        </w:rPr>
      </w:pPr>
      <w:r w:rsidRPr="000E07C7">
        <w:rPr>
          <w:lang w:val="ga-IE"/>
        </w:rPr>
        <w:t xml:space="preserve">Is é an réasúnaíocht an tionscadal chun smaointeoireacht Dearaidh Uilíoch a thabhairt isteach san oideachas d’fhonn an glacadh leis ar an tríú leibhéal a fheabhsú. Beidh sé ar aon dul le tionscnaimh ghaolmhara oideachais Dearaidh Uilíoch agus oibreofar Ceardlann Dara Leibhéal mar chuid de Bhliain Dearaidh na hÉireann 2015. Tá sé beartaithe an </w:t>
      </w:r>
      <w:proofErr w:type="spellStart"/>
      <w:r w:rsidRPr="000E07C7">
        <w:rPr>
          <w:lang w:val="ga-IE"/>
        </w:rPr>
        <w:t>Gearrchúrsa</w:t>
      </w:r>
      <w:proofErr w:type="spellEnd"/>
      <w:r w:rsidRPr="000E07C7">
        <w:rPr>
          <w:lang w:val="ga-IE"/>
        </w:rPr>
        <w:t xml:space="preserve"> a thabhairt isteach in 2016.</w:t>
      </w:r>
    </w:p>
    <w:p w14:paraId="37F4787F" w14:textId="77777777" w:rsidR="000E07C7" w:rsidRPr="000E07C7" w:rsidRDefault="000E07C7" w:rsidP="000E07C7">
      <w:pPr>
        <w:pStyle w:val="Heading2"/>
        <w:rPr>
          <w:lang w:val="ga-IE"/>
        </w:rPr>
      </w:pPr>
      <w:r w:rsidRPr="000E07C7">
        <w:rPr>
          <w:lang w:val="ga-IE"/>
        </w:rPr>
        <w:t>Curaclam Dearaidh Uilíoch le haghaidh cúrsaí tríú leibhéal</w:t>
      </w:r>
    </w:p>
    <w:p w14:paraId="38BF6D8A" w14:textId="77777777" w:rsidR="000E07C7" w:rsidRPr="000E07C7" w:rsidRDefault="000E07C7" w:rsidP="000E07C7">
      <w:pPr>
        <w:rPr>
          <w:lang w:val="ga-IE"/>
        </w:rPr>
      </w:pPr>
      <w:r w:rsidRPr="000E07C7">
        <w:rPr>
          <w:lang w:val="ga-IE"/>
        </w:rPr>
        <w:t xml:space="preserve">Lean an Lárionad </w:t>
      </w:r>
      <w:proofErr w:type="spellStart"/>
      <w:r w:rsidRPr="000E07C7">
        <w:rPr>
          <w:lang w:val="ga-IE"/>
        </w:rPr>
        <w:t>Sármhaitheasa</w:t>
      </w:r>
      <w:proofErr w:type="spellEnd"/>
      <w:r w:rsidRPr="000E07C7">
        <w:rPr>
          <w:lang w:val="ga-IE"/>
        </w:rPr>
        <w:t xml:space="preserve"> i nDearadh Uilíoch leis na hábhair oideachais tríú leibhéal ar Dhearadh Uilíoch a fhógairt amhail bheith oiriúnach lena n-úsáid i réimse cúrsaí. Áiríodh leis seo ceardlann a chur ar siúl le gach scoil ailtireachta in Éirinn ar Dhearadh Uilíoch. Thug an t-ailtire Beilgeach agus an tOllamh </w:t>
      </w:r>
      <w:proofErr w:type="spellStart"/>
      <w:r w:rsidRPr="000E07C7">
        <w:rPr>
          <w:lang w:val="ga-IE"/>
        </w:rPr>
        <w:t>Emeritus</w:t>
      </w:r>
      <w:proofErr w:type="spellEnd"/>
      <w:r w:rsidRPr="000E07C7">
        <w:rPr>
          <w:lang w:val="ga-IE"/>
        </w:rPr>
        <w:t xml:space="preserve">, </w:t>
      </w:r>
      <w:proofErr w:type="spellStart"/>
      <w:r w:rsidRPr="000E07C7">
        <w:rPr>
          <w:lang w:val="ga-IE"/>
        </w:rPr>
        <w:t>Hubert</w:t>
      </w:r>
      <w:proofErr w:type="spellEnd"/>
      <w:r w:rsidRPr="000E07C7">
        <w:rPr>
          <w:lang w:val="ga-IE"/>
        </w:rPr>
        <w:t xml:space="preserve"> </w:t>
      </w:r>
      <w:proofErr w:type="spellStart"/>
      <w:r w:rsidRPr="000E07C7">
        <w:rPr>
          <w:lang w:val="ga-IE"/>
        </w:rPr>
        <w:t>Froyen</w:t>
      </w:r>
      <w:proofErr w:type="spellEnd"/>
      <w:r w:rsidRPr="000E07C7">
        <w:rPr>
          <w:lang w:val="ga-IE"/>
        </w:rPr>
        <w:t>, réamheolas sa cheardlann ar Dhearadh Uilíoch a mhúineadh do mhic léinn ailtireachta.</w:t>
      </w:r>
      <w:r w:rsidR="00D00624">
        <w:rPr>
          <w:b/>
          <w:sz w:val="40"/>
          <w:szCs w:val="40"/>
          <w:lang w:val="ga-IE"/>
        </w:rPr>
        <w:t xml:space="preserve"> </w:t>
      </w:r>
      <w:r w:rsidRPr="000E07C7">
        <w:rPr>
          <w:lang w:val="ga-IE"/>
        </w:rPr>
        <w:t xml:space="preserve">Thug comhalta sinsearach den IRAÉ caint sa cheardlann chomh maith agus soláthraíodh an deis do na rannpháirtithe a dtuairimí ar dheiseanna chun Dearadh Uilíoch a mhúineadh a phlé. </w:t>
      </w:r>
    </w:p>
    <w:p w14:paraId="22DA12F6" w14:textId="77777777" w:rsidR="000E07C7" w:rsidRPr="000E07C7" w:rsidRDefault="000E07C7" w:rsidP="000E07C7">
      <w:pPr>
        <w:rPr>
          <w:lang w:val="ga-IE"/>
        </w:rPr>
      </w:pPr>
      <w:r w:rsidRPr="000E07C7">
        <w:rPr>
          <w:lang w:val="ga-IE"/>
        </w:rPr>
        <w:lastRenderedPageBreak/>
        <w:t xml:space="preserve">Bhí cruinnithe eile agus léachtaí le </w:t>
      </w:r>
      <w:proofErr w:type="spellStart"/>
      <w:r w:rsidRPr="000E07C7">
        <w:rPr>
          <w:lang w:val="ga-IE"/>
        </w:rPr>
        <w:t>haíonna</w:t>
      </w:r>
      <w:proofErr w:type="spellEnd"/>
      <w:r w:rsidRPr="000E07C7">
        <w:rPr>
          <w:lang w:val="ga-IE"/>
        </w:rPr>
        <w:t xml:space="preserve"> ar siúl chun an úsáid a bhaintear as ábhair an churaclaim a chur chun cinn le ranna éagsúla laistigh de DCU, UCD, IT Cheatharlach, UCC agus IT Bhaile Bhlainséir.</w:t>
      </w:r>
    </w:p>
    <w:p w14:paraId="23163A51" w14:textId="77777777" w:rsidR="000E07C7" w:rsidRPr="000E07C7" w:rsidRDefault="000E07C7" w:rsidP="000E07C7">
      <w:pPr>
        <w:pStyle w:val="Heading2"/>
        <w:rPr>
          <w:lang w:val="ga-IE"/>
        </w:rPr>
      </w:pPr>
      <w:r w:rsidRPr="000E07C7">
        <w:rPr>
          <w:lang w:val="ga-IE"/>
        </w:rPr>
        <w:t>Comhalta de ghrúpa comhairleach um Aosú Cliste Roinn an Taoisigh</w:t>
      </w:r>
    </w:p>
    <w:p w14:paraId="26C7EBD3" w14:textId="77777777" w:rsidR="000E07C7" w:rsidRPr="000E07C7" w:rsidRDefault="000E07C7" w:rsidP="000E07C7">
      <w:pPr>
        <w:rPr>
          <w:lang w:val="ga-IE"/>
        </w:rPr>
      </w:pPr>
      <w:r w:rsidRPr="000E07C7">
        <w:rPr>
          <w:lang w:val="ga-IE"/>
        </w:rPr>
        <w:t xml:space="preserve">Bhunaigh Roinn an Taoisigh coiste comhairleach agus tugadh cuireadh don ÚNM bheith mar chomhalta de. Díríodh ar an gcumas atá ag Éirinn bheith i gceartlár na </w:t>
      </w:r>
      <w:proofErr w:type="spellStart"/>
      <w:r w:rsidRPr="000E07C7">
        <w:rPr>
          <w:lang w:val="ga-IE"/>
        </w:rPr>
        <w:t>nuálaíochta</w:t>
      </w:r>
      <w:proofErr w:type="spellEnd"/>
      <w:r w:rsidRPr="000E07C7">
        <w:rPr>
          <w:lang w:val="ga-IE"/>
        </w:rPr>
        <w:t xml:space="preserve"> i limistéar an aosaithe i measc gach earnála, sláinte, oideachas, teicneolaíocht, iompar agus turasóireacht ina measc. Rinne an ÚNM aighneacht leis an Roinn agus bhí siad mar chuid de roinnt cruinnithe i gcaitheamh 2014. Tá an tuarascáil deiridh taighde le foilsiú go luath in 2015.</w:t>
      </w:r>
    </w:p>
    <w:p w14:paraId="5EAED28B" w14:textId="77777777" w:rsidR="000E07C7" w:rsidRPr="000E07C7" w:rsidRDefault="000E07C7" w:rsidP="000E07C7">
      <w:pPr>
        <w:pStyle w:val="Heading2"/>
        <w:rPr>
          <w:lang w:val="ga-IE"/>
        </w:rPr>
      </w:pPr>
      <w:r w:rsidRPr="000E07C7">
        <w:rPr>
          <w:lang w:val="ga-IE"/>
        </w:rPr>
        <w:t xml:space="preserve">Méadrú Cliste agus Taispeáint </w:t>
      </w:r>
      <w:proofErr w:type="spellStart"/>
      <w:r w:rsidRPr="000E07C7">
        <w:rPr>
          <w:lang w:val="ga-IE"/>
        </w:rPr>
        <w:t>intí</w:t>
      </w:r>
      <w:proofErr w:type="spellEnd"/>
      <w:r w:rsidRPr="000E07C7">
        <w:rPr>
          <w:lang w:val="ga-IE"/>
        </w:rPr>
        <w:t xml:space="preserve"> </w:t>
      </w:r>
      <w:proofErr w:type="spellStart"/>
      <w:r w:rsidRPr="000E07C7">
        <w:rPr>
          <w:lang w:val="ga-IE"/>
        </w:rPr>
        <w:t>d’Fhóntais</w:t>
      </w:r>
      <w:proofErr w:type="spellEnd"/>
      <w:r w:rsidRPr="000E07C7">
        <w:rPr>
          <w:lang w:val="ga-IE"/>
        </w:rPr>
        <w:t xml:space="preserve"> Bhaile Éireannacha</w:t>
      </w:r>
    </w:p>
    <w:p w14:paraId="73D016FA" w14:textId="77777777" w:rsidR="000E07C7" w:rsidRPr="000E07C7" w:rsidRDefault="000E07C7" w:rsidP="000E07C7">
      <w:pPr>
        <w:rPr>
          <w:lang w:val="ga-IE"/>
        </w:rPr>
      </w:pPr>
      <w:r w:rsidRPr="000E07C7">
        <w:rPr>
          <w:lang w:val="ga-IE"/>
        </w:rPr>
        <w:t xml:space="preserve">I ndiaidh gur foilsíodh treoirlínte teicniúla an ÚNM le haghaidh taispeáintí </w:t>
      </w:r>
      <w:proofErr w:type="spellStart"/>
      <w:r w:rsidRPr="000E07C7">
        <w:rPr>
          <w:lang w:val="ga-IE"/>
        </w:rPr>
        <w:t>intí</w:t>
      </w:r>
      <w:proofErr w:type="spellEnd"/>
      <w:r w:rsidRPr="000E07C7">
        <w:rPr>
          <w:lang w:val="ga-IE"/>
        </w:rPr>
        <w:t xml:space="preserve"> a sholáthraíonn faisnéis inrochtana, inúsáidte agus intuigthe ar ghás, leictreachas agus uisce tí a úsáid, rinne an ÚNM idirchaidreamh leis an Roinn Comhshaoil agus leis an gCoimisiún um Rialáil Fuinnimh ar cad iad na gníomhartha is fearr chun na treoirlínte seo a chur i bhfeidhm. Leanfaidh an obair seo isteach in 2015.</w:t>
      </w:r>
    </w:p>
    <w:p w14:paraId="110E7806" w14:textId="77777777" w:rsidR="000E07C7" w:rsidRPr="000E07C7" w:rsidRDefault="000E07C7" w:rsidP="000E07C7">
      <w:pPr>
        <w:pStyle w:val="Heading2"/>
        <w:rPr>
          <w:lang w:val="ga-IE"/>
        </w:rPr>
      </w:pPr>
      <w:r w:rsidRPr="000E07C7">
        <w:rPr>
          <w:lang w:val="ga-IE"/>
        </w:rPr>
        <w:t>Feasacht agus tuiscint a chur chun cinn ar dhearadh uilíoch</w:t>
      </w:r>
    </w:p>
    <w:p w14:paraId="731F33C0" w14:textId="77777777" w:rsidR="000E07C7" w:rsidRPr="000E07C7" w:rsidRDefault="000E07C7" w:rsidP="000E07C7">
      <w:pPr>
        <w:rPr>
          <w:lang w:val="ga-IE"/>
        </w:rPr>
      </w:pPr>
      <w:r w:rsidRPr="000E07C7">
        <w:rPr>
          <w:lang w:val="ga-IE"/>
        </w:rPr>
        <w:t xml:space="preserve">Coimeádann an Lárionad </w:t>
      </w:r>
      <w:proofErr w:type="spellStart"/>
      <w:r w:rsidRPr="000E07C7">
        <w:rPr>
          <w:lang w:val="ga-IE"/>
        </w:rPr>
        <w:t>Sármhaitheasa</w:t>
      </w:r>
      <w:proofErr w:type="spellEnd"/>
      <w:r w:rsidRPr="000E07C7">
        <w:rPr>
          <w:lang w:val="ga-IE"/>
        </w:rPr>
        <w:t xml:space="preserve"> i nDearadh Uirbeach ag an Údarás Náisiúnta Míchumais comhpháirtíocht chorparáideach le </w:t>
      </w:r>
      <w:proofErr w:type="spellStart"/>
      <w:r w:rsidRPr="000E07C7">
        <w:rPr>
          <w:lang w:val="ga-IE"/>
        </w:rPr>
        <w:t>hInstitiúid</w:t>
      </w:r>
      <w:proofErr w:type="spellEnd"/>
      <w:r w:rsidRPr="000E07C7">
        <w:rPr>
          <w:lang w:val="ga-IE"/>
        </w:rPr>
        <w:t xml:space="preserve"> Dearthóirí Éireann (IDÉ).</w:t>
      </w:r>
      <w:r w:rsidR="00D00624">
        <w:rPr>
          <w:lang w:val="ga-IE"/>
        </w:rPr>
        <w:t xml:space="preserve"> </w:t>
      </w:r>
      <w:r w:rsidRPr="000E07C7">
        <w:rPr>
          <w:lang w:val="ga-IE"/>
        </w:rPr>
        <w:t xml:space="preserve">Cuireann an chomhpháirtíocht seo ar chumas teagmháil a dhéanamh le ballraíocht fhairsing ghairmiúil IDÉ agus cruthaíonn sé an deis chun an chatagóir Dhearaidh Uilíoch (DU) i </w:t>
      </w:r>
      <w:proofErr w:type="spellStart"/>
      <w:r w:rsidRPr="000E07C7">
        <w:rPr>
          <w:lang w:val="ga-IE"/>
        </w:rPr>
        <w:t>nDamhachtainí</w:t>
      </w:r>
      <w:proofErr w:type="spellEnd"/>
      <w:r w:rsidRPr="000E07C7">
        <w:rPr>
          <w:lang w:val="ga-IE"/>
        </w:rPr>
        <w:t xml:space="preserve"> bliantúla IDÉ a mholadh. Tá suíochán ag an ÚNM ar Chomhairle IDÉ, áit a dtagann deiseanna aníos chun Dearadh Uilíoch i dtionscnaimh IDÉ agus Bliain Dearaidh na hÉireann, a bhaineann le hábhar chomh maith, a chur chun cinn. Ba é </w:t>
      </w:r>
      <w:proofErr w:type="spellStart"/>
      <w:r w:rsidRPr="000E07C7">
        <w:rPr>
          <w:lang w:val="ga-IE"/>
        </w:rPr>
        <w:t>Gazel</w:t>
      </w:r>
      <w:proofErr w:type="spellEnd"/>
      <w:r w:rsidRPr="000E07C7">
        <w:rPr>
          <w:lang w:val="ga-IE"/>
        </w:rPr>
        <w:t xml:space="preserve">, (crochadán éadaigh Dearaidh Uilíoch) buaiteoir chatagóir DU Dhámhachtain IDÉ 2014. Tá cur chun cinn an Dearaidh Uilíoch ar fud IDÉ ag dul i méid i gcónaí agus tá forbairt á déanamh ar phleananna chun catagóir Dhearaidh Uilíoch a chur san áireamh i nDámhachtainí Céimithe IDÉ 2015. </w:t>
      </w:r>
    </w:p>
    <w:p w14:paraId="0F114816" w14:textId="77777777" w:rsidR="000E07C7" w:rsidRPr="000E07C7" w:rsidRDefault="000E07C7" w:rsidP="001C14C5">
      <w:pPr>
        <w:pStyle w:val="Heading2"/>
        <w:rPr>
          <w:lang w:val="ga-IE"/>
        </w:rPr>
      </w:pPr>
      <w:r w:rsidRPr="000E07C7">
        <w:rPr>
          <w:lang w:val="ga-IE"/>
        </w:rPr>
        <w:lastRenderedPageBreak/>
        <w:t>Comhoibriú leis an IRAÉ ar Dhámhachtain Dearaidh Uilíoch an IRAÉ</w:t>
      </w:r>
    </w:p>
    <w:p w14:paraId="250726DF" w14:textId="77777777" w:rsidR="000E07C7" w:rsidRPr="000E07C7" w:rsidRDefault="000E07C7" w:rsidP="000E07C7">
      <w:pPr>
        <w:rPr>
          <w:lang w:val="ga-IE"/>
        </w:rPr>
      </w:pPr>
      <w:r w:rsidRPr="000E07C7">
        <w:rPr>
          <w:lang w:val="ga-IE"/>
        </w:rPr>
        <w:t xml:space="preserve">Lean ár Lárionad </w:t>
      </w:r>
      <w:proofErr w:type="spellStart"/>
      <w:r w:rsidRPr="000E07C7">
        <w:rPr>
          <w:lang w:val="ga-IE"/>
        </w:rPr>
        <w:t>Sármhaitheasa</w:t>
      </w:r>
      <w:proofErr w:type="spellEnd"/>
      <w:r w:rsidRPr="000E07C7">
        <w:rPr>
          <w:lang w:val="ga-IE"/>
        </w:rPr>
        <w:t xml:space="preserve"> i nDearadh Uilíoch ag tacú le </w:t>
      </w:r>
      <w:proofErr w:type="spellStart"/>
      <w:r w:rsidRPr="000E07C7">
        <w:rPr>
          <w:lang w:val="ga-IE"/>
        </w:rPr>
        <w:t>hInstitiúid</w:t>
      </w:r>
      <w:proofErr w:type="spellEnd"/>
      <w:r w:rsidRPr="000E07C7">
        <w:rPr>
          <w:lang w:val="ga-IE"/>
        </w:rPr>
        <w:t xml:space="preserve"> Ríoga Ailtirí na hÉireann (IRAÉ) maidir leis an gcatagóir Dhearaidh Uilíoch mar chuid dá ndámhachtainí bliantúla ailtireachta in 2014. Is é cuspóir na </w:t>
      </w:r>
      <w:proofErr w:type="spellStart"/>
      <w:r w:rsidRPr="000E07C7">
        <w:rPr>
          <w:lang w:val="ga-IE"/>
        </w:rPr>
        <w:t>dámhachtana</w:t>
      </w:r>
      <w:proofErr w:type="spellEnd"/>
      <w:r w:rsidRPr="000E07C7">
        <w:rPr>
          <w:lang w:val="ga-IE"/>
        </w:rPr>
        <w:t xml:space="preserve"> chun sármhaitheas i nDearadh Uilíoch a chur chun cinn i measc ghairm na hailtireachta in Éirinn. Mar chuid dá dtacaíocht leis an dámhachtain, tugann an LSDU cuireadh d’ailtire idirnáisiúnta chun bheith mar chathaoirleach ar an ngiúiré don dámhachtain agus chun léacht a chur i láthair a bhaineann le Dearadh Uilíoch do chomhaltaí an IRAÉ. Thug </w:t>
      </w:r>
      <w:proofErr w:type="spellStart"/>
      <w:r w:rsidRPr="000E07C7">
        <w:rPr>
          <w:lang w:val="ga-IE"/>
        </w:rPr>
        <w:t>Stephanie</w:t>
      </w:r>
      <w:proofErr w:type="spellEnd"/>
      <w:r w:rsidRPr="000E07C7">
        <w:rPr>
          <w:lang w:val="ga-IE"/>
        </w:rPr>
        <w:t xml:space="preserve"> </w:t>
      </w:r>
      <w:proofErr w:type="spellStart"/>
      <w:r w:rsidRPr="000E07C7">
        <w:rPr>
          <w:lang w:val="ga-IE"/>
        </w:rPr>
        <w:t>Akkaoui</w:t>
      </w:r>
      <w:proofErr w:type="spellEnd"/>
      <w:r w:rsidRPr="000E07C7">
        <w:rPr>
          <w:lang w:val="ga-IE"/>
        </w:rPr>
        <w:t xml:space="preserve"> </w:t>
      </w:r>
      <w:proofErr w:type="spellStart"/>
      <w:r w:rsidRPr="000E07C7">
        <w:rPr>
          <w:lang w:val="ga-IE"/>
        </w:rPr>
        <w:t>Hughes</w:t>
      </w:r>
      <w:proofErr w:type="spellEnd"/>
      <w:r w:rsidRPr="000E07C7">
        <w:rPr>
          <w:lang w:val="ga-IE"/>
        </w:rPr>
        <w:t>, ailtire Liobánach atá bunaithe san Ísiltír, léacht ar “Comhthéacsanna a dhearadh chun idirghníomhú daonna a chothú” (“</w:t>
      </w:r>
      <w:r w:rsidRPr="00771CAA">
        <w:t>Designing contexts to foster human interactions</w:t>
      </w:r>
      <w:r w:rsidRPr="000E07C7">
        <w:rPr>
          <w:lang w:val="ga-IE"/>
        </w:rPr>
        <w:t>”). Cuireadh an léacht ar siúl ag Ionad Mic Léinn UCD, buaiteoir an Dearaidh Uilíoch is Fearr agus Dhámhachtain Rogha an Phobail i nDámhachtainí Ailtireachta 2013 an IRAÉ.</w:t>
      </w:r>
    </w:p>
    <w:p w14:paraId="1E6AF94D" w14:textId="77777777" w:rsidR="000E07C7" w:rsidRPr="000E07C7" w:rsidRDefault="000E07C7" w:rsidP="000E07C7">
      <w:pPr>
        <w:pStyle w:val="Heading2"/>
        <w:rPr>
          <w:lang w:val="ga-IE"/>
        </w:rPr>
      </w:pPr>
      <w:r w:rsidRPr="000E07C7">
        <w:rPr>
          <w:lang w:val="ga-IE"/>
        </w:rPr>
        <w:t>Bearta chun inrochtaineacht láithreáin ghréasáin phoiblí san Eoraip a fheabhsú</w:t>
      </w:r>
    </w:p>
    <w:p w14:paraId="08EAD2F9" w14:textId="77777777" w:rsidR="000E07C7" w:rsidRPr="000E07C7" w:rsidRDefault="000E07C7" w:rsidP="000E07C7">
      <w:pPr>
        <w:rPr>
          <w:lang w:val="ga-IE"/>
        </w:rPr>
      </w:pPr>
      <w:r w:rsidRPr="000E07C7">
        <w:rPr>
          <w:lang w:val="ga-IE"/>
        </w:rPr>
        <w:t>Tá sé de chuspóir ag an tuarascáil seo ranníocaíocht nua a dhéanamh leis an mbonn reatha fianaise ar inrochtaineacht Ghréasáin d’fhonn tacú leis an bplé reatha i bParlaimint na hEorpa agus Comhairle na nAirí maidir leis an togra a rinne an Coimisiún Eorpach le déanaí chun Treoir sa limistéar seo a chur i dtoll a chéile</w:t>
      </w:r>
      <w:r w:rsidRPr="000E07C7">
        <w:rPr>
          <w:vertAlign w:val="superscript"/>
          <w:lang w:val="ga-IE"/>
        </w:rPr>
        <w:footnoteReference w:id="2"/>
      </w:r>
      <w:r w:rsidRPr="000E07C7">
        <w:rPr>
          <w:lang w:val="ga-IE"/>
        </w:rPr>
        <w:t xml:space="preserve">. </w:t>
      </w:r>
      <w:proofErr w:type="spellStart"/>
      <w:r w:rsidRPr="000E07C7">
        <w:rPr>
          <w:lang w:val="ga-IE"/>
        </w:rPr>
        <w:t>Chomhchistigh</w:t>
      </w:r>
      <w:proofErr w:type="spellEnd"/>
      <w:r w:rsidRPr="000E07C7">
        <w:rPr>
          <w:lang w:val="ga-IE"/>
        </w:rPr>
        <w:t xml:space="preserve"> an Roinn Cumarsáide, Fuinnimh agus Acmhainní Nádúrtha an staidéar.</w:t>
      </w:r>
    </w:p>
    <w:p w14:paraId="33AC3F53" w14:textId="77777777" w:rsidR="000E07C7" w:rsidRPr="000E07C7" w:rsidRDefault="000E07C7" w:rsidP="000E07C7">
      <w:pPr>
        <w:rPr>
          <w:lang w:val="ga-IE"/>
        </w:rPr>
      </w:pPr>
      <w:r w:rsidRPr="000E07C7">
        <w:rPr>
          <w:lang w:val="ga-IE"/>
        </w:rPr>
        <w:t>Thug an staidéar faoi measúnuithe ar 39 láithreán gréasáin in Éirinn agus i sé Bhallstát eile agus thug sé faoi agallaimh dhoimhne le bainisteoirí poiblí gréasáin i dtrí thír (Éire, an Ghearmáin agus an tSualainn).</w:t>
      </w:r>
      <w:r w:rsidR="00D00624">
        <w:rPr>
          <w:lang w:val="ga-IE"/>
        </w:rPr>
        <w:t xml:space="preserve"> </w:t>
      </w:r>
      <w:r w:rsidRPr="000E07C7">
        <w:rPr>
          <w:lang w:val="ga-IE"/>
        </w:rPr>
        <w:t xml:space="preserve">Dheimhnigh an staidéar go bhfuil na leibhéil reatha d’inrochtaineacht ghréasáin íseal go fóill. Ní chomhlíonann aon cheann de na 37 láithreán gréasáin seirbhíse poiblí a measúnaíodh i measc na seacht dtír ceanglais WCAG 2.0 AA go hiomlán faoi láthair. </w:t>
      </w:r>
    </w:p>
    <w:p w14:paraId="720614B6" w14:textId="77777777" w:rsidR="000E07C7" w:rsidRPr="000E07C7" w:rsidRDefault="000E07C7" w:rsidP="000E07C7">
      <w:pPr>
        <w:rPr>
          <w:lang w:val="ga-IE"/>
        </w:rPr>
      </w:pPr>
      <w:r w:rsidRPr="000E07C7">
        <w:rPr>
          <w:lang w:val="ga-IE"/>
        </w:rPr>
        <w:t xml:space="preserve">Cuimsítear moltaí sa tuarascáil do bheartas ar leibhéal an AE agus ar leibhéal náisiúnta a bhaineann le </w:t>
      </w:r>
      <w:proofErr w:type="spellStart"/>
      <w:r w:rsidRPr="000E07C7">
        <w:rPr>
          <w:lang w:val="ga-IE"/>
        </w:rPr>
        <w:t>hinrochtaineacht</w:t>
      </w:r>
      <w:proofErr w:type="spellEnd"/>
      <w:r w:rsidRPr="000E07C7">
        <w:rPr>
          <w:lang w:val="ga-IE"/>
        </w:rPr>
        <w:t xml:space="preserve"> ghréasáin, agus </w:t>
      </w:r>
      <w:r w:rsidRPr="000E07C7">
        <w:rPr>
          <w:lang w:val="ga-IE"/>
        </w:rPr>
        <w:lastRenderedPageBreak/>
        <w:t xml:space="preserve">impleachtaí le haghaidh cleachtais </w:t>
      </w:r>
      <w:proofErr w:type="spellStart"/>
      <w:r w:rsidRPr="000E07C7">
        <w:rPr>
          <w:lang w:val="ga-IE"/>
        </w:rPr>
        <w:t>inrochtaineachta</w:t>
      </w:r>
      <w:proofErr w:type="spellEnd"/>
      <w:r w:rsidRPr="000E07C7">
        <w:rPr>
          <w:lang w:val="ga-IE"/>
        </w:rPr>
        <w:t xml:space="preserve"> gréasáin ar leibhéal náisiúnta.</w:t>
      </w:r>
    </w:p>
    <w:p w14:paraId="6E5587D8" w14:textId="77777777" w:rsidR="000E07C7" w:rsidRPr="000E07C7" w:rsidRDefault="000E07C7" w:rsidP="000E07C7">
      <w:pPr>
        <w:pStyle w:val="NormalBeforeList"/>
        <w:rPr>
          <w:lang w:val="ga-IE"/>
        </w:rPr>
      </w:pPr>
      <w:r w:rsidRPr="000E07C7">
        <w:rPr>
          <w:lang w:val="ga-IE"/>
        </w:rPr>
        <w:t xml:space="preserve">I measc na bpríomh-mholtaí, tá: </w:t>
      </w:r>
    </w:p>
    <w:p w14:paraId="624961E0" w14:textId="77777777" w:rsidR="000E07C7" w:rsidRPr="000E07C7" w:rsidRDefault="000E07C7" w:rsidP="000E07C7">
      <w:pPr>
        <w:pStyle w:val="ListBullet"/>
        <w:rPr>
          <w:lang w:val="ga-IE"/>
        </w:rPr>
      </w:pPr>
      <w:r w:rsidRPr="000E07C7">
        <w:rPr>
          <w:lang w:val="ga-IE"/>
        </w:rPr>
        <w:t xml:space="preserve">Is gá tacaíochtaí agus uirlisí láraithe, praiticiúla le haghaidh forbairt agus bainistíocht gréasáin a bheith i bhfeidhm laistigh den earnáil phoiblí i measc na mBallstát go ndéanfar bainistíocht chórasach agus chomhsheasmhach ar inrochtaineacht. </w:t>
      </w:r>
    </w:p>
    <w:p w14:paraId="343CCAAF" w14:textId="77777777" w:rsidR="000E07C7" w:rsidRPr="000E07C7" w:rsidRDefault="000E07C7" w:rsidP="000E07C7">
      <w:pPr>
        <w:pStyle w:val="ListBullet"/>
        <w:rPr>
          <w:lang w:val="ga-IE"/>
        </w:rPr>
      </w:pPr>
      <w:r w:rsidRPr="000E07C7">
        <w:rPr>
          <w:lang w:val="ga-IE"/>
        </w:rPr>
        <w:t>Is gá inrochtaineacht a chur san áireamh go córasach mar chritéar nuair a bhíonn dearadh láithreán gréasáin agus seirbhísí agus bogearraí forbartha á soláthar go poiblí chun láithreáin ghréasáin a bhainistiú.</w:t>
      </w:r>
    </w:p>
    <w:p w14:paraId="1B385C2A" w14:textId="77777777" w:rsidR="000E07C7" w:rsidRPr="000E07C7" w:rsidRDefault="000E07C7" w:rsidP="000E07C7">
      <w:pPr>
        <w:pStyle w:val="ListBullet"/>
        <w:rPr>
          <w:lang w:val="ga-IE"/>
        </w:rPr>
      </w:pPr>
      <w:r w:rsidRPr="000E07C7">
        <w:rPr>
          <w:lang w:val="ga-IE"/>
        </w:rPr>
        <w:t xml:space="preserve">Ba cheart go soláthródh monatóireacht a dhéanamh ar inrochtaineacht ghréasáin ar leibhéal náisiúnta nó an AE (faoi mar a bheartaítear sa dréacht-Treoir) aiseolas atá áisiúil i dtaobh cúrsaí </w:t>
      </w:r>
      <w:proofErr w:type="spellStart"/>
      <w:r w:rsidRPr="000E07C7">
        <w:rPr>
          <w:lang w:val="ga-IE"/>
        </w:rPr>
        <w:t>oibríochtúla</w:t>
      </w:r>
      <w:proofErr w:type="spellEnd"/>
      <w:r w:rsidRPr="000E07C7">
        <w:rPr>
          <w:lang w:val="ga-IE"/>
        </w:rPr>
        <w:t xml:space="preserve"> de ar féidir le comhlachtaí poiblí a úsáid chun feabhas a chur ar inrochtaineacht a láithreán gréasáin. </w:t>
      </w:r>
    </w:p>
    <w:p w14:paraId="5C3480C3" w14:textId="77777777" w:rsidR="000E07C7" w:rsidRPr="000E07C7" w:rsidRDefault="000E07C7" w:rsidP="000E07C7">
      <w:pPr>
        <w:pStyle w:val="ListBullet"/>
        <w:rPr>
          <w:lang w:val="ga-IE"/>
        </w:rPr>
      </w:pPr>
      <w:r w:rsidRPr="000E07C7">
        <w:rPr>
          <w:lang w:val="ga-IE"/>
        </w:rPr>
        <w:t xml:space="preserve">Cuireadh moltaí agus torthaí na tuarascála faoi bhráid na Roinne Cumarsáide, Fuinnimh agus Acmhainní Nádúrtha agus cuirfidh siad faisnéis ar fáil d’aighneacht na hÉireann ar </w:t>
      </w:r>
      <w:proofErr w:type="spellStart"/>
      <w:r w:rsidRPr="000E07C7">
        <w:rPr>
          <w:lang w:val="ga-IE"/>
        </w:rPr>
        <w:t>dhréacht</w:t>
      </w:r>
      <w:proofErr w:type="spellEnd"/>
      <w:r w:rsidRPr="000E07C7">
        <w:rPr>
          <w:lang w:val="ga-IE"/>
        </w:rPr>
        <w:t>-Treoir an AE.</w:t>
      </w:r>
    </w:p>
    <w:p w14:paraId="653C99F2" w14:textId="77777777" w:rsidR="000E07C7" w:rsidRPr="000E07C7" w:rsidRDefault="000E07C7" w:rsidP="000E07C7">
      <w:pPr>
        <w:pStyle w:val="Heading1"/>
        <w:rPr>
          <w:lang w:val="ga-IE"/>
        </w:rPr>
      </w:pPr>
      <w:bookmarkStart w:id="101" w:name="_Toc429053922"/>
      <w:bookmarkStart w:id="102" w:name="_Toc429054132"/>
      <w:bookmarkStart w:id="103" w:name="_Toc431218809"/>
      <w:r w:rsidRPr="000E07C7">
        <w:rPr>
          <w:lang w:val="ga-IE"/>
        </w:rPr>
        <w:lastRenderedPageBreak/>
        <w:t>Tosaíocht straitéiseach 4: Eagraíocht éifeachtach agus éifeachtúil</w:t>
      </w:r>
      <w:bookmarkEnd w:id="101"/>
      <w:bookmarkEnd w:id="102"/>
      <w:bookmarkEnd w:id="103"/>
    </w:p>
    <w:p w14:paraId="60EAC256" w14:textId="77777777" w:rsidR="000E07C7" w:rsidRPr="000E07C7" w:rsidRDefault="000E07C7" w:rsidP="000E07C7">
      <w:pPr>
        <w:rPr>
          <w:b/>
          <w:lang w:val="ga-IE"/>
        </w:rPr>
      </w:pPr>
      <w:r w:rsidRPr="000E07C7">
        <w:rPr>
          <w:b/>
          <w:lang w:val="ga-IE"/>
        </w:rPr>
        <w:t>“Timpeallacht, tacaíochtaí, beartais agus córais a fhorbairt lena chur ar chumas an Údaráis Náisiúnta Míchumais tabhairt faoina gcuspóirí straitéiseacha go héifeachtach.”</w:t>
      </w:r>
    </w:p>
    <w:p w14:paraId="292E4CE3" w14:textId="77777777" w:rsidR="000E07C7" w:rsidRPr="000E07C7" w:rsidRDefault="000E07C7" w:rsidP="000E07C7">
      <w:pPr>
        <w:pStyle w:val="Heading2"/>
        <w:rPr>
          <w:lang w:val="ga-IE"/>
        </w:rPr>
      </w:pPr>
      <w:r w:rsidRPr="000E07C7">
        <w:rPr>
          <w:lang w:val="ga-IE"/>
        </w:rPr>
        <w:t>Córais agus cumarsáid éifeachtach agus éifeachtúil a chinntiú chun tabhairt faoi chuspóirí ar ardchaighdeán</w:t>
      </w:r>
    </w:p>
    <w:p w14:paraId="70486CAA" w14:textId="77777777" w:rsidR="000E07C7" w:rsidRPr="000E07C7" w:rsidRDefault="000E07C7" w:rsidP="000E07C7">
      <w:pPr>
        <w:pStyle w:val="Heading3"/>
        <w:rPr>
          <w:lang w:val="ga-IE"/>
        </w:rPr>
      </w:pPr>
      <w:r w:rsidRPr="000E07C7">
        <w:rPr>
          <w:lang w:val="ga-IE"/>
        </w:rPr>
        <w:t>Láithreáin ghréasáin nuashonraithe</w:t>
      </w:r>
    </w:p>
    <w:p w14:paraId="257DAB8C" w14:textId="77777777" w:rsidR="000E07C7" w:rsidRPr="000E07C7" w:rsidRDefault="000E07C7" w:rsidP="000E07C7">
      <w:pPr>
        <w:rPr>
          <w:lang w:val="ga-IE"/>
        </w:rPr>
      </w:pPr>
      <w:r w:rsidRPr="000E07C7">
        <w:rPr>
          <w:lang w:val="ga-IE"/>
        </w:rPr>
        <w:t xml:space="preserve">Sheol an tÚdarás Náisiúnta Míchumais a láithreáin ghréasáin nua, atá ar fáil ag </w:t>
      </w:r>
      <w:hyperlink r:id="rId14" w:history="1">
        <w:r w:rsidRPr="000E07C7">
          <w:rPr>
            <w:rStyle w:val="Hyperlink"/>
            <w:lang w:val="ga-IE"/>
          </w:rPr>
          <w:t>http://NDA.ie</w:t>
        </w:r>
      </w:hyperlink>
      <w:r w:rsidRPr="000E07C7">
        <w:rPr>
          <w:lang w:val="ga-IE"/>
        </w:rPr>
        <w:t xml:space="preserve"> agus </w:t>
      </w:r>
      <w:hyperlink r:id="rId15" w:history="1">
        <w:r w:rsidRPr="000E07C7">
          <w:rPr>
            <w:rStyle w:val="Hyperlink"/>
            <w:lang w:val="ga-IE"/>
          </w:rPr>
          <w:t>http://UniversalDesign.ie</w:t>
        </w:r>
      </w:hyperlink>
      <w:r w:rsidRPr="000E07C7">
        <w:rPr>
          <w:lang w:val="ga-IE"/>
        </w:rPr>
        <w:t>. Feabhsaíonn na láithreáin ghréasáin nua an bealach a scaipeann an ÚNM faisnéis ar líne, agus cuireann siad ar chumas na foirne bainistiú níos éifeachtúla a dhéanamh ar ábhar ar líne an ÚNM. Eiseamláir is ea an láithreán gréasáin nua de dhearadh gréasáin nua-aimseartha: tá sé inrochtana do dhaoine atá ar chumas éagsúil, agus tá sé solúbtha a dhóthain é a úsáid ar aon scáileán nó fearas. Áiríodh leis an tionscadal taighde ar riachtanais agus iompar sprioclucht an ÚNM, agus d’fhorbair siad láithreán gréasáin a chuaigh i ngleic leo siúd ina dhiaidh sin.</w:t>
      </w:r>
      <w:r w:rsidR="00D00624">
        <w:rPr>
          <w:lang w:val="ga-IE"/>
        </w:rPr>
        <w:t xml:space="preserve"> </w:t>
      </w:r>
      <w:r w:rsidRPr="000E07C7">
        <w:rPr>
          <w:lang w:val="ga-IE"/>
        </w:rPr>
        <w:t xml:space="preserve">Tá sé de chuspóir ag an ÚNM teimpléid a fhoilsiú, bunaithe ar dhearadh agus ar chód foinseach a láithreáin ghréasáin nua, le ligean do chomhlachtaí poiblí eile láithreáin ghréasáin atá chomh </w:t>
      </w:r>
      <w:proofErr w:type="spellStart"/>
      <w:r w:rsidRPr="000E07C7">
        <w:rPr>
          <w:lang w:val="ga-IE"/>
        </w:rPr>
        <w:t>hinrochtana</w:t>
      </w:r>
      <w:proofErr w:type="spellEnd"/>
      <w:r w:rsidRPr="000E07C7">
        <w:rPr>
          <w:lang w:val="ga-IE"/>
        </w:rPr>
        <w:t xml:space="preserve"> agus chomh solúbtha céanna a chruthú.</w:t>
      </w:r>
    </w:p>
    <w:p w14:paraId="612AE203" w14:textId="77777777" w:rsidR="000E07C7" w:rsidRPr="000E07C7" w:rsidRDefault="000E07C7" w:rsidP="000E07C7">
      <w:pPr>
        <w:pStyle w:val="Heading3"/>
        <w:rPr>
          <w:lang w:val="ga-IE"/>
        </w:rPr>
      </w:pPr>
      <w:r w:rsidRPr="000E07C7">
        <w:rPr>
          <w:lang w:val="ga-IE"/>
        </w:rPr>
        <w:t>Cothabháil foirgnimh</w:t>
      </w:r>
    </w:p>
    <w:p w14:paraId="452D8A38" w14:textId="77777777" w:rsidR="000E07C7" w:rsidRPr="000E07C7" w:rsidRDefault="000E07C7" w:rsidP="000E07C7">
      <w:pPr>
        <w:rPr>
          <w:lang w:val="ga-IE"/>
        </w:rPr>
      </w:pPr>
      <w:r w:rsidRPr="000E07C7">
        <w:rPr>
          <w:lang w:val="ga-IE"/>
        </w:rPr>
        <w:t>Tugadh faoi na hoibreacha ábhartha cothabhála.</w:t>
      </w:r>
    </w:p>
    <w:p w14:paraId="7F1C6D37" w14:textId="77777777" w:rsidR="000E07C7" w:rsidRPr="000E07C7" w:rsidRDefault="000E07C7" w:rsidP="000E07C7">
      <w:pPr>
        <w:rPr>
          <w:lang w:val="ga-IE"/>
        </w:rPr>
      </w:pPr>
      <w:r w:rsidRPr="000E07C7">
        <w:rPr>
          <w:lang w:val="ga-IE"/>
        </w:rPr>
        <w:t>Meastar go ligfear urlár de chóiríocht na hoifige ar léas in 2015.</w:t>
      </w:r>
    </w:p>
    <w:p w14:paraId="0096E63F" w14:textId="77777777" w:rsidR="000E07C7" w:rsidRPr="000E07C7" w:rsidRDefault="000E07C7" w:rsidP="000E07C7">
      <w:pPr>
        <w:pStyle w:val="Heading3"/>
        <w:rPr>
          <w:lang w:val="ga-IE"/>
        </w:rPr>
      </w:pPr>
      <w:r w:rsidRPr="000E07C7">
        <w:rPr>
          <w:lang w:val="ga-IE"/>
        </w:rPr>
        <w:t>Seirbhísí Bainistithe Cló</w:t>
      </w:r>
    </w:p>
    <w:p w14:paraId="380BBDC1" w14:textId="77777777" w:rsidR="000E07C7" w:rsidRPr="000E07C7" w:rsidRDefault="000E07C7" w:rsidP="000E07C7">
      <w:pPr>
        <w:rPr>
          <w:lang w:val="ga-IE"/>
        </w:rPr>
      </w:pPr>
      <w:r w:rsidRPr="000E07C7">
        <w:rPr>
          <w:lang w:val="ga-IE"/>
        </w:rPr>
        <w:t>Ghlac an tÚdarás Náisiúnta Míchumais le Conradh Seirbhísí Bainistithe Cló na Roinne Dlí agus Cirt agus Comhionannais in 2013. Cuireadh breis feabhsúchán ar chleachtas priontála chun cinn in 2014 agus mhéadaigh seo éifeachtúlacht.</w:t>
      </w:r>
    </w:p>
    <w:p w14:paraId="357B57CD" w14:textId="77777777" w:rsidR="000E07C7" w:rsidRPr="000E07C7" w:rsidRDefault="000E07C7" w:rsidP="000E07C7">
      <w:pPr>
        <w:pStyle w:val="Heading3"/>
        <w:rPr>
          <w:lang w:val="ga-IE"/>
        </w:rPr>
      </w:pPr>
      <w:r w:rsidRPr="000E07C7">
        <w:rPr>
          <w:lang w:val="ga-IE"/>
        </w:rPr>
        <w:lastRenderedPageBreak/>
        <w:t>Teicneolaíocht Faisnéise agus Cumarsáide</w:t>
      </w:r>
    </w:p>
    <w:p w14:paraId="57E42BBD" w14:textId="77777777" w:rsidR="000E07C7" w:rsidRPr="000E07C7" w:rsidRDefault="000E07C7" w:rsidP="000E07C7">
      <w:pPr>
        <w:rPr>
          <w:lang w:val="ga-IE"/>
        </w:rPr>
      </w:pPr>
      <w:r w:rsidRPr="000E07C7">
        <w:rPr>
          <w:lang w:val="ga-IE"/>
        </w:rPr>
        <w:t>Baineann an tÚdarás Náisiúnta Míchumais leas as an tSeirbhís Chomhroinnte Tacaíochta TFC ón Roinn Dlí agus Cirt agus Comhionannais.</w:t>
      </w:r>
    </w:p>
    <w:p w14:paraId="676ECA73" w14:textId="77777777" w:rsidR="000E07C7" w:rsidRPr="000E07C7" w:rsidRDefault="000E07C7" w:rsidP="000E07C7">
      <w:pPr>
        <w:rPr>
          <w:lang w:val="ga-IE"/>
        </w:rPr>
      </w:pPr>
      <w:r w:rsidRPr="000E07C7">
        <w:rPr>
          <w:lang w:val="ga-IE"/>
        </w:rPr>
        <w:t xml:space="preserve">I measc na bhfeabhsúchán in 2014, bhí athnuachan chóras an líonra a sholáthair leaganacha níos cothroime le dáta agus a bhfuil tacaíocht níos fearr acu de na bogearraí agus na </w:t>
      </w:r>
      <w:proofErr w:type="spellStart"/>
      <w:r w:rsidRPr="000E07C7">
        <w:rPr>
          <w:lang w:val="ga-IE"/>
        </w:rPr>
        <w:t>brabhsálaithe</w:t>
      </w:r>
      <w:proofErr w:type="spellEnd"/>
      <w:r w:rsidRPr="000E07C7">
        <w:rPr>
          <w:lang w:val="ga-IE"/>
        </w:rPr>
        <w:t xml:space="preserve"> idirlín riachtanacha.</w:t>
      </w:r>
    </w:p>
    <w:p w14:paraId="205980FC" w14:textId="77777777" w:rsidR="000E07C7" w:rsidRPr="000E07C7" w:rsidRDefault="000E07C7" w:rsidP="000E07C7">
      <w:pPr>
        <w:rPr>
          <w:lang w:val="ga-IE"/>
        </w:rPr>
      </w:pPr>
      <w:r w:rsidRPr="000E07C7">
        <w:rPr>
          <w:lang w:val="ga-IE"/>
        </w:rPr>
        <w:t xml:space="preserve">Baineadh na </w:t>
      </w:r>
      <w:proofErr w:type="spellStart"/>
      <w:r w:rsidRPr="000E07C7">
        <w:rPr>
          <w:lang w:val="ga-IE"/>
        </w:rPr>
        <w:t>seanfhreastalaithe</w:t>
      </w:r>
      <w:proofErr w:type="spellEnd"/>
      <w:r w:rsidRPr="000E07C7">
        <w:rPr>
          <w:lang w:val="ga-IE"/>
        </w:rPr>
        <w:t xml:space="preserve"> den Údarás Náisiúnta Míchumais go ndéanfaí iad a dhiúscairt go cuí agus lena chur ar chumas na </w:t>
      </w:r>
      <w:proofErr w:type="spellStart"/>
      <w:r w:rsidRPr="000E07C7">
        <w:rPr>
          <w:lang w:val="ga-IE"/>
        </w:rPr>
        <w:t>príomhshonraí</w:t>
      </w:r>
      <w:proofErr w:type="spellEnd"/>
      <w:r w:rsidRPr="000E07C7">
        <w:rPr>
          <w:lang w:val="ga-IE"/>
        </w:rPr>
        <w:t xml:space="preserve"> a stóráil.</w:t>
      </w:r>
    </w:p>
    <w:p w14:paraId="24B609E8" w14:textId="77777777" w:rsidR="000E07C7" w:rsidRPr="000E07C7" w:rsidRDefault="000E07C7" w:rsidP="000E07C7">
      <w:pPr>
        <w:rPr>
          <w:lang w:val="ga-IE"/>
        </w:rPr>
      </w:pPr>
      <w:r w:rsidRPr="000E07C7">
        <w:rPr>
          <w:lang w:val="ga-IE"/>
        </w:rPr>
        <w:t>Tugadh Réiteach Teileafónaíochta nua isteach a úsáideann líonra sonraí chun cumarsáid ghutha a tharchur, seachas línte gutháin traidisiúnta, a chruthaíonn feidhmiúlacht fheabhsaithe mar aon le coigiltí suntasacha i gcostais teileachumarsáide. Tá glaonna ar ranna agus gníomhaireachtaí a bhaineann leas as an gcóras céanna líonra saor in aisce agus d’fhéadfaí glaonna a atreorú trí ionad glaonna ar chostais níos ísle.</w:t>
      </w:r>
    </w:p>
    <w:p w14:paraId="76A6D242" w14:textId="77777777" w:rsidR="000E07C7" w:rsidRPr="000E07C7" w:rsidRDefault="000E07C7" w:rsidP="000E07C7">
      <w:pPr>
        <w:rPr>
          <w:lang w:val="ga-IE"/>
        </w:rPr>
      </w:pPr>
      <w:r w:rsidRPr="000E07C7">
        <w:rPr>
          <w:lang w:val="ga-IE"/>
        </w:rPr>
        <w:t xml:space="preserve">Scaipeadh </w:t>
      </w:r>
      <w:proofErr w:type="spellStart"/>
      <w:r w:rsidRPr="000E07C7">
        <w:rPr>
          <w:lang w:val="ga-IE"/>
        </w:rPr>
        <w:t>sáis</w:t>
      </w:r>
      <w:proofErr w:type="spellEnd"/>
      <w:r w:rsidRPr="000E07C7">
        <w:rPr>
          <w:lang w:val="ga-IE"/>
        </w:rPr>
        <w:t xml:space="preserve"> láimhe nua ar an bhfoireann a chuireann ar a gcumas teileachomhdháil a dhéanamh, agus cuireann cuid díobh ar chumas físchomhdháil a dhéanamh leis an Roinn Dlí agus Cirt agus Comhionannais.</w:t>
      </w:r>
    </w:p>
    <w:p w14:paraId="78DD2B07" w14:textId="77777777" w:rsidR="000E07C7" w:rsidRPr="000E07C7" w:rsidRDefault="000E07C7" w:rsidP="000E07C7">
      <w:pPr>
        <w:pStyle w:val="Heading2"/>
        <w:rPr>
          <w:lang w:val="ga-IE"/>
        </w:rPr>
      </w:pPr>
      <w:r w:rsidRPr="000E07C7">
        <w:rPr>
          <w:lang w:val="ga-IE"/>
        </w:rPr>
        <w:t>Cumarsáid éifeachtach sheachtrach a chinntiú</w:t>
      </w:r>
    </w:p>
    <w:p w14:paraId="57C8B1E3" w14:textId="77777777" w:rsidR="000E07C7" w:rsidRPr="000E07C7" w:rsidRDefault="000E07C7" w:rsidP="000E07C7">
      <w:pPr>
        <w:pStyle w:val="Heading3"/>
        <w:rPr>
          <w:lang w:val="ga-IE"/>
        </w:rPr>
      </w:pPr>
      <w:r w:rsidRPr="000E07C7">
        <w:rPr>
          <w:lang w:val="ga-IE"/>
        </w:rPr>
        <w:t>Ríomh-Nuachtlitir</w:t>
      </w:r>
    </w:p>
    <w:p w14:paraId="495D4587" w14:textId="77777777" w:rsidR="000E07C7" w:rsidRPr="000E07C7" w:rsidRDefault="000E07C7" w:rsidP="000E07C7">
      <w:pPr>
        <w:rPr>
          <w:lang w:val="ga-IE"/>
        </w:rPr>
      </w:pPr>
      <w:r w:rsidRPr="000E07C7">
        <w:rPr>
          <w:lang w:val="ga-IE"/>
        </w:rPr>
        <w:t xml:space="preserve">D’fhoilsigh an tÚdarás Náisiúnta Míchumais trí eagrán dá Ríomh-Nuachtlitir a scaiptear ar bhreis agus 2,500 síntiúsóir. </w:t>
      </w:r>
    </w:p>
    <w:p w14:paraId="1A4133BF" w14:textId="77777777" w:rsidR="000E07C7" w:rsidRPr="000E07C7" w:rsidRDefault="000E07C7" w:rsidP="000E07C7">
      <w:pPr>
        <w:pStyle w:val="Heading3"/>
        <w:rPr>
          <w:lang w:val="ga-IE"/>
        </w:rPr>
      </w:pPr>
      <w:r w:rsidRPr="000E07C7">
        <w:rPr>
          <w:lang w:val="ga-IE"/>
        </w:rPr>
        <w:t xml:space="preserve">Achoimrí “Sracfhéachana” </w:t>
      </w:r>
    </w:p>
    <w:p w14:paraId="526AE8D9" w14:textId="77777777" w:rsidR="000E07C7" w:rsidRPr="000E07C7" w:rsidRDefault="000E07C7" w:rsidP="000E07C7">
      <w:pPr>
        <w:rPr>
          <w:lang w:val="ga-IE"/>
        </w:rPr>
      </w:pPr>
      <w:r w:rsidRPr="000E07C7">
        <w:rPr>
          <w:lang w:val="ga-IE"/>
        </w:rPr>
        <w:t xml:space="preserve">D’fhorbair an tÚdarás Náisiúnta Míchumais teimpléad le haghaidh achoimrí “Sracfhéachana” d’fhoilseacháin an ÚNM a sholáthróidh treoracha gearra furasta maidir le torthaí an ÚNM le haghaidh lucht </w:t>
      </w:r>
      <w:proofErr w:type="spellStart"/>
      <w:r w:rsidRPr="000E07C7">
        <w:rPr>
          <w:lang w:val="ga-IE"/>
        </w:rPr>
        <w:t>leanta</w:t>
      </w:r>
      <w:proofErr w:type="spellEnd"/>
      <w:r w:rsidRPr="000E07C7">
        <w:rPr>
          <w:lang w:val="ga-IE"/>
        </w:rPr>
        <w:t xml:space="preserve"> níos fairsinge.</w:t>
      </w:r>
    </w:p>
    <w:p w14:paraId="6A73AB17" w14:textId="77777777" w:rsidR="000E07C7" w:rsidRPr="000E07C7" w:rsidRDefault="000E07C7" w:rsidP="000E07C7">
      <w:pPr>
        <w:pStyle w:val="Heading2"/>
        <w:rPr>
          <w:lang w:val="ga-IE"/>
        </w:rPr>
      </w:pPr>
      <w:r w:rsidRPr="000E07C7">
        <w:rPr>
          <w:lang w:val="ga-IE"/>
        </w:rPr>
        <w:t>Leabharlann a choimeád chun taighde agus beartas míchumais agus dearaidh uilíoch a threorú</w:t>
      </w:r>
    </w:p>
    <w:p w14:paraId="72777E86" w14:textId="77777777" w:rsidR="000E07C7" w:rsidRPr="000E07C7" w:rsidRDefault="000E07C7" w:rsidP="000E07C7">
      <w:pPr>
        <w:rPr>
          <w:lang w:val="ga-IE"/>
        </w:rPr>
      </w:pPr>
      <w:r w:rsidRPr="000E07C7">
        <w:rPr>
          <w:lang w:val="ga-IE"/>
        </w:rPr>
        <w:t xml:space="preserve">Tacaíonn Leabharlann an ÚNM le comhairle </w:t>
      </w:r>
      <w:proofErr w:type="spellStart"/>
      <w:r w:rsidRPr="000E07C7">
        <w:rPr>
          <w:lang w:val="ga-IE"/>
        </w:rPr>
        <w:t>fhianaisebhunaithe</w:t>
      </w:r>
      <w:proofErr w:type="spellEnd"/>
      <w:r w:rsidRPr="000E07C7">
        <w:rPr>
          <w:lang w:val="ga-IE"/>
        </w:rPr>
        <w:t xml:space="preserve"> a fhorbairt trí chuardaigh litríochta don fhoireann. Tá an leabharlann ar oscailt don phobal i gcoitinne Déardaoin tar éis coinne roimh ré a dhéanamh. Tá breis agus 50,000 earra inár leabharlann maidir le míchumas, inrochtaineacht </w:t>
      </w:r>
      <w:r w:rsidRPr="000E07C7">
        <w:rPr>
          <w:lang w:val="ga-IE"/>
        </w:rPr>
        <w:lastRenderedPageBreak/>
        <w:t xml:space="preserve">agus ábhair ghaolmhara. I measc an bhailiúcháin, tá leabhair, </w:t>
      </w:r>
      <w:proofErr w:type="spellStart"/>
      <w:r w:rsidRPr="000E07C7">
        <w:rPr>
          <w:lang w:val="ga-IE"/>
        </w:rPr>
        <w:t>ríomhleabhair</w:t>
      </w:r>
      <w:proofErr w:type="spellEnd"/>
      <w:r w:rsidRPr="000E07C7">
        <w:rPr>
          <w:lang w:val="ga-IE"/>
        </w:rPr>
        <w:t xml:space="preserve">, ríomh-irisleabhair, irisleabhair chlóite, </w:t>
      </w:r>
      <w:proofErr w:type="spellStart"/>
      <w:r w:rsidRPr="000E07C7">
        <w:rPr>
          <w:lang w:val="ga-IE"/>
        </w:rPr>
        <w:t>DVDanna</w:t>
      </w:r>
      <w:proofErr w:type="spellEnd"/>
      <w:r w:rsidRPr="000E07C7">
        <w:rPr>
          <w:lang w:val="ga-IE"/>
        </w:rPr>
        <w:t>, CD-</w:t>
      </w:r>
      <w:proofErr w:type="spellStart"/>
      <w:r w:rsidRPr="000E07C7">
        <w:rPr>
          <w:lang w:val="ga-IE"/>
        </w:rPr>
        <w:t>ROManna</w:t>
      </w:r>
      <w:proofErr w:type="spellEnd"/>
      <w:r w:rsidRPr="000E07C7">
        <w:rPr>
          <w:lang w:val="ga-IE"/>
        </w:rPr>
        <w:t xml:space="preserve"> agus ábhar cartlainne.</w:t>
      </w:r>
      <w:r w:rsidR="00D00624">
        <w:rPr>
          <w:lang w:val="ga-IE"/>
        </w:rPr>
        <w:t xml:space="preserve"> </w:t>
      </w:r>
      <w:r w:rsidRPr="000E07C7">
        <w:rPr>
          <w:lang w:val="ga-IE"/>
        </w:rPr>
        <w:t>In 2014, d’fhreagair foireann na leabharlainne do bhreis ar 300 ceist, lena n-áirítear cuardaigh litríochta don fhoireann, iarratais ar ailt, leabhair a fháil ar iasacht, athnuachan, agus fiosrúchán ón bhfoireann agus ón bpobal i gcoitinne. Cuireadh an fhoireann ar an eolas go rialta ar fhorbairtí beartais agus taighde agus ar acmhainní ar líne chun tacú lena gcuid oibre.</w:t>
      </w:r>
    </w:p>
    <w:p w14:paraId="6D3DCD78" w14:textId="77777777" w:rsidR="000E07C7" w:rsidRPr="000E07C7" w:rsidRDefault="000E07C7" w:rsidP="000E07C7">
      <w:pPr>
        <w:pStyle w:val="Heading2"/>
        <w:rPr>
          <w:lang w:val="ga-IE"/>
        </w:rPr>
      </w:pPr>
      <w:r w:rsidRPr="000E07C7">
        <w:rPr>
          <w:lang w:val="ga-IE"/>
        </w:rPr>
        <w:t>An Straitéis Acmhainní Daonna a chur i bhfeidhm chun tacú leis an bhfoireann agus cultúr dearfach oibre a chothú</w:t>
      </w:r>
    </w:p>
    <w:p w14:paraId="770058EB" w14:textId="77777777" w:rsidR="000E07C7" w:rsidRPr="000E07C7" w:rsidRDefault="000E07C7" w:rsidP="000E07C7">
      <w:pPr>
        <w:rPr>
          <w:lang w:val="ga-IE"/>
        </w:rPr>
      </w:pPr>
      <w:proofErr w:type="spellStart"/>
      <w:r w:rsidRPr="000E07C7">
        <w:rPr>
          <w:lang w:val="ga-IE"/>
        </w:rPr>
        <w:t>Nuashonraíodh</w:t>
      </w:r>
      <w:proofErr w:type="spellEnd"/>
      <w:r w:rsidRPr="000E07C7">
        <w:rPr>
          <w:lang w:val="ga-IE"/>
        </w:rPr>
        <w:t xml:space="preserve"> líon beartais AD chun freagairt d’athruithe a tháinig ar an reachtaíocht agus tosca eile a d’imir tionchar. Cuireadh feabhas ar shaoire thuismitheora, lena n-áirítear méadú ar an méid saoire atá ar fáil do gach tuismitheoir ar aon dul le beartas na </w:t>
      </w:r>
      <w:proofErr w:type="spellStart"/>
      <w:r w:rsidRPr="000E07C7">
        <w:rPr>
          <w:lang w:val="ga-IE"/>
        </w:rPr>
        <w:t>státseirbhíse</w:t>
      </w:r>
      <w:proofErr w:type="spellEnd"/>
      <w:r w:rsidRPr="000E07C7">
        <w:rPr>
          <w:lang w:val="ga-IE"/>
        </w:rPr>
        <w:t xml:space="preserve">, ionas gur féidir leis an bhfoireann Saoire Thuismitheora a ghlacadh le haghaidh leanaí a </w:t>
      </w:r>
      <w:proofErr w:type="spellStart"/>
      <w:r w:rsidRPr="000E07C7">
        <w:rPr>
          <w:lang w:val="ga-IE"/>
        </w:rPr>
        <w:t>shine</w:t>
      </w:r>
      <w:proofErr w:type="spellEnd"/>
      <w:r w:rsidRPr="000E07C7">
        <w:rPr>
          <w:lang w:val="ga-IE"/>
        </w:rPr>
        <w:t xml:space="preserve"> le 13 bliana d’aois. Ag eascairt as Comhaontú Bhóthar </w:t>
      </w:r>
      <w:proofErr w:type="spellStart"/>
      <w:r w:rsidRPr="000E07C7">
        <w:rPr>
          <w:lang w:val="ga-IE"/>
        </w:rPr>
        <w:t>Haddington</w:t>
      </w:r>
      <w:proofErr w:type="spellEnd"/>
      <w:r w:rsidRPr="000E07C7">
        <w:rPr>
          <w:lang w:val="ga-IE"/>
        </w:rPr>
        <w:t>, ón 1 Iúil 2014, laghdaíodh an méid Fleisc-Shaoire is féidir leis an bhfoireann cháilitheach a ghlacadh.</w:t>
      </w:r>
    </w:p>
    <w:p w14:paraId="636037F7" w14:textId="77777777" w:rsidR="000E07C7" w:rsidRPr="000E07C7" w:rsidRDefault="000E07C7" w:rsidP="000E07C7">
      <w:pPr>
        <w:rPr>
          <w:lang w:val="ga-IE"/>
        </w:rPr>
      </w:pPr>
      <w:r w:rsidRPr="000E07C7">
        <w:rPr>
          <w:lang w:val="ga-IE"/>
        </w:rPr>
        <w:t xml:space="preserve">Tugadh cead don ÚNM chun post buan Oifigeach Sinsearach Taighde a líonadh agus d’fháiltigh an ÚNM roimh cheapadh an oifigigh i lár na bliana ina dhiaidh sin. </w:t>
      </w:r>
    </w:p>
    <w:p w14:paraId="7D4FDDA9" w14:textId="77777777" w:rsidR="000E07C7" w:rsidRPr="000E07C7" w:rsidRDefault="000E07C7" w:rsidP="000E07C7">
      <w:pPr>
        <w:pStyle w:val="Heading3"/>
        <w:rPr>
          <w:lang w:val="ga-IE"/>
        </w:rPr>
      </w:pPr>
      <w:r w:rsidRPr="000E07C7">
        <w:rPr>
          <w:lang w:val="ga-IE"/>
        </w:rPr>
        <w:t>Oiliúint agus Forbairt</w:t>
      </w:r>
    </w:p>
    <w:p w14:paraId="7BF7A1EA" w14:textId="77777777" w:rsidR="000E07C7" w:rsidRPr="000E07C7" w:rsidRDefault="000E07C7" w:rsidP="000E07C7">
      <w:pPr>
        <w:rPr>
          <w:lang w:val="ga-IE"/>
        </w:rPr>
      </w:pPr>
      <w:r w:rsidRPr="000E07C7">
        <w:rPr>
          <w:lang w:val="ga-IE"/>
        </w:rPr>
        <w:t>Lean Oiliúint agus Forbairt na gcomhaltaí foirne ar bun agus faoi mar a chuir a gcóras bainistíochta agus forbartha feidhmíochta (PMDS) in iúl.</w:t>
      </w:r>
      <w:r w:rsidR="00D00624">
        <w:rPr>
          <w:lang w:val="ga-IE"/>
        </w:rPr>
        <w:t xml:space="preserve"> </w:t>
      </w:r>
      <w:r w:rsidRPr="000E07C7">
        <w:rPr>
          <w:lang w:val="ga-IE"/>
        </w:rPr>
        <w:t>Anuas ar réimse oiliúna a thit amach i measc daoine aonair áirithe, lena n-áirítear Bloic Thógála le haghaidh Ceannaireacht Chliste i dtaobh cúrsaí Mothúchánacha, Plean Gníomhaíochta Bainistíocht Fuinnimh, Láithreán Gréasáin an ÚNM a Chur in Eagar, Tairbhí Bainistíocht Riosca a Aithint agus Oiliúint Bainistíocht Líne.</w:t>
      </w:r>
    </w:p>
    <w:p w14:paraId="660B8238" w14:textId="77777777" w:rsidR="000E07C7" w:rsidRPr="000E07C7" w:rsidRDefault="000E07C7" w:rsidP="000E07C7">
      <w:pPr>
        <w:pStyle w:val="Heading3"/>
        <w:rPr>
          <w:lang w:val="ga-IE"/>
        </w:rPr>
      </w:pPr>
      <w:r w:rsidRPr="000E07C7">
        <w:rPr>
          <w:lang w:val="ga-IE"/>
        </w:rPr>
        <w:t>Coiste Comhpháirtíochta</w:t>
      </w:r>
    </w:p>
    <w:p w14:paraId="628F940E" w14:textId="77777777" w:rsidR="000E07C7" w:rsidRPr="000E07C7" w:rsidRDefault="000E07C7" w:rsidP="000E07C7">
      <w:pPr>
        <w:rPr>
          <w:lang w:val="ga-IE"/>
        </w:rPr>
      </w:pPr>
      <w:r w:rsidRPr="000E07C7">
        <w:rPr>
          <w:lang w:val="ga-IE"/>
        </w:rPr>
        <w:t xml:space="preserve">Chas ár gCoiste Comhpháirtíochta 4 huaire i rith 2014. Áiríodh le hobair an choiste i gcaitheamh na bliana Scéim na Moltaí Foirne don bhliain 2014 a oibriú inar bronnadh ceithre dhuais faoi na catagóirí “Am agus Airgead a Shábháil” agus “Tionscnaimh Fuinnimh”, </w:t>
      </w:r>
      <w:proofErr w:type="spellStart"/>
      <w:r w:rsidRPr="000E07C7">
        <w:rPr>
          <w:lang w:val="ga-IE"/>
        </w:rPr>
        <w:t>Bullaitín</w:t>
      </w:r>
      <w:proofErr w:type="spellEnd"/>
      <w:r w:rsidRPr="000E07C7">
        <w:rPr>
          <w:lang w:val="ga-IE"/>
        </w:rPr>
        <w:t xml:space="preserve"> Comhpháirtíochta don fhoireann a chur i dtoll a chéile agus a eisiúint, ionchur i bPlean Gníomhaíochta Custaiméirí an ÚNM, agus leanúint le smaointe a thabhairt chun solais chun tionscnaimh </w:t>
      </w:r>
      <w:proofErr w:type="spellStart"/>
      <w:r w:rsidRPr="000E07C7">
        <w:rPr>
          <w:lang w:val="ga-IE"/>
        </w:rPr>
        <w:t>mheanma</w:t>
      </w:r>
      <w:proofErr w:type="spellEnd"/>
      <w:r w:rsidRPr="000E07C7">
        <w:rPr>
          <w:lang w:val="ga-IE"/>
        </w:rPr>
        <w:t xml:space="preserve"> na foirne a threorú. </w:t>
      </w:r>
    </w:p>
    <w:p w14:paraId="392FC4A3" w14:textId="77777777" w:rsidR="000E07C7" w:rsidRPr="000E07C7" w:rsidRDefault="000E07C7" w:rsidP="000E07C7">
      <w:pPr>
        <w:pStyle w:val="Heading2"/>
        <w:rPr>
          <w:lang w:val="ga-IE"/>
        </w:rPr>
      </w:pPr>
      <w:r w:rsidRPr="000E07C7">
        <w:rPr>
          <w:lang w:val="ga-IE"/>
        </w:rPr>
        <w:lastRenderedPageBreak/>
        <w:t>Soláthar freagrachtaí éifeachtacha reachtúla agus rialála a chinntiú</w:t>
      </w:r>
    </w:p>
    <w:p w14:paraId="78977C1A" w14:textId="77777777" w:rsidR="000E07C7" w:rsidRPr="000E07C7" w:rsidRDefault="000E07C7" w:rsidP="000E07C7">
      <w:pPr>
        <w:pStyle w:val="Heading3"/>
        <w:rPr>
          <w:lang w:val="ga-IE"/>
        </w:rPr>
      </w:pPr>
      <w:r w:rsidRPr="000E07C7">
        <w:rPr>
          <w:lang w:val="ga-IE"/>
        </w:rPr>
        <w:t>Airgeadas agus rialachas</w:t>
      </w:r>
    </w:p>
    <w:p w14:paraId="6680D7F2" w14:textId="77777777" w:rsidR="000E07C7" w:rsidRPr="000E07C7" w:rsidRDefault="000E07C7" w:rsidP="000E07C7">
      <w:pPr>
        <w:rPr>
          <w:lang w:val="ga-IE"/>
        </w:rPr>
      </w:pPr>
      <w:r w:rsidRPr="000E07C7">
        <w:rPr>
          <w:lang w:val="ga-IE"/>
        </w:rPr>
        <w:t>Ar aon dul leis an Acht um Údarás Náisiúnta Míchumais, 1999, d’ullmhaigh agus chuir an ÚNM cuntais airgeadais don bhliain 2013 faoi bhráid an Ard-Reachtaire Cuntas agus Ciste. Thug Aonad Iniúchta Inmheánaigh na Roinne Dlí agus Cirt agus Comhionannais faoi Athbhreithniú ar Rialuithe Inmheánacha Airgeadais an ÚNM.</w:t>
      </w:r>
    </w:p>
    <w:p w14:paraId="77E94B55" w14:textId="77777777" w:rsidR="000E07C7" w:rsidRPr="000E07C7" w:rsidRDefault="000E07C7" w:rsidP="000E07C7">
      <w:pPr>
        <w:rPr>
          <w:lang w:val="ga-IE"/>
        </w:rPr>
      </w:pPr>
      <w:r w:rsidRPr="000E07C7">
        <w:rPr>
          <w:lang w:val="ga-IE"/>
        </w:rPr>
        <w:t>Ceapadh Údarás nua in Iúil 2014. Ina dhiaidh seo, sheol an ÚNM na cuntais fhaofa agus an Tuarascáil Bhliantúil le haghaidh 2013 ar aghaidh chuig an Aire. Cheap an tÚdarás Coiste Iniúchta agus Coiste Airgeadais ag a gcéad chruinniú. Chas an tÚdarás ar a chéile 3 huaire in 2014. Chas an Coiste Iniúchta uair amháin in 2014, agus rinne a gCathaoirleach tuairisciú ag cruinniú deiridh an Údaráis in 2014. Chas an Coiste Airgeadais ar a chéile faoi dhó in 2014, agus rinne siad faireachas agus tuairisciú ar chaiteachas an ÚNM.</w:t>
      </w:r>
    </w:p>
    <w:p w14:paraId="4BFBF5B6" w14:textId="77777777" w:rsidR="000E07C7" w:rsidRPr="000E07C7" w:rsidRDefault="000E07C7" w:rsidP="000E07C7">
      <w:pPr>
        <w:pStyle w:val="Heading3"/>
        <w:rPr>
          <w:lang w:val="ga-IE"/>
        </w:rPr>
      </w:pPr>
      <w:r w:rsidRPr="000E07C7">
        <w:rPr>
          <w:lang w:val="ga-IE"/>
        </w:rPr>
        <w:t>Fuinneamh</w:t>
      </w:r>
    </w:p>
    <w:p w14:paraId="1C0E2E72" w14:textId="77777777" w:rsidR="000E07C7" w:rsidRPr="000E07C7" w:rsidRDefault="000E07C7" w:rsidP="000E07C7">
      <w:pPr>
        <w:pStyle w:val="Heading4"/>
        <w:spacing w:line="320" w:lineRule="atLeast"/>
        <w:rPr>
          <w:lang w:val="ga-IE"/>
        </w:rPr>
      </w:pPr>
      <w:r w:rsidRPr="000E07C7">
        <w:rPr>
          <w:lang w:val="ga-IE"/>
        </w:rPr>
        <w:t>Forbhreathnú ar Úsáid Fuinnimh in 2014</w:t>
      </w:r>
    </w:p>
    <w:p w14:paraId="67189165" w14:textId="77777777" w:rsidR="000E07C7" w:rsidRPr="000E07C7" w:rsidRDefault="000E07C7" w:rsidP="000E07C7">
      <w:pPr>
        <w:rPr>
          <w:lang w:val="ga-IE"/>
        </w:rPr>
      </w:pPr>
      <w:r w:rsidRPr="000E07C7">
        <w:rPr>
          <w:lang w:val="ga-IE"/>
        </w:rPr>
        <w:t xml:space="preserve">Tá clárú déanta ag Foireann Fuinnimh an Údaráis Náisiúnta Mhíchumais agus tá cuntais á gcoimeád acu don Údarás Náisiúnta Míchumais le </w:t>
      </w:r>
      <w:proofErr w:type="spellStart"/>
      <w:r w:rsidRPr="000E07C7">
        <w:rPr>
          <w:lang w:val="ga-IE"/>
        </w:rPr>
        <w:t>hÚdarás</w:t>
      </w:r>
      <w:proofErr w:type="spellEnd"/>
      <w:r w:rsidRPr="000E07C7">
        <w:rPr>
          <w:lang w:val="ga-IE"/>
        </w:rPr>
        <w:t xml:space="preserve"> Fuinnimh Inmharthana na hÉireann. </w:t>
      </w:r>
    </w:p>
    <w:p w14:paraId="348EC28F" w14:textId="77777777" w:rsidR="000E07C7" w:rsidRPr="000E07C7" w:rsidRDefault="000E07C7" w:rsidP="000E07C7">
      <w:pPr>
        <w:pStyle w:val="NormalBeforeList"/>
        <w:rPr>
          <w:lang w:val="ga-IE"/>
        </w:rPr>
      </w:pPr>
      <w:r w:rsidRPr="000E07C7">
        <w:rPr>
          <w:lang w:val="ga-IE"/>
        </w:rPr>
        <w:t>Tá achar iomlán urláir 2,633m</w:t>
      </w:r>
      <w:r w:rsidRPr="000E07C7">
        <w:rPr>
          <w:vertAlign w:val="superscript"/>
          <w:lang w:val="ga-IE"/>
        </w:rPr>
        <w:t xml:space="preserve">2 </w:t>
      </w:r>
      <w:r w:rsidRPr="000E07C7">
        <w:rPr>
          <w:lang w:val="ga-IE"/>
        </w:rPr>
        <w:t xml:space="preserve">san Údarás Náisiúnta Míchumais ina bhfuil dhá stór os cionn Foirgneamh Victeoiriach ar leibhéal gairdín (x 2), foirgnimh naisc a críochnaíodh in 2006 agus foirgneamh trí stór ina aice sin ina bhfuil áiléar chomh maith, a críochnaíodh go luath sna 1980idí. Is iad na </w:t>
      </w:r>
      <w:proofErr w:type="spellStart"/>
      <w:r w:rsidRPr="000E07C7">
        <w:rPr>
          <w:lang w:val="ga-IE"/>
        </w:rPr>
        <w:t>príomhúsáideoirí</w:t>
      </w:r>
      <w:proofErr w:type="spellEnd"/>
      <w:r w:rsidRPr="000E07C7">
        <w:rPr>
          <w:lang w:val="ga-IE"/>
        </w:rPr>
        <w:t xml:space="preserve"> fuinnimh:</w:t>
      </w:r>
    </w:p>
    <w:p w14:paraId="63CAACE2" w14:textId="77777777" w:rsidR="000E07C7" w:rsidRPr="000E07C7" w:rsidRDefault="000E07C7" w:rsidP="000E07C7">
      <w:pPr>
        <w:pStyle w:val="ListBullet"/>
        <w:rPr>
          <w:lang w:val="ga-IE"/>
        </w:rPr>
      </w:pPr>
      <w:r w:rsidRPr="000E07C7">
        <w:rPr>
          <w:lang w:val="ga-IE"/>
        </w:rPr>
        <w:t>Fuinneamh Leictreach, is é sin, Soilsiú, TFC agus Oifigí, Aerchóiriú agus Seirbhísí Ginearálta</w:t>
      </w:r>
    </w:p>
    <w:p w14:paraId="71573822" w14:textId="77777777" w:rsidR="000E07C7" w:rsidRPr="000E07C7" w:rsidRDefault="000E07C7" w:rsidP="000E07C7">
      <w:pPr>
        <w:pStyle w:val="ListBullet"/>
        <w:rPr>
          <w:lang w:val="ga-IE"/>
        </w:rPr>
      </w:pPr>
      <w:r w:rsidRPr="000E07C7">
        <w:rPr>
          <w:lang w:val="ga-IE"/>
        </w:rPr>
        <w:t>Fuinneamh Teirmeach (Gás Nádúrtha), is é sin, Téamh Spáis (ciorcaid radaitheora LTHW agus téamh faoin urlár) agus Uisce Te (HWS).</w:t>
      </w:r>
    </w:p>
    <w:p w14:paraId="3A116EFB" w14:textId="77777777" w:rsidR="000E07C7" w:rsidRPr="000E07C7" w:rsidRDefault="000E07C7" w:rsidP="000E07C7">
      <w:pPr>
        <w:pStyle w:val="NormalBeforeList"/>
        <w:rPr>
          <w:lang w:val="ga-IE"/>
        </w:rPr>
      </w:pPr>
      <w:r w:rsidRPr="000E07C7">
        <w:rPr>
          <w:lang w:val="ga-IE"/>
        </w:rPr>
        <w:t xml:space="preserve">In 2014, d’úsáid an tÚdarás Náisiúnta Míchumais 45 </w:t>
      </w:r>
      <w:proofErr w:type="spellStart"/>
      <w:r w:rsidRPr="000E07C7">
        <w:rPr>
          <w:lang w:val="ga-IE"/>
        </w:rPr>
        <w:t>MWh</w:t>
      </w:r>
      <w:proofErr w:type="spellEnd"/>
      <w:r w:rsidRPr="000E07C7">
        <w:rPr>
          <w:lang w:val="ga-IE"/>
        </w:rPr>
        <w:t xml:space="preserve"> d’fhuinneamh, as a raibh:</w:t>
      </w:r>
    </w:p>
    <w:p w14:paraId="49DB6C20" w14:textId="77777777" w:rsidR="000E07C7" w:rsidRPr="000E07C7" w:rsidRDefault="000E07C7" w:rsidP="000E07C7">
      <w:pPr>
        <w:pStyle w:val="ListBullet"/>
        <w:rPr>
          <w:lang w:val="ga-IE"/>
        </w:rPr>
      </w:pPr>
      <w:r w:rsidRPr="000E07C7">
        <w:rPr>
          <w:lang w:val="ga-IE"/>
        </w:rPr>
        <w:t xml:space="preserve">10.8 </w:t>
      </w:r>
      <w:proofErr w:type="spellStart"/>
      <w:r w:rsidRPr="000E07C7">
        <w:rPr>
          <w:lang w:val="ga-IE"/>
        </w:rPr>
        <w:t>MWh</w:t>
      </w:r>
      <w:proofErr w:type="spellEnd"/>
      <w:r w:rsidRPr="000E07C7">
        <w:rPr>
          <w:lang w:val="ga-IE"/>
        </w:rPr>
        <w:t xml:space="preserve"> de leictreachas</w:t>
      </w:r>
    </w:p>
    <w:p w14:paraId="01CFD268" w14:textId="77777777" w:rsidR="000E07C7" w:rsidRPr="000E07C7" w:rsidRDefault="000E07C7" w:rsidP="000E07C7">
      <w:pPr>
        <w:pStyle w:val="ListBullet"/>
        <w:rPr>
          <w:lang w:val="ga-IE"/>
        </w:rPr>
      </w:pPr>
      <w:r w:rsidRPr="000E07C7">
        <w:rPr>
          <w:lang w:val="ga-IE"/>
        </w:rPr>
        <w:t xml:space="preserve">34.2 </w:t>
      </w:r>
      <w:proofErr w:type="spellStart"/>
      <w:r w:rsidRPr="000E07C7">
        <w:rPr>
          <w:lang w:val="ga-IE"/>
        </w:rPr>
        <w:t>MWh</w:t>
      </w:r>
      <w:proofErr w:type="spellEnd"/>
      <w:r w:rsidRPr="000E07C7">
        <w:rPr>
          <w:lang w:val="ga-IE"/>
        </w:rPr>
        <w:t xml:space="preserve"> de </w:t>
      </w:r>
      <w:proofErr w:type="spellStart"/>
      <w:r w:rsidRPr="000E07C7">
        <w:rPr>
          <w:lang w:val="ga-IE"/>
        </w:rPr>
        <w:t>bhreoslaí</w:t>
      </w:r>
      <w:proofErr w:type="spellEnd"/>
      <w:r w:rsidRPr="000E07C7">
        <w:rPr>
          <w:lang w:val="ga-IE"/>
        </w:rPr>
        <w:t xml:space="preserve"> iontaise </w:t>
      </w:r>
    </w:p>
    <w:p w14:paraId="1CC79DE6" w14:textId="77777777" w:rsidR="000E07C7" w:rsidRPr="000E07C7" w:rsidRDefault="000E07C7" w:rsidP="000E07C7">
      <w:pPr>
        <w:pStyle w:val="ListBullet"/>
        <w:rPr>
          <w:lang w:val="ga-IE"/>
        </w:rPr>
      </w:pPr>
      <w:r w:rsidRPr="000E07C7">
        <w:rPr>
          <w:lang w:val="ga-IE"/>
        </w:rPr>
        <w:t xml:space="preserve">0 </w:t>
      </w:r>
      <w:proofErr w:type="spellStart"/>
      <w:r w:rsidRPr="000E07C7">
        <w:rPr>
          <w:lang w:val="ga-IE"/>
        </w:rPr>
        <w:t>MWh</w:t>
      </w:r>
      <w:proofErr w:type="spellEnd"/>
      <w:r w:rsidRPr="000E07C7">
        <w:rPr>
          <w:lang w:val="ga-IE"/>
        </w:rPr>
        <w:t xml:space="preserve"> de </w:t>
      </w:r>
      <w:proofErr w:type="spellStart"/>
      <w:r w:rsidRPr="000E07C7">
        <w:rPr>
          <w:lang w:val="ga-IE"/>
        </w:rPr>
        <w:t>bhreoslaí</w:t>
      </w:r>
      <w:proofErr w:type="spellEnd"/>
      <w:r w:rsidRPr="000E07C7">
        <w:rPr>
          <w:lang w:val="ga-IE"/>
        </w:rPr>
        <w:t xml:space="preserve"> in-athnuaite.</w:t>
      </w:r>
    </w:p>
    <w:p w14:paraId="31014A4A" w14:textId="77777777" w:rsidR="000E07C7" w:rsidRPr="000E07C7" w:rsidRDefault="000E07C7" w:rsidP="000E07C7">
      <w:pPr>
        <w:pStyle w:val="Heading4"/>
        <w:spacing w:line="320" w:lineRule="atLeast"/>
        <w:rPr>
          <w:lang w:val="ga-IE"/>
        </w:rPr>
      </w:pPr>
      <w:r w:rsidRPr="000E07C7">
        <w:rPr>
          <w:lang w:val="ga-IE"/>
        </w:rPr>
        <w:lastRenderedPageBreak/>
        <w:t>Gníomhartha faoinar tugadh in 2014</w:t>
      </w:r>
    </w:p>
    <w:p w14:paraId="198BB92D" w14:textId="77777777" w:rsidR="000E07C7" w:rsidRPr="000E07C7" w:rsidRDefault="000E07C7" w:rsidP="000E07C7">
      <w:pPr>
        <w:pStyle w:val="NormalBeforeList"/>
        <w:rPr>
          <w:lang w:val="ga-IE"/>
        </w:rPr>
      </w:pPr>
      <w:r w:rsidRPr="000E07C7">
        <w:rPr>
          <w:lang w:val="ga-IE"/>
        </w:rPr>
        <w:t xml:space="preserve">In 2014, thug an tÚdarás Náisiúnta Míchumais faoi réimse tionscnamh chun feabhas a chur ar ár </w:t>
      </w:r>
      <w:proofErr w:type="spellStart"/>
      <w:r w:rsidRPr="000E07C7">
        <w:rPr>
          <w:lang w:val="ga-IE"/>
        </w:rPr>
        <w:t>bhfeidhmíocht</w:t>
      </w:r>
      <w:proofErr w:type="spellEnd"/>
      <w:r w:rsidRPr="000E07C7">
        <w:rPr>
          <w:lang w:val="ga-IE"/>
        </w:rPr>
        <w:t xml:space="preserve"> fuinnimh, lena n-áirítear:</w:t>
      </w:r>
    </w:p>
    <w:p w14:paraId="204BA0FB" w14:textId="77777777" w:rsidR="000E07C7" w:rsidRPr="000E07C7" w:rsidRDefault="000E07C7" w:rsidP="000E07C7">
      <w:pPr>
        <w:pStyle w:val="ListBullet"/>
        <w:rPr>
          <w:lang w:val="ga-IE"/>
        </w:rPr>
      </w:pPr>
      <w:r w:rsidRPr="000E07C7">
        <w:rPr>
          <w:lang w:val="ga-IE"/>
        </w:rPr>
        <w:t xml:space="preserve">Seirbhís Bhainistithe Chló a thabhairt isteach ina bhfuil printéirí agus innill fótachóipeála éifeachtúla as ar eascair coigiltí bliantúla 2 </w:t>
      </w:r>
      <w:proofErr w:type="spellStart"/>
      <w:r w:rsidRPr="000E07C7">
        <w:rPr>
          <w:lang w:val="ga-IE"/>
        </w:rPr>
        <w:t>MWh</w:t>
      </w:r>
      <w:proofErr w:type="spellEnd"/>
    </w:p>
    <w:p w14:paraId="106B886A" w14:textId="77777777" w:rsidR="000E07C7" w:rsidRPr="000E07C7" w:rsidRDefault="000E07C7" w:rsidP="000E07C7">
      <w:pPr>
        <w:pStyle w:val="ListBullet"/>
        <w:rPr>
          <w:lang w:val="ga-IE"/>
        </w:rPr>
      </w:pPr>
      <w:r w:rsidRPr="000E07C7">
        <w:rPr>
          <w:lang w:val="ga-IE"/>
        </w:rPr>
        <w:t xml:space="preserve">Feachtas Feasachta ar Fhuinneamh, as ar eascair coigiltí bliantúla 3.1 </w:t>
      </w:r>
      <w:proofErr w:type="spellStart"/>
      <w:r w:rsidRPr="000E07C7">
        <w:rPr>
          <w:lang w:val="ga-IE"/>
        </w:rPr>
        <w:t>MWh</w:t>
      </w:r>
      <w:proofErr w:type="spellEnd"/>
      <w:r w:rsidRPr="000E07C7">
        <w:rPr>
          <w:lang w:val="ga-IE"/>
        </w:rPr>
        <w:t xml:space="preserve"> de </w:t>
      </w:r>
      <w:proofErr w:type="spellStart"/>
      <w:r w:rsidRPr="000E07C7">
        <w:rPr>
          <w:lang w:val="ga-IE"/>
        </w:rPr>
        <w:t>choigiltí</w:t>
      </w:r>
      <w:proofErr w:type="spellEnd"/>
      <w:r w:rsidRPr="000E07C7">
        <w:rPr>
          <w:lang w:val="ga-IE"/>
        </w:rPr>
        <w:t xml:space="preserve"> bliantúla, a bhí dírithe ar na limistéir a leanas: Fuinneamh Ginearálta, Trealamh TF, Fuinneamh sa Bhaile, Soilsiú, Iompar</w:t>
      </w:r>
    </w:p>
    <w:p w14:paraId="085D0C13" w14:textId="77777777" w:rsidR="000E07C7" w:rsidRPr="000E07C7" w:rsidRDefault="000E07C7" w:rsidP="000E07C7">
      <w:pPr>
        <w:pStyle w:val="ListBullet"/>
        <w:rPr>
          <w:lang w:val="ga-IE"/>
        </w:rPr>
      </w:pPr>
      <w:r w:rsidRPr="000E07C7">
        <w:rPr>
          <w:lang w:val="ga-IE"/>
        </w:rPr>
        <w:t xml:space="preserve">D’eascair coigiltí 0.6 </w:t>
      </w:r>
      <w:proofErr w:type="spellStart"/>
      <w:r w:rsidRPr="000E07C7">
        <w:rPr>
          <w:lang w:val="ga-IE"/>
        </w:rPr>
        <w:t>MWh</w:t>
      </w:r>
      <w:proofErr w:type="spellEnd"/>
      <w:r w:rsidRPr="000E07C7">
        <w:rPr>
          <w:lang w:val="ga-IE"/>
        </w:rPr>
        <w:t xml:space="preserve"> as </w:t>
      </w:r>
      <w:proofErr w:type="spellStart"/>
      <w:r w:rsidRPr="000E07C7">
        <w:rPr>
          <w:lang w:val="ga-IE"/>
        </w:rPr>
        <w:t>uaineadóirí</w:t>
      </w:r>
      <w:proofErr w:type="spellEnd"/>
      <w:r w:rsidRPr="000E07C7">
        <w:rPr>
          <w:lang w:val="ga-IE"/>
        </w:rPr>
        <w:t xml:space="preserve"> a shuiteáil le haghaidh an innill chaife agus an oighinn mhicreathonnaigh </w:t>
      </w:r>
    </w:p>
    <w:p w14:paraId="74A4E5E7" w14:textId="77777777" w:rsidR="000E07C7" w:rsidRPr="000E07C7" w:rsidRDefault="000E07C7" w:rsidP="000E07C7">
      <w:pPr>
        <w:pStyle w:val="ListBullet"/>
        <w:rPr>
          <w:lang w:val="ga-IE"/>
        </w:rPr>
      </w:pPr>
      <w:r w:rsidRPr="000E07C7">
        <w:rPr>
          <w:lang w:val="ga-IE"/>
        </w:rPr>
        <w:t xml:space="preserve">córas monatóireachta agus sprioctha fuinnimh (M agus S) a fhorbairt inar féidir léimh mhéadair de láimh a dhéanamh Monatóireacht ghearrthéarmach fuinnimh a dhéanamh chun measúnú a dhéanamh ar </w:t>
      </w:r>
      <w:proofErr w:type="spellStart"/>
      <w:r w:rsidRPr="000E07C7">
        <w:rPr>
          <w:lang w:val="ga-IE"/>
        </w:rPr>
        <w:t>bhonnualaí</w:t>
      </w:r>
      <w:proofErr w:type="spellEnd"/>
      <w:r w:rsidRPr="000E07C7">
        <w:rPr>
          <w:lang w:val="ga-IE"/>
        </w:rPr>
        <w:t xml:space="preserve"> leictreachais agus chun feabhas a chur ar éifeachtúlacht agus spriocanna a leagan amach Táscairí feidhmíochta fuinnimh (</w:t>
      </w:r>
      <w:proofErr w:type="spellStart"/>
      <w:r w:rsidRPr="000E07C7">
        <w:rPr>
          <w:lang w:val="ga-IE"/>
        </w:rPr>
        <w:t>TFFanna</w:t>
      </w:r>
      <w:proofErr w:type="spellEnd"/>
      <w:r w:rsidRPr="000E07C7">
        <w:rPr>
          <w:lang w:val="ga-IE"/>
        </w:rPr>
        <w:t xml:space="preserve">) a dheimhniú, as ar eascair coigiltí bliantúla 5.9 </w:t>
      </w:r>
      <w:proofErr w:type="spellStart"/>
      <w:r w:rsidRPr="000E07C7">
        <w:rPr>
          <w:lang w:val="ga-IE"/>
        </w:rPr>
        <w:t>MWh</w:t>
      </w:r>
      <w:proofErr w:type="spellEnd"/>
      <w:r w:rsidRPr="000E07C7">
        <w:rPr>
          <w:lang w:val="ga-IE"/>
        </w:rPr>
        <w:t xml:space="preserve"> </w:t>
      </w:r>
    </w:p>
    <w:p w14:paraId="7514C72D" w14:textId="77777777" w:rsidR="000E07C7" w:rsidRPr="000E07C7" w:rsidRDefault="000E07C7" w:rsidP="000E07C7">
      <w:pPr>
        <w:pStyle w:val="ListBullet"/>
        <w:rPr>
          <w:lang w:val="ga-IE"/>
        </w:rPr>
      </w:pPr>
      <w:r w:rsidRPr="000E07C7">
        <w:rPr>
          <w:lang w:val="ga-IE"/>
        </w:rPr>
        <w:t>Thug beirt Chomhaltaí na Foirne Fuinnimh faoi Oiliúint ar Phlean Gníomhaíochta Bainistíocht Fuinnimh</w:t>
      </w:r>
    </w:p>
    <w:p w14:paraId="3929F7B8" w14:textId="77777777" w:rsidR="000E07C7" w:rsidRPr="000E07C7" w:rsidRDefault="000E07C7" w:rsidP="000E07C7">
      <w:pPr>
        <w:pStyle w:val="ListBullet"/>
        <w:rPr>
          <w:lang w:val="ga-IE"/>
        </w:rPr>
      </w:pPr>
      <w:r w:rsidRPr="000E07C7">
        <w:rPr>
          <w:lang w:val="ga-IE"/>
        </w:rPr>
        <w:t>Léiríodh tiomantas do Chlár Comhpháirtíochta Fuinnimh na hEarnála Poiblí (ceapadh Bainisteoir Tacaíochta Comhpháirtíochta i Samhain 2014)</w:t>
      </w:r>
    </w:p>
    <w:p w14:paraId="1A1116C0" w14:textId="77777777" w:rsidR="000E07C7" w:rsidRPr="000E07C7" w:rsidRDefault="000E07C7" w:rsidP="000E07C7">
      <w:pPr>
        <w:pStyle w:val="ListBullet"/>
        <w:rPr>
          <w:lang w:val="ga-IE"/>
        </w:rPr>
      </w:pPr>
      <w:r w:rsidRPr="000E07C7">
        <w:rPr>
          <w:lang w:val="ga-IE"/>
        </w:rPr>
        <w:t>Soláthar atá Éifeachtúil i dtaobh Fuinnimh de, ar nós soláthairtí fuinnimh a sholáthar tríd an tSeirbhís Náisiúnta Soláthair (SNS), trealamh a rangaítear amhail Trí-E a sholáthar, agus prionsabail an dearaidh atá éifeachtúil i dtaobh fuinnimh de a chuimsiú ag céim dhearaidh thionscadal caipitiúil.</w:t>
      </w:r>
    </w:p>
    <w:p w14:paraId="1CA2937A" w14:textId="77777777" w:rsidR="000E07C7" w:rsidRPr="000E07C7" w:rsidRDefault="000E07C7" w:rsidP="000E07C7">
      <w:pPr>
        <w:pStyle w:val="ListBullet"/>
        <w:rPr>
          <w:lang w:val="ga-IE"/>
        </w:rPr>
      </w:pPr>
      <w:r w:rsidRPr="000E07C7">
        <w:rPr>
          <w:lang w:val="ga-IE"/>
        </w:rPr>
        <w:t>Beartas fuinnimh an ÚNM a fhorbairt</w:t>
      </w:r>
    </w:p>
    <w:p w14:paraId="24006CFD" w14:textId="77777777" w:rsidR="000E07C7" w:rsidRPr="000E07C7" w:rsidRDefault="000E07C7" w:rsidP="000E07C7">
      <w:pPr>
        <w:rPr>
          <w:lang w:val="ga-IE"/>
        </w:rPr>
      </w:pPr>
      <w:r w:rsidRPr="000E07C7">
        <w:rPr>
          <w:lang w:val="ga-IE"/>
        </w:rPr>
        <w:t xml:space="preserve">I dteannta a chéile, tá 11.6 </w:t>
      </w:r>
      <w:proofErr w:type="spellStart"/>
      <w:r w:rsidRPr="000E07C7">
        <w:rPr>
          <w:lang w:val="ga-IE"/>
        </w:rPr>
        <w:t>MWh</w:t>
      </w:r>
      <w:proofErr w:type="spellEnd"/>
      <w:r w:rsidRPr="000E07C7">
        <w:rPr>
          <w:lang w:val="ga-IE"/>
        </w:rPr>
        <w:t xml:space="preserve"> d’fhuinneamh á choigilt gach bliain ag an Údarás Náisiúnta Míchumais mar gheall ar na beartais coigilte fuinnimh seo agus cinn eile.</w:t>
      </w:r>
    </w:p>
    <w:p w14:paraId="3F61EC31" w14:textId="77777777" w:rsidR="000E07C7" w:rsidRPr="000E07C7" w:rsidRDefault="000E07C7" w:rsidP="000E07C7">
      <w:pPr>
        <w:pStyle w:val="Heading3"/>
        <w:rPr>
          <w:lang w:val="ga-IE"/>
        </w:rPr>
      </w:pPr>
      <w:r w:rsidRPr="000E07C7">
        <w:rPr>
          <w:lang w:val="ga-IE"/>
        </w:rPr>
        <w:t>Oifigeach Rochtana</w:t>
      </w:r>
    </w:p>
    <w:p w14:paraId="2AAEFC2D" w14:textId="77777777" w:rsidR="000E07C7" w:rsidRPr="000E07C7" w:rsidRDefault="000E07C7" w:rsidP="000E07C7">
      <w:pPr>
        <w:rPr>
          <w:lang w:val="ga-IE"/>
        </w:rPr>
      </w:pPr>
      <w:r w:rsidRPr="000E07C7">
        <w:rPr>
          <w:lang w:val="ga-IE"/>
        </w:rPr>
        <w:t>Lean Oifigeach Rochtana an ÚNM, a ceapadh ar aon dul leis an Acht Míchumais, 2005, leis an gcabhair chuí a threorú agus a shocrú do dhaoine atá faoi mhíchumas a fuair rochtain ar áiseanna, imeachtaí agus láithreán gréasáin an ÚNM in 2014. Tá sonraí teagmhála an Oifigigh Rochtana ar leathanach baile láithreán gréasáin an ÚNM.</w:t>
      </w:r>
    </w:p>
    <w:p w14:paraId="160D252A" w14:textId="77777777" w:rsidR="000E07C7" w:rsidRPr="000E07C7" w:rsidRDefault="000E07C7" w:rsidP="000E07C7">
      <w:pPr>
        <w:pStyle w:val="Heading1"/>
        <w:rPr>
          <w:lang w:val="ga-IE"/>
        </w:rPr>
      </w:pPr>
      <w:bookmarkStart w:id="104" w:name="_Toc429053923"/>
      <w:bookmarkStart w:id="105" w:name="_Toc429054133"/>
      <w:bookmarkStart w:id="106" w:name="_Toc431218810"/>
      <w:r w:rsidRPr="000E07C7">
        <w:rPr>
          <w:lang w:val="ga-IE"/>
        </w:rPr>
        <w:lastRenderedPageBreak/>
        <w:t>Ráitis Airgeadais, an 31 Nollaig 2014</w:t>
      </w:r>
      <w:bookmarkEnd w:id="104"/>
      <w:bookmarkEnd w:id="105"/>
      <w:bookmarkEnd w:id="106"/>
    </w:p>
    <w:p w14:paraId="1157756E" w14:textId="77777777" w:rsidR="000E07C7" w:rsidRPr="000E07C7" w:rsidRDefault="000E07C7" w:rsidP="000E07C7">
      <w:pPr>
        <w:pStyle w:val="Heading2"/>
        <w:rPr>
          <w:lang w:val="ga-IE"/>
        </w:rPr>
      </w:pPr>
      <w:r w:rsidRPr="000E07C7">
        <w:rPr>
          <w:lang w:val="ga-IE"/>
        </w:rPr>
        <w:t>Comhaltaí an Údaráis agus Faisnéis eile</w:t>
      </w:r>
    </w:p>
    <w:p w14:paraId="6340C723" w14:textId="77777777" w:rsidR="000E07C7" w:rsidRPr="000E07C7" w:rsidRDefault="000E07C7" w:rsidP="000E07C7">
      <w:pPr>
        <w:pStyle w:val="Heading3"/>
        <w:rPr>
          <w:lang w:val="ga-IE"/>
        </w:rPr>
      </w:pPr>
      <w:r w:rsidRPr="000E07C7">
        <w:rPr>
          <w:lang w:val="ga-IE"/>
        </w:rPr>
        <w:t>Ón 22 Iúil go dtí an 31 Nollaig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3565"/>
      </w:tblGrid>
      <w:tr w:rsidR="00A7534C" w:rsidRPr="000E07C7" w14:paraId="63EB1B39" w14:textId="77777777" w:rsidTr="00A7534C">
        <w:trPr>
          <w:trHeight w:val="844"/>
        </w:trPr>
        <w:tc>
          <w:tcPr>
            <w:tcW w:w="3227" w:type="dxa"/>
            <w:shd w:val="clear" w:color="auto" w:fill="auto"/>
          </w:tcPr>
          <w:p w14:paraId="4724832C" w14:textId="77777777" w:rsidR="00A7534C" w:rsidRPr="000E07C7" w:rsidRDefault="00A7534C" w:rsidP="000E07C7">
            <w:pPr>
              <w:rPr>
                <w:b/>
                <w:lang w:val="ga-IE"/>
              </w:rPr>
            </w:pPr>
            <w:r w:rsidRPr="000E07C7">
              <w:rPr>
                <w:b/>
                <w:lang w:val="ga-IE"/>
              </w:rPr>
              <w:t>Comhalta den Údarás</w:t>
            </w:r>
          </w:p>
        </w:tc>
        <w:tc>
          <w:tcPr>
            <w:tcW w:w="2637" w:type="dxa"/>
            <w:shd w:val="clear" w:color="auto" w:fill="auto"/>
          </w:tcPr>
          <w:p w14:paraId="5EC919AE" w14:textId="77777777" w:rsidR="00A7534C" w:rsidRPr="000E07C7" w:rsidRDefault="00A7534C" w:rsidP="000E07C7">
            <w:pPr>
              <w:rPr>
                <w:b/>
                <w:lang w:val="ga-IE"/>
              </w:rPr>
            </w:pPr>
            <w:r w:rsidRPr="000E07C7">
              <w:rPr>
                <w:rFonts w:cs="Arial"/>
                <w:b/>
                <w:lang w:val="ga-IE"/>
              </w:rPr>
              <w:t xml:space="preserve">Líon chruinnithe an Údaráis ar </w:t>
            </w:r>
            <w:proofErr w:type="spellStart"/>
            <w:r w:rsidRPr="000E07C7">
              <w:rPr>
                <w:rFonts w:cs="Arial"/>
                <w:b/>
                <w:lang w:val="ga-IE"/>
              </w:rPr>
              <w:t>ar</w:t>
            </w:r>
            <w:proofErr w:type="spellEnd"/>
            <w:r w:rsidRPr="000E07C7">
              <w:rPr>
                <w:rFonts w:cs="Arial"/>
                <w:b/>
                <w:lang w:val="ga-IE"/>
              </w:rPr>
              <w:t xml:space="preserve"> freastalaíodh i rith na tréimhse seo</w:t>
            </w:r>
          </w:p>
        </w:tc>
      </w:tr>
      <w:tr w:rsidR="00A7534C" w:rsidRPr="000E07C7" w14:paraId="043EB1FD" w14:textId="77777777" w:rsidTr="00A7534C">
        <w:trPr>
          <w:trHeight w:val="620"/>
        </w:trPr>
        <w:tc>
          <w:tcPr>
            <w:tcW w:w="3227" w:type="dxa"/>
            <w:shd w:val="clear" w:color="auto" w:fill="auto"/>
          </w:tcPr>
          <w:p w14:paraId="4D8052F1"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Helen </w:t>
            </w:r>
            <w:proofErr w:type="spellStart"/>
            <w:r w:rsidRPr="000E07C7">
              <w:rPr>
                <w:lang w:val="ga-IE"/>
              </w:rPr>
              <w:t>Guinan</w:t>
            </w:r>
            <w:proofErr w:type="spellEnd"/>
            <w:r w:rsidRPr="000E07C7">
              <w:rPr>
                <w:lang w:val="ga-IE"/>
              </w:rPr>
              <w:t xml:space="preserve"> (Cathaoirleach)</w:t>
            </w:r>
          </w:p>
        </w:tc>
        <w:tc>
          <w:tcPr>
            <w:tcW w:w="2637" w:type="dxa"/>
            <w:shd w:val="clear" w:color="auto" w:fill="auto"/>
          </w:tcPr>
          <w:p w14:paraId="4EFABD58" w14:textId="77777777" w:rsidR="00A7534C" w:rsidRPr="000E07C7" w:rsidRDefault="00A7534C" w:rsidP="000E07C7">
            <w:pPr>
              <w:rPr>
                <w:lang w:val="ga-IE"/>
              </w:rPr>
            </w:pPr>
            <w:r w:rsidRPr="000E07C7">
              <w:rPr>
                <w:lang w:val="ga-IE"/>
              </w:rPr>
              <w:t>3/3</w:t>
            </w:r>
          </w:p>
        </w:tc>
      </w:tr>
      <w:tr w:rsidR="00A7534C" w:rsidRPr="000E07C7" w14:paraId="576DFF90" w14:textId="77777777" w:rsidTr="00A7534C">
        <w:tc>
          <w:tcPr>
            <w:tcW w:w="3227" w:type="dxa"/>
            <w:shd w:val="clear" w:color="auto" w:fill="auto"/>
          </w:tcPr>
          <w:p w14:paraId="743EE24A" w14:textId="77777777" w:rsidR="00A7534C" w:rsidRPr="000E07C7" w:rsidRDefault="00A7534C" w:rsidP="000E07C7">
            <w:pPr>
              <w:tabs>
                <w:tab w:val="left" w:pos="2520"/>
              </w:tabs>
              <w:rPr>
                <w:lang w:val="ga-IE"/>
              </w:rPr>
            </w:pPr>
            <w:r w:rsidRPr="000E07C7">
              <w:rPr>
                <w:lang w:val="ga-IE"/>
              </w:rPr>
              <w:t xml:space="preserve">An </w:t>
            </w:r>
            <w:proofErr w:type="spellStart"/>
            <w:r w:rsidRPr="000E07C7">
              <w:rPr>
                <w:lang w:val="ga-IE"/>
              </w:rPr>
              <w:t>tUasal</w:t>
            </w:r>
            <w:proofErr w:type="spellEnd"/>
            <w:r w:rsidRPr="000E07C7">
              <w:rPr>
                <w:lang w:val="ga-IE"/>
              </w:rPr>
              <w:t xml:space="preserve"> Orla </w:t>
            </w:r>
            <w:proofErr w:type="spellStart"/>
            <w:r w:rsidRPr="000E07C7">
              <w:rPr>
                <w:lang w:val="ga-IE"/>
              </w:rPr>
              <w:t>Barry</w:t>
            </w:r>
            <w:proofErr w:type="spellEnd"/>
          </w:p>
        </w:tc>
        <w:tc>
          <w:tcPr>
            <w:tcW w:w="2637" w:type="dxa"/>
            <w:shd w:val="clear" w:color="auto" w:fill="auto"/>
          </w:tcPr>
          <w:p w14:paraId="2B7C379B" w14:textId="77777777" w:rsidR="00A7534C" w:rsidRPr="000E07C7" w:rsidRDefault="00A7534C" w:rsidP="000E07C7">
            <w:pPr>
              <w:rPr>
                <w:lang w:val="ga-IE"/>
              </w:rPr>
            </w:pPr>
            <w:r w:rsidRPr="000E07C7">
              <w:rPr>
                <w:lang w:val="ga-IE"/>
              </w:rPr>
              <w:t>3/3</w:t>
            </w:r>
          </w:p>
        </w:tc>
      </w:tr>
      <w:tr w:rsidR="00A7534C" w:rsidRPr="000E07C7" w14:paraId="1D7A0D2B" w14:textId="77777777" w:rsidTr="00A7534C">
        <w:tc>
          <w:tcPr>
            <w:tcW w:w="3227" w:type="dxa"/>
            <w:shd w:val="clear" w:color="auto" w:fill="auto"/>
          </w:tcPr>
          <w:p w14:paraId="31F21161"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Frank </w:t>
            </w:r>
            <w:proofErr w:type="spellStart"/>
            <w:r w:rsidRPr="000E07C7">
              <w:rPr>
                <w:lang w:val="ga-IE"/>
              </w:rPr>
              <w:t>Cunneen</w:t>
            </w:r>
            <w:proofErr w:type="spellEnd"/>
          </w:p>
        </w:tc>
        <w:tc>
          <w:tcPr>
            <w:tcW w:w="2637" w:type="dxa"/>
            <w:shd w:val="clear" w:color="auto" w:fill="auto"/>
          </w:tcPr>
          <w:p w14:paraId="2E917674" w14:textId="77777777" w:rsidR="00A7534C" w:rsidRPr="000E07C7" w:rsidRDefault="00A7534C" w:rsidP="000E07C7">
            <w:pPr>
              <w:rPr>
                <w:lang w:val="ga-IE"/>
              </w:rPr>
            </w:pPr>
            <w:r w:rsidRPr="000E07C7">
              <w:rPr>
                <w:lang w:val="ga-IE"/>
              </w:rPr>
              <w:t>3/3</w:t>
            </w:r>
          </w:p>
        </w:tc>
      </w:tr>
      <w:tr w:rsidR="00A7534C" w:rsidRPr="000E07C7" w14:paraId="47C342FB" w14:textId="77777777" w:rsidTr="00A7534C">
        <w:tc>
          <w:tcPr>
            <w:tcW w:w="3227" w:type="dxa"/>
            <w:shd w:val="clear" w:color="auto" w:fill="auto"/>
          </w:tcPr>
          <w:p w14:paraId="6E57F9F8"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Des</w:t>
            </w:r>
            <w:proofErr w:type="spellEnd"/>
            <w:r w:rsidRPr="000E07C7">
              <w:rPr>
                <w:lang w:val="ga-IE"/>
              </w:rPr>
              <w:t xml:space="preserve"> Kenny</w:t>
            </w:r>
          </w:p>
        </w:tc>
        <w:tc>
          <w:tcPr>
            <w:tcW w:w="2637" w:type="dxa"/>
            <w:shd w:val="clear" w:color="auto" w:fill="auto"/>
          </w:tcPr>
          <w:p w14:paraId="401D86A5" w14:textId="77777777" w:rsidR="00A7534C" w:rsidRPr="000E07C7" w:rsidRDefault="00A7534C" w:rsidP="000E07C7">
            <w:pPr>
              <w:rPr>
                <w:lang w:val="ga-IE"/>
              </w:rPr>
            </w:pPr>
            <w:r w:rsidRPr="000E07C7">
              <w:rPr>
                <w:lang w:val="ga-IE"/>
              </w:rPr>
              <w:t>2/3</w:t>
            </w:r>
          </w:p>
        </w:tc>
      </w:tr>
      <w:tr w:rsidR="00A7534C" w:rsidRPr="000E07C7" w14:paraId="14FEC7C1" w14:textId="77777777" w:rsidTr="00A7534C">
        <w:tc>
          <w:tcPr>
            <w:tcW w:w="3227" w:type="dxa"/>
            <w:shd w:val="clear" w:color="auto" w:fill="auto"/>
          </w:tcPr>
          <w:p w14:paraId="28ED6543"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Ruthann</w:t>
            </w:r>
            <w:proofErr w:type="spellEnd"/>
            <w:r w:rsidRPr="000E07C7">
              <w:rPr>
                <w:lang w:val="ga-IE"/>
              </w:rPr>
              <w:t xml:space="preserve"> </w:t>
            </w:r>
            <w:proofErr w:type="spellStart"/>
            <w:r w:rsidRPr="000E07C7">
              <w:rPr>
                <w:lang w:val="ga-IE"/>
              </w:rPr>
              <w:t>La</w:t>
            </w:r>
            <w:proofErr w:type="spellEnd"/>
            <w:r w:rsidRPr="000E07C7">
              <w:rPr>
                <w:lang w:val="ga-IE"/>
              </w:rPr>
              <w:t xml:space="preserve"> </w:t>
            </w:r>
            <w:proofErr w:type="spellStart"/>
            <w:r w:rsidRPr="000E07C7">
              <w:rPr>
                <w:lang w:val="ga-IE"/>
              </w:rPr>
              <w:t>Malfa</w:t>
            </w:r>
            <w:proofErr w:type="spellEnd"/>
          </w:p>
        </w:tc>
        <w:tc>
          <w:tcPr>
            <w:tcW w:w="2637" w:type="dxa"/>
            <w:shd w:val="clear" w:color="auto" w:fill="auto"/>
          </w:tcPr>
          <w:p w14:paraId="36527928" w14:textId="77777777" w:rsidR="00A7534C" w:rsidRPr="000E07C7" w:rsidRDefault="00A7534C" w:rsidP="000E07C7">
            <w:pPr>
              <w:rPr>
                <w:lang w:val="ga-IE"/>
              </w:rPr>
            </w:pPr>
            <w:r w:rsidRPr="000E07C7">
              <w:rPr>
                <w:lang w:val="ga-IE"/>
              </w:rPr>
              <w:t>3/3</w:t>
            </w:r>
          </w:p>
        </w:tc>
      </w:tr>
      <w:tr w:rsidR="00A7534C" w:rsidRPr="000E07C7" w14:paraId="118AF740" w14:textId="77777777" w:rsidTr="00A7534C">
        <w:tc>
          <w:tcPr>
            <w:tcW w:w="3227" w:type="dxa"/>
            <w:shd w:val="clear" w:color="auto" w:fill="auto"/>
          </w:tcPr>
          <w:p w14:paraId="0D41F0E3"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Mary </w:t>
            </w:r>
            <w:proofErr w:type="spellStart"/>
            <w:r w:rsidRPr="000E07C7">
              <w:rPr>
                <w:lang w:val="ga-IE"/>
              </w:rPr>
              <w:t>Lavelle</w:t>
            </w:r>
            <w:proofErr w:type="spellEnd"/>
          </w:p>
        </w:tc>
        <w:tc>
          <w:tcPr>
            <w:tcW w:w="2637" w:type="dxa"/>
            <w:shd w:val="clear" w:color="auto" w:fill="auto"/>
          </w:tcPr>
          <w:p w14:paraId="35C2E9AA" w14:textId="77777777" w:rsidR="00A7534C" w:rsidRPr="000E07C7" w:rsidRDefault="00A7534C" w:rsidP="000E07C7">
            <w:pPr>
              <w:rPr>
                <w:lang w:val="ga-IE"/>
              </w:rPr>
            </w:pPr>
            <w:r w:rsidRPr="000E07C7">
              <w:rPr>
                <w:lang w:val="ga-IE"/>
              </w:rPr>
              <w:t>3/3</w:t>
            </w:r>
          </w:p>
        </w:tc>
      </w:tr>
      <w:tr w:rsidR="00A7534C" w:rsidRPr="000E07C7" w14:paraId="16D8FAF1" w14:textId="77777777" w:rsidTr="00A7534C">
        <w:tc>
          <w:tcPr>
            <w:tcW w:w="3227" w:type="dxa"/>
            <w:shd w:val="clear" w:color="auto" w:fill="auto"/>
          </w:tcPr>
          <w:p w14:paraId="1B3C1996"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Teresa</w:t>
            </w:r>
            <w:proofErr w:type="spellEnd"/>
            <w:r w:rsidRPr="000E07C7">
              <w:rPr>
                <w:lang w:val="ga-IE"/>
              </w:rPr>
              <w:t xml:space="preserve"> </w:t>
            </w:r>
            <w:proofErr w:type="spellStart"/>
            <w:r w:rsidRPr="000E07C7">
              <w:rPr>
                <w:lang w:val="ga-IE"/>
              </w:rPr>
              <w:t>McDonnell</w:t>
            </w:r>
            <w:proofErr w:type="spellEnd"/>
          </w:p>
        </w:tc>
        <w:tc>
          <w:tcPr>
            <w:tcW w:w="2637" w:type="dxa"/>
            <w:shd w:val="clear" w:color="auto" w:fill="auto"/>
          </w:tcPr>
          <w:p w14:paraId="6BAE3FF8" w14:textId="77777777" w:rsidR="00A7534C" w:rsidRPr="000E07C7" w:rsidRDefault="00A7534C" w:rsidP="000E07C7">
            <w:pPr>
              <w:rPr>
                <w:lang w:val="ga-IE"/>
              </w:rPr>
            </w:pPr>
            <w:r w:rsidRPr="000E07C7">
              <w:rPr>
                <w:lang w:val="ga-IE"/>
              </w:rPr>
              <w:t>2/3</w:t>
            </w:r>
          </w:p>
        </w:tc>
      </w:tr>
      <w:tr w:rsidR="00A7534C" w:rsidRPr="000E07C7" w14:paraId="14F5F031" w14:textId="77777777" w:rsidTr="00A7534C">
        <w:tc>
          <w:tcPr>
            <w:tcW w:w="3227" w:type="dxa"/>
            <w:shd w:val="clear" w:color="auto" w:fill="auto"/>
          </w:tcPr>
          <w:p w14:paraId="1D1FAE1E"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Déaglán Ó Briain</w:t>
            </w:r>
          </w:p>
        </w:tc>
        <w:tc>
          <w:tcPr>
            <w:tcW w:w="2637" w:type="dxa"/>
            <w:shd w:val="clear" w:color="auto" w:fill="auto"/>
          </w:tcPr>
          <w:p w14:paraId="63678213" w14:textId="77777777" w:rsidR="00A7534C" w:rsidRPr="000E07C7" w:rsidRDefault="00A7534C" w:rsidP="000E07C7">
            <w:pPr>
              <w:rPr>
                <w:lang w:val="ga-IE"/>
              </w:rPr>
            </w:pPr>
            <w:r w:rsidRPr="000E07C7">
              <w:rPr>
                <w:lang w:val="ga-IE"/>
              </w:rPr>
              <w:t>2/3</w:t>
            </w:r>
          </w:p>
        </w:tc>
      </w:tr>
      <w:tr w:rsidR="00A7534C" w:rsidRPr="000E07C7" w14:paraId="003FB4A4" w14:textId="77777777" w:rsidTr="00A7534C">
        <w:tc>
          <w:tcPr>
            <w:tcW w:w="3227" w:type="dxa"/>
            <w:shd w:val="clear" w:color="auto" w:fill="auto"/>
          </w:tcPr>
          <w:p w14:paraId="3A0C40BF"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Deirdre O’Connor</w:t>
            </w:r>
          </w:p>
        </w:tc>
        <w:tc>
          <w:tcPr>
            <w:tcW w:w="2637" w:type="dxa"/>
            <w:shd w:val="clear" w:color="auto" w:fill="auto"/>
          </w:tcPr>
          <w:p w14:paraId="031CBB07" w14:textId="77777777" w:rsidR="00A7534C" w:rsidRPr="000E07C7" w:rsidRDefault="00A7534C" w:rsidP="000E07C7">
            <w:pPr>
              <w:rPr>
                <w:lang w:val="ga-IE"/>
              </w:rPr>
            </w:pPr>
            <w:r w:rsidRPr="000E07C7">
              <w:rPr>
                <w:lang w:val="ga-IE"/>
              </w:rPr>
              <w:t>3/3</w:t>
            </w:r>
          </w:p>
        </w:tc>
      </w:tr>
      <w:tr w:rsidR="00A7534C" w:rsidRPr="000E07C7" w14:paraId="10144F95" w14:textId="77777777" w:rsidTr="00A7534C">
        <w:tc>
          <w:tcPr>
            <w:tcW w:w="3227" w:type="dxa"/>
            <w:shd w:val="clear" w:color="auto" w:fill="auto"/>
          </w:tcPr>
          <w:p w14:paraId="2701BACB"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James O’Grady</w:t>
            </w:r>
          </w:p>
        </w:tc>
        <w:tc>
          <w:tcPr>
            <w:tcW w:w="2637" w:type="dxa"/>
            <w:shd w:val="clear" w:color="auto" w:fill="auto"/>
          </w:tcPr>
          <w:p w14:paraId="0867C59A" w14:textId="77777777" w:rsidR="00A7534C" w:rsidRPr="000E07C7" w:rsidRDefault="00A7534C" w:rsidP="000E07C7">
            <w:pPr>
              <w:rPr>
                <w:lang w:val="ga-IE"/>
              </w:rPr>
            </w:pPr>
            <w:r w:rsidRPr="000E07C7">
              <w:rPr>
                <w:lang w:val="ga-IE"/>
              </w:rPr>
              <w:t>2/3</w:t>
            </w:r>
          </w:p>
        </w:tc>
      </w:tr>
      <w:tr w:rsidR="00A7534C" w:rsidRPr="000E07C7" w14:paraId="777E5DDB" w14:textId="77777777" w:rsidTr="00A7534C">
        <w:tc>
          <w:tcPr>
            <w:tcW w:w="3227" w:type="dxa"/>
            <w:shd w:val="clear" w:color="auto" w:fill="auto"/>
          </w:tcPr>
          <w:p w14:paraId="763DC82A"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Donie O’Leary</w:t>
            </w:r>
          </w:p>
        </w:tc>
        <w:tc>
          <w:tcPr>
            <w:tcW w:w="2637" w:type="dxa"/>
            <w:shd w:val="clear" w:color="auto" w:fill="auto"/>
          </w:tcPr>
          <w:p w14:paraId="3B34E693" w14:textId="77777777" w:rsidR="00A7534C" w:rsidRPr="000E07C7" w:rsidRDefault="00A7534C" w:rsidP="000E07C7">
            <w:pPr>
              <w:rPr>
                <w:lang w:val="ga-IE"/>
              </w:rPr>
            </w:pPr>
            <w:r w:rsidRPr="000E07C7">
              <w:rPr>
                <w:lang w:val="ga-IE"/>
              </w:rPr>
              <w:t>3/3</w:t>
            </w:r>
          </w:p>
        </w:tc>
      </w:tr>
      <w:tr w:rsidR="00A7534C" w:rsidRPr="000E07C7" w14:paraId="0D84E884" w14:textId="77777777" w:rsidTr="00A7534C">
        <w:trPr>
          <w:trHeight w:val="439"/>
        </w:trPr>
        <w:tc>
          <w:tcPr>
            <w:tcW w:w="3227" w:type="dxa"/>
            <w:shd w:val="clear" w:color="auto" w:fill="auto"/>
          </w:tcPr>
          <w:p w14:paraId="45E38D33"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Alison</w:t>
            </w:r>
            <w:proofErr w:type="spellEnd"/>
            <w:r w:rsidRPr="000E07C7">
              <w:rPr>
                <w:lang w:val="ga-IE"/>
              </w:rPr>
              <w:t xml:space="preserve"> Ryan</w:t>
            </w:r>
          </w:p>
        </w:tc>
        <w:tc>
          <w:tcPr>
            <w:tcW w:w="2637" w:type="dxa"/>
            <w:shd w:val="clear" w:color="auto" w:fill="auto"/>
          </w:tcPr>
          <w:p w14:paraId="45ACB412" w14:textId="77777777" w:rsidR="00A7534C" w:rsidRPr="000E07C7" w:rsidRDefault="00A7534C" w:rsidP="000E07C7">
            <w:pPr>
              <w:rPr>
                <w:lang w:val="ga-IE"/>
              </w:rPr>
            </w:pPr>
            <w:r w:rsidRPr="000E07C7">
              <w:rPr>
                <w:lang w:val="ga-IE"/>
              </w:rPr>
              <w:t>3/3</w:t>
            </w:r>
          </w:p>
        </w:tc>
      </w:tr>
      <w:tr w:rsidR="00A7534C" w:rsidRPr="000E07C7" w14:paraId="4737D034" w14:textId="77777777" w:rsidTr="00A7534C">
        <w:trPr>
          <w:trHeight w:val="441"/>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D8B87D"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Donal Rice</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1B2A7784" w14:textId="77777777" w:rsidR="00A7534C" w:rsidRPr="000E07C7" w:rsidRDefault="00A7534C" w:rsidP="000E07C7">
            <w:pPr>
              <w:rPr>
                <w:lang w:val="ga-IE"/>
              </w:rPr>
            </w:pPr>
            <w:r w:rsidRPr="000E07C7">
              <w:rPr>
                <w:lang w:val="ga-IE"/>
              </w:rPr>
              <w:t>3/3</w:t>
            </w:r>
          </w:p>
        </w:tc>
      </w:tr>
    </w:tbl>
    <w:p w14:paraId="433B3F25" w14:textId="77777777" w:rsidR="000E07C7" w:rsidRPr="000E07C7" w:rsidRDefault="000E07C7" w:rsidP="000E07C7">
      <w:pPr>
        <w:tabs>
          <w:tab w:val="left" w:pos="1440"/>
        </w:tabs>
        <w:spacing w:after="0"/>
        <w:rPr>
          <w:lang w:val="ga-IE"/>
        </w:rPr>
      </w:pPr>
    </w:p>
    <w:p w14:paraId="52F249A1" w14:textId="77777777" w:rsidR="000E07C7" w:rsidRPr="000E07C7" w:rsidRDefault="000E07C7" w:rsidP="000E07C7">
      <w:pPr>
        <w:tabs>
          <w:tab w:val="left" w:pos="1440"/>
        </w:tabs>
        <w:spacing w:after="0"/>
        <w:rPr>
          <w:lang w:val="ga-IE"/>
        </w:rPr>
      </w:pPr>
      <w:r w:rsidRPr="000E07C7">
        <w:rPr>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4356"/>
      </w:tblGrid>
      <w:tr w:rsidR="00A7534C" w:rsidRPr="000E07C7" w14:paraId="6C1688A7" w14:textId="77777777" w:rsidTr="000E07C7">
        <w:trPr>
          <w:trHeight w:val="350"/>
        </w:trPr>
        <w:tc>
          <w:tcPr>
            <w:tcW w:w="0" w:type="auto"/>
            <w:shd w:val="clear" w:color="auto" w:fill="auto"/>
          </w:tcPr>
          <w:p w14:paraId="33FF8180" w14:textId="77777777" w:rsidR="00A7534C" w:rsidRPr="000E07C7" w:rsidRDefault="00A7534C" w:rsidP="000E07C7">
            <w:pPr>
              <w:rPr>
                <w:b/>
                <w:lang w:val="ga-IE"/>
              </w:rPr>
            </w:pPr>
            <w:r w:rsidRPr="000E07C7">
              <w:rPr>
                <w:b/>
                <w:lang w:val="ga-IE"/>
              </w:rPr>
              <w:lastRenderedPageBreak/>
              <w:t>Comhalta den Choiste Iniúchóireachta</w:t>
            </w:r>
          </w:p>
        </w:tc>
        <w:tc>
          <w:tcPr>
            <w:tcW w:w="0" w:type="auto"/>
            <w:shd w:val="clear" w:color="auto" w:fill="auto"/>
          </w:tcPr>
          <w:p w14:paraId="6C17E76F" w14:textId="77777777" w:rsidR="00A7534C" w:rsidRPr="000E07C7" w:rsidRDefault="00A7534C" w:rsidP="000E07C7">
            <w:pPr>
              <w:rPr>
                <w:b/>
                <w:lang w:val="ga-IE"/>
              </w:rPr>
            </w:pPr>
            <w:r w:rsidRPr="000E07C7">
              <w:rPr>
                <w:rFonts w:cs="Arial"/>
                <w:b/>
                <w:lang w:val="ga-IE"/>
              </w:rPr>
              <w:t xml:space="preserve">Líon chruinnithe an Choiste Iniúchta ar </w:t>
            </w:r>
            <w:proofErr w:type="spellStart"/>
            <w:r w:rsidRPr="000E07C7">
              <w:rPr>
                <w:rFonts w:cs="Arial"/>
                <w:b/>
                <w:lang w:val="ga-IE"/>
              </w:rPr>
              <w:t>ar</w:t>
            </w:r>
            <w:proofErr w:type="spellEnd"/>
            <w:r w:rsidRPr="000E07C7">
              <w:rPr>
                <w:rFonts w:cs="Arial"/>
                <w:b/>
                <w:lang w:val="ga-IE"/>
              </w:rPr>
              <w:t xml:space="preserve"> freastalaíodh i rith na tréimhse seo</w:t>
            </w:r>
          </w:p>
        </w:tc>
      </w:tr>
      <w:tr w:rsidR="00A7534C" w:rsidRPr="000E07C7" w14:paraId="11A3CDB6" w14:textId="77777777" w:rsidTr="000E07C7">
        <w:trPr>
          <w:trHeight w:val="53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856E46" w14:textId="77777777" w:rsidR="00A7534C" w:rsidRPr="000E07C7" w:rsidRDefault="00A7534C" w:rsidP="000E07C7">
            <w:pPr>
              <w:rPr>
                <w:lang w:val="ga-IE"/>
              </w:rPr>
            </w:pPr>
            <w:r w:rsidRPr="000E07C7">
              <w:rPr>
                <w:lang w:val="ga-IE"/>
              </w:rPr>
              <w:t xml:space="preserve">An </w:t>
            </w:r>
            <w:proofErr w:type="spellStart"/>
            <w:r w:rsidRPr="000E07C7">
              <w:rPr>
                <w:lang w:val="ga-IE"/>
              </w:rPr>
              <w:t>tUasal</w:t>
            </w:r>
            <w:proofErr w:type="spellEnd"/>
            <w:r w:rsidRPr="000E07C7">
              <w:rPr>
                <w:lang w:val="ga-IE"/>
              </w:rPr>
              <w:t xml:space="preserve"> Donal </w:t>
            </w:r>
            <w:proofErr w:type="spellStart"/>
            <w:r w:rsidRPr="000E07C7">
              <w:rPr>
                <w:lang w:val="ga-IE"/>
              </w:rPr>
              <w:t>Lawlor</w:t>
            </w:r>
            <w:proofErr w:type="spellEnd"/>
            <w:r w:rsidRPr="000E07C7">
              <w:rPr>
                <w:lang w:val="ga-IE"/>
              </w:rPr>
              <w:t xml:space="preserve"> (Cathaoirleach an Choiste Iniúchta)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33CC" w14:textId="77777777" w:rsidR="00A7534C" w:rsidRPr="000E07C7" w:rsidRDefault="00A7534C" w:rsidP="000E07C7">
            <w:pPr>
              <w:spacing w:after="80"/>
              <w:jc w:val="center"/>
              <w:rPr>
                <w:rFonts w:cs="Arial"/>
                <w:lang w:val="ga-IE"/>
              </w:rPr>
            </w:pPr>
            <w:r w:rsidRPr="000E07C7">
              <w:rPr>
                <w:rFonts w:cs="Arial"/>
                <w:lang w:val="ga-IE"/>
              </w:rPr>
              <w:t>1/1</w:t>
            </w:r>
          </w:p>
        </w:tc>
      </w:tr>
    </w:tbl>
    <w:p w14:paraId="54178639" w14:textId="77777777" w:rsidR="000E07C7" w:rsidRPr="000E07C7" w:rsidRDefault="000E07C7" w:rsidP="000E07C7">
      <w:pPr>
        <w:tabs>
          <w:tab w:val="left" w:pos="1440"/>
        </w:tabs>
        <w:rPr>
          <w:lang w:val="ga-IE"/>
        </w:rPr>
      </w:pPr>
    </w:p>
    <w:p w14:paraId="25852102" w14:textId="77777777" w:rsidR="000E07C7" w:rsidRPr="000E07C7" w:rsidRDefault="000E07C7" w:rsidP="000E07C7">
      <w:pPr>
        <w:pStyle w:val="ListBullet"/>
        <w:rPr>
          <w:lang w:val="ga-IE"/>
        </w:rPr>
      </w:pPr>
      <w:r w:rsidRPr="000E07C7">
        <w:rPr>
          <w:lang w:val="ga-IE"/>
        </w:rPr>
        <w:t>Stiúrthóir:</w:t>
      </w:r>
      <w:r w:rsidRPr="000E07C7">
        <w:rPr>
          <w:lang w:val="ga-IE"/>
        </w:rPr>
        <w:tab/>
        <w:t xml:space="preserve"> Siobhán </w:t>
      </w:r>
      <w:proofErr w:type="spellStart"/>
      <w:r w:rsidRPr="000E07C7">
        <w:rPr>
          <w:lang w:val="ga-IE"/>
        </w:rPr>
        <w:t>Barron</w:t>
      </w:r>
      <w:proofErr w:type="spellEnd"/>
    </w:p>
    <w:p w14:paraId="7F501D91" w14:textId="77777777" w:rsidR="000E07C7" w:rsidRPr="000E07C7" w:rsidRDefault="000E07C7" w:rsidP="000E07C7">
      <w:pPr>
        <w:pStyle w:val="ListBullet"/>
        <w:rPr>
          <w:lang w:val="ga-IE"/>
        </w:rPr>
      </w:pPr>
      <w:r w:rsidRPr="000E07C7">
        <w:rPr>
          <w:lang w:val="ga-IE"/>
        </w:rPr>
        <w:t xml:space="preserve">Aturnaetha: Aturnaetha </w:t>
      </w:r>
      <w:proofErr w:type="spellStart"/>
      <w:r w:rsidRPr="000E07C7">
        <w:rPr>
          <w:lang w:val="ga-IE"/>
        </w:rPr>
        <w:t>Beauchamps</w:t>
      </w:r>
      <w:proofErr w:type="spellEnd"/>
      <w:r w:rsidRPr="000E07C7">
        <w:rPr>
          <w:lang w:val="ga-IE"/>
        </w:rPr>
        <w:t xml:space="preserve">, Uimhir a Dó Cois Abhann, Cé </w:t>
      </w:r>
      <w:proofErr w:type="spellStart"/>
      <w:r w:rsidRPr="000E07C7">
        <w:rPr>
          <w:lang w:val="ga-IE"/>
        </w:rPr>
        <w:t>Sir</w:t>
      </w:r>
      <w:proofErr w:type="spellEnd"/>
      <w:r w:rsidRPr="000E07C7">
        <w:rPr>
          <w:lang w:val="ga-IE"/>
        </w:rPr>
        <w:t xml:space="preserve"> John </w:t>
      </w:r>
      <w:proofErr w:type="spellStart"/>
      <w:r w:rsidRPr="000E07C7">
        <w:rPr>
          <w:lang w:val="ga-IE"/>
        </w:rPr>
        <w:t>Rogerson</w:t>
      </w:r>
      <w:proofErr w:type="spellEnd"/>
      <w:r w:rsidRPr="000E07C7">
        <w:rPr>
          <w:lang w:val="ga-IE"/>
        </w:rPr>
        <w:t>, Baile Átha Cliath 2</w:t>
      </w:r>
    </w:p>
    <w:p w14:paraId="3F8B4DB2" w14:textId="77777777" w:rsidR="000E07C7" w:rsidRPr="000E07C7" w:rsidRDefault="000E07C7" w:rsidP="000E07C7">
      <w:pPr>
        <w:pStyle w:val="ListBullet"/>
        <w:rPr>
          <w:lang w:val="ga-IE"/>
        </w:rPr>
      </w:pPr>
      <w:r w:rsidRPr="000E07C7">
        <w:rPr>
          <w:lang w:val="ga-IE"/>
        </w:rPr>
        <w:t>Baincéirí:</w:t>
      </w:r>
      <w:r w:rsidRPr="000E07C7">
        <w:rPr>
          <w:lang w:val="ga-IE"/>
        </w:rPr>
        <w:tab/>
        <w:t>Banc na hÉireann, 104 Raghnallach, Baile Átha Cliath 6</w:t>
      </w:r>
    </w:p>
    <w:p w14:paraId="5E306F9E" w14:textId="77777777" w:rsidR="000E07C7" w:rsidRPr="000E07C7" w:rsidRDefault="000E07C7" w:rsidP="000E07C7">
      <w:pPr>
        <w:pStyle w:val="ListBullet"/>
        <w:rPr>
          <w:lang w:val="ga-IE"/>
        </w:rPr>
      </w:pPr>
      <w:r w:rsidRPr="000E07C7">
        <w:rPr>
          <w:lang w:val="ga-IE"/>
        </w:rPr>
        <w:t>Iniúchóirí:</w:t>
      </w:r>
      <w:r w:rsidRPr="000E07C7">
        <w:rPr>
          <w:lang w:val="ga-IE"/>
        </w:rPr>
        <w:tab/>
        <w:t>An tArd-Reachtaire Cuntas agus Ciste, Caisleán Bhaile Átha Cliath, Baile Átha Cliath 2</w:t>
      </w:r>
    </w:p>
    <w:p w14:paraId="0336E4F5" w14:textId="77777777" w:rsidR="000E07C7" w:rsidRPr="000E07C7" w:rsidRDefault="000E07C7" w:rsidP="000E07C7">
      <w:pPr>
        <w:pStyle w:val="Heading2"/>
        <w:rPr>
          <w:lang w:val="ga-IE"/>
        </w:rPr>
      </w:pPr>
      <w:r w:rsidRPr="000E07C7">
        <w:rPr>
          <w:lang w:val="ga-IE"/>
        </w:rPr>
        <w:br w:type="page"/>
      </w:r>
      <w:r w:rsidRPr="000E07C7">
        <w:rPr>
          <w:lang w:val="ga-IE"/>
        </w:rPr>
        <w:lastRenderedPageBreak/>
        <w:t>An tÚdarás Náisiúnta Míchumais</w:t>
      </w:r>
    </w:p>
    <w:p w14:paraId="6BFA3556" w14:textId="77777777" w:rsidR="000E07C7" w:rsidRPr="000E07C7" w:rsidRDefault="000E07C7" w:rsidP="000E07C7">
      <w:pPr>
        <w:rPr>
          <w:lang w:val="ga-IE"/>
        </w:rPr>
      </w:pPr>
      <w:r w:rsidRPr="000E07C7">
        <w:rPr>
          <w:lang w:val="ga-IE"/>
        </w:rPr>
        <w:t>Bunaíodh an tÚdarás Náisiúnta Míchumais an 12 Meitheamh, 2000 faoi Alt 6 den Acht um Údarás Náisiúnta Míchumais, 1999.</w:t>
      </w:r>
    </w:p>
    <w:p w14:paraId="78DD1622" w14:textId="77777777" w:rsidR="000E07C7" w:rsidRPr="000E07C7" w:rsidRDefault="000E07C7" w:rsidP="000E07C7">
      <w:pPr>
        <w:pStyle w:val="Heading3"/>
        <w:rPr>
          <w:lang w:val="ga-IE"/>
        </w:rPr>
      </w:pPr>
      <w:r w:rsidRPr="000E07C7">
        <w:rPr>
          <w:lang w:val="ga-IE"/>
        </w:rPr>
        <w:t xml:space="preserve">Feidhmeanna agus cumhachtaí an Údaráis Náisiúnta Mhíchumais </w:t>
      </w:r>
    </w:p>
    <w:p w14:paraId="54A70ADD" w14:textId="77777777" w:rsidR="000E07C7" w:rsidRPr="000E07C7" w:rsidRDefault="000E07C7" w:rsidP="000E07C7">
      <w:pPr>
        <w:rPr>
          <w:lang w:val="ga-IE"/>
        </w:rPr>
      </w:pPr>
      <w:r w:rsidRPr="000E07C7">
        <w:rPr>
          <w:lang w:val="ga-IE"/>
        </w:rPr>
        <w:t xml:space="preserve">Is í príomhfheidhm an Údaráis Náisiúnta Mhíchumais ná comhairle a chur ar an Aire Dlí agus Cirt agus Comhionannais faoi shaincheisteanna beartais agus cleachtais i ndáil le míchumas. </w:t>
      </w:r>
    </w:p>
    <w:p w14:paraId="2758AB82" w14:textId="77777777" w:rsidR="000E07C7" w:rsidRPr="000E07C7" w:rsidRDefault="000E07C7" w:rsidP="000E07C7">
      <w:pPr>
        <w:pStyle w:val="NormalBeforeList"/>
        <w:rPr>
          <w:lang w:val="ga-IE"/>
        </w:rPr>
      </w:pPr>
      <w:r w:rsidRPr="000E07C7">
        <w:rPr>
          <w:lang w:val="ga-IE"/>
        </w:rPr>
        <w:t>I measc fheidhmeanna ar leith an Údaráis faoi Alt 8 den Acht um Údarás Náisiúnta Míchumais, 1999, tá:</w:t>
      </w:r>
    </w:p>
    <w:p w14:paraId="0FB8714C" w14:textId="77777777" w:rsidR="000E07C7" w:rsidRPr="000E07C7" w:rsidRDefault="000E07C7" w:rsidP="000E07C7">
      <w:pPr>
        <w:pStyle w:val="ListBullet"/>
        <w:rPr>
          <w:lang w:val="ga-IE"/>
        </w:rPr>
      </w:pPr>
      <w:r w:rsidRPr="000E07C7">
        <w:rPr>
          <w:lang w:val="ga-IE"/>
        </w:rPr>
        <w:t>Gníomhú mar chomhlacht lárnach náisiúnta a chabhróidh leis an Aire beartas a chomhordú agus a fhorbairt i ndáil le daoine faoi mhíchumas.</w:t>
      </w:r>
    </w:p>
    <w:p w14:paraId="31DF26A2" w14:textId="77777777" w:rsidR="000E07C7" w:rsidRPr="000E07C7" w:rsidRDefault="000E07C7" w:rsidP="000E07C7">
      <w:pPr>
        <w:pStyle w:val="ListBullet"/>
        <w:rPr>
          <w:lang w:val="ga-IE"/>
        </w:rPr>
      </w:pPr>
      <w:r w:rsidRPr="000E07C7">
        <w:rPr>
          <w:lang w:val="ga-IE"/>
        </w:rPr>
        <w:t xml:space="preserve">Tabhairt faoi thionscadail taighde agus ghníomhaíochtaí ar shaincheisteanna a bhaineann le míchumas, iad a choimisiúnú nó comhoibriú iontu agus cabhrú le heolas staitistiúil a fhorbairt atá oiriúnach do phleanáil, sheachadadh agus mhonatóireacht clár agus seirbhísí do dhaoine faoi mhíchumas. </w:t>
      </w:r>
    </w:p>
    <w:p w14:paraId="58D9ED44" w14:textId="77777777" w:rsidR="000E07C7" w:rsidRPr="000E07C7" w:rsidRDefault="000E07C7" w:rsidP="000E07C7">
      <w:pPr>
        <w:pStyle w:val="ListBullet"/>
        <w:rPr>
          <w:lang w:val="ga-IE"/>
        </w:rPr>
      </w:pPr>
      <w:r w:rsidRPr="000E07C7">
        <w:rPr>
          <w:lang w:val="ga-IE"/>
        </w:rPr>
        <w:t>Comhairle a chur ar an Aire faoi chaighdeáin oiriúnacha do chláir agus sheirbhísí arna soláthar nó atá le soláthar do dhaoine faoi mhíchumas agus gníomhú mar chomhlacht comhairleach maidir le caighdeáin ghinearálta agus shonracha a fhorbairt i ndáil le cláir agus seirbhísí den sórt sin.</w:t>
      </w:r>
    </w:p>
    <w:p w14:paraId="3B70306E" w14:textId="77777777" w:rsidR="000E07C7" w:rsidRPr="000E07C7" w:rsidRDefault="000E07C7" w:rsidP="000E07C7">
      <w:pPr>
        <w:pStyle w:val="ListBullet"/>
        <w:rPr>
          <w:lang w:val="ga-IE"/>
        </w:rPr>
      </w:pPr>
      <w:r w:rsidRPr="000E07C7">
        <w:rPr>
          <w:lang w:val="ga-IE"/>
        </w:rPr>
        <w:t>Monatóireacht a dhéanamh ar chur i bhfeidhm caighdeán agus cóid chleachtais i gcláir agus seirbhísí arna soláthar do dhaoine faoi mhíchumas agus tuairisc a thabhairt don Aire air sin.</w:t>
      </w:r>
    </w:p>
    <w:p w14:paraId="59FEC6EC" w14:textId="77777777" w:rsidR="000E07C7" w:rsidRPr="000E07C7" w:rsidRDefault="000E07C7" w:rsidP="000E07C7">
      <w:pPr>
        <w:pStyle w:val="ListBullet"/>
        <w:rPr>
          <w:lang w:val="ga-IE"/>
        </w:rPr>
      </w:pPr>
      <w:r w:rsidRPr="000E07C7">
        <w:rPr>
          <w:lang w:val="ga-IE"/>
        </w:rPr>
        <w:t xml:space="preserve">Idirchaidreamh a dhéanamh le comhlachtaí eile, idir comhlachtaí </w:t>
      </w:r>
      <w:proofErr w:type="spellStart"/>
      <w:r w:rsidRPr="000E07C7">
        <w:rPr>
          <w:lang w:val="ga-IE"/>
        </w:rPr>
        <w:t>corparáideacha</w:t>
      </w:r>
      <w:proofErr w:type="spellEnd"/>
      <w:r w:rsidRPr="000E07C7">
        <w:rPr>
          <w:lang w:val="ga-IE"/>
        </w:rPr>
        <w:t xml:space="preserve"> agus neamhchorpraithe, atá i mbun seirbhísí a sholáthar do dhaoine faoi mhíchumas agus forbairt agus cur i bhfeidhm caighdeán oiriúnach um chláir agus sheirbhísí do dhaoine faoi mhíchumas a éascú agus a thacú.</w:t>
      </w:r>
    </w:p>
    <w:p w14:paraId="1E223935" w14:textId="77777777" w:rsidR="000E07C7" w:rsidRPr="000E07C7" w:rsidRDefault="000E07C7" w:rsidP="000E07C7">
      <w:pPr>
        <w:pStyle w:val="ListBullet"/>
        <w:rPr>
          <w:lang w:val="ga-IE"/>
        </w:rPr>
      </w:pPr>
      <w:r w:rsidRPr="000E07C7">
        <w:rPr>
          <w:lang w:val="ga-IE"/>
        </w:rPr>
        <w:t>Cóid chleachtais a ullmhú agus é mar aidhm dea-chaighdeáin agus cáilíocht a bhaint amach maidir le soláthar clár agus seirbhísí arna soláthar nó atá le soláthar do dhaoine faoi mhíchumas.</w:t>
      </w:r>
    </w:p>
    <w:p w14:paraId="21F96831" w14:textId="77777777" w:rsidR="000E07C7" w:rsidRPr="000E07C7" w:rsidRDefault="000E07C7" w:rsidP="000E07C7">
      <w:pPr>
        <w:pStyle w:val="ListBullet"/>
        <w:rPr>
          <w:lang w:val="ga-IE"/>
        </w:rPr>
      </w:pPr>
      <w:r w:rsidRPr="000E07C7">
        <w:rPr>
          <w:lang w:val="ga-IE"/>
        </w:rPr>
        <w:t>Baint amach dea-chaighdeán agus cáilíochta i soláthar clár agus seirbhísí do dhaoine faoi mhíchumas a aithint, lena n-áirítear trí chóras gradam um chomhionannas míchumais.</w:t>
      </w:r>
    </w:p>
    <w:p w14:paraId="781EF3A4" w14:textId="77777777" w:rsidR="000E07C7" w:rsidRPr="000E07C7" w:rsidRDefault="000E07C7" w:rsidP="000E07C7">
      <w:pPr>
        <w:pStyle w:val="ListBullet"/>
        <w:rPr>
          <w:lang w:val="ga-IE"/>
        </w:rPr>
      </w:pPr>
      <w:r w:rsidRPr="000E07C7">
        <w:rPr>
          <w:lang w:val="ga-IE"/>
        </w:rPr>
        <w:t>Pleananna straitéiseacha a ullmhú</w:t>
      </w:r>
    </w:p>
    <w:p w14:paraId="5675E498" w14:textId="77777777" w:rsidR="000E07C7" w:rsidRPr="000E07C7" w:rsidRDefault="000E07C7" w:rsidP="000E07C7">
      <w:pPr>
        <w:pStyle w:val="NormalBeforeList"/>
        <w:keepNext/>
        <w:rPr>
          <w:lang w:val="ga-IE"/>
        </w:rPr>
      </w:pPr>
      <w:r w:rsidRPr="000E07C7">
        <w:rPr>
          <w:lang w:val="ga-IE"/>
        </w:rPr>
        <w:lastRenderedPageBreak/>
        <w:t>I measc fheidhmeanna breise an Údaráis faoin Acht Míchumais, 2005, tá:</w:t>
      </w:r>
    </w:p>
    <w:p w14:paraId="03CF8B8A" w14:textId="77777777" w:rsidR="000E07C7" w:rsidRPr="000E07C7" w:rsidRDefault="000E07C7" w:rsidP="000E07C7">
      <w:pPr>
        <w:pStyle w:val="ListBullet"/>
        <w:rPr>
          <w:lang w:val="ga-IE"/>
        </w:rPr>
      </w:pPr>
      <w:r w:rsidRPr="000E07C7">
        <w:rPr>
          <w:lang w:val="ga-IE"/>
        </w:rPr>
        <w:t xml:space="preserve">Cóid chleachtais a ullmhú maidir le </w:t>
      </w:r>
      <w:proofErr w:type="spellStart"/>
      <w:r w:rsidRPr="000E07C7">
        <w:rPr>
          <w:lang w:val="ga-IE"/>
        </w:rPr>
        <w:t>hinrochtaineacht</w:t>
      </w:r>
      <w:proofErr w:type="spellEnd"/>
      <w:r w:rsidRPr="000E07C7">
        <w:rPr>
          <w:lang w:val="ga-IE"/>
        </w:rPr>
        <w:t xml:space="preserve"> foirgneamh poiblí, seirbhísí, eolais agus suíomhanna oidhreachta agus maidir le fostú daoine faoi mhíchumas san earnáil phoiblí ar iarratas an Aire (Cuid 3). </w:t>
      </w:r>
    </w:p>
    <w:p w14:paraId="4C28EB53" w14:textId="77777777" w:rsidR="000E07C7" w:rsidRPr="000E07C7" w:rsidRDefault="000E07C7" w:rsidP="000E07C7">
      <w:pPr>
        <w:pStyle w:val="ListBullet"/>
        <w:rPr>
          <w:lang w:val="ga-IE"/>
        </w:rPr>
      </w:pPr>
      <w:r w:rsidRPr="000E07C7">
        <w:rPr>
          <w:lang w:val="ga-IE"/>
        </w:rPr>
        <w:t>Monatóireacht a dhéanamh ar chomhlíonadh spriocanna reachtúla um earcú agus fostú daoine faoi mhíchumas san earnáil phoiblí, gníomhartha a mholadh le glacadh áit nach bhfuil na spriocanna sin á gcomhlíonadh, agus cóid chleachtais a ullmhú áit a n-iarrtar sin (Cuid 5).</w:t>
      </w:r>
    </w:p>
    <w:p w14:paraId="58D89FD9" w14:textId="77777777" w:rsidR="000E07C7" w:rsidRPr="000E07C7" w:rsidRDefault="000E07C7" w:rsidP="000E07C7">
      <w:pPr>
        <w:pStyle w:val="ListBullet"/>
        <w:rPr>
          <w:lang w:val="ga-IE"/>
        </w:rPr>
      </w:pPr>
      <w:r w:rsidRPr="000E07C7">
        <w:rPr>
          <w:lang w:val="ga-IE"/>
        </w:rPr>
        <w:t xml:space="preserve">Lárionad </w:t>
      </w:r>
      <w:proofErr w:type="spellStart"/>
      <w:r w:rsidRPr="000E07C7">
        <w:rPr>
          <w:lang w:val="ga-IE"/>
        </w:rPr>
        <w:t>Sármhaitheasa</w:t>
      </w:r>
      <w:proofErr w:type="spellEnd"/>
      <w:r w:rsidRPr="000E07C7">
        <w:rPr>
          <w:lang w:val="ga-IE"/>
        </w:rPr>
        <w:t xml:space="preserve"> i nDearadh Uilíoch sa timpeallacht thógtha agus i dteicneolaíocht faisnéise a bhunú a dhéanfaidh cur chun cinn ar phrionsabail an dearaidh uilíoch ar féidir le daoine faoi mhíchumas rochtain a fháil orthu agus iad a thuiscint agus a úsáid an oiread is féidir:</w:t>
      </w:r>
    </w:p>
    <w:p w14:paraId="097939BA" w14:textId="77777777" w:rsidR="000E07C7" w:rsidRPr="000E07C7" w:rsidRDefault="000E07C7" w:rsidP="000E07C7">
      <w:pPr>
        <w:pStyle w:val="ListBullet"/>
        <w:tabs>
          <w:tab w:val="clear" w:pos="360"/>
          <w:tab w:val="num" w:pos="720"/>
        </w:tabs>
        <w:ind w:left="714"/>
        <w:rPr>
          <w:lang w:val="ga-IE"/>
        </w:rPr>
      </w:pPr>
      <w:r w:rsidRPr="000E07C7">
        <w:rPr>
          <w:lang w:val="ga-IE"/>
        </w:rPr>
        <w:t xml:space="preserve">ar an mbealach is neamhspleáiche agus is nádúrtha </w:t>
      </w:r>
    </w:p>
    <w:p w14:paraId="0AA84BA5" w14:textId="77777777" w:rsidR="000E07C7" w:rsidRPr="000E07C7" w:rsidRDefault="000E07C7" w:rsidP="000E07C7">
      <w:pPr>
        <w:pStyle w:val="ListBullet"/>
        <w:tabs>
          <w:tab w:val="clear" w:pos="360"/>
          <w:tab w:val="num" w:pos="720"/>
        </w:tabs>
        <w:ind w:left="714"/>
        <w:rPr>
          <w:lang w:val="ga-IE"/>
        </w:rPr>
      </w:pPr>
      <w:r w:rsidRPr="000E07C7">
        <w:rPr>
          <w:lang w:val="ga-IE"/>
        </w:rPr>
        <w:t xml:space="preserve">sa raon suíomhanna is leithne is féidir </w:t>
      </w:r>
    </w:p>
    <w:p w14:paraId="756ABFD2" w14:textId="77777777" w:rsidR="000E07C7" w:rsidRPr="000E07C7" w:rsidRDefault="000E07C7" w:rsidP="000E07C7">
      <w:pPr>
        <w:pStyle w:val="ListBullet"/>
        <w:tabs>
          <w:tab w:val="clear" w:pos="360"/>
          <w:tab w:val="num" w:pos="720"/>
        </w:tabs>
        <w:ind w:left="720"/>
        <w:rPr>
          <w:lang w:val="ga-IE"/>
        </w:rPr>
        <w:sectPr w:rsidR="000E07C7" w:rsidRPr="000E07C7" w:rsidSect="0009490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985" w:right="1985" w:bottom="1985" w:left="1985" w:header="709" w:footer="709" w:gutter="0"/>
          <w:cols w:space="708"/>
          <w:titlePg/>
          <w:docGrid w:linePitch="360"/>
        </w:sectPr>
      </w:pPr>
      <w:r w:rsidRPr="000E07C7">
        <w:rPr>
          <w:lang w:val="ga-IE"/>
        </w:rPr>
        <w:t>gan oiriúint, modhnú, fearais chúnta nó réiteach speisialaithe a bheith ag teastáil (Cuid 6).</w:t>
      </w:r>
    </w:p>
    <w:p w14:paraId="1B4DD50D" w14:textId="77777777" w:rsidR="000E07C7" w:rsidRPr="000E07C7" w:rsidRDefault="000E07C7" w:rsidP="000E07C7">
      <w:pPr>
        <w:pStyle w:val="Heading2"/>
        <w:rPr>
          <w:lang w:val="ga-IE"/>
        </w:rPr>
      </w:pPr>
      <w:r w:rsidRPr="000E07C7">
        <w:rPr>
          <w:lang w:val="ga-IE"/>
        </w:rPr>
        <w:t xml:space="preserve">Ráiteas ar </w:t>
      </w:r>
      <w:proofErr w:type="spellStart"/>
      <w:r w:rsidRPr="000E07C7">
        <w:rPr>
          <w:lang w:val="ga-IE"/>
        </w:rPr>
        <w:t>Fhreagrachtaí</w:t>
      </w:r>
      <w:proofErr w:type="spellEnd"/>
      <w:r w:rsidRPr="000E07C7">
        <w:rPr>
          <w:lang w:val="ga-IE"/>
        </w:rPr>
        <w:t xml:space="preserve"> Chomhaltaí an Údaráis</w:t>
      </w:r>
    </w:p>
    <w:p w14:paraId="13F30DA5" w14:textId="77777777" w:rsidR="000E07C7" w:rsidRPr="000E07C7" w:rsidRDefault="000E07C7" w:rsidP="000E07C7">
      <w:pPr>
        <w:rPr>
          <w:lang w:val="ga-IE"/>
        </w:rPr>
      </w:pPr>
      <w:r w:rsidRPr="000E07C7">
        <w:rPr>
          <w:lang w:val="ga-IE"/>
        </w:rPr>
        <w:t xml:space="preserve">Ceanglaítear ar an Údarás trí </w:t>
      </w:r>
      <w:proofErr w:type="spellStart"/>
      <w:r w:rsidRPr="000E07C7">
        <w:rPr>
          <w:lang w:val="ga-IE"/>
        </w:rPr>
        <w:t>hAlt</w:t>
      </w:r>
      <w:proofErr w:type="spellEnd"/>
      <w:r w:rsidRPr="000E07C7">
        <w:rPr>
          <w:lang w:val="ga-IE"/>
        </w:rPr>
        <w:t xml:space="preserve"> 17 den Acht um Údarás Náisiúnta Míchumais, 1999 ráitis airgeadais a ullmhú le haghaidh gach bliana airgeadais a thugann léargas fírinneach agus cothrom ar staid </w:t>
      </w:r>
      <w:proofErr w:type="spellStart"/>
      <w:r w:rsidRPr="000E07C7">
        <w:rPr>
          <w:lang w:val="ga-IE"/>
        </w:rPr>
        <w:t>ghnóthaí</w:t>
      </w:r>
      <w:proofErr w:type="spellEnd"/>
      <w:r w:rsidRPr="000E07C7">
        <w:rPr>
          <w:lang w:val="ga-IE"/>
        </w:rPr>
        <w:t xml:space="preserve"> an Údaráis agus ar a gcuid ioncaim agus caiteachais don tréimhse sin.</w:t>
      </w:r>
    </w:p>
    <w:p w14:paraId="6E5F3613" w14:textId="77777777" w:rsidR="000E07C7" w:rsidRPr="000E07C7" w:rsidRDefault="000E07C7" w:rsidP="000E07C7">
      <w:pPr>
        <w:pStyle w:val="NormalBeforeList"/>
        <w:rPr>
          <w:lang w:val="ga-IE"/>
        </w:rPr>
      </w:pPr>
      <w:r w:rsidRPr="000E07C7">
        <w:rPr>
          <w:lang w:val="ga-IE"/>
        </w:rPr>
        <w:t>Agus na ráitis airgeadais siúd á réiteach, ceanglaítear ar an Údarás:</w:t>
      </w:r>
    </w:p>
    <w:p w14:paraId="55AA6D83" w14:textId="77777777" w:rsidR="000E07C7" w:rsidRPr="000E07C7" w:rsidRDefault="000E07C7" w:rsidP="000E07C7">
      <w:pPr>
        <w:pStyle w:val="ListBullet"/>
        <w:rPr>
          <w:lang w:val="ga-IE"/>
        </w:rPr>
      </w:pPr>
      <w:r w:rsidRPr="000E07C7">
        <w:rPr>
          <w:lang w:val="ga-IE"/>
        </w:rPr>
        <w:t>beartais chuntasaíochta oiriúnacha a roghnú agus iad a chur i bhfeidhm go comhsheasmhach ina dhiaidh sin;</w:t>
      </w:r>
    </w:p>
    <w:p w14:paraId="0638291D" w14:textId="77777777" w:rsidR="000E07C7" w:rsidRPr="000E07C7" w:rsidRDefault="000E07C7" w:rsidP="000E07C7">
      <w:pPr>
        <w:pStyle w:val="ListBullet"/>
        <w:rPr>
          <w:lang w:val="ga-IE"/>
        </w:rPr>
      </w:pPr>
      <w:r w:rsidRPr="000E07C7">
        <w:rPr>
          <w:lang w:val="ga-IE"/>
        </w:rPr>
        <w:t>breithiúnais agus meastacháin a dhéanamh atá réasúnta agus stuama;</w:t>
      </w:r>
    </w:p>
    <w:p w14:paraId="338DEDF1" w14:textId="77777777" w:rsidR="000E07C7" w:rsidRPr="000E07C7" w:rsidRDefault="000E07C7" w:rsidP="000E07C7">
      <w:pPr>
        <w:pStyle w:val="ListBullet"/>
        <w:rPr>
          <w:lang w:val="ga-IE"/>
        </w:rPr>
      </w:pPr>
      <w:r w:rsidRPr="000E07C7">
        <w:rPr>
          <w:lang w:val="ga-IE"/>
        </w:rPr>
        <w:t>cloí leis na Caighdeáin Chuntasaíochta infheidhme, faoi réir aon imeachtaí ábhartha a nochtar agus a mhínítear sna Ráitis Airgeadais;</w:t>
      </w:r>
    </w:p>
    <w:p w14:paraId="66EDF710" w14:textId="77777777" w:rsidR="000E07C7" w:rsidRPr="000E07C7" w:rsidRDefault="000E07C7" w:rsidP="000E07C7">
      <w:pPr>
        <w:pStyle w:val="ListBullet"/>
        <w:rPr>
          <w:lang w:val="ga-IE"/>
        </w:rPr>
      </w:pPr>
      <w:r w:rsidRPr="000E07C7">
        <w:rPr>
          <w:lang w:val="ga-IE"/>
        </w:rPr>
        <w:t>na ráitis airgeadais a réiteach ar bhonn gnóthas leantach, mura cuí a mheas go leanfaidh an tÚdarás Náisiúnta Míchumais i mbun feidhme.</w:t>
      </w:r>
    </w:p>
    <w:p w14:paraId="522C09B6" w14:textId="77777777" w:rsidR="000E07C7" w:rsidRPr="000E07C7" w:rsidRDefault="000E07C7" w:rsidP="000E07C7">
      <w:pPr>
        <w:pStyle w:val="NormalAfterList"/>
        <w:rPr>
          <w:lang w:val="ga-IE"/>
        </w:rPr>
      </w:pPr>
      <w:r w:rsidRPr="000E07C7">
        <w:rPr>
          <w:lang w:val="ga-IE"/>
        </w:rPr>
        <w:t>Tá an tÚdarás freagrach as leabhair chuí chuntais a choimeád, ina nochtar le cruinneas réasúnta, ag tráth ar bith, staid airgeadais an Údaráis agus a chuireann ar a gcumas a chinntiú go gcomhlíonann na ráitis airgeadais an tAcht. Anuas air sin, tá an tÚdarás freagrach as sócmhainní an Údaráis Náisiúnta Mhíchumais a chosaint agus as bearta réasúnta a ghlacadh feasta chun calaois agus neamhrialtachtaí eile a chosc agus a bhrath.</w:t>
      </w:r>
    </w:p>
    <w:p w14:paraId="7E7D7058" w14:textId="77777777" w:rsidR="000E07C7" w:rsidRPr="000E07C7" w:rsidRDefault="000E07C7" w:rsidP="000E07C7">
      <w:pPr>
        <w:keepNext/>
        <w:rPr>
          <w:lang w:val="ga-IE"/>
        </w:rPr>
      </w:pPr>
      <w:r w:rsidRPr="000E07C7">
        <w:rPr>
          <w:lang w:val="ga-IE"/>
        </w:rPr>
        <w:lastRenderedPageBreak/>
        <w:t>Thar cheann an Údaráis</w:t>
      </w:r>
    </w:p>
    <w:p w14:paraId="2D4BC905" w14:textId="77777777" w:rsidR="000E07C7" w:rsidRPr="000E07C7" w:rsidRDefault="000E07C7" w:rsidP="003330BF">
      <w:pPr>
        <w:ind w:left="2160" w:hanging="2160"/>
        <w:rPr>
          <w:lang w:val="ga-IE"/>
        </w:rPr>
      </w:pPr>
      <w:r w:rsidRPr="000E07C7">
        <w:rPr>
          <w:lang w:val="ga-IE"/>
        </w:rPr>
        <w:t>Cathaoirleach:</w:t>
      </w:r>
      <w:r w:rsidRPr="000E07C7">
        <w:rPr>
          <w:lang w:val="ga-IE"/>
        </w:rPr>
        <w:tab/>
        <w:t>________________</w:t>
      </w:r>
      <w:r w:rsidRPr="000E07C7">
        <w:rPr>
          <w:lang w:val="ga-IE"/>
        </w:rPr>
        <w:br/>
        <w:t xml:space="preserve">Helen </w:t>
      </w:r>
      <w:proofErr w:type="spellStart"/>
      <w:r w:rsidRPr="000E07C7">
        <w:rPr>
          <w:lang w:val="ga-IE"/>
        </w:rPr>
        <w:t>Guinan</w:t>
      </w:r>
      <w:proofErr w:type="spellEnd"/>
      <w:r w:rsidRPr="000E07C7">
        <w:rPr>
          <w:lang w:val="ga-IE"/>
        </w:rPr>
        <w:br/>
        <w:t>Cathaoirleach</w:t>
      </w:r>
    </w:p>
    <w:p w14:paraId="4F6B91C4" w14:textId="77777777" w:rsidR="000E07C7" w:rsidRPr="000E07C7" w:rsidRDefault="000E07C7" w:rsidP="003330BF">
      <w:pPr>
        <w:ind w:left="2160" w:hanging="2160"/>
        <w:rPr>
          <w:lang w:val="ga-IE"/>
        </w:rPr>
      </w:pPr>
      <w:r w:rsidRPr="000E07C7">
        <w:rPr>
          <w:lang w:val="ga-IE"/>
        </w:rPr>
        <w:t>Stiúrthóir:</w:t>
      </w:r>
      <w:r w:rsidRPr="000E07C7">
        <w:rPr>
          <w:lang w:val="ga-IE"/>
        </w:rPr>
        <w:tab/>
        <w:t>________________</w:t>
      </w:r>
      <w:r w:rsidRPr="000E07C7">
        <w:rPr>
          <w:lang w:val="ga-IE"/>
        </w:rPr>
        <w:br/>
        <w:t xml:space="preserve">Siobhán </w:t>
      </w:r>
      <w:proofErr w:type="spellStart"/>
      <w:r w:rsidRPr="000E07C7">
        <w:rPr>
          <w:lang w:val="ga-IE"/>
        </w:rPr>
        <w:t>Barron</w:t>
      </w:r>
      <w:proofErr w:type="spellEnd"/>
      <w:r w:rsidRPr="000E07C7">
        <w:rPr>
          <w:lang w:val="ga-IE"/>
        </w:rPr>
        <w:br/>
        <w:t>Stiúrthóir</w:t>
      </w:r>
    </w:p>
    <w:p w14:paraId="6CC3FAF2" w14:textId="77777777" w:rsidR="000E07C7" w:rsidRPr="000E07C7" w:rsidRDefault="000E07C7" w:rsidP="000E07C7">
      <w:pPr>
        <w:rPr>
          <w:lang w:val="ga-IE"/>
        </w:rPr>
      </w:pPr>
      <w:r w:rsidRPr="000E07C7">
        <w:rPr>
          <w:lang w:val="ga-IE"/>
        </w:rPr>
        <w:t>Dáta:</w:t>
      </w:r>
      <w:r w:rsidRPr="000E07C7">
        <w:rPr>
          <w:lang w:val="ga-IE"/>
        </w:rPr>
        <w:tab/>
      </w:r>
      <w:r w:rsidRPr="000E07C7">
        <w:rPr>
          <w:lang w:val="ga-IE"/>
        </w:rPr>
        <w:tab/>
        <w:t xml:space="preserve"> </w:t>
      </w:r>
    </w:p>
    <w:p w14:paraId="357F0196" w14:textId="77777777" w:rsidR="000E07C7" w:rsidRPr="000E07C7" w:rsidRDefault="000E07C7" w:rsidP="000E07C7">
      <w:pPr>
        <w:pStyle w:val="Heading2"/>
        <w:rPr>
          <w:lang w:val="ga-IE"/>
        </w:rPr>
      </w:pPr>
      <w:r w:rsidRPr="000E07C7">
        <w:rPr>
          <w:lang w:val="ga-IE"/>
        </w:rPr>
        <w:t>An Ráiteas ar Rialú Inmheánach Airgeadais don Bhliain dar críoch an 31 Nollaig 2014</w:t>
      </w:r>
    </w:p>
    <w:p w14:paraId="646CB214" w14:textId="77777777" w:rsidR="000E07C7" w:rsidRPr="000E07C7" w:rsidRDefault="000E07C7" w:rsidP="000E07C7">
      <w:pPr>
        <w:rPr>
          <w:lang w:val="ga-IE"/>
        </w:rPr>
      </w:pPr>
      <w:r w:rsidRPr="000E07C7">
        <w:rPr>
          <w:lang w:val="ga-IE"/>
        </w:rPr>
        <w:t>Thar cheann Bhord an Údaráis Náisiúnta Mhíchumais, is mian liom ár bhfreagracht a aithint a chinntiú go gcoimeádtar agus go n-oibrítear córas éifeachtach rialaithe inmheánaigh airgeadais.</w:t>
      </w:r>
    </w:p>
    <w:p w14:paraId="38F89A42" w14:textId="77777777" w:rsidR="000E07C7" w:rsidRPr="000E07C7" w:rsidRDefault="000E07C7" w:rsidP="000E07C7">
      <w:pPr>
        <w:rPr>
          <w:lang w:val="ga-IE"/>
        </w:rPr>
      </w:pPr>
      <w:r w:rsidRPr="000E07C7">
        <w:rPr>
          <w:lang w:val="ga-IE"/>
        </w:rPr>
        <w:t>Ní féidir leis an gcóras ach a dhearbhú go réasúnta seachas go hiomlán go gcosnaítear sócmhainní, go n-údaraítear idirbhearta agus go gcuirtear i dtaifead iad i gceart, agus go gcoisctear earráidí nó neamhrialtachtaí ábhartha nó go mbraithfí iad ar bhealach tráthúil.</w:t>
      </w:r>
    </w:p>
    <w:p w14:paraId="3442AC85" w14:textId="77777777" w:rsidR="000E07C7" w:rsidRPr="000E07C7" w:rsidRDefault="000E07C7" w:rsidP="000E07C7">
      <w:pPr>
        <w:pStyle w:val="NormalBeforeList"/>
        <w:rPr>
          <w:lang w:val="ga-IE"/>
        </w:rPr>
      </w:pPr>
      <w:r w:rsidRPr="000E07C7">
        <w:rPr>
          <w:lang w:val="ga-IE"/>
        </w:rPr>
        <w:t xml:space="preserve">Ceapadh an Bord ón 22 Iúil 2014 ar aghaidh agus ghlac siad bearta, idir an dá linn, lena chinntiú go bhfuil timpeallacht chuí rialaithe i bhfeidhm, tríd an méid a leanas a dhéanamh: </w:t>
      </w:r>
    </w:p>
    <w:p w14:paraId="7CE13C49" w14:textId="77777777" w:rsidR="000E07C7" w:rsidRPr="000E07C7" w:rsidRDefault="000E07C7" w:rsidP="000E07C7">
      <w:pPr>
        <w:pStyle w:val="ListBullet"/>
        <w:rPr>
          <w:lang w:val="ga-IE"/>
        </w:rPr>
      </w:pPr>
      <w:r w:rsidRPr="000E07C7">
        <w:rPr>
          <w:lang w:val="ga-IE"/>
        </w:rPr>
        <w:t>Nósanna imeachta foirmiúla a bhunú trí fheidhmeanna éagsúla coiste chun monatóireacht a dhéanamh ar ghníomhaíochtaí na heagraíochta agus chun sócmhainní na heagraíochta a chosaint</w:t>
      </w:r>
    </w:p>
    <w:p w14:paraId="67D2B1C8" w14:textId="77777777" w:rsidR="000E07C7" w:rsidRPr="000E07C7" w:rsidRDefault="000E07C7" w:rsidP="000E07C7">
      <w:pPr>
        <w:pStyle w:val="ListBullet"/>
        <w:rPr>
          <w:lang w:val="ga-IE"/>
        </w:rPr>
      </w:pPr>
      <w:r w:rsidRPr="000E07C7">
        <w:rPr>
          <w:lang w:val="ga-IE"/>
        </w:rPr>
        <w:t xml:space="preserve">A chinntiú go ndéantar freagrachtaí agus cumhachtaí bainistíochta a shainmhíniú agus a </w:t>
      </w:r>
      <w:proofErr w:type="spellStart"/>
      <w:r w:rsidRPr="000E07C7">
        <w:rPr>
          <w:lang w:val="ga-IE"/>
        </w:rPr>
        <w:t>dhoiciméadú</w:t>
      </w:r>
      <w:proofErr w:type="spellEnd"/>
      <w:r w:rsidRPr="000E07C7">
        <w:rPr>
          <w:lang w:val="ga-IE"/>
        </w:rPr>
        <w:t xml:space="preserve"> go soiléir</w:t>
      </w:r>
    </w:p>
    <w:p w14:paraId="18FB29D7" w14:textId="77777777" w:rsidR="000E07C7" w:rsidRPr="000E07C7" w:rsidRDefault="000E07C7" w:rsidP="000E07C7">
      <w:pPr>
        <w:pStyle w:val="ListBullet"/>
        <w:spacing w:after="240"/>
        <w:rPr>
          <w:lang w:val="ga-IE"/>
        </w:rPr>
      </w:pPr>
      <w:r w:rsidRPr="000E07C7">
        <w:rPr>
          <w:lang w:val="ga-IE"/>
        </w:rPr>
        <w:tab/>
        <w:t>Cultúr tréan freagrachta a fhorbairt ar fud gach leibhéil den eagraíocht.</w:t>
      </w:r>
    </w:p>
    <w:p w14:paraId="7680CAF5" w14:textId="77777777" w:rsidR="000E07C7" w:rsidRPr="000E07C7" w:rsidRDefault="000E07C7" w:rsidP="000E07C7">
      <w:pPr>
        <w:pStyle w:val="NormalBeforeList"/>
        <w:rPr>
          <w:lang w:val="ga-IE"/>
        </w:rPr>
      </w:pPr>
      <w:r w:rsidRPr="000E07C7">
        <w:rPr>
          <w:lang w:val="ga-IE"/>
        </w:rPr>
        <w:t xml:space="preserve">Tá an tÚdarás sásta go bhfuil próisis bhunaithe ann chun rioscaí gnó a shainaithint agus le measúnú a dhéanamh orthu. Baintear seo amach ar roinnt bealaí, lena n-áirítear: </w:t>
      </w:r>
    </w:p>
    <w:p w14:paraId="45F71F80" w14:textId="77777777" w:rsidR="000E07C7" w:rsidRPr="000E07C7" w:rsidRDefault="000E07C7" w:rsidP="000E07C7">
      <w:pPr>
        <w:pStyle w:val="ListBullet"/>
        <w:rPr>
          <w:lang w:val="ga-IE"/>
        </w:rPr>
      </w:pPr>
      <w:r w:rsidRPr="000E07C7">
        <w:rPr>
          <w:lang w:val="ga-IE"/>
        </w:rPr>
        <w:t xml:space="preserve">Cineál, méid agus impleachtaí airgeadais na rioscaí a shainaithint atá roimh an Údarás Náisiúnta Míchumais </w:t>
      </w:r>
    </w:p>
    <w:p w14:paraId="34804D23" w14:textId="77777777" w:rsidR="000E07C7" w:rsidRPr="000E07C7" w:rsidRDefault="000E07C7" w:rsidP="000E07C7">
      <w:pPr>
        <w:pStyle w:val="ListBullet"/>
        <w:rPr>
          <w:lang w:val="ga-IE"/>
        </w:rPr>
      </w:pPr>
      <w:r w:rsidRPr="000E07C7">
        <w:rPr>
          <w:lang w:val="ga-IE"/>
        </w:rPr>
        <w:t xml:space="preserve">Measúnú a dhéanamh ar an dóchúlacht go dtarlódh na rioscaí a sainaithníodh Tá clár riosca i bhfeidhm ag an ÚNM lena n-áirítear rioscaí straitéiseacha, </w:t>
      </w:r>
      <w:proofErr w:type="spellStart"/>
      <w:r w:rsidRPr="000E07C7">
        <w:rPr>
          <w:lang w:val="ga-IE"/>
        </w:rPr>
        <w:t>oibríochtúla</w:t>
      </w:r>
      <w:proofErr w:type="spellEnd"/>
      <w:r w:rsidRPr="000E07C7">
        <w:rPr>
          <w:lang w:val="ga-IE"/>
        </w:rPr>
        <w:t xml:space="preserve">, teicneolaíocht faisnéise, airgeadais </w:t>
      </w:r>
      <w:r w:rsidRPr="000E07C7">
        <w:rPr>
          <w:lang w:val="ga-IE"/>
        </w:rPr>
        <w:lastRenderedPageBreak/>
        <w:t xml:space="preserve">agus clú / comhlíonta Anuas air sin, críochnaítear anailís riosca ag céim phleanála agus </w:t>
      </w:r>
      <w:proofErr w:type="spellStart"/>
      <w:r w:rsidRPr="000E07C7">
        <w:rPr>
          <w:lang w:val="ga-IE"/>
        </w:rPr>
        <w:t>scóipeála</w:t>
      </w:r>
      <w:proofErr w:type="spellEnd"/>
      <w:r w:rsidRPr="000E07C7">
        <w:rPr>
          <w:lang w:val="ga-IE"/>
        </w:rPr>
        <w:t xml:space="preserve"> an tionscadail </w:t>
      </w:r>
    </w:p>
    <w:p w14:paraId="391C172D" w14:textId="77777777" w:rsidR="000E07C7" w:rsidRPr="000E07C7" w:rsidRDefault="000E07C7" w:rsidP="000E07C7">
      <w:pPr>
        <w:pStyle w:val="ListBullet"/>
        <w:rPr>
          <w:lang w:val="ga-IE"/>
        </w:rPr>
      </w:pPr>
      <w:r w:rsidRPr="000E07C7">
        <w:rPr>
          <w:lang w:val="ga-IE"/>
        </w:rPr>
        <w:t xml:space="preserve">Measúnú a dhéanamh ar chumas an Údaráis Náisiúnta Mhíchumais chun na rioscaí a tharlaíonn a bhainistiú agus a mhaolú </w:t>
      </w:r>
    </w:p>
    <w:p w14:paraId="05B1DC90" w14:textId="77777777" w:rsidR="000E07C7" w:rsidRPr="000E07C7" w:rsidRDefault="000E07C7" w:rsidP="000E07C7">
      <w:pPr>
        <w:pStyle w:val="ListBullet"/>
        <w:rPr>
          <w:lang w:val="ga-IE"/>
        </w:rPr>
      </w:pPr>
      <w:r w:rsidRPr="000E07C7">
        <w:rPr>
          <w:lang w:val="ga-IE"/>
        </w:rPr>
        <w:t xml:space="preserve">Oibriú go dlúth leis an Rialtas agus le gníomhaireachtaí agus institiúidí éagsúla lena chinntiú go bhfuil tuiscint shoiléir ann ar spriocanna an Údaráis Náisiúnta Mhíchumais agus tacú le straitéisí an Údaráis chun na spriocanna siúd a bhaint amach </w:t>
      </w:r>
    </w:p>
    <w:p w14:paraId="1367312B" w14:textId="77777777" w:rsidR="000E07C7" w:rsidRPr="000E07C7" w:rsidRDefault="000E07C7" w:rsidP="000E07C7">
      <w:pPr>
        <w:pStyle w:val="ListBullet"/>
        <w:rPr>
          <w:lang w:val="ga-IE"/>
        </w:rPr>
      </w:pPr>
      <w:r w:rsidRPr="000E07C7">
        <w:rPr>
          <w:lang w:val="ga-IE"/>
        </w:rPr>
        <w:t xml:space="preserve">Tabhairt faoi athbhreithnithe rialta ar an bplean straitéiseach agus measúnú a dhéanamh ar na rioscaí i dtaobh an chumais chun an plean a thabhairt chun críche </w:t>
      </w:r>
    </w:p>
    <w:p w14:paraId="78D60294" w14:textId="77777777" w:rsidR="000E07C7" w:rsidRPr="000E07C7" w:rsidRDefault="000E07C7" w:rsidP="000E07C7">
      <w:pPr>
        <w:pStyle w:val="ListBullet"/>
        <w:rPr>
          <w:lang w:val="ga-IE"/>
        </w:rPr>
      </w:pPr>
      <w:r w:rsidRPr="000E07C7">
        <w:rPr>
          <w:lang w:val="ga-IE"/>
        </w:rPr>
        <w:t xml:space="preserve">Spriocanna bliantúla a leagan amach le haghaidh gach limistéir dár ngnólacht, agus tuairisciú rialta a dhéanamh ar na torthaí a baineadh amach </w:t>
      </w:r>
    </w:p>
    <w:p w14:paraId="452DDE4D" w14:textId="77777777" w:rsidR="000E07C7" w:rsidRPr="000E07C7" w:rsidRDefault="000E07C7" w:rsidP="000E07C7">
      <w:pPr>
        <w:pStyle w:val="ListBullet"/>
        <w:spacing w:after="240"/>
        <w:rPr>
          <w:lang w:val="ga-IE"/>
        </w:rPr>
      </w:pPr>
      <w:r w:rsidRPr="000E07C7">
        <w:rPr>
          <w:lang w:val="ga-IE"/>
        </w:rPr>
        <w:t xml:space="preserve">Nósanna imeachta agus foráil chaighdeánach a bhunú agus a chur i bhfeidhm faoinar féidir cúnamh airgeadais a chur ar fáil do thionscadail, lena n-áirítear forálacha a cheanglaíonn aisíocaíocht mura gcomhlíonann an tionscadal na tiomantais a rinne an conraitheoir </w:t>
      </w:r>
    </w:p>
    <w:p w14:paraId="0BB6179A" w14:textId="77777777" w:rsidR="000E07C7" w:rsidRPr="000E07C7" w:rsidRDefault="000E07C7" w:rsidP="000E07C7">
      <w:pPr>
        <w:pStyle w:val="NormalBeforeList"/>
        <w:rPr>
          <w:lang w:val="ga-IE"/>
        </w:rPr>
      </w:pPr>
      <w:r w:rsidRPr="000E07C7">
        <w:rPr>
          <w:lang w:val="ga-IE"/>
        </w:rPr>
        <w:t xml:space="preserve">Tá an córas rialaithe inmheánaigh airgeadais bunaithe ar chreat d’fhaisnéis bhainistíochta rialta, nósanna imeachta riaracháin, lena n-áirítear leithscaradh dualgas, agus córas </w:t>
      </w:r>
      <w:proofErr w:type="spellStart"/>
      <w:r w:rsidRPr="000E07C7">
        <w:rPr>
          <w:lang w:val="ga-IE"/>
        </w:rPr>
        <w:t>tarmligin</w:t>
      </w:r>
      <w:proofErr w:type="spellEnd"/>
      <w:r w:rsidRPr="000E07C7">
        <w:rPr>
          <w:lang w:val="ga-IE"/>
        </w:rPr>
        <w:t xml:space="preserve"> agus cuntasaíochta. Go háirithe san áireamh tá:</w:t>
      </w:r>
    </w:p>
    <w:p w14:paraId="63B42A70" w14:textId="77777777" w:rsidR="000E07C7" w:rsidRPr="000E07C7" w:rsidRDefault="000E07C7" w:rsidP="000E07C7">
      <w:pPr>
        <w:pStyle w:val="ListBullet"/>
        <w:rPr>
          <w:lang w:val="ga-IE"/>
        </w:rPr>
      </w:pPr>
      <w:r w:rsidRPr="000E07C7">
        <w:rPr>
          <w:lang w:val="ga-IE"/>
        </w:rPr>
        <w:t xml:space="preserve">Córas cuimsitheach </w:t>
      </w:r>
      <w:proofErr w:type="spellStart"/>
      <w:r w:rsidRPr="000E07C7">
        <w:rPr>
          <w:lang w:val="ga-IE"/>
        </w:rPr>
        <w:t>buiséadta</w:t>
      </w:r>
      <w:proofErr w:type="spellEnd"/>
      <w:r w:rsidRPr="000E07C7">
        <w:rPr>
          <w:lang w:val="ga-IE"/>
        </w:rPr>
        <w:t xml:space="preserve"> ag a bhfuil buiséad bliantúil a ndéanann comhaltaí an Údaráis comhaontú agus athbhreithniú air </w:t>
      </w:r>
    </w:p>
    <w:p w14:paraId="11CCED12" w14:textId="77777777" w:rsidR="000E07C7" w:rsidRPr="000E07C7" w:rsidRDefault="000E07C7" w:rsidP="000E07C7">
      <w:pPr>
        <w:pStyle w:val="ListBullet"/>
        <w:spacing w:after="240"/>
        <w:rPr>
          <w:lang w:val="ga-IE"/>
        </w:rPr>
      </w:pPr>
      <w:r w:rsidRPr="000E07C7">
        <w:rPr>
          <w:lang w:val="ga-IE"/>
        </w:rPr>
        <w:t xml:space="preserve">Athbhreithnithe rialta ag an Údarás ar thuarascálacha tréimhsiúla agus bliantúla airgeadais a thugann feidhmíocht airgeadais le fios i leith na dtuartha, a leagann spriocanna amach chun feidhmíocht airgeadais agus eile a thomhais </w:t>
      </w:r>
    </w:p>
    <w:p w14:paraId="7DAF91F8" w14:textId="77777777" w:rsidR="000E07C7" w:rsidRPr="000E07C7" w:rsidRDefault="000E07C7" w:rsidP="000E07C7">
      <w:pPr>
        <w:rPr>
          <w:lang w:val="ga-IE"/>
        </w:rPr>
      </w:pPr>
      <w:proofErr w:type="spellStart"/>
      <w:r w:rsidRPr="000E07C7">
        <w:rPr>
          <w:lang w:val="ga-IE"/>
        </w:rPr>
        <w:t>Sheachfhoinsigh</w:t>
      </w:r>
      <w:proofErr w:type="spellEnd"/>
      <w:r w:rsidRPr="000E07C7">
        <w:rPr>
          <w:lang w:val="ga-IE"/>
        </w:rPr>
        <w:t xml:space="preserve"> an tÚdarás Seirbhís Iniúchta Inmheánaigh, a oibríonn de réir an </w:t>
      </w:r>
      <w:proofErr w:type="spellStart"/>
      <w:r w:rsidRPr="000E07C7">
        <w:rPr>
          <w:lang w:val="ga-IE"/>
        </w:rPr>
        <w:t>Chreatchóid</w:t>
      </w:r>
      <w:proofErr w:type="spellEnd"/>
      <w:r w:rsidRPr="000E07C7">
        <w:rPr>
          <w:lang w:val="ga-IE"/>
        </w:rPr>
        <w:t xml:space="preserve"> Dea-Chleachtais atá leagtha amach sa Chód Cleachtais Leasaithe ar Rialachas Comhlachtaí Stáit 2009. I rith 2014, thug an Roinn Dlí agus Cirt, Comhionannais faoin tSeirbhís Iniúchta Inmheánaigh</w:t>
      </w:r>
      <w:r w:rsidRPr="000E07C7">
        <w:rPr>
          <w:rFonts w:cs="Arial"/>
          <w:lang w:val="ga-IE"/>
        </w:rPr>
        <w:t>.</w:t>
      </w:r>
      <w:r w:rsidRPr="000E07C7">
        <w:rPr>
          <w:lang w:val="ga-IE"/>
        </w:rPr>
        <w:t xml:space="preserve"> </w:t>
      </w:r>
      <w:r w:rsidRPr="000E07C7">
        <w:rPr>
          <w:rFonts w:cs="Arial"/>
          <w:lang w:val="ga-IE"/>
        </w:rPr>
        <w:t>Áirítear le ról na Seirbhíse Iniúchta Inmheánaigh tuairisciú rialta a dhéanamh don Choiste Iniúchta, faoi mar is cuí.</w:t>
      </w:r>
      <w:r w:rsidRPr="000E07C7">
        <w:rPr>
          <w:lang w:val="ga-IE"/>
        </w:rPr>
        <w:t xml:space="preserve"> I mBealtaine 2014, thug Iniúchadh Inmheánach faoi Athbhreithniú ar na Rialuithe Inmheánacha Airgeadais agus rinne an Coiste Iniúchta breithniú air seo</w:t>
      </w:r>
      <w:r w:rsidR="00DC735D">
        <w:rPr>
          <w:lang w:val="ga-IE"/>
        </w:rPr>
        <w:t>.</w:t>
      </w:r>
    </w:p>
    <w:p w14:paraId="537FCD68" w14:textId="77777777" w:rsidR="000E07C7" w:rsidRPr="000E07C7" w:rsidRDefault="000E07C7" w:rsidP="000E07C7">
      <w:pPr>
        <w:rPr>
          <w:lang w:val="ga-IE"/>
        </w:rPr>
      </w:pPr>
      <w:r w:rsidRPr="000E07C7">
        <w:rPr>
          <w:lang w:val="ga-IE"/>
        </w:rPr>
        <w:lastRenderedPageBreak/>
        <w:t xml:space="preserve">Tá an tÚdarás freagrach as maoirseacht a dhéanamh ar chur i bhfeidhm mholtaí na Seirbhíse Iniúchta Inmheánaigh chun cinntiú go gcoimeádtar nósanna imeachta cearta agus éifeachtacha um rialú airgeadais agus déanann siad maoirsiú ar an bhfeidhm iniúchta inmheánaigh agus ar aon phleananna </w:t>
      </w:r>
      <w:proofErr w:type="spellStart"/>
      <w:r w:rsidRPr="000E07C7">
        <w:rPr>
          <w:lang w:val="ga-IE"/>
        </w:rPr>
        <w:t>bainteacha</w:t>
      </w:r>
      <w:proofErr w:type="spellEnd"/>
      <w:r w:rsidRPr="000E07C7">
        <w:rPr>
          <w:lang w:val="ga-IE"/>
        </w:rPr>
        <w:t xml:space="preserve"> chun aon réimsí nua a sainaithníodh a chur san áireamh: </w:t>
      </w:r>
    </w:p>
    <w:p w14:paraId="68F7E16D" w14:textId="77777777" w:rsidR="000E07C7" w:rsidRPr="000E07C7" w:rsidRDefault="000E07C7" w:rsidP="000E07C7">
      <w:pPr>
        <w:spacing w:after="120"/>
        <w:rPr>
          <w:lang w:val="ga-IE"/>
        </w:rPr>
      </w:pPr>
      <w:r w:rsidRPr="000E07C7">
        <w:rPr>
          <w:lang w:val="ga-IE"/>
        </w:rPr>
        <w:t>Cuireann an méid a leanas faisnéis ar fáil do mhonatóireacht agus athbhreithniú an Údaráis ar éifeachtacht na gcóras rialaithe inmheánaigh airgeadais:</w:t>
      </w:r>
    </w:p>
    <w:p w14:paraId="088FF9DA" w14:textId="77777777" w:rsidR="000E07C7" w:rsidRPr="000E07C7" w:rsidRDefault="000E07C7" w:rsidP="000E07C7">
      <w:pPr>
        <w:pStyle w:val="ListBullet"/>
        <w:rPr>
          <w:lang w:val="ga-IE"/>
        </w:rPr>
      </w:pPr>
      <w:r w:rsidRPr="000E07C7">
        <w:rPr>
          <w:lang w:val="ga-IE"/>
        </w:rPr>
        <w:t>obair na Seirbhíse Iniúchta Inmheánaigh agus ról an Choiste Iniúchta a bhunaigh an tÚdarás, a dhéanann maoirseacht ar obair an Iniúchóra Inmheánaigh agus ar an timpeallacht rialachais chorparáidigh</w:t>
      </w:r>
    </w:p>
    <w:p w14:paraId="1670DF36" w14:textId="77777777" w:rsidR="000E07C7" w:rsidRPr="000E07C7" w:rsidRDefault="000E07C7" w:rsidP="000E07C7">
      <w:pPr>
        <w:pStyle w:val="ListBullet"/>
        <w:rPr>
          <w:lang w:val="ga-IE"/>
        </w:rPr>
      </w:pPr>
      <w:r w:rsidRPr="000E07C7">
        <w:rPr>
          <w:lang w:val="ga-IE"/>
        </w:rPr>
        <w:t>na bainisteoirí feidhmiúcháin leis an Údarás Náisiúnta Míchumais atá freagrach as an gcreat um rialú airgeadais a fhorbairt agus a choimeád</w:t>
      </w:r>
    </w:p>
    <w:p w14:paraId="032FEB3E" w14:textId="77777777" w:rsidR="000E07C7" w:rsidRPr="000E07C7" w:rsidRDefault="000E07C7" w:rsidP="000E07C7">
      <w:pPr>
        <w:pStyle w:val="ListBullet"/>
        <w:rPr>
          <w:lang w:val="ga-IE"/>
        </w:rPr>
      </w:pPr>
      <w:r w:rsidRPr="000E07C7">
        <w:rPr>
          <w:lang w:val="ga-IE"/>
        </w:rPr>
        <w:t>an coiste Airgeadais a bhunaigh an tÚdarás a thugann tuairisc gach ráithe, ar a laghad, ar chaiteachas airgeadais agus shaincheisteanna gaolmhara,</w:t>
      </w:r>
    </w:p>
    <w:p w14:paraId="60606E15" w14:textId="77777777" w:rsidR="000E07C7" w:rsidRPr="00DC735D" w:rsidRDefault="000E07C7" w:rsidP="00DC735D">
      <w:pPr>
        <w:pStyle w:val="ListBullet"/>
        <w:spacing w:after="240"/>
        <w:rPr>
          <w:lang w:val="ga-IE"/>
        </w:rPr>
      </w:pPr>
      <w:r w:rsidRPr="000E07C7">
        <w:rPr>
          <w:lang w:val="ga-IE"/>
        </w:rPr>
        <w:t>na saincheisteanna a thugann an tArd-Reachtaire Cunt</w:t>
      </w:r>
      <w:r w:rsidR="00DC735D">
        <w:rPr>
          <w:lang w:val="ga-IE"/>
        </w:rPr>
        <w:t>as agus Ciste chun solais</w:t>
      </w:r>
      <w:r w:rsidRPr="00DC735D">
        <w:rPr>
          <w:lang w:val="ga-IE"/>
        </w:rPr>
        <w:t>.</w:t>
      </w:r>
    </w:p>
    <w:p w14:paraId="6E6BFD2F" w14:textId="77777777" w:rsidR="000E07C7" w:rsidRPr="000E07C7" w:rsidRDefault="001C14C5" w:rsidP="000E07C7">
      <w:pPr>
        <w:rPr>
          <w:lang w:val="ga-IE"/>
        </w:rPr>
      </w:pPr>
      <w:r w:rsidRPr="001C14C5">
        <w:rPr>
          <w:lang w:val="ga-IE"/>
        </w:rPr>
        <w:t xml:space="preserve">Bhraith an Bord, i gcaitheamh na tréimhse sular ceapadh é in Iúil, ar dhearbhuithe ón Stiúrthóir go raibh rialuithe airgeadais ag oibriú go héifeachtach ó thús na bliana i leith. Deimhním gur thug an Bord faoi athbhreithniú ar na rialuithe inmheánacha airgeadais bunaithe ar </w:t>
      </w:r>
      <w:proofErr w:type="spellStart"/>
      <w:r w:rsidRPr="001C14C5">
        <w:rPr>
          <w:lang w:val="ga-IE"/>
        </w:rPr>
        <w:t>thuairisc</w:t>
      </w:r>
      <w:proofErr w:type="spellEnd"/>
      <w:r w:rsidRPr="001C14C5">
        <w:rPr>
          <w:lang w:val="ga-IE"/>
        </w:rPr>
        <w:t xml:space="preserve"> ón gCoiste Iniúchta a cuireadh faoi bhráid an Bhoird ag a chruinniú i Nollaig 2014.</w:t>
      </w:r>
    </w:p>
    <w:p w14:paraId="3FDCF7F3" w14:textId="77777777" w:rsidR="000E07C7" w:rsidRPr="000E07C7" w:rsidRDefault="000E07C7" w:rsidP="000E07C7">
      <w:pPr>
        <w:rPr>
          <w:lang w:val="ga-IE"/>
        </w:rPr>
      </w:pPr>
      <w:r w:rsidRPr="000E07C7">
        <w:rPr>
          <w:lang w:val="ga-IE"/>
        </w:rPr>
        <w:t>Dearbhaím, chomh fada agus is eol dom, go bhfuil an fhaisnéis thuas cruinn.</w:t>
      </w:r>
    </w:p>
    <w:p w14:paraId="1B20F321" w14:textId="77777777" w:rsidR="000E07C7" w:rsidRPr="000E07C7" w:rsidRDefault="000E07C7" w:rsidP="000E07C7">
      <w:pPr>
        <w:rPr>
          <w:lang w:val="ga-IE"/>
        </w:rPr>
      </w:pPr>
      <w:r w:rsidRPr="000E07C7">
        <w:rPr>
          <w:lang w:val="ga-IE"/>
        </w:rPr>
        <w:t>________________</w:t>
      </w:r>
      <w:r w:rsidRPr="000E07C7">
        <w:rPr>
          <w:lang w:val="ga-IE"/>
        </w:rPr>
        <w:br/>
        <w:t xml:space="preserve">Helen </w:t>
      </w:r>
      <w:proofErr w:type="spellStart"/>
      <w:r w:rsidRPr="000E07C7">
        <w:rPr>
          <w:lang w:val="ga-IE"/>
        </w:rPr>
        <w:t>Guinan</w:t>
      </w:r>
      <w:proofErr w:type="spellEnd"/>
      <w:r w:rsidRPr="000E07C7">
        <w:rPr>
          <w:lang w:val="ga-IE"/>
        </w:rPr>
        <w:br/>
        <w:t>Cathaoirleach</w:t>
      </w:r>
    </w:p>
    <w:p w14:paraId="5A1C0843" w14:textId="77777777" w:rsidR="00D67418" w:rsidRDefault="000E07C7" w:rsidP="00D67418">
      <w:pPr>
        <w:rPr>
          <w:lang w:val="ga-IE"/>
        </w:rPr>
      </w:pPr>
      <w:r w:rsidRPr="000E07C7">
        <w:rPr>
          <w:lang w:val="ga-IE"/>
        </w:rPr>
        <w:t>Dáta:</w:t>
      </w:r>
      <w:r w:rsidRPr="000E07C7">
        <w:rPr>
          <w:lang w:val="ga-IE"/>
        </w:rPr>
        <w:tab/>
      </w:r>
      <w:r w:rsidRPr="000E07C7">
        <w:rPr>
          <w:lang w:val="ga-IE"/>
        </w:rPr>
        <w:br w:type="page"/>
      </w:r>
    </w:p>
    <w:p w14:paraId="0075D2ED" w14:textId="77777777" w:rsidR="00D67418" w:rsidRPr="004918E0" w:rsidRDefault="00D67418" w:rsidP="00D67418">
      <w:pPr>
        <w:pStyle w:val="Heading2"/>
        <w:rPr>
          <w:lang w:val="ga-IE"/>
        </w:rPr>
      </w:pPr>
      <w:r w:rsidRPr="004918E0">
        <w:rPr>
          <w:lang w:val="ga-IE"/>
        </w:rPr>
        <w:lastRenderedPageBreak/>
        <w:t xml:space="preserve">Tuarascáil an Ard-Reachtaire Cuntas agus Ciste le cur faoi bhráid Thithe an Oireachtais </w:t>
      </w:r>
    </w:p>
    <w:p w14:paraId="432986BE" w14:textId="77777777" w:rsidR="00D67418" w:rsidRPr="004918E0" w:rsidRDefault="00D67418" w:rsidP="00D67418">
      <w:pPr>
        <w:rPr>
          <w:lang w:val="ga-IE"/>
        </w:rPr>
      </w:pPr>
      <w:r w:rsidRPr="004918E0">
        <w:rPr>
          <w:lang w:val="ga-IE"/>
        </w:rPr>
        <w:t>Rinne mé iniúchadh ar ráitis airgeadais an Údarás Náisiúnta Míchumais don bhliain dar chríoch an 31 Nollaig 201</w:t>
      </w:r>
      <w:r>
        <w:rPr>
          <w:lang w:val="ga-IE"/>
        </w:rPr>
        <w:t>4</w:t>
      </w:r>
      <w:r w:rsidRPr="004918E0">
        <w:rPr>
          <w:lang w:val="ga-IE"/>
        </w:rPr>
        <w:t xml:space="preserve"> faoi Acht an Údarás Náisiúnta Míchumais 1999. Cuimsíonn na ráitis airgeadais, a ullmhaíodh de réir na bpolasaithe cuntasaíochta atá leagtha amach iontu, an ráiteas faoi pholasaithe cuntasaíochta, an cuntas ioncaim agus caiteachais, an ráiteas faoi iomlán na </w:t>
      </w:r>
      <w:proofErr w:type="spellStart"/>
      <w:r w:rsidRPr="004918E0">
        <w:rPr>
          <w:lang w:val="ga-IE"/>
        </w:rPr>
        <w:t>ngnóthachan</w:t>
      </w:r>
      <w:proofErr w:type="spellEnd"/>
      <w:r w:rsidRPr="004918E0">
        <w:rPr>
          <w:lang w:val="ga-IE"/>
        </w:rPr>
        <w:t xml:space="preserve"> agus na gcaillteanas aitheanta, an clár comhardaithe, an ráiteas faoi shreabhadh airgid agus na nótaí </w:t>
      </w:r>
      <w:proofErr w:type="spellStart"/>
      <w:r w:rsidRPr="004918E0">
        <w:rPr>
          <w:lang w:val="ga-IE"/>
        </w:rPr>
        <w:t>bainteacha</w:t>
      </w:r>
      <w:proofErr w:type="spellEnd"/>
      <w:r w:rsidRPr="004918E0">
        <w:rPr>
          <w:lang w:val="ga-IE"/>
        </w:rPr>
        <w:t xml:space="preserve">. Ullmhaíodh na ráitis airgeadais san fhoirm atá </w:t>
      </w:r>
      <w:proofErr w:type="spellStart"/>
      <w:r w:rsidRPr="004918E0">
        <w:rPr>
          <w:lang w:val="ga-IE"/>
        </w:rPr>
        <w:t>sainordaithe</w:t>
      </w:r>
      <w:proofErr w:type="spellEnd"/>
      <w:r w:rsidRPr="004918E0">
        <w:rPr>
          <w:lang w:val="ga-IE"/>
        </w:rPr>
        <w:t xml:space="preserve"> de réir Alt 17 den Acht, agus de réir an chleachtais chuntasaíochta a bhfuil glacadh leis in Éirinn.</w:t>
      </w:r>
    </w:p>
    <w:p w14:paraId="2B230D27" w14:textId="77777777" w:rsidR="00D67418" w:rsidRPr="004918E0" w:rsidRDefault="00D67418" w:rsidP="00D67418">
      <w:pPr>
        <w:pStyle w:val="Heading3"/>
        <w:rPr>
          <w:lang w:val="ga-IE"/>
        </w:rPr>
      </w:pPr>
      <w:r w:rsidRPr="004918E0">
        <w:rPr>
          <w:lang w:val="ga-IE"/>
        </w:rPr>
        <w:t xml:space="preserve">Freagrachtaí Chomhaltaí an Údaráis </w:t>
      </w:r>
    </w:p>
    <w:p w14:paraId="7ABC6635" w14:textId="77777777" w:rsidR="00D67418" w:rsidRPr="004918E0" w:rsidRDefault="00D67418" w:rsidP="00D67418">
      <w:pPr>
        <w:rPr>
          <w:lang w:val="ga-IE"/>
        </w:rPr>
      </w:pPr>
      <w:r w:rsidRPr="004918E0">
        <w:rPr>
          <w:lang w:val="ga-IE"/>
        </w:rPr>
        <w:t xml:space="preserve">Tá an tÚdarás freagrach as na ráitis airgeadais a ullmhú, as cinntiú go dtugann siad léargas fírinneach cóir ar </w:t>
      </w:r>
      <w:proofErr w:type="spellStart"/>
      <w:r w:rsidRPr="004918E0">
        <w:rPr>
          <w:lang w:val="ga-IE"/>
        </w:rPr>
        <w:t>ghnóthaí</w:t>
      </w:r>
      <w:proofErr w:type="spellEnd"/>
      <w:r w:rsidRPr="004918E0">
        <w:rPr>
          <w:lang w:val="ga-IE"/>
        </w:rPr>
        <w:t xml:space="preserve"> an Údarás Náisiúnta Míchumais agus ar a chuid ioncaim agus caiteachais, agus as rialtacht idirbheart a chinntiú.</w:t>
      </w:r>
    </w:p>
    <w:p w14:paraId="28AA05AD" w14:textId="77777777" w:rsidR="00D67418" w:rsidRPr="004918E0" w:rsidRDefault="00D67418" w:rsidP="00D67418">
      <w:pPr>
        <w:pStyle w:val="Heading3"/>
        <w:rPr>
          <w:lang w:val="ga-IE"/>
        </w:rPr>
      </w:pPr>
      <w:r w:rsidRPr="004918E0">
        <w:rPr>
          <w:lang w:val="ga-IE"/>
        </w:rPr>
        <w:t xml:space="preserve">Freagrachtaí an Ard-Reachtaire Cuntas agus Ciste </w:t>
      </w:r>
    </w:p>
    <w:p w14:paraId="1DA89298" w14:textId="77777777" w:rsidR="00D67418" w:rsidRPr="004918E0" w:rsidRDefault="00D67418" w:rsidP="00D67418">
      <w:pPr>
        <w:rPr>
          <w:lang w:val="ga-IE"/>
        </w:rPr>
      </w:pPr>
      <w:r w:rsidRPr="004918E0">
        <w:rPr>
          <w:lang w:val="ga-IE"/>
        </w:rPr>
        <w:t>Is é mo chúram ná iniúchadh a dhéanamh ar na ráitis airgeadais agus tuairisc a dhéanamh orthu de réir an dlí is infheidhme.</w:t>
      </w:r>
    </w:p>
    <w:p w14:paraId="670C9567" w14:textId="77777777" w:rsidR="00D67418" w:rsidRPr="004918E0" w:rsidRDefault="00D67418" w:rsidP="00D67418">
      <w:pPr>
        <w:rPr>
          <w:lang w:val="ga-IE"/>
        </w:rPr>
      </w:pPr>
      <w:r w:rsidRPr="004918E0">
        <w:rPr>
          <w:lang w:val="ga-IE"/>
        </w:rPr>
        <w:t xml:space="preserve">Déantar m’iniúchadh trí fhéachaint chuig na </w:t>
      </w:r>
      <w:proofErr w:type="spellStart"/>
      <w:r w:rsidRPr="004918E0">
        <w:rPr>
          <w:lang w:val="ga-IE"/>
        </w:rPr>
        <w:t>comaoiní</w:t>
      </w:r>
      <w:proofErr w:type="spellEnd"/>
      <w:r w:rsidRPr="004918E0">
        <w:rPr>
          <w:lang w:val="ga-IE"/>
        </w:rPr>
        <w:t xml:space="preserve"> speisialta a ghabhann le Comhlachtaí Stáit maidir le bainistíocht agus oibriú na gcomhlachtaí céanna.</w:t>
      </w:r>
    </w:p>
    <w:p w14:paraId="68CC757E" w14:textId="77777777" w:rsidR="00D67418" w:rsidRPr="004918E0" w:rsidRDefault="00D67418" w:rsidP="00D67418">
      <w:pPr>
        <w:rPr>
          <w:bCs/>
          <w:lang w:val="ga-IE"/>
        </w:rPr>
      </w:pPr>
      <w:r w:rsidRPr="004918E0">
        <w:rPr>
          <w:bCs/>
          <w:lang w:val="ga-IE"/>
        </w:rPr>
        <w:t>Déantar m’iniúchadh de réir na gCaighdeán Idirnáisiúnta Iniúchóireachta (An RA agus Éire) agus i gcomhréir leis na Caighdeáin Eiticiúla d’Iniúchóirí de chuid an Bhoird um Chleachtais Iniúchóireachta.</w:t>
      </w:r>
    </w:p>
    <w:p w14:paraId="06C46441" w14:textId="77777777" w:rsidR="00D67418" w:rsidRPr="004918E0" w:rsidRDefault="00D67418" w:rsidP="00D67418">
      <w:pPr>
        <w:pStyle w:val="Heading3"/>
        <w:rPr>
          <w:lang w:val="ga-IE"/>
        </w:rPr>
      </w:pPr>
      <w:r w:rsidRPr="004918E0">
        <w:rPr>
          <w:lang w:val="ga-IE"/>
        </w:rPr>
        <w:t>Raon Feidhme an Iniúchta ar na Ráitis Airgeadais</w:t>
      </w:r>
    </w:p>
    <w:p w14:paraId="3746C04B" w14:textId="77777777" w:rsidR="00D67418" w:rsidRPr="004918E0" w:rsidRDefault="00D67418" w:rsidP="00D67418">
      <w:pPr>
        <w:pStyle w:val="NormalBeforeList"/>
        <w:rPr>
          <w:lang w:val="ga-IE"/>
        </w:rPr>
      </w:pPr>
      <w:r w:rsidRPr="004918E0">
        <w:rPr>
          <w:lang w:val="ga-IE"/>
        </w:rPr>
        <w:t xml:space="preserve">Is é atá i gceist le hiniúchadh ná dóthain fianaise a fháil maidir leis na méideanna agus na </w:t>
      </w:r>
      <w:proofErr w:type="spellStart"/>
      <w:r w:rsidRPr="004918E0">
        <w:rPr>
          <w:lang w:val="ga-IE"/>
        </w:rPr>
        <w:t>nochtuithe</w:t>
      </w:r>
      <w:proofErr w:type="spellEnd"/>
      <w:r w:rsidRPr="004918E0">
        <w:rPr>
          <w:lang w:val="ga-IE"/>
        </w:rPr>
        <w:t xml:space="preserve"> sna ráitis airgeadais, chun dearbhú réasúnta a thabhairt go bhfuil na ráitis airgeadas saor ó </w:t>
      </w:r>
      <w:proofErr w:type="spellStart"/>
      <w:r w:rsidRPr="004918E0">
        <w:rPr>
          <w:lang w:val="ga-IE"/>
        </w:rPr>
        <w:t>mhíráiteas</w:t>
      </w:r>
      <w:proofErr w:type="spellEnd"/>
      <w:r w:rsidRPr="004918E0">
        <w:rPr>
          <w:lang w:val="ga-IE"/>
        </w:rPr>
        <w:t xml:space="preserve"> ábhartha, cibé acu trí chalaois nó trí earráid. Mar chuid den iarracht sin déantar measúnú maidir leis na saincheisteanna seo a leanas:</w:t>
      </w:r>
    </w:p>
    <w:p w14:paraId="304BDD4E" w14:textId="77777777" w:rsidR="00D67418" w:rsidRPr="004918E0" w:rsidRDefault="00D67418" w:rsidP="00D67418">
      <w:pPr>
        <w:pStyle w:val="ListBullet"/>
        <w:rPr>
          <w:lang w:val="ga-IE"/>
        </w:rPr>
      </w:pPr>
      <w:r w:rsidRPr="004918E0">
        <w:rPr>
          <w:lang w:val="ga-IE"/>
        </w:rPr>
        <w:t xml:space="preserve">cibé acu an bhfuil na polasaithe oiriúnach do chúinsí an Údaráis, agus ar cuireadh i bhfeidhm go comhréireach iad agus ar nochtadh go dóthanach iad. </w:t>
      </w:r>
    </w:p>
    <w:p w14:paraId="6975CDEE" w14:textId="77777777" w:rsidR="00D67418" w:rsidRPr="004918E0" w:rsidRDefault="00D67418" w:rsidP="00D67418">
      <w:pPr>
        <w:pStyle w:val="ListBullet"/>
        <w:rPr>
          <w:lang w:val="ga-IE"/>
        </w:rPr>
      </w:pPr>
      <w:r w:rsidRPr="004918E0">
        <w:rPr>
          <w:lang w:val="ga-IE"/>
        </w:rPr>
        <w:lastRenderedPageBreak/>
        <w:t>cibé acu an raibh nó nach raibh na meastacháin a rinneadh agus na ráitis airgeadais á n-ullmhú réasúnta</w:t>
      </w:r>
    </w:p>
    <w:p w14:paraId="676A0012" w14:textId="77777777" w:rsidR="00D67418" w:rsidRPr="004918E0" w:rsidRDefault="00D67418" w:rsidP="00D67418">
      <w:pPr>
        <w:pStyle w:val="ListBullet"/>
        <w:rPr>
          <w:lang w:val="ga-IE"/>
        </w:rPr>
      </w:pPr>
      <w:r w:rsidRPr="004918E0">
        <w:rPr>
          <w:lang w:val="ga-IE"/>
        </w:rPr>
        <w:t>leagan amach iomlán na ráiteas airgeadais</w:t>
      </w:r>
    </w:p>
    <w:p w14:paraId="68919FDB" w14:textId="77777777" w:rsidR="00D67418" w:rsidRPr="004918E0" w:rsidRDefault="00D67418" w:rsidP="00772F8E">
      <w:pPr>
        <w:rPr>
          <w:lang w:val="ga-IE"/>
        </w:rPr>
      </w:pPr>
      <w:r w:rsidRPr="004918E0">
        <w:rPr>
          <w:lang w:val="ga-IE"/>
        </w:rPr>
        <w:t>Freisin déanaim iarracht fianaise a fháil le linn an iniúchta maidir le rialtacht na n-idirbheart airgeadais.</w:t>
      </w:r>
    </w:p>
    <w:p w14:paraId="35AE9549" w14:textId="77777777" w:rsidR="00D67418" w:rsidRPr="004918E0" w:rsidRDefault="00D67418" w:rsidP="00D67418">
      <w:pPr>
        <w:rPr>
          <w:lang w:val="ga-IE"/>
        </w:rPr>
      </w:pPr>
      <w:r w:rsidRPr="004918E0">
        <w:rPr>
          <w:lang w:val="ga-IE"/>
        </w:rPr>
        <w:t xml:space="preserve">Ina theannta sin, léim tuarascáil bhliantúil an Údaráis chun aon neamhréireachtaí ábhartha leis na ráitis airgeadais iniúchta a aithint. Má thagaim ar an eolas go bhfuil aon </w:t>
      </w:r>
      <w:proofErr w:type="spellStart"/>
      <w:r w:rsidRPr="004918E0">
        <w:rPr>
          <w:lang w:val="ga-IE"/>
        </w:rPr>
        <w:t>mhíráitis</w:t>
      </w:r>
      <w:proofErr w:type="spellEnd"/>
      <w:r w:rsidRPr="004918E0">
        <w:rPr>
          <w:lang w:val="ga-IE"/>
        </w:rPr>
        <w:t xml:space="preserve"> nó neamhréireachtaí ábhartha soiléire i gceist déanaim machnamh ar na himpleachtaí le haghaidh mo thuarascála.</w:t>
      </w:r>
    </w:p>
    <w:p w14:paraId="05A1ED9C" w14:textId="77777777" w:rsidR="00D67418" w:rsidRPr="004918E0" w:rsidRDefault="00D67418" w:rsidP="00D67418">
      <w:pPr>
        <w:pStyle w:val="Heading3"/>
        <w:rPr>
          <w:lang w:val="ga-IE"/>
        </w:rPr>
      </w:pPr>
      <w:r w:rsidRPr="004918E0">
        <w:rPr>
          <w:lang w:val="ga-IE"/>
        </w:rPr>
        <w:t xml:space="preserve">Tuairim maidir leis na Ráitis Airgeadais </w:t>
      </w:r>
    </w:p>
    <w:p w14:paraId="30253637" w14:textId="77777777" w:rsidR="00D67418" w:rsidRPr="004918E0" w:rsidRDefault="00D67418" w:rsidP="00D67418">
      <w:pPr>
        <w:rPr>
          <w:lang w:val="ga-IE"/>
        </w:rPr>
      </w:pPr>
      <w:r w:rsidRPr="004918E0">
        <w:rPr>
          <w:lang w:val="ga-IE"/>
        </w:rPr>
        <w:t>Is é mo thuairim ná go dtugann na ráitis airgeadais, ar ullmhaíodh i gceart iad de réir an Chleachtais Chuntasaíochta a bhfuil Glacadh Leis in Éirinn, léargas fírinneach cóir ar staid cúrsaí an Údaráis amhail an 31 Nollaig 201</w:t>
      </w:r>
      <w:r>
        <w:rPr>
          <w:lang w:val="ga-IE"/>
        </w:rPr>
        <w:t>4</w:t>
      </w:r>
      <w:r w:rsidRPr="004918E0">
        <w:rPr>
          <w:lang w:val="ga-IE"/>
        </w:rPr>
        <w:t xml:space="preserve"> agus ar a chuid ioncaim agus caiteachais le haghaidh 201</w:t>
      </w:r>
      <w:r>
        <w:rPr>
          <w:lang w:val="ga-IE"/>
        </w:rPr>
        <w:t>4</w:t>
      </w:r>
      <w:r w:rsidRPr="004918E0">
        <w:rPr>
          <w:lang w:val="ga-IE"/>
        </w:rPr>
        <w:t>.</w:t>
      </w:r>
    </w:p>
    <w:p w14:paraId="1E9DACD5" w14:textId="77777777" w:rsidR="00D67418" w:rsidRPr="004918E0" w:rsidRDefault="00D67418" w:rsidP="00D67418">
      <w:pPr>
        <w:rPr>
          <w:lang w:val="ga-IE"/>
        </w:rPr>
      </w:pPr>
      <w:r w:rsidRPr="004918E0">
        <w:rPr>
          <w:lang w:val="ga-IE"/>
        </w:rPr>
        <w:t>Is é mo thuairim ná gur choimeád an tÚdarás leabhair chearta chuntais. Réitíonn na ráitis airgeadais leis na leabhair chuntais.</w:t>
      </w:r>
    </w:p>
    <w:p w14:paraId="21FC1A7B" w14:textId="77777777" w:rsidR="00D67418" w:rsidRPr="004918E0" w:rsidRDefault="00D67418" w:rsidP="00D67418">
      <w:pPr>
        <w:pStyle w:val="Heading3"/>
        <w:rPr>
          <w:lang w:val="ga-IE"/>
        </w:rPr>
      </w:pPr>
      <w:r w:rsidRPr="004918E0">
        <w:rPr>
          <w:lang w:val="ga-IE"/>
        </w:rPr>
        <w:t xml:space="preserve">Ábhair a nDéanaim Tuairisc Orthu trí </w:t>
      </w:r>
      <w:proofErr w:type="spellStart"/>
      <w:r w:rsidRPr="004918E0">
        <w:rPr>
          <w:lang w:val="ga-IE"/>
        </w:rPr>
        <w:t>hEisceacht</w:t>
      </w:r>
      <w:proofErr w:type="spellEnd"/>
      <w:r w:rsidRPr="004918E0">
        <w:rPr>
          <w:lang w:val="ga-IE"/>
        </w:rPr>
        <w:t xml:space="preserve"> </w:t>
      </w:r>
    </w:p>
    <w:p w14:paraId="5F90B5E0" w14:textId="77777777" w:rsidR="00D67418" w:rsidRPr="004918E0" w:rsidRDefault="00D67418" w:rsidP="00D67418">
      <w:pPr>
        <w:pStyle w:val="NormalBeforeList"/>
        <w:rPr>
          <w:lang w:val="ga-IE"/>
        </w:rPr>
      </w:pPr>
      <w:r w:rsidRPr="004918E0">
        <w:rPr>
          <w:lang w:val="ga-IE"/>
        </w:rPr>
        <w:t>Tugaim tuairisc trí heisceacht más amhlaidh</w:t>
      </w:r>
    </w:p>
    <w:p w14:paraId="4D9E405F" w14:textId="77777777" w:rsidR="00D67418" w:rsidRPr="004918E0" w:rsidRDefault="00D67418" w:rsidP="00D67418">
      <w:pPr>
        <w:pStyle w:val="ListBullet"/>
        <w:rPr>
          <w:lang w:val="ga-IE"/>
        </w:rPr>
      </w:pPr>
      <w:r w:rsidRPr="004918E0">
        <w:rPr>
          <w:lang w:val="ga-IE"/>
        </w:rPr>
        <w:t>Nach bhfuair mé an fhaisnéis agus na míniúcháin go léir a theastaigh uaim le haghaidh m’iniúchta, nó</w:t>
      </w:r>
    </w:p>
    <w:p w14:paraId="4B1848DD" w14:textId="77777777" w:rsidR="00D67418" w:rsidRPr="004918E0" w:rsidRDefault="00D67418" w:rsidP="00D67418">
      <w:pPr>
        <w:pStyle w:val="ListBullet"/>
        <w:rPr>
          <w:lang w:val="ga-IE"/>
        </w:rPr>
      </w:pPr>
      <w:r w:rsidRPr="004918E0">
        <w:rPr>
          <w:lang w:val="ga-IE"/>
        </w:rPr>
        <w:t xml:space="preserve">gur tugadh faoi deara le linn m’iniúchta aon tarlúint ábhartha áit nár baineadh úsáid as airgead le haghaidh na gcuspóirí beartaithe nó áit nár chloígh idirbhearta leis na húdaráis arna rialú, nó </w:t>
      </w:r>
    </w:p>
    <w:p w14:paraId="7DB023A4" w14:textId="77777777" w:rsidR="00D67418" w:rsidRPr="004918E0" w:rsidRDefault="00D67418" w:rsidP="00D67418">
      <w:pPr>
        <w:pStyle w:val="ListBullet"/>
        <w:rPr>
          <w:lang w:val="ga-IE"/>
        </w:rPr>
      </w:pPr>
      <w:r w:rsidRPr="004918E0">
        <w:rPr>
          <w:lang w:val="ga-IE"/>
        </w:rPr>
        <w:t xml:space="preserve">nach bhfuil an fhaisnéis a tugadh i dTuarascáil Bhliantúil an Údarás i gcomhréir leis na ráitis airgeadais, nó </w:t>
      </w:r>
    </w:p>
    <w:p w14:paraId="69545737" w14:textId="77777777" w:rsidR="00D67418" w:rsidRPr="004918E0" w:rsidRDefault="00D67418" w:rsidP="00D67418">
      <w:pPr>
        <w:pStyle w:val="ListBullet"/>
        <w:rPr>
          <w:lang w:val="ga-IE"/>
        </w:rPr>
      </w:pPr>
      <w:r w:rsidRPr="004918E0">
        <w:rPr>
          <w:lang w:val="ga-IE"/>
        </w:rPr>
        <w:t xml:space="preserve">nach léiríonn an Ráiteas ar Rialú Inmheánach Airgeadais go bhfuil an tÚdarás ag comhlíonadh an Chód Cleachtais um Rialachas Comhlachtaí Stáit, </w:t>
      </w:r>
    </w:p>
    <w:p w14:paraId="63A2D6EF" w14:textId="77777777" w:rsidR="00D67418" w:rsidRPr="004918E0" w:rsidRDefault="00D67418" w:rsidP="00D67418">
      <w:pPr>
        <w:pStyle w:val="ListBullet"/>
        <w:rPr>
          <w:lang w:val="ga-IE"/>
        </w:rPr>
      </w:pPr>
      <w:r w:rsidRPr="004918E0">
        <w:rPr>
          <w:lang w:val="ga-IE"/>
        </w:rPr>
        <w:t>Go bhfaighim go bhfuil ábhair ábhartha eile i gceist maidir leis an mbealach ina ndearnadh gnó poiblí.</w:t>
      </w:r>
    </w:p>
    <w:p w14:paraId="791C759F" w14:textId="77777777" w:rsidR="00D67418" w:rsidRPr="004918E0" w:rsidRDefault="00D67418" w:rsidP="00D67418">
      <w:pPr>
        <w:rPr>
          <w:lang w:val="ga-IE"/>
        </w:rPr>
      </w:pPr>
      <w:r w:rsidRPr="004918E0">
        <w:rPr>
          <w:lang w:val="ga-IE"/>
        </w:rPr>
        <w:t>Níl aon ní le tuairisciú agam maidir leis na hábhair úd a ndéantar tuairisciú orthu trí heisceacht</w:t>
      </w:r>
    </w:p>
    <w:p w14:paraId="53D95D0E" w14:textId="77777777" w:rsidR="00D67418" w:rsidRPr="004918E0" w:rsidRDefault="00D67418" w:rsidP="00D67418">
      <w:pPr>
        <w:rPr>
          <w:lang w:val="ga-IE"/>
        </w:rPr>
      </w:pPr>
      <w:r w:rsidRPr="004918E0">
        <w:rPr>
          <w:lang w:val="ga-IE"/>
        </w:rPr>
        <w:t>Patricia Sheehan</w:t>
      </w:r>
    </w:p>
    <w:p w14:paraId="54D3CB82" w14:textId="77777777" w:rsidR="00D67418" w:rsidRPr="004918E0" w:rsidRDefault="00D67418" w:rsidP="00D67418">
      <w:pPr>
        <w:rPr>
          <w:lang w:val="ga-IE"/>
        </w:rPr>
      </w:pPr>
      <w:r w:rsidRPr="004918E0">
        <w:rPr>
          <w:lang w:val="ga-IE"/>
        </w:rPr>
        <w:lastRenderedPageBreak/>
        <w:t>Le haghaidh agus thar ceann an</w:t>
      </w:r>
      <w:r w:rsidRPr="004918E0">
        <w:rPr>
          <w:lang w:val="ga-IE"/>
        </w:rPr>
        <w:br/>
        <w:t xml:space="preserve">Ard-Reachtaire Cuntas agus Ciste </w:t>
      </w:r>
    </w:p>
    <w:p w14:paraId="5C3329DE" w14:textId="77777777" w:rsidR="00D67418" w:rsidRDefault="00D67418" w:rsidP="00D67418">
      <w:pPr>
        <w:rPr>
          <w:lang w:val="ga-IE"/>
        </w:rPr>
      </w:pPr>
      <w:r w:rsidRPr="004918E0">
        <w:rPr>
          <w:lang w:val="ga-IE"/>
        </w:rPr>
        <w:t xml:space="preserve">7 </w:t>
      </w:r>
      <w:r w:rsidRPr="00D67418">
        <w:rPr>
          <w:lang w:val="ga-IE"/>
        </w:rPr>
        <w:t>Lúnasa</w:t>
      </w:r>
      <w:r w:rsidRPr="004918E0">
        <w:rPr>
          <w:lang w:val="ga-IE"/>
        </w:rPr>
        <w:t xml:space="preserve"> 201</w:t>
      </w:r>
      <w:r>
        <w:rPr>
          <w:lang w:val="ga-IE"/>
        </w:rPr>
        <w:t>4</w:t>
      </w:r>
    </w:p>
    <w:p w14:paraId="31DA1C37" w14:textId="77777777" w:rsidR="000E07C7" w:rsidRPr="000E07C7" w:rsidRDefault="000E07C7" w:rsidP="00D67418">
      <w:pPr>
        <w:pStyle w:val="Heading2"/>
        <w:rPr>
          <w:lang w:val="ga-IE"/>
        </w:rPr>
      </w:pPr>
      <w:r w:rsidRPr="000E07C7">
        <w:rPr>
          <w:lang w:val="ga-IE"/>
        </w:rPr>
        <w:t>An Ráiteas ar Bheartais Chuntasaíochta</w:t>
      </w:r>
    </w:p>
    <w:p w14:paraId="17793968" w14:textId="77777777" w:rsidR="000E07C7" w:rsidRPr="000E07C7" w:rsidRDefault="000E07C7" w:rsidP="000E07C7">
      <w:pPr>
        <w:pStyle w:val="Heading3"/>
        <w:rPr>
          <w:lang w:val="ga-IE"/>
        </w:rPr>
      </w:pPr>
      <w:r w:rsidRPr="000E07C7">
        <w:rPr>
          <w:lang w:val="ga-IE"/>
        </w:rPr>
        <w:t>Bonn na Cuntasaíochta</w:t>
      </w:r>
    </w:p>
    <w:p w14:paraId="209C12F0" w14:textId="77777777" w:rsidR="000E07C7" w:rsidRPr="000E07C7" w:rsidRDefault="000E07C7" w:rsidP="000E07C7">
      <w:pPr>
        <w:rPr>
          <w:lang w:val="ga-IE"/>
        </w:rPr>
      </w:pPr>
      <w:r w:rsidRPr="000E07C7">
        <w:rPr>
          <w:lang w:val="ga-IE"/>
        </w:rPr>
        <w:t>Ullmhaíodh na ráitis airgeadais de réir mhodh fabhraithe na cuntasaíochta, seachas sna cásanna a thugtar le fios thíos, agus de réir prionsabail chuntasaíochta a nglactar leo go ginearálta, faoi choinbhinsiún an chostais stairiúil.</w:t>
      </w:r>
    </w:p>
    <w:p w14:paraId="1E8F57F5" w14:textId="77777777" w:rsidR="000E07C7" w:rsidRPr="000E07C7" w:rsidRDefault="000E07C7" w:rsidP="000E07C7">
      <w:pPr>
        <w:rPr>
          <w:lang w:val="ga-IE"/>
        </w:rPr>
      </w:pPr>
      <w:r w:rsidRPr="000E07C7">
        <w:rPr>
          <w:lang w:val="ga-IE"/>
        </w:rPr>
        <w:t>Glacann na comhlachtaí aitheanta cuntasaíochta le Caighdeáin Tuairiscithe Airgeadais, de réir mar a bhíonn siad infheidhme.</w:t>
      </w:r>
    </w:p>
    <w:p w14:paraId="7C2E1284" w14:textId="77777777" w:rsidR="000E07C7" w:rsidRPr="000E07C7" w:rsidRDefault="000E07C7" w:rsidP="000E07C7">
      <w:pPr>
        <w:pStyle w:val="Heading3"/>
        <w:rPr>
          <w:lang w:val="ga-IE"/>
        </w:rPr>
      </w:pPr>
      <w:r w:rsidRPr="000E07C7">
        <w:rPr>
          <w:lang w:val="ga-IE"/>
        </w:rPr>
        <w:t>Ioncam Dheontas an Oireachtais</w:t>
      </w:r>
    </w:p>
    <w:p w14:paraId="0E893ADB" w14:textId="77777777" w:rsidR="000E07C7" w:rsidRPr="000E07C7" w:rsidRDefault="000E07C7" w:rsidP="000E07C7">
      <w:pPr>
        <w:rPr>
          <w:b/>
          <w:lang w:val="ga-IE"/>
        </w:rPr>
      </w:pPr>
      <w:r w:rsidRPr="000E07C7">
        <w:rPr>
          <w:lang w:val="ga-IE"/>
        </w:rPr>
        <w:t>Léiríonn an t-ioncam ón bhfoinse seo na suimeanna a sholáthair an roinn urraithe don ÚNA trí thuarastail agus costais eile a íoc go díreach.</w:t>
      </w:r>
    </w:p>
    <w:p w14:paraId="41A3A26C" w14:textId="77777777" w:rsidR="000E07C7" w:rsidRPr="000E07C7" w:rsidRDefault="000E07C7" w:rsidP="000E07C7">
      <w:pPr>
        <w:pStyle w:val="Heading3"/>
        <w:rPr>
          <w:lang w:val="ga-IE"/>
        </w:rPr>
      </w:pPr>
      <w:r w:rsidRPr="000E07C7">
        <w:rPr>
          <w:lang w:val="ga-IE"/>
        </w:rPr>
        <w:t>Sócmhainní Seasta agus Dímheas</w:t>
      </w:r>
    </w:p>
    <w:p w14:paraId="3D9AF249" w14:textId="77777777" w:rsidR="000E07C7" w:rsidRPr="000E07C7" w:rsidRDefault="000E07C7" w:rsidP="000E07C7">
      <w:pPr>
        <w:rPr>
          <w:lang w:val="ga-IE"/>
        </w:rPr>
      </w:pPr>
      <w:r w:rsidRPr="000E07C7">
        <w:rPr>
          <w:lang w:val="ga-IE"/>
        </w:rPr>
        <w:t>Léirítear Sócmhainní Seasta ar a gcostas bunúil, nó ar luacháil lúide dímheas carnach.</w:t>
      </w:r>
    </w:p>
    <w:p w14:paraId="7C4DA751" w14:textId="77777777" w:rsidR="000E07C7" w:rsidRPr="000E07C7" w:rsidRDefault="000E07C7" w:rsidP="000E07C7">
      <w:pPr>
        <w:pStyle w:val="NormalBeforeList"/>
        <w:rPr>
          <w:lang w:val="ga-IE"/>
        </w:rPr>
      </w:pPr>
      <w:r w:rsidRPr="000E07C7">
        <w:rPr>
          <w:lang w:val="ga-IE"/>
        </w:rPr>
        <w:t>Gearrtar dímheas ar na rátaí bliantúla a leanas:</w:t>
      </w:r>
    </w:p>
    <w:p w14:paraId="4A18D599" w14:textId="77777777" w:rsidR="000E07C7" w:rsidRPr="000E07C7" w:rsidRDefault="000E07C7" w:rsidP="000E07C7">
      <w:pPr>
        <w:pStyle w:val="ListBullet"/>
        <w:rPr>
          <w:lang w:val="ga-IE"/>
        </w:rPr>
      </w:pPr>
      <w:r w:rsidRPr="000E07C7">
        <w:rPr>
          <w:lang w:val="ga-IE"/>
        </w:rPr>
        <w:t xml:space="preserve">Troscán agus Trealamh Oifige: 10.00 % (Líne Dhíreach) </w:t>
      </w:r>
    </w:p>
    <w:p w14:paraId="35C71C22" w14:textId="77777777" w:rsidR="000E07C7" w:rsidRPr="000E07C7" w:rsidRDefault="000E07C7" w:rsidP="000E07C7">
      <w:pPr>
        <w:pStyle w:val="ListBullet"/>
        <w:rPr>
          <w:lang w:val="ga-IE"/>
        </w:rPr>
      </w:pPr>
      <w:r w:rsidRPr="000E07C7">
        <w:rPr>
          <w:lang w:val="ga-IE"/>
        </w:rPr>
        <w:t>Crua-Earraí agus Bogearraí Ríomhaire: 20.00 % (Líne Dhíreach)</w:t>
      </w:r>
    </w:p>
    <w:p w14:paraId="328F1E1E" w14:textId="77777777" w:rsidR="000E07C7" w:rsidRPr="000E07C7" w:rsidRDefault="000E07C7" w:rsidP="000E07C7">
      <w:pPr>
        <w:pStyle w:val="ListBullet"/>
        <w:spacing w:after="240"/>
        <w:rPr>
          <w:lang w:val="ga-IE"/>
        </w:rPr>
      </w:pPr>
      <w:r w:rsidRPr="000E07C7">
        <w:rPr>
          <w:lang w:val="ga-IE"/>
        </w:rPr>
        <w:t>Áitreabh: 2.50 % (ar bhonn Iarmhéid Laghdaitheach)</w:t>
      </w:r>
    </w:p>
    <w:p w14:paraId="37832F9A" w14:textId="77777777" w:rsidR="000E07C7" w:rsidRPr="000E07C7" w:rsidRDefault="000E07C7" w:rsidP="000E07C7">
      <w:pPr>
        <w:pStyle w:val="Heading2"/>
        <w:rPr>
          <w:lang w:val="ga-IE"/>
        </w:rPr>
      </w:pPr>
      <w:r w:rsidRPr="000E07C7">
        <w:rPr>
          <w:lang w:val="ga-IE"/>
        </w:rPr>
        <w:t>An Cuntas Caipitil</w:t>
      </w:r>
    </w:p>
    <w:p w14:paraId="3EC60475" w14:textId="77777777" w:rsidR="000E07C7" w:rsidRPr="000E07C7" w:rsidRDefault="000E07C7" w:rsidP="000E07C7">
      <w:pPr>
        <w:rPr>
          <w:lang w:val="ga-IE"/>
        </w:rPr>
      </w:pPr>
      <w:r w:rsidRPr="000E07C7">
        <w:rPr>
          <w:lang w:val="ga-IE"/>
        </w:rPr>
        <w:t xml:space="preserve">Léiríonn an Cuntas Caipitiúil an tsuim </w:t>
      </w:r>
      <w:proofErr w:type="spellStart"/>
      <w:r w:rsidRPr="000E07C7">
        <w:rPr>
          <w:lang w:val="ga-IE"/>
        </w:rPr>
        <w:t>neamhamúchta</w:t>
      </w:r>
      <w:proofErr w:type="spellEnd"/>
      <w:r w:rsidRPr="000E07C7">
        <w:rPr>
          <w:lang w:val="ga-IE"/>
        </w:rPr>
        <w:t xml:space="preserve"> ioncaim a dáileadh chun sócmhainní seasta a cheannach.</w:t>
      </w:r>
    </w:p>
    <w:p w14:paraId="4DA5CA5B" w14:textId="77777777" w:rsidR="000E07C7" w:rsidRPr="000E07C7" w:rsidRDefault="000E07C7" w:rsidP="000E07C7">
      <w:pPr>
        <w:pStyle w:val="Heading2"/>
        <w:rPr>
          <w:lang w:val="ga-IE"/>
        </w:rPr>
      </w:pPr>
      <w:r w:rsidRPr="000E07C7">
        <w:rPr>
          <w:lang w:val="ga-IE"/>
        </w:rPr>
        <w:t>Pinsin</w:t>
      </w:r>
    </w:p>
    <w:p w14:paraId="6C50D455" w14:textId="77777777" w:rsidR="000E07C7" w:rsidRPr="000E07C7" w:rsidRDefault="000E07C7" w:rsidP="000E07C7">
      <w:pPr>
        <w:rPr>
          <w:lang w:val="ga-IE"/>
        </w:rPr>
      </w:pPr>
      <w:r w:rsidRPr="000E07C7">
        <w:rPr>
          <w:lang w:val="ga-IE"/>
        </w:rPr>
        <w:t xml:space="preserve">Oibríonn an tÚdarás Náisiúnta Míchumais scéim pinsin sochair shainithe, atá cistithe go bliantúil ar bhonn ‘íoc de réir a chéile’ ó airgead atá ar fáil dóibh, lena n-áirítear airgead arna sholáthar ag an Roinn Dlí agus Cirt agus Comhionannais agus ó ranníocaíochtaí a </w:t>
      </w:r>
      <w:proofErr w:type="spellStart"/>
      <w:r w:rsidRPr="000E07C7">
        <w:rPr>
          <w:lang w:val="ga-IE"/>
        </w:rPr>
        <w:t>asbhaineadh</w:t>
      </w:r>
      <w:proofErr w:type="spellEnd"/>
      <w:r w:rsidRPr="000E07C7">
        <w:rPr>
          <w:lang w:val="ga-IE"/>
        </w:rPr>
        <w:t xml:space="preserve"> as tuarastail na foirne. </w:t>
      </w:r>
    </w:p>
    <w:p w14:paraId="73EEA175" w14:textId="77777777" w:rsidR="000E07C7" w:rsidRPr="000E07C7" w:rsidRDefault="000E07C7" w:rsidP="000E07C7">
      <w:pPr>
        <w:rPr>
          <w:lang w:val="ga-IE"/>
        </w:rPr>
      </w:pPr>
      <w:r w:rsidRPr="000E07C7">
        <w:rPr>
          <w:lang w:val="ga-IE"/>
        </w:rPr>
        <w:t xml:space="preserve">Léiríonn costais phinsin sochair phinsin arna dtuilleamh ag fostaithe sa tréimhse agus léirítear iad glan ar ranníocaíochtaí pinsin na foirne, a </w:t>
      </w:r>
      <w:r w:rsidRPr="000E07C7">
        <w:rPr>
          <w:lang w:val="ga-IE"/>
        </w:rPr>
        <w:lastRenderedPageBreak/>
        <w:t>choimeádtar thar ceann an Údaráis Náisiúnta Mhíchumais. Aithnítear suim atá cothrom leis an táille phinsin mar ioncam sa mhéid is go bhfuil sé in-aisghabhála, agus seach-churtha ag deontais a fuarthas sa bhliain d'fhonn íocaíochtaí pinsin a scaoileadh.</w:t>
      </w:r>
    </w:p>
    <w:p w14:paraId="24B50AF4" w14:textId="77777777" w:rsidR="000E07C7" w:rsidRPr="000E07C7" w:rsidRDefault="000E07C7" w:rsidP="000E07C7">
      <w:pPr>
        <w:rPr>
          <w:lang w:val="ga-IE"/>
        </w:rPr>
      </w:pPr>
      <w:r w:rsidRPr="000E07C7">
        <w:rPr>
          <w:lang w:val="ga-IE"/>
        </w:rPr>
        <w:t xml:space="preserve">Léirítear gnóthachain nó caillteanais </w:t>
      </w:r>
      <w:proofErr w:type="spellStart"/>
      <w:r w:rsidRPr="000E07C7">
        <w:rPr>
          <w:lang w:val="ga-IE"/>
        </w:rPr>
        <w:t>achtúireacha</w:t>
      </w:r>
      <w:proofErr w:type="spellEnd"/>
      <w:r w:rsidRPr="000E07C7">
        <w:rPr>
          <w:lang w:val="ga-IE"/>
        </w:rPr>
        <w:t xml:space="preserve"> a eascraíonn as dliteanais scéime i Ráiteas na </w:t>
      </w:r>
      <w:proofErr w:type="spellStart"/>
      <w:r w:rsidRPr="000E07C7">
        <w:rPr>
          <w:lang w:val="ga-IE"/>
        </w:rPr>
        <w:t>nGnóthachan</w:t>
      </w:r>
      <w:proofErr w:type="spellEnd"/>
      <w:r w:rsidRPr="000E07C7">
        <w:rPr>
          <w:lang w:val="ga-IE"/>
        </w:rPr>
        <w:t xml:space="preserve"> agus na gCaillteanas Aitheanta Iomlán agus aithnítear coigeartú comhfhreagrach sa mhéid atá in-aisghabhála ón Roinn Dlí agus Cirt agus Comhionannais.</w:t>
      </w:r>
    </w:p>
    <w:p w14:paraId="5071F972" w14:textId="77777777" w:rsidR="000E07C7" w:rsidRPr="000E07C7" w:rsidRDefault="000E07C7" w:rsidP="000E07C7">
      <w:pPr>
        <w:rPr>
          <w:lang w:val="ga-IE"/>
        </w:rPr>
      </w:pPr>
      <w:r w:rsidRPr="000E07C7">
        <w:rPr>
          <w:lang w:val="ga-IE"/>
        </w:rPr>
        <w:t>Léiríonn dliteanais phinsin luach reatha na n-íocaíochtaí pinsin amach anseo a thuill an fhoireann go dtí seo. Léiríonn cistiú iarchurtha pinsin an tsócmhainn chomhfhreagrach a bheidh le gnóthú i dtréimhsí amach anseo ón Roinn Dlí agus Cirt agus Comhionannais.</w:t>
      </w:r>
    </w:p>
    <w:p w14:paraId="3F7B7D34" w14:textId="77777777" w:rsidR="000E07C7" w:rsidRPr="000E07C7" w:rsidRDefault="000E07C7" w:rsidP="000E07C7">
      <w:pPr>
        <w:pStyle w:val="Heading2"/>
        <w:rPr>
          <w:lang w:val="ga-IE" w:eastAsia="en-GB"/>
        </w:rPr>
      </w:pPr>
      <w:r w:rsidRPr="000E07C7">
        <w:rPr>
          <w:lang w:val="ga-IE"/>
        </w:rPr>
        <w:t>An Cuntais Ioncaim agus Caiteachais don bhliain dar críoch an 31 Nollaig 2014</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02"/>
        <w:gridCol w:w="899"/>
        <w:gridCol w:w="1267"/>
        <w:gridCol w:w="1253"/>
      </w:tblGrid>
      <w:tr w:rsidR="000E07C7" w:rsidRPr="000E07C7" w14:paraId="6EF75CF4" w14:textId="77777777" w:rsidTr="000E07C7">
        <w:trPr>
          <w:tblHeader/>
        </w:trPr>
        <w:tc>
          <w:tcPr>
            <w:tcW w:w="4644" w:type="dxa"/>
            <w:shd w:val="clear" w:color="auto" w:fill="auto"/>
            <w:vAlign w:val="bottom"/>
          </w:tcPr>
          <w:p w14:paraId="7F7F1837" w14:textId="77777777" w:rsidR="000E07C7" w:rsidRPr="000E07C7" w:rsidRDefault="000E07C7" w:rsidP="000E07C7">
            <w:pPr>
              <w:spacing w:after="0"/>
              <w:rPr>
                <w:rFonts w:cs="Arial"/>
                <w:lang w:val="ga-IE" w:eastAsia="en-GB"/>
              </w:rPr>
            </w:pPr>
          </w:p>
        </w:tc>
        <w:tc>
          <w:tcPr>
            <w:tcW w:w="921" w:type="dxa"/>
            <w:shd w:val="clear" w:color="auto" w:fill="auto"/>
          </w:tcPr>
          <w:p w14:paraId="49D0FE80" w14:textId="77777777" w:rsidR="000E07C7" w:rsidRPr="000E07C7" w:rsidRDefault="000E07C7" w:rsidP="000E07C7">
            <w:pPr>
              <w:pStyle w:val="TableHead"/>
              <w:jc w:val="right"/>
              <w:rPr>
                <w:sz w:val="24"/>
                <w:lang w:val="ga-IE"/>
              </w:rPr>
            </w:pPr>
            <w:r w:rsidRPr="000E07C7">
              <w:rPr>
                <w:sz w:val="24"/>
                <w:lang w:val="ga-IE"/>
              </w:rPr>
              <w:t>Nótaí</w:t>
            </w:r>
          </w:p>
        </w:tc>
        <w:tc>
          <w:tcPr>
            <w:tcW w:w="1301" w:type="dxa"/>
            <w:shd w:val="clear" w:color="auto" w:fill="auto"/>
            <w:vAlign w:val="bottom"/>
          </w:tcPr>
          <w:p w14:paraId="71C04C8A" w14:textId="77777777" w:rsidR="000E07C7" w:rsidRPr="000E07C7" w:rsidRDefault="000E07C7" w:rsidP="000E07C7">
            <w:pPr>
              <w:pStyle w:val="TableHead"/>
              <w:jc w:val="center"/>
              <w:rPr>
                <w:sz w:val="24"/>
                <w:lang w:val="ga-IE" w:eastAsia="en-GB"/>
              </w:rPr>
            </w:pPr>
            <w:r w:rsidRPr="000E07C7">
              <w:rPr>
                <w:sz w:val="24"/>
                <w:lang w:val="ga-IE" w:eastAsia="en-GB"/>
              </w:rPr>
              <w:t>2014</w:t>
            </w:r>
          </w:p>
        </w:tc>
        <w:tc>
          <w:tcPr>
            <w:tcW w:w="1287" w:type="dxa"/>
            <w:shd w:val="clear" w:color="auto" w:fill="auto"/>
            <w:vAlign w:val="bottom"/>
          </w:tcPr>
          <w:p w14:paraId="79453461" w14:textId="77777777" w:rsidR="000E07C7" w:rsidRPr="000E07C7" w:rsidRDefault="000E07C7" w:rsidP="000E07C7">
            <w:pPr>
              <w:pStyle w:val="TableHead"/>
              <w:jc w:val="center"/>
              <w:rPr>
                <w:sz w:val="24"/>
                <w:lang w:val="ga-IE" w:eastAsia="en-GB"/>
              </w:rPr>
            </w:pPr>
            <w:r w:rsidRPr="000E07C7">
              <w:rPr>
                <w:sz w:val="24"/>
                <w:lang w:val="ga-IE" w:eastAsia="en-GB"/>
              </w:rPr>
              <w:t>2013</w:t>
            </w:r>
          </w:p>
        </w:tc>
      </w:tr>
      <w:tr w:rsidR="000E07C7" w:rsidRPr="000E07C7" w14:paraId="39B4C799" w14:textId="77777777" w:rsidTr="000E07C7">
        <w:tc>
          <w:tcPr>
            <w:tcW w:w="8153" w:type="dxa"/>
            <w:gridSpan w:val="4"/>
            <w:shd w:val="clear" w:color="auto" w:fill="auto"/>
            <w:vAlign w:val="bottom"/>
          </w:tcPr>
          <w:p w14:paraId="22B5F640" w14:textId="77777777" w:rsidR="000E07C7" w:rsidRPr="000E07C7" w:rsidRDefault="000E07C7" w:rsidP="000E07C7">
            <w:pPr>
              <w:pStyle w:val="TableHead"/>
              <w:rPr>
                <w:rFonts w:cs="Arial"/>
                <w:bCs/>
                <w:lang w:val="ga-IE" w:eastAsia="en-GB"/>
              </w:rPr>
            </w:pPr>
            <w:r w:rsidRPr="000E07C7">
              <w:rPr>
                <w:lang w:val="ga-IE" w:eastAsia="en-GB"/>
              </w:rPr>
              <w:t>Ioncam</w:t>
            </w:r>
          </w:p>
        </w:tc>
      </w:tr>
      <w:tr w:rsidR="000E07C7" w:rsidRPr="000E07C7" w14:paraId="62846EA7" w14:textId="77777777" w:rsidTr="000E07C7">
        <w:tc>
          <w:tcPr>
            <w:tcW w:w="4644" w:type="dxa"/>
            <w:shd w:val="clear" w:color="auto" w:fill="auto"/>
            <w:vAlign w:val="bottom"/>
          </w:tcPr>
          <w:p w14:paraId="675A03F5" w14:textId="77777777" w:rsidR="000E07C7" w:rsidRPr="000E07C7" w:rsidRDefault="000E07C7" w:rsidP="000E07C7">
            <w:pPr>
              <w:pStyle w:val="TableRowHead"/>
              <w:rPr>
                <w:rFonts w:ascii="Gill Sans" w:hAnsi="Gill Sans"/>
                <w:sz w:val="24"/>
                <w:lang w:val="ga-IE" w:eastAsia="en-GB"/>
              </w:rPr>
            </w:pPr>
          </w:p>
        </w:tc>
        <w:tc>
          <w:tcPr>
            <w:tcW w:w="921" w:type="dxa"/>
            <w:shd w:val="clear" w:color="auto" w:fill="auto"/>
            <w:vAlign w:val="bottom"/>
          </w:tcPr>
          <w:p w14:paraId="0356C3DF" w14:textId="77777777" w:rsidR="000E07C7" w:rsidRPr="000E07C7" w:rsidRDefault="000E07C7" w:rsidP="000E07C7">
            <w:pPr>
              <w:spacing w:after="0"/>
              <w:jc w:val="center"/>
              <w:rPr>
                <w:rFonts w:cs="Arial"/>
                <w:lang w:val="ga-IE" w:eastAsia="en-GB"/>
              </w:rPr>
            </w:pPr>
          </w:p>
        </w:tc>
        <w:tc>
          <w:tcPr>
            <w:tcW w:w="1301" w:type="dxa"/>
            <w:shd w:val="clear" w:color="auto" w:fill="auto"/>
            <w:vAlign w:val="bottom"/>
          </w:tcPr>
          <w:p w14:paraId="32A4EAC6" w14:textId="77777777" w:rsidR="000E07C7" w:rsidRPr="00772F8E" w:rsidRDefault="000E07C7" w:rsidP="00772F8E">
            <w:pPr>
              <w:pStyle w:val="TableHead"/>
              <w:jc w:val="center"/>
              <w:rPr>
                <w:lang w:val="ga-IE" w:eastAsia="en-GB"/>
              </w:rPr>
            </w:pPr>
            <w:r w:rsidRPr="00772F8E">
              <w:rPr>
                <w:lang w:val="ga-IE" w:eastAsia="en-GB"/>
              </w:rPr>
              <w:t>€</w:t>
            </w:r>
          </w:p>
        </w:tc>
        <w:tc>
          <w:tcPr>
            <w:tcW w:w="1287" w:type="dxa"/>
            <w:shd w:val="clear" w:color="auto" w:fill="auto"/>
            <w:vAlign w:val="bottom"/>
          </w:tcPr>
          <w:p w14:paraId="7BCF8093" w14:textId="77777777" w:rsidR="000E07C7" w:rsidRPr="00772F8E" w:rsidRDefault="000E07C7" w:rsidP="00772F8E">
            <w:pPr>
              <w:pStyle w:val="TableHead"/>
              <w:jc w:val="center"/>
              <w:rPr>
                <w:lang w:val="ga-IE" w:eastAsia="en-GB"/>
              </w:rPr>
            </w:pPr>
            <w:r w:rsidRPr="00772F8E">
              <w:rPr>
                <w:lang w:val="ga-IE" w:eastAsia="en-GB"/>
              </w:rPr>
              <w:t>€</w:t>
            </w:r>
          </w:p>
        </w:tc>
      </w:tr>
      <w:tr w:rsidR="000E07C7" w:rsidRPr="000E07C7" w14:paraId="4C39FA65" w14:textId="77777777" w:rsidTr="000E07C7">
        <w:tc>
          <w:tcPr>
            <w:tcW w:w="4644" w:type="dxa"/>
            <w:shd w:val="clear" w:color="auto" w:fill="auto"/>
            <w:vAlign w:val="bottom"/>
          </w:tcPr>
          <w:p w14:paraId="0D95E233"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Ioncam deontais</w:t>
            </w:r>
          </w:p>
        </w:tc>
        <w:tc>
          <w:tcPr>
            <w:tcW w:w="921" w:type="dxa"/>
            <w:shd w:val="clear" w:color="auto" w:fill="auto"/>
            <w:vAlign w:val="bottom"/>
          </w:tcPr>
          <w:p w14:paraId="4A1376B9" w14:textId="77777777" w:rsidR="000E07C7" w:rsidRPr="000E07C7" w:rsidRDefault="000E07C7" w:rsidP="000E07C7">
            <w:pPr>
              <w:pStyle w:val="TableCell"/>
              <w:rPr>
                <w:sz w:val="24"/>
                <w:lang w:val="ga-IE" w:eastAsia="en-GB"/>
              </w:rPr>
            </w:pPr>
            <w:r w:rsidRPr="000E07C7">
              <w:rPr>
                <w:sz w:val="24"/>
                <w:lang w:val="ga-IE" w:eastAsia="en-GB"/>
              </w:rPr>
              <w:t>2(a)</w:t>
            </w:r>
          </w:p>
        </w:tc>
        <w:tc>
          <w:tcPr>
            <w:tcW w:w="1301" w:type="dxa"/>
            <w:shd w:val="clear" w:color="auto" w:fill="auto"/>
            <w:vAlign w:val="bottom"/>
          </w:tcPr>
          <w:p w14:paraId="67BE79E3" w14:textId="77777777" w:rsidR="000E07C7" w:rsidRPr="000E07C7" w:rsidRDefault="000E07C7" w:rsidP="000E07C7">
            <w:pPr>
              <w:pStyle w:val="TableCell"/>
              <w:rPr>
                <w:sz w:val="24"/>
                <w:lang w:val="ga-IE" w:eastAsia="en-GB"/>
              </w:rPr>
            </w:pPr>
            <w:r w:rsidRPr="000E07C7">
              <w:rPr>
                <w:sz w:val="24"/>
                <w:lang w:val="ga-IE" w:eastAsia="en-GB"/>
              </w:rPr>
              <w:t>3,240,600</w:t>
            </w:r>
          </w:p>
        </w:tc>
        <w:tc>
          <w:tcPr>
            <w:tcW w:w="1287" w:type="dxa"/>
            <w:shd w:val="clear" w:color="auto" w:fill="auto"/>
            <w:vAlign w:val="bottom"/>
          </w:tcPr>
          <w:p w14:paraId="1156DBC6" w14:textId="77777777" w:rsidR="000E07C7" w:rsidRPr="000E07C7" w:rsidRDefault="000E07C7" w:rsidP="000E07C7">
            <w:pPr>
              <w:pStyle w:val="TableCell"/>
              <w:rPr>
                <w:sz w:val="24"/>
                <w:lang w:val="ga-IE" w:eastAsia="en-GB"/>
              </w:rPr>
            </w:pPr>
            <w:r w:rsidRPr="000E07C7">
              <w:rPr>
                <w:sz w:val="24"/>
                <w:lang w:val="ga-IE" w:eastAsia="en-GB"/>
              </w:rPr>
              <w:t xml:space="preserve">3,426,814 </w:t>
            </w:r>
          </w:p>
        </w:tc>
      </w:tr>
      <w:tr w:rsidR="000E07C7" w:rsidRPr="000E07C7" w14:paraId="2CABDC51" w14:textId="77777777" w:rsidTr="000E07C7">
        <w:tc>
          <w:tcPr>
            <w:tcW w:w="4644" w:type="dxa"/>
            <w:shd w:val="clear" w:color="auto" w:fill="auto"/>
            <w:vAlign w:val="bottom"/>
          </w:tcPr>
          <w:p w14:paraId="6747C8C2" w14:textId="77777777" w:rsidR="000E07C7" w:rsidRPr="000E07C7" w:rsidRDefault="000E07C7" w:rsidP="000E07C7">
            <w:pPr>
              <w:pStyle w:val="TableRowHead"/>
              <w:rPr>
                <w:rFonts w:ascii="Gill Sans" w:hAnsi="Gill Sans"/>
                <w:sz w:val="24"/>
                <w:lang w:val="ga-IE" w:eastAsia="en-GB"/>
              </w:rPr>
            </w:pPr>
            <w:proofErr w:type="spellStart"/>
            <w:r w:rsidRPr="000E07C7">
              <w:rPr>
                <w:rFonts w:ascii="Gill Sans" w:hAnsi="Gill Sans"/>
                <w:sz w:val="24"/>
                <w:lang w:val="ga-IE" w:eastAsia="en-GB"/>
              </w:rPr>
              <w:t>Glanchistiú</w:t>
            </w:r>
            <w:proofErr w:type="spellEnd"/>
            <w:r w:rsidRPr="000E07C7">
              <w:rPr>
                <w:rFonts w:ascii="Gill Sans" w:hAnsi="Gill Sans"/>
                <w:sz w:val="24"/>
                <w:lang w:val="ga-IE" w:eastAsia="en-GB"/>
              </w:rPr>
              <w:t xml:space="preserve"> Iarchurtha le haghaidh Pinsean</w:t>
            </w:r>
          </w:p>
        </w:tc>
        <w:tc>
          <w:tcPr>
            <w:tcW w:w="921" w:type="dxa"/>
            <w:shd w:val="clear" w:color="auto" w:fill="auto"/>
            <w:vAlign w:val="bottom"/>
          </w:tcPr>
          <w:p w14:paraId="47EDB309" w14:textId="77777777" w:rsidR="000E07C7" w:rsidRPr="000E07C7" w:rsidRDefault="000E07C7" w:rsidP="000E07C7">
            <w:pPr>
              <w:pStyle w:val="TableCell"/>
              <w:rPr>
                <w:sz w:val="24"/>
                <w:lang w:val="ga-IE" w:eastAsia="en-GB"/>
              </w:rPr>
            </w:pPr>
            <w:r w:rsidRPr="000E07C7">
              <w:rPr>
                <w:sz w:val="24"/>
                <w:lang w:val="ga-IE" w:eastAsia="en-GB"/>
              </w:rPr>
              <w:t>10(b)</w:t>
            </w:r>
          </w:p>
        </w:tc>
        <w:tc>
          <w:tcPr>
            <w:tcW w:w="1301" w:type="dxa"/>
            <w:shd w:val="clear" w:color="auto" w:fill="auto"/>
            <w:vAlign w:val="bottom"/>
          </w:tcPr>
          <w:p w14:paraId="04FA4414" w14:textId="77777777" w:rsidR="000E07C7" w:rsidRPr="000E07C7" w:rsidRDefault="000E07C7" w:rsidP="000E07C7">
            <w:pPr>
              <w:pStyle w:val="TableCell"/>
              <w:rPr>
                <w:sz w:val="24"/>
                <w:lang w:val="ga-IE" w:eastAsia="en-GB"/>
              </w:rPr>
            </w:pPr>
            <w:r w:rsidRPr="000E07C7">
              <w:rPr>
                <w:sz w:val="24"/>
                <w:lang w:val="ga-IE" w:eastAsia="en-GB"/>
              </w:rPr>
              <w:t>778,000</w:t>
            </w:r>
          </w:p>
        </w:tc>
        <w:tc>
          <w:tcPr>
            <w:tcW w:w="1287" w:type="dxa"/>
            <w:shd w:val="clear" w:color="auto" w:fill="auto"/>
            <w:vAlign w:val="bottom"/>
          </w:tcPr>
          <w:p w14:paraId="101264A6" w14:textId="77777777" w:rsidR="000E07C7" w:rsidRPr="000E07C7" w:rsidRDefault="000E07C7" w:rsidP="000E07C7">
            <w:pPr>
              <w:pStyle w:val="TableCell"/>
              <w:rPr>
                <w:sz w:val="24"/>
                <w:lang w:val="ga-IE" w:eastAsia="en-GB"/>
              </w:rPr>
            </w:pPr>
            <w:r w:rsidRPr="000E07C7">
              <w:rPr>
                <w:sz w:val="24"/>
                <w:lang w:val="ga-IE" w:eastAsia="en-GB"/>
              </w:rPr>
              <w:t xml:space="preserve">815,000 </w:t>
            </w:r>
          </w:p>
        </w:tc>
      </w:tr>
      <w:tr w:rsidR="000E07C7" w:rsidRPr="000E07C7" w14:paraId="038A6CA1" w14:textId="77777777" w:rsidTr="000E07C7">
        <w:tc>
          <w:tcPr>
            <w:tcW w:w="4644" w:type="dxa"/>
            <w:shd w:val="clear" w:color="auto" w:fill="auto"/>
            <w:vAlign w:val="bottom"/>
          </w:tcPr>
          <w:p w14:paraId="582FE91D" w14:textId="77777777" w:rsidR="000E07C7" w:rsidRPr="000E07C7" w:rsidRDefault="000E07C7" w:rsidP="000E07C7">
            <w:pPr>
              <w:pStyle w:val="TableRowHead"/>
              <w:rPr>
                <w:rFonts w:ascii="Gill Sans" w:hAnsi="Gill Sans"/>
                <w:sz w:val="24"/>
                <w:lang w:val="ga-IE" w:eastAsia="en-GB"/>
              </w:rPr>
            </w:pPr>
          </w:p>
        </w:tc>
        <w:tc>
          <w:tcPr>
            <w:tcW w:w="921" w:type="dxa"/>
            <w:shd w:val="clear" w:color="auto" w:fill="auto"/>
            <w:vAlign w:val="bottom"/>
          </w:tcPr>
          <w:p w14:paraId="410EE7A2"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73D9137B" w14:textId="77777777" w:rsidR="000E07C7" w:rsidRPr="000E07C7" w:rsidRDefault="000E07C7" w:rsidP="000E07C7">
            <w:pPr>
              <w:pStyle w:val="TableCell"/>
              <w:rPr>
                <w:sz w:val="24"/>
                <w:lang w:val="ga-IE" w:eastAsia="en-GB"/>
              </w:rPr>
            </w:pPr>
          </w:p>
        </w:tc>
        <w:tc>
          <w:tcPr>
            <w:tcW w:w="1287" w:type="dxa"/>
            <w:shd w:val="clear" w:color="auto" w:fill="auto"/>
            <w:vAlign w:val="bottom"/>
          </w:tcPr>
          <w:p w14:paraId="69CD4985" w14:textId="77777777" w:rsidR="000E07C7" w:rsidRPr="000E07C7" w:rsidRDefault="000E07C7" w:rsidP="000E07C7">
            <w:pPr>
              <w:pStyle w:val="TableCell"/>
              <w:rPr>
                <w:sz w:val="24"/>
                <w:lang w:val="ga-IE" w:eastAsia="en-GB"/>
              </w:rPr>
            </w:pPr>
          </w:p>
        </w:tc>
      </w:tr>
      <w:tr w:rsidR="000E07C7" w:rsidRPr="000E07C7" w14:paraId="044DD182" w14:textId="77777777" w:rsidTr="000E07C7">
        <w:tc>
          <w:tcPr>
            <w:tcW w:w="4644" w:type="dxa"/>
            <w:shd w:val="clear" w:color="auto" w:fill="auto"/>
            <w:vAlign w:val="bottom"/>
          </w:tcPr>
          <w:p w14:paraId="707612E2"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Ioncam Eile</w:t>
            </w:r>
          </w:p>
        </w:tc>
        <w:tc>
          <w:tcPr>
            <w:tcW w:w="921" w:type="dxa"/>
            <w:shd w:val="clear" w:color="auto" w:fill="auto"/>
            <w:vAlign w:val="bottom"/>
          </w:tcPr>
          <w:p w14:paraId="7CBF635B" w14:textId="77777777" w:rsidR="000E07C7" w:rsidRPr="000E07C7" w:rsidRDefault="000E07C7" w:rsidP="000E07C7">
            <w:pPr>
              <w:pStyle w:val="TableCell"/>
              <w:rPr>
                <w:sz w:val="24"/>
                <w:lang w:val="ga-IE" w:eastAsia="en-GB"/>
              </w:rPr>
            </w:pPr>
            <w:r w:rsidRPr="000E07C7">
              <w:rPr>
                <w:sz w:val="24"/>
                <w:lang w:val="ga-IE" w:eastAsia="en-GB"/>
              </w:rPr>
              <w:t>2(b)</w:t>
            </w:r>
          </w:p>
        </w:tc>
        <w:tc>
          <w:tcPr>
            <w:tcW w:w="1301" w:type="dxa"/>
            <w:shd w:val="clear" w:color="auto" w:fill="auto"/>
            <w:vAlign w:val="bottom"/>
          </w:tcPr>
          <w:p w14:paraId="5553929E" w14:textId="77777777" w:rsidR="000E07C7" w:rsidRPr="000E07C7" w:rsidRDefault="000E07C7" w:rsidP="000E07C7">
            <w:pPr>
              <w:pStyle w:val="TableCell"/>
              <w:rPr>
                <w:sz w:val="24"/>
                <w:lang w:val="ga-IE" w:eastAsia="en-GB"/>
              </w:rPr>
            </w:pPr>
            <w:r w:rsidRPr="000E07C7">
              <w:rPr>
                <w:sz w:val="24"/>
                <w:lang w:val="ga-IE" w:eastAsia="en-GB"/>
              </w:rPr>
              <w:t>22,357</w:t>
            </w:r>
          </w:p>
        </w:tc>
        <w:tc>
          <w:tcPr>
            <w:tcW w:w="1287" w:type="dxa"/>
            <w:shd w:val="clear" w:color="auto" w:fill="auto"/>
            <w:vAlign w:val="bottom"/>
          </w:tcPr>
          <w:p w14:paraId="022C9B48" w14:textId="77777777" w:rsidR="000E07C7" w:rsidRPr="000E07C7" w:rsidRDefault="000E07C7" w:rsidP="000E07C7">
            <w:pPr>
              <w:pStyle w:val="TableCell"/>
              <w:rPr>
                <w:sz w:val="24"/>
                <w:lang w:val="ga-IE" w:eastAsia="en-GB"/>
              </w:rPr>
            </w:pPr>
            <w:r w:rsidRPr="000E07C7">
              <w:rPr>
                <w:sz w:val="24"/>
                <w:lang w:val="ga-IE" w:eastAsia="en-GB"/>
              </w:rPr>
              <w:t xml:space="preserve">29,866 </w:t>
            </w:r>
          </w:p>
        </w:tc>
      </w:tr>
      <w:tr w:rsidR="000E07C7" w:rsidRPr="000E07C7" w14:paraId="107C986B" w14:textId="77777777" w:rsidTr="000E07C7">
        <w:tc>
          <w:tcPr>
            <w:tcW w:w="4644" w:type="dxa"/>
            <w:shd w:val="clear" w:color="auto" w:fill="auto"/>
            <w:vAlign w:val="bottom"/>
          </w:tcPr>
          <w:p w14:paraId="386B0C1F" w14:textId="77777777" w:rsidR="000E07C7" w:rsidRPr="000E07C7" w:rsidRDefault="000E07C7" w:rsidP="000E07C7">
            <w:pPr>
              <w:pStyle w:val="TableRowHead"/>
              <w:rPr>
                <w:rFonts w:ascii="Gill Sans" w:hAnsi="Gill Sans"/>
                <w:sz w:val="24"/>
                <w:lang w:val="ga-IE" w:eastAsia="en-GB"/>
              </w:rPr>
            </w:pPr>
          </w:p>
        </w:tc>
        <w:tc>
          <w:tcPr>
            <w:tcW w:w="921" w:type="dxa"/>
            <w:shd w:val="clear" w:color="auto" w:fill="auto"/>
            <w:vAlign w:val="bottom"/>
          </w:tcPr>
          <w:p w14:paraId="7DBCCBF4"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4EE9443A" w14:textId="77777777" w:rsidR="000E07C7" w:rsidRPr="000E07C7" w:rsidRDefault="000E07C7" w:rsidP="000E07C7">
            <w:pPr>
              <w:pStyle w:val="TableCell"/>
              <w:rPr>
                <w:sz w:val="24"/>
                <w:lang w:val="ga-IE" w:eastAsia="en-GB"/>
              </w:rPr>
            </w:pPr>
            <w:r w:rsidRPr="000E07C7">
              <w:rPr>
                <w:sz w:val="24"/>
                <w:lang w:val="ga-IE" w:eastAsia="en-GB"/>
              </w:rPr>
              <w:t>4,040,957</w:t>
            </w:r>
          </w:p>
        </w:tc>
        <w:tc>
          <w:tcPr>
            <w:tcW w:w="1287" w:type="dxa"/>
            <w:shd w:val="clear" w:color="auto" w:fill="auto"/>
            <w:vAlign w:val="bottom"/>
          </w:tcPr>
          <w:p w14:paraId="65EB572F" w14:textId="77777777" w:rsidR="000E07C7" w:rsidRPr="000E07C7" w:rsidRDefault="000E07C7" w:rsidP="000E07C7">
            <w:pPr>
              <w:pStyle w:val="TableCell"/>
              <w:rPr>
                <w:sz w:val="24"/>
                <w:lang w:val="ga-IE" w:eastAsia="en-GB"/>
              </w:rPr>
            </w:pPr>
            <w:r w:rsidRPr="000E07C7">
              <w:rPr>
                <w:sz w:val="24"/>
                <w:lang w:val="ga-IE" w:eastAsia="en-GB"/>
              </w:rPr>
              <w:t xml:space="preserve">4,271,680 </w:t>
            </w:r>
          </w:p>
        </w:tc>
      </w:tr>
      <w:tr w:rsidR="000E07C7" w:rsidRPr="000E07C7" w14:paraId="6439AF0B" w14:textId="77777777" w:rsidTr="000E07C7">
        <w:tc>
          <w:tcPr>
            <w:tcW w:w="4644" w:type="dxa"/>
            <w:shd w:val="clear" w:color="auto" w:fill="auto"/>
            <w:vAlign w:val="bottom"/>
          </w:tcPr>
          <w:p w14:paraId="16EFFB65"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Aistriú ó / (chuig) an gCuntas Caipitiúil</w:t>
            </w:r>
          </w:p>
        </w:tc>
        <w:tc>
          <w:tcPr>
            <w:tcW w:w="921" w:type="dxa"/>
            <w:shd w:val="clear" w:color="auto" w:fill="auto"/>
            <w:vAlign w:val="bottom"/>
          </w:tcPr>
          <w:p w14:paraId="0F8BFFDA" w14:textId="77777777" w:rsidR="000E07C7" w:rsidRPr="000E07C7" w:rsidRDefault="000E07C7" w:rsidP="000E07C7">
            <w:pPr>
              <w:pStyle w:val="TableCell"/>
              <w:rPr>
                <w:sz w:val="24"/>
                <w:lang w:val="ga-IE" w:eastAsia="en-GB"/>
              </w:rPr>
            </w:pPr>
            <w:r w:rsidRPr="000E07C7">
              <w:rPr>
                <w:sz w:val="24"/>
                <w:lang w:val="ga-IE" w:eastAsia="en-GB"/>
              </w:rPr>
              <w:t>8</w:t>
            </w:r>
          </w:p>
        </w:tc>
        <w:tc>
          <w:tcPr>
            <w:tcW w:w="1301" w:type="dxa"/>
            <w:shd w:val="clear" w:color="auto" w:fill="auto"/>
            <w:vAlign w:val="bottom"/>
          </w:tcPr>
          <w:p w14:paraId="08E2FD7B" w14:textId="77777777" w:rsidR="000E07C7" w:rsidRPr="000E07C7" w:rsidRDefault="000E07C7" w:rsidP="000E07C7">
            <w:pPr>
              <w:pStyle w:val="TableCell"/>
              <w:rPr>
                <w:sz w:val="24"/>
                <w:lang w:val="ga-IE" w:eastAsia="en-GB"/>
              </w:rPr>
            </w:pPr>
            <w:r w:rsidRPr="000E07C7">
              <w:rPr>
                <w:sz w:val="24"/>
                <w:lang w:val="ga-IE" w:eastAsia="en-GB"/>
              </w:rPr>
              <w:t>68,784</w:t>
            </w:r>
          </w:p>
        </w:tc>
        <w:tc>
          <w:tcPr>
            <w:tcW w:w="1287" w:type="dxa"/>
            <w:shd w:val="clear" w:color="auto" w:fill="auto"/>
            <w:vAlign w:val="bottom"/>
          </w:tcPr>
          <w:p w14:paraId="0722FC67" w14:textId="77777777" w:rsidR="000E07C7" w:rsidRPr="000E07C7" w:rsidRDefault="000E07C7" w:rsidP="000E07C7">
            <w:pPr>
              <w:pStyle w:val="TableCell"/>
              <w:rPr>
                <w:sz w:val="24"/>
                <w:lang w:val="ga-IE" w:eastAsia="en-GB"/>
              </w:rPr>
            </w:pPr>
            <w:r w:rsidRPr="000E07C7">
              <w:rPr>
                <w:sz w:val="24"/>
                <w:lang w:val="ga-IE" w:eastAsia="en-GB"/>
              </w:rPr>
              <w:t xml:space="preserve">74,475 </w:t>
            </w:r>
          </w:p>
        </w:tc>
      </w:tr>
      <w:tr w:rsidR="000E07C7" w:rsidRPr="000E07C7" w14:paraId="18AB5091" w14:textId="77777777" w:rsidTr="000E07C7">
        <w:tc>
          <w:tcPr>
            <w:tcW w:w="4644" w:type="dxa"/>
            <w:shd w:val="clear" w:color="auto" w:fill="auto"/>
            <w:vAlign w:val="bottom"/>
          </w:tcPr>
          <w:p w14:paraId="13FD189C"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Ioncam Iomlán</w:t>
            </w:r>
          </w:p>
        </w:tc>
        <w:tc>
          <w:tcPr>
            <w:tcW w:w="921" w:type="dxa"/>
            <w:shd w:val="clear" w:color="auto" w:fill="auto"/>
            <w:vAlign w:val="bottom"/>
          </w:tcPr>
          <w:p w14:paraId="6FA5C374"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45482E7A" w14:textId="77777777" w:rsidR="000E07C7" w:rsidRPr="000E07C7" w:rsidRDefault="000E07C7" w:rsidP="000E07C7">
            <w:pPr>
              <w:pStyle w:val="TableCell"/>
              <w:rPr>
                <w:b/>
                <w:sz w:val="24"/>
                <w:lang w:val="ga-IE" w:eastAsia="en-GB"/>
              </w:rPr>
            </w:pPr>
            <w:r w:rsidRPr="000E07C7">
              <w:rPr>
                <w:b/>
                <w:sz w:val="24"/>
                <w:lang w:val="ga-IE" w:eastAsia="en-GB"/>
              </w:rPr>
              <w:t>4,109,741</w:t>
            </w:r>
          </w:p>
        </w:tc>
        <w:tc>
          <w:tcPr>
            <w:tcW w:w="1287" w:type="dxa"/>
            <w:shd w:val="clear" w:color="auto" w:fill="auto"/>
            <w:vAlign w:val="bottom"/>
          </w:tcPr>
          <w:p w14:paraId="7D2BE98A" w14:textId="77777777" w:rsidR="000E07C7" w:rsidRPr="000E07C7" w:rsidRDefault="000E07C7" w:rsidP="000E07C7">
            <w:pPr>
              <w:pStyle w:val="TableCell"/>
              <w:rPr>
                <w:b/>
                <w:sz w:val="24"/>
                <w:lang w:val="ga-IE" w:eastAsia="en-GB"/>
              </w:rPr>
            </w:pPr>
            <w:r w:rsidRPr="000E07C7">
              <w:rPr>
                <w:b/>
                <w:sz w:val="24"/>
                <w:lang w:val="ga-IE" w:eastAsia="en-GB"/>
              </w:rPr>
              <w:t xml:space="preserve">4,346,155 </w:t>
            </w:r>
          </w:p>
        </w:tc>
      </w:tr>
      <w:tr w:rsidR="000E07C7" w:rsidRPr="000E07C7" w14:paraId="72A61A9A" w14:textId="77777777" w:rsidTr="000E07C7">
        <w:tc>
          <w:tcPr>
            <w:tcW w:w="4644" w:type="dxa"/>
            <w:shd w:val="clear" w:color="auto" w:fill="auto"/>
            <w:vAlign w:val="bottom"/>
          </w:tcPr>
          <w:p w14:paraId="7F3E80D8" w14:textId="77777777" w:rsidR="000E07C7" w:rsidRPr="000E07C7" w:rsidRDefault="000E07C7" w:rsidP="000E07C7">
            <w:pPr>
              <w:spacing w:after="0"/>
              <w:rPr>
                <w:rFonts w:cs="Arial"/>
                <w:b/>
                <w:bCs/>
                <w:lang w:val="ga-IE" w:eastAsia="en-GB"/>
              </w:rPr>
            </w:pPr>
          </w:p>
        </w:tc>
        <w:tc>
          <w:tcPr>
            <w:tcW w:w="921" w:type="dxa"/>
            <w:shd w:val="clear" w:color="auto" w:fill="auto"/>
            <w:vAlign w:val="bottom"/>
          </w:tcPr>
          <w:p w14:paraId="1BE1EB30"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450848B5" w14:textId="77777777" w:rsidR="000E07C7" w:rsidRPr="000E07C7" w:rsidRDefault="000E07C7" w:rsidP="000E07C7">
            <w:pPr>
              <w:pStyle w:val="TableCell"/>
              <w:rPr>
                <w:sz w:val="24"/>
                <w:lang w:val="ga-IE" w:eastAsia="en-GB"/>
              </w:rPr>
            </w:pPr>
          </w:p>
        </w:tc>
        <w:tc>
          <w:tcPr>
            <w:tcW w:w="1287" w:type="dxa"/>
            <w:shd w:val="clear" w:color="auto" w:fill="auto"/>
            <w:vAlign w:val="bottom"/>
          </w:tcPr>
          <w:p w14:paraId="69DA3167" w14:textId="77777777" w:rsidR="000E07C7" w:rsidRPr="000E07C7" w:rsidRDefault="000E07C7" w:rsidP="000E07C7">
            <w:pPr>
              <w:pStyle w:val="TableCell"/>
              <w:rPr>
                <w:sz w:val="24"/>
                <w:lang w:val="ga-IE" w:eastAsia="en-GB"/>
              </w:rPr>
            </w:pPr>
          </w:p>
        </w:tc>
      </w:tr>
      <w:tr w:rsidR="000E07C7" w:rsidRPr="000E07C7" w14:paraId="59DCBE5A" w14:textId="77777777" w:rsidTr="000E07C7">
        <w:tc>
          <w:tcPr>
            <w:tcW w:w="8153" w:type="dxa"/>
            <w:gridSpan w:val="4"/>
            <w:shd w:val="clear" w:color="auto" w:fill="auto"/>
            <w:vAlign w:val="bottom"/>
          </w:tcPr>
          <w:p w14:paraId="69576C25" w14:textId="77777777" w:rsidR="000E07C7" w:rsidRPr="000E07C7" w:rsidRDefault="000E07C7" w:rsidP="000E07C7">
            <w:pPr>
              <w:pStyle w:val="TableHead"/>
              <w:rPr>
                <w:lang w:val="ga-IE" w:eastAsia="en-GB"/>
              </w:rPr>
            </w:pPr>
            <w:r w:rsidRPr="000E07C7">
              <w:rPr>
                <w:lang w:val="ga-IE" w:eastAsia="en-GB"/>
              </w:rPr>
              <w:t>Caiteachas</w:t>
            </w:r>
          </w:p>
        </w:tc>
      </w:tr>
      <w:tr w:rsidR="000E07C7" w:rsidRPr="000E07C7" w14:paraId="36FB8C5C" w14:textId="77777777" w:rsidTr="000E07C7">
        <w:tc>
          <w:tcPr>
            <w:tcW w:w="4644" w:type="dxa"/>
            <w:shd w:val="clear" w:color="auto" w:fill="auto"/>
            <w:vAlign w:val="bottom"/>
          </w:tcPr>
          <w:p w14:paraId="047F66A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Tionscadail agus Obair Choimisiúnaithe</w:t>
            </w:r>
          </w:p>
        </w:tc>
        <w:tc>
          <w:tcPr>
            <w:tcW w:w="921" w:type="dxa"/>
            <w:shd w:val="clear" w:color="auto" w:fill="auto"/>
            <w:vAlign w:val="bottom"/>
          </w:tcPr>
          <w:p w14:paraId="2691D3FC" w14:textId="77777777" w:rsidR="000E07C7" w:rsidRPr="000E07C7" w:rsidRDefault="000E07C7" w:rsidP="000E07C7">
            <w:pPr>
              <w:pStyle w:val="TableCell"/>
              <w:rPr>
                <w:sz w:val="24"/>
                <w:lang w:val="ga-IE" w:eastAsia="en-GB"/>
              </w:rPr>
            </w:pPr>
            <w:r w:rsidRPr="000E07C7">
              <w:rPr>
                <w:sz w:val="24"/>
                <w:lang w:val="ga-IE" w:eastAsia="en-GB"/>
              </w:rPr>
              <w:t>3</w:t>
            </w:r>
          </w:p>
        </w:tc>
        <w:tc>
          <w:tcPr>
            <w:tcW w:w="1301" w:type="dxa"/>
            <w:shd w:val="clear" w:color="auto" w:fill="auto"/>
            <w:vAlign w:val="bottom"/>
          </w:tcPr>
          <w:p w14:paraId="437E30AE" w14:textId="77777777" w:rsidR="000E07C7" w:rsidRPr="000E07C7" w:rsidRDefault="000E07C7" w:rsidP="00BA586A">
            <w:pPr>
              <w:pStyle w:val="TableCell"/>
              <w:rPr>
                <w:sz w:val="24"/>
                <w:lang w:val="ga-IE" w:eastAsia="en-GB"/>
              </w:rPr>
            </w:pPr>
            <w:r w:rsidRPr="000E07C7">
              <w:rPr>
                <w:sz w:val="24"/>
                <w:lang w:val="ga-IE" w:eastAsia="en-GB"/>
              </w:rPr>
              <w:t>374,</w:t>
            </w:r>
            <w:r w:rsidR="00BA586A">
              <w:rPr>
                <w:sz w:val="24"/>
                <w:lang w:val="ga-IE" w:eastAsia="en-GB"/>
              </w:rPr>
              <w:t>920</w:t>
            </w:r>
          </w:p>
        </w:tc>
        <w:tc>
          <w:tcPr>
            <w:tcW w:w="1287" w:type="dxa"/>
            <w:shd w:val="clear" w:color="auto" w:fill="auto"/>
            <w:vAlign w:val="bottom"/>
          </w:tcPr>
          <w:p w14:paraId="5B1E5DA6" w14:textId="77777777" w:rsidR="000E07C7" w:rsidRPr="000E07C7" w:rsidRDefault="000E07C7" w:rsidP="000E07C7">
            <w:pPr>
              <w:pStyle w:val="TableCell"/>
              <w:rPr>
                <w:sz w:val="24"/>
                <w:lang w:val="ga-IE" w:eastAsia="en-GB"/>
              </w:rPr>
            </w:pPr>
            <w:r w:rsidRPr="000E07C7">
              <w:rPr>
                <w:sz w:val="24"/>
                <w:lang w:val="ga-IE" w:eastAsia="en-GB"/>
              </w:rPr>
              <w:t xml:space="preserve">509,596 </w:t>
            </w:r>
          </w:p>
        </w:tc>
      </w:tr>
      <w:tr w:rsidR="000E07C7" w:rsidRPr="000E07C7" w14:paraId="49CBAFC0" w14:textId="77777777" w:rsidTr="000E07C7">
        <w:tc>
          <w:tcPr>
            <w:tcW w:w="4644" w:type="dxa"/>
            <w:shd w:val="clear" w:color="auto" w:fill="auto"/>
            <w:vAlign w:val="bottom"/>
          </w:tcPr>
          <w:p w14:paraId="6B448434" w14:textId="77777777" w:rsidR="000E07C7" w:rsidRPr="000E07C7" w:rsidRDefault="000E07C7" w:rsidP="000E07C7">
            <w:pPr>
              <w:spacing w:after="0"/>
              <w:rPr>
                <w:rFonts w:cs="Arial"/>
                <w:lang w:val="ga-IE" w:eastAsia="en-GB"/>
              </w:rPr>
            </w:pPr>
          </w:p>
        </w:tc>
        <w:tc>
          <w:tcPr>
            <w:tcW w:w="921" w:type="dxa"/>
            <w:shd w:val="clear" w:color="auto" w:fill="auto"/>
            <w:vAlign w:val="bottom"/>
          </w:tcPr>
          <w:p w14:paraId="3E90B67A"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50B53C43" w14:textId="77777777" w:rsidR="000E07C7" w:rsidRPr="000E07C7" w:rsidRDefault="000E07C7" w:rsidP="000E07C7">
            <w:pPr>
              <w:pStyle w:val="TableCell"/>
              <w:rPr>
                <w:sz w:val="24"/>
                <w:lang w:val="ga-IE" w:eastAsia="en-GB"/>
              </w:rPr>
            </w:pPr>
          </w:p>
        </w:tc>
        <w:tc>
          <w:tcPr>
            <w:tcW w:w="1287" w:type="dxa"/>
            <w:shd w:val="clear" w:color="auto" w:fill="auto"/>
            <w:vAlign w:val="bottom"/>
          </w:tcPr>
          <w:p w14:paraId="53D5BD4A" w14:textId="77777777" w:rsidR="000E07C7" w:rsidRPr="000E07C7" w:rsidRDefault="000E07C7" w:rsidP="000E07C7">
            <w:pPr>
              <w:pStyle w:val="TableCell"/>
              <w:rPr>
                <w:sz w:val="24"/>
                <w:lang w:val="ga-IE" w:eastAsia="en-GB"/>
              </w:rPr>
            </w:pPr>
          </w:p>
        </w:tc>
      </w:tr>
      <w:tr w:rsidR="000E07C7" w:rsidRPr="000E07C7" w14:paraId="0A126FFC" w14:textId="77777777" w:rsidTr="000E07C7">
        <w:tc>
          <w:tcPr>
            <w:tcW w:w="8153" w:type="dxa"/>
            <w:gridSpan w:val="4"/>
            <w:shd w:val="clear" w:color="auto" w:fill="auto"/>
            <w:vAlign w:val="bottom"/>
          </w:tcPr>
          <w:p w14:paraId="262239DC" w14:textId="77777777" w:rsidR="000E07C7" w:rsidRPr="000E07C7" w:rsidRDefault="000E07C7" w:rsidP="000E07C7">
            <w:pPr>
              <w:pStyle w:val="TableHead"/>
              <w:rPr>
                <w:lang w:val="ga-IE" w:eastAsia="en-GB"/>
              </w:rPr>
            </w:pPr>
            <w:r w:rsidRPr="000E07C7">
              <w:rPr>
                <w:lang w:val="ga-IE" w:eastAsia="en-GB"/>
              </w:rPr>
              <w:t>Costais Forbartha, Tacaíochta agus Riaracháin</w:t>
            </w:r>
          </w:p>
        </w:tc>
      </w:tr>
      <w:tr w:rsidR="000E07C7" w:rsidRPr="000E07C7" w14:paraId="6FBC5F24" w14:textId="77777777" w:rsidTr="000E07C7">
        <w:tc>
          <w:tcPr>
            <w:tcW w:w="4644" w:type="dxa"/>
            <w:shd w:val="clear" w:color="auto" w:fill="auto"/>
            <w:vAlign w:val="bottom"/>
          </w:tcPr>
          <w:p w14:paraId="005EDFD5"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lastRenderedPageBreak/>
              <w:t xml:space="preserve">Costais Phárolla </w:t>
            </w:r>
          </w:p>
        </w:tc>
        <w:tc>
          <w:tcPr>
            <w:tcW w:w="921" w:type="dxa"/>
            <w:shd w:val="clear" w:color="auto" w:fill="auto"/>
            <w:vAlign w:val="bottom"/>
          </w:tcPr>
          <w:p w14:paraId="52BD9438" w14:textId="77777777" w:rsidR="000E07C7" w:rsidRPr="000E07C7" w:rsidRDefault="000E07C7" w:rsidP="000E07C7">
            <w:pPr>
              <w:pStyle w:val="TableCell"/>
              <w:rPr>
                <w:sz w:val="24"/>
                <w:lang w:val="ga-IE" w:eastAsia="en-GB"/>
              </w:rPr>
            </w:pPr>
            <w:r w:rsidRPr="000E07C7">
              <w:rPr>
                <w:sz w:val="24"/>
                <w:lang w:val="ga-IE" w:eastAsia="en-GB"/>
              </w:rPr>
              <w:t>4</w:t>
            </w:r>
          </w:p>
        </w:tc>
        <w:tc>
          <w:tcPr>
            <w:tcW w:w="1301" w:type="dxa"/>
            <w:shd w:val="clear" w:color="auto" w:fill="auto"/>
            <w:vAlign w:val="bottom"/>
          </w:tcPr>
          <w:p w14:paraId="4DEBF7C5" w14:textId="77777777" w:rsidR="000E07C7" w:rsidRPr="000E07C7" w:rsidRDefault="000E07C7" w:rsidP="000E07C7">
            <w:pPr>
              <w:pStyle w:val="TableCell"/>
              <w:rPr>
                <w:sz w:val="24"/>
                <w:lang w:val="ga-IE" w:eastAsia="en-GB"/>
              </w:rPr>
            </w:pPr>
            <w:r w:rsidRPr="000E07C7">
              <w:rPr>
                <w:sz w:val="24"/>
                <w:lang w:val="ga-IE" w:eastAsia="en-GB"/>
              </w:rPr>
              <w:t>1,873,491</w:t>
            </w:r>
          </w:p>
        </w:tc>
        <w:tc>
          <w:tcPr>
            <w:tcW w:w="1287" w:type="dxa"/>
            <w:shd w:val="clear" w:color="auto" w:fill="auto"/>
            <w:vAlign w:val="bottom"/>
          </w:tcPr>
          <w:p w14:paraId="708D171B" w14:textId="77777777" w:rsidR="000E07C7" w:rsidRPr="000E07C7" w:rsidRDefault="000E07C7" w:rsidP="000E07C7">
            <w:pPr>
              <w:pStyle w:val="TableCell"/>
              <w:rPr>
                <w:sz w:val="24"/>
                <w:lang w:val="ga-IE" w:eastAsia="en-GB"/>
              </w:rPr>
            </w:pPr>
            <w:r w:rsidRPr="000E07C7">
              <w:rPr>
                <w:sz w:val="24"/>
                <w:lang w:val="ga-IE" w:eastAsia="en-GB"/>
              </w:rPr>
              <w:t xml:space="preserve">1,935,007 </w:t>
            </w:r>
          </w:p>
        </w:tc>
      </w:tr>
      <w:tr w:rsidR="000E07C7" w:rsidRPr="000E07C7" w14:paraId="5014148C" w14:textId="77777777" w:rsidTr="000E07C7">
        <w:tc>
          <w:tcPr>
            <w:tcW w:w="4644" w:type="dxa"/>
            <w:shd w:val="clear" w:color="auto" w:fill="auto"/>
            <w:vAlign w:val="bottom"/>
          </w:tcPr>
          <w:p w14:paraId="289ADD7E"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Costais Phinsin</w:t>
            </w:r>
          </w:p>
        </w:tc>
        <w:tc>
          <w:tcPr>
            <w:tcW w:w="921" w:type="dxa"/>
            <w:shd w:val="clear" w:color="auto" w:fill="auto"/>
            <w:vAlign w:val="bottom"/>
          </w:tcPr>
          <w:p w14:paraId="582FF686" w14:textId="77777777" w:rsidR="000E07C7" w:rsidRPr="000E07C7" w:rsidRDefault="000E07C7" w:rsidP="000E07C7">
            <w:pPr>
              <w:pStyle w:val="TableCell"/>
              <w:rPr>
                <w:sz w:val="24"/>
                <w:lang w:val="ga-IE" w:eastAsia="en-GB"/>
              </w:rPr>
            </w:pPr>
            <w:r w:rsidRPr="000E07C7">
              <w:rPr>
                <w:sz w:val="24"/>
                <w:lang w:val="ga-IE" w:eastAsia="en-GB"/>
              </w:rPr>
              <w:t>10(c)</w:t>
            </w:r>
          </w:p>
        </w:tc>
        <w:tc>
          <w:tcPr>
            <w:tcW w:w="1301" w:type="dxa"/>
            <w:shd w:val="clear" w:color="auto" w:fill="auto"/>
            <w:vAlign w:val="bottom"/>
          </w:tcPr>
          <w:p w14:paraId="43116505" w14:textId="77777777" w:rsidR="000E07C7" w:rsidRPr="000E07C7" w:rsidRDefault="000E07C7" w:rsidP="000E07C7">
            <w:pPr>
              <w:pStyle w:val="TableCell"/>
              <w:rPr>
                <w:sz w:val="24"/>
                <w:lang w:val="ga-IE" w:eastAsia="en-GB"/>
              </w:rPr>
            </w:pPr>
            <w:r w:rsidRPr="000E07C7">
              <w:rPr>
                <w:sz w:val="24"/>
                <w:lang w:val="ga-IE" w:eastAsia="en-GB"/>
              </w:rPr>
              <w:t>1,236,210</w:t>
            </w:r>
          </w:p>
        </w:tc>
        <w:tc>
          <w:tcPr>
            <w:tcW w:w="1287" w:type="dxa"/>
            <w:shd w:val="clear" w:color="auto" w:fill="auto"/>
            <w:vAlign w:val="bottom"/>
          </w:tcPr>
          <w:p w14:paraId="0D5D51B4" w14:textId="77777777" w:rsidR="000E07C7" w:rsidRPr="000E07C7" w:rsidRDefault="000E07C7" w:rsidP="000E07C7">
            <w:pPr>
              <w:pStyle w:val="TableCell"/>
              <w:rPr>
                <w:sz w:val="24"/>
                <w:lang w:val="ga-IE" w:eastAsia="en-GB"/>
              </w:rPr>
            </w:pPr>
            <w:r w:rsidRPr="000E07C7">
              <w:rPr>
                <w:sz w:val="24"/>
                <w:lang w:val="ga-IE" w:eastAsia="en-GB"/>
              </w:rPr>
              <w:t xml:space="preserve">1,257,597 </w:t>
            </w:r>
          </w:p>
        </w:tc>
      </w:tr>
      <w:tr w:rsidR="000E07C7" w:rsidRPr="000E07C7" w14:paraId="217E612C" w14:textId="77777777" w:rsidTr="000E07C7">
        <w:tc>
          <w:tcPr>
            <w:tcW w:w="4644" w:type="dxa"/>
            <w:shd w:val="clear" w:color="auto" w:fill="auto"/>
            <w:vAlign w:val="bottom"/>
          </w:tcPr>
          <w:p w14:paraId="2D651481"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Costais Riaracháin </w:t>
            </w:r>
          </w:p>
        </w:tc>
        <w:tc>
          <w:tcPr>
            <w:tcW w:w="921" w:type="dxa"/>
            <w:shd w:val="clear" w:color="auto" w:fill="auto"/>
            <w:vAlign w:val="bottom"/>
          </w:tcPr>
          <w:p w14:paraId="19D063F2" w14:textId="77777777" w:rsidR="000E07C7" w:rsidRPr="000E07C7" w:rsidRDefault="000E07C7" w:rsidP="000E07C7">
            <w:pPr>
              <w:pStyle w:val="TableCell"/>
              <w:rPr>
                <w:sz w:val="24"/>
                <w:lang w:val="ga-IE" w:eastAsia="en-GB"/>
              </w:rPr>
            </w:pPr>
            <w:r w:rsidRPr="000E07C7">
              <w:rPr>
                <w:sz w:val="24"/>
                <w:lang w:val="ga-IE" w:eastAsia="en-GB"/>
              </w:rPr>
              <w:t>5</w:t>
            </w:r>
          </w:p>
        </w:tc>
        <w:tc>
          <w:tcPr>
            <w:tcW w:w="1301" w:type="dxa"/>
            <w:shd w:val="clear" w:color="auto" w:fill="auto"/>
            <w:vAlign w:val="bottom"/>
          </w:tcPr>
          <w:p w14:paraId="6A96EE8A" w14:textId="77777777" w:rsidR="000E07C7" w:rsidRPr="000E07C7" w:rsidRDefault="00BA586A" w:rsidP="000E07C7">
            <w:pPr>
              <w:pStyle w:val="TableCell"/>
              <w:rPr>
                <w:sz w:val="24"/>
                <w:lang w:val="ga-IE" w:eastAsia="en-GB"/>
              </w:rPr>
            </w:pPr>
            <w:r>
              <w:rPr>
                <w:sz w:val="24"/>
                <w:lang w:val="en-GB" w:eastAsia="en-GB"/>
              </w:rPr>
              <w:t>479,979</w:t>
            </w:r>
          </w:p>
        </w:tc>
        <w:tc>
          <w:tcPr>
            <w:tcW w:w="1287" w:type="dxa"/>
            <w:shd w:val="clear" w:color="auto" w:fill="auto"/>
            <w:vAlign w:val="bottom"/>
          </w:tcPr>
          <w:p w14:paraId="3B4A03BE" w14:textId="77777777" w:rsidR="000E07C7" w:rsidRPr="000E07C7" w:rsidRDefault="000E07C7" w:rsidP="000E07C7">
            <w:pPr>
              <w:pStyle w:val="TableCell"/>
              <w:rPr>
                <w:sz w:val="24"/>
                <w:lang w:val="ga-IE" w:eastAsia="en-GB"/>
              </w:rPr>
            </w:pPr>
            <w:r w:rsidRPr="000E07C7">
              <w:rPr>
                <w:sz w:val="24"/>
                <w:lang w:val="ga-IE" w:eastAsia="en-GB"/>
              </w:rPr>
              <w:t>545,460</w:t>
            </w:r>
          </w:p>
        </w:tc>
      </w:tr>
      <w:tr w:rsidR="000E07C7" w:rsidRPr="000E07C7" w14:paraId="7801F174" w14:textId="77777777" w:rsidTr="000E07C7">
        <w:tc>
          <w:tcPr>
            <w:tcW w:w="4644" w:type="dxa"/>
            <w:shd w:val="clear" w:color="auto" w:fill="auto"/>
            <w:vAlign w:val="bottom"/>
          </w:tcPr>
          <w:p w14:paraId="0862A3F6"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Dímheas</w:t>
            </w:r>
          </w:p>
        </w:tc>
        <w:tc>
          <w:tcPr>
            <w:tcW w:w="921" w:type="dxa"/>
            <w:shd w:val="clear" w:color="auto" w:fill="auto"/>
            <w:vAlign w:val="bottom"/>
          </w:tcPr>
          <w:p w14:paraId="4B38D913" w14:textId="77777777" w:rsidR="000E07C7" w:rsidRPr="000E07C7" w:rsidRDefault="000E07C7" w:rsidP="000E07C7">
            <w:pPr>
              <w:pStyle w:val="TableCell"/>
              <w:rPr>
                <w:sz w:val="24"/>
                <w:lang w:val="ga-IE" w:eastAsia="en-GB"/>
              </w:rPr>
            </w:pPr>
            <w:r w:rsidRPr="000E07C7">
              <w:rPr>
                <w:sz w:val="24"/>
                <w:lang w:val="ga-IE" w:eastAsia="en-GB"/>
              </w:rPr>
              <w:t>7</w:t>
            </w:r>
          </w:p>
        </w:tc>
        <w:tc>
          <w:tcPr>
            <w:tcW w:w="1301" w:type="dxa"/>
            <w:shd w:val="clear" w:color="auto" w:fill="auto"/>
            <w:vAlign w:val="bottom"/>
          </w:tcPr>
          <w:p w14:paraId="5EEC9D65" w14:textId="77777777" w:rsidR="000E07C7" w:rsidRPr="000E07C7" w:rsidRDefault="000E07C7" w:rsidP="000E07C7">
            <w:pPr>
              <w:pStyle w:val="TableCell"/>
              <w:rPr>
                <w:sz w:val="24"/>
                <w:lang w:val="ga-IE" w:eastAsia="en-GB"/>
              </w:rPr>
            </w:pPr>
            <w:r w:rsidRPr="000E07C7">
              <w:rPr>
                <w:sz w:val="24"/>
                <w:lang w:val="ga-IE" w:eastAsia="en-GB"/>
              </w:rPr>
              <w:t>73,963</w:t>
            </w:r>
          </w:p>
        </w:tc>
        <w:tc>
          <w:tcPr>
            <w:tcW w:w="1287" w:type="dxa"/>
            <w:shd w:val="clear" w:color="auto" w:fill="auto"/>
            <w:vAlign w:val="bottom"/>
          </w:tcPr>
          <w:p w14:paraId="365F1052" w14:textId="77777777" w:rsidR="000E07C7" w:rsidRPr="000E07C7" w:rsidRDefault="000E07C7" w:rsidP="000E07C7">
            <w:pPr>
              <w:pStyle w:val="TableCell"/>
              <w:rPr>
                <w:sz w:val="24"/>
                <w:lang w:val="ga-IE" w:eastAsia="en-GB"/>
              </w:rPr>
            </w:pPr>
            <w:r w:rsidRPr="000E07C7">
              <w:rPr>
                <w:sz w:val="24"/>
                <w:lang w:val="ga-IE" w:eastAsia="en-GB"/>
              </w:rPr>
              <w:t xml:space="preserve">74,475 </w:t>
            </w:r>
          </w:p>
        </w:tc>
      </w:tr>
      <w:tr w:rsidR="000E07C7" w:rsidRPr="000E07C7" w14:paraId="1C82C2BC" w14:textId="77777777" w:rsidTr="000E07C7">
        <w:tc>
          <w:tcPr>
            <w:tcW w:w="4644" w:type="dxa"/>
            <w:shd w:val="clear" w:color="auto" w:fill="auto"/>
            <w:vAlign w:val="bottom"/>
          </w:tcPr>
          <w:p w14:paraId="7D98DCE8" w14:textId="77777777" w:rsidR="000E07C7" w:rsidRPr="000E07C7" w:rsidRDefault="000E07C7" w:rsidP="000E07C7">
            <w:pPr>
              <w:pStyle w:val="TableRowHead"/>
              <w:rPr>
                <w:rFonts w:ascii="Gill Sans" w:hAnsi="Gill Sans"/>
                <w:sz w:val="24"/>
                <w:lang w:val="ga-IE" w:eastAsia="en-GB"/>
              </w:rPr>
            </w:pPr>
          </w:p>
        </w:tc>
        <w:tc>
          <w:tcPr>
            <w:tcW w:w="921" w:type="dxa"/>
            <w:shd w:val="clear" w:color="auto" w:fill="auto"/>
            <w:vAlign w:val="bottom"/>
          </w:tcPr>
          <w:p w14:paraId="6C5FB487"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2E9D8FD0" w14:textId="77777777" w:rsidR="000E07C7" w:rsidRPr="000E07C7" w:rsidRDefault="000E07C7" w:rsidP="000E07C7">
            <w:pPr>
              <w:pStyle w:val="TableCell"/>
              <w:rPr>
                <w:sz w:val="24"/>
                <w:lang w:val="ga-IE" w:eastAsia="en-GB"/>
              </w:rPr>
            </w:pPr>
            <w:r w:rsidRPr="000E07C7">
              <w:rPr>
                <w:sz w:val="24"/>
                <w:lang w:val="ga-IE" w:eastAsia="en-GB"/>
              </w:rPr>
              <w:t>3,663,775</w:t>
            </w:r>
          </w:p>
        </w:tc>
        <w:tc>
          <w:tcPr>
            <w:tcW w:w="1287" w:type="dxa"/>
            <w:shd w:val="clear" w:color="auto" w:fill="auto"/>
            <w:vAlign w:val="bottom"/>
          </w:tcPr>
          <w:p w14:paraId="6DA2E046" w14:textId="77777777" w:rsidR="000E07C7" w:rsidRPr="000E07C7" w:rsidRDefault="000E07C7" w:rsidP="000E07C7">
            <w:pPr>
              <w:pStyle w:val="TableCell"/>
              <w:rPr>
                <w:sz w:val="24"/>
                <w:lang w:val="ga-IE" w:eastAsia="en-GB"/>
              </w:rPr>
            </w:pPr>
            <w:r w:rsidRPr="000E07C7">
              <w:rPr>
                <w:sz w:val="24"/>
                <w:lang w:val="ga-IE" w:eastAsia="en-GB"/>
              </w:rPr>
              <w:t>3,812,539</w:t>
            </w:r>
          </w:p>
        </w:tc>
      </w:tr>
      <w:tr w:rsidR="000E07C7" w:rsidRPr="000E07C7" w14:paraId="1BFA4892" w14:textId="77777777" w:rsidTr="000E07C7">
        <w:tc>
          <w:tcPr>
            <w:tcW w:w="4644" w:type="dxa"/>
            <w:shd w:val="clear" w:color="auto" w:fill="auto"/>
            <w:vAlign w:val="bottom"/>
          </w:tcPr>
          <w:p w14:paraId="5F756FF3"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Caiteachas Iomlán</w:t>
            </w:r>
          </w:p>
        </w:tc>
        <w:tc>
          <w:tcPr>
            <w:tcW w:w="921" w:type="dxa"/>
            <w:shd w:val="clear" w:color="auto" w:fill="auto"/>
            <w:vAlign w:val="bottom"/>
          </w:tcPr>
          <w:p w14:paraId="3754AC52"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4663A6F9" w14:textId="77777777" w:rsidR="000E07C7" w:rsidRPr="000E07C7" w:rsidRDefault="000E07C7" w:rsidP="000E07C7">
            <w:pPr>
              <w:pStyle w:val="TableCell"/>
              <w:rPr>
                <w:b/>
                <w:sz w:val="24"/>
                <w:lang w:val="ga-IE" w:eastAsia="en-GB"/>
              </w:rPr>
            </w:pPr>
            <w:r w:rsidRPr="000E07C7">
              <w:rPr>
                <w:b/>
                <w:sz w:val="24"/>
                <w:lang w:val="ga-IE" w:eastAsia="en-GB"/>
              </w:rPr>
              <w:t>4,038,563</w:t>
            </w:r>
          </w:p>
        </w:tc>
        <w:tc>
          <w:tcPr>
            <w:tcW w:w="1287" w:type="dxa"/>
            <w:shd w:val="clear" w:color="auto" w:fill="auto"/>
            <w:vAlign w:val="bottom"/>
          </w:tcPr>
          <w:p w14:paraId="7809687C" w14:textId="77777777" w:rsidR="000E07C7" w:rsidRPr="000E07C7" w:rsidRDefault="000E07C7" w:rsidP="000E07C7">
            <w:pPr>
              <w:pStyle w:val="TableCell"/>
              <w:rPr>
                <w:b/>
                <w:sz w:val="24"/>
                <w:lang w:val="ga-IE" w:eastAsia="en-GB"/>
              </w:rPr>
            </w:pPr>
            <w:r w:rsidRPr="000E07C7">
              <w:rPr>
                <w:b/>
                <w:sz w:val="24"/>
                <w:lang w:val="ga-IE" w:eastAsia="en-GB"/>
              </w:rPr>
              <w:t xml:space="preserve">4,322,135 </w:t>
            </w:r>
          </w:p>
        </w:tc>
      </w:tr>
      <w:tr w:rsidR="000E07C7" w:rsidRPr="000E07C7" w14:paraId="170CD23B" w14:textId="77777777" w:rsidTr="000E07C7">
        <w:tc>
          <w:tcPr>
            <w:tcW w:w="4644" w:type="dxa"/>
            <w:shd w:val="clear" w:color="auto" w:fill="auto"/>
            <w:vAlign w:val="bottom"/>
          </w:tcPr>
          <w:p w14:paraId="6BBED5B0" w14:textId="77777777" w:rsidR="000E07C7" w:rsidRPr="000E07C7" w:rsidRDefault="000E07C7" w:rsidP="000E07C7">
            <w:pPr>
              <w:spacing w:after="0"/>
              <w:rPr>
                <w:rFonts w:cs="Arial"/>
                <w:b/>
                <w:bCs/>
                <w:lang w:val="ga-IE" w:eastAsia="en-GB"/>
              </w:rPr>
            </w:pPr>
            <w:r w:rsidRPr="000E07C7">
              <w:rPr>
                <w:rFonts w:cs="Arial"/>
                <w:b/>
                <w:bCs/>
                <w:lang w:val="ga-IE" w:eastAsia="en-GB"/>
              </w:rPr>
              <w:t>Barrachas don bhliain</w:t>
            </w:r>
          </w:p>
        </w:tc>
        <w:tc>
          <w:tcPr>
            <w:tcW w:w="921" w:type="dxa"/>
            <w:shd w:val="clear" w:color="auto" w:fill="auto"/>
            <w:vAlign w:val="bottom"/>
          </w:tcPr>
          <w:p w14:paraId="1318BA2D" w14:textId="77777777" w:rsidR="000E07C7" w:rsidRPr="000E07C7" w:rsidRDefault="000E07C7" w:rsidP="000E07C7">
            <w:pPr>
              <w:pStyle w:val="TableCell"/>
              <w:rPr>
                <w:bCs/>
                <w:sz w:val="24"/>
                <w:lang w:val="ga-IE" w:eastAsia="en-GB"/>
              </w:rPr>
            </w:pPr>
            <w:r w:rsidRPr="000E07C7">
              <w:rPr>
                <w:bCs/>
                <w:sz w:val="24"/>
                <w:lang w:val="ga-IE" w:eastAsia="en-GB"/>
              </w:rPr>
              <w:t>13</w:t>
            </w:r>
          </w:p>
        </w:tc>
        <w:tc>
          <w:tcPr>
            <w:tcW w:w="1301" w:type="dxa"/>
            <w:shd w:val="clear" w:color="auto" w:fill="auto"/>
            <w:vAlign w:val="bottom"/>
          </w:tcPr>
          <w:p w14:paraId="36AAFFEE" w14:textId="77777777" w:rsidR="000E07C7" w:rsidRPr="000E07C7" w:rsidRDefault="000E07C7" w:rsidP="000E07C7">
            <w:pPr>
              <w:pStyle w:val="TableCell"/>
              <w:rPr>
                <w:sz w:val="24"/>
                <w:lang w:val="ga-IE" w:eastAsia="en-GB"/>
              </w:rPr>
            </w:pPr>
            <w:r w:rsidRPr="000E07C7">
              <w:rPr>
                <w:sz w:val="24"/>
                <w:lang w:val="ga-IE" w:eastAsia="en-GB"/>
              </w:rPr>
              <w:t>71,178</w:t>
            </w:r>
          </w:p>
        </w:tc>
        <w:tc>
          <w:tcPr>
            <w:tcW w:w="1287" w:type="dxa"/>
            <w:shd w:val="clear" w:color="auto" w:fill="auto"/>
            <w:vAlign w:val="bottom"/>
          </w:tcPr>
          <w:p w14:paraId="59290E0C" w14:textId="77777777" w:rsidR="000E07C7" w:rsidRPr="000E07C7" w:rsidRDefault="000E07C7" w:rsidP="000E07C7">
            <w:pPr>
              <w:pStyle w:val="TableCell"/>
              <w:rPr>
                <w:sz w:val="24"/>
                <w:lang w:val="ga-IE" w:eastAsia="en-GB"/>
              </w:rPr>
            </w:pPr>
            <w:r w:rsidRPr="000E07C7">
              <w:rPr>
                <w:sz w:val="24"/>
                <w:lang w:val="ga-IE" w:eastAsia="en-GB"/>
              </w:rPr>
              <w:t>24,020</w:t>
            </w:r>
          </w:p>
        </w:tc>
      </w:tr>
      <w:tr w:rsidR="000E07C7" w:rsidRPr="000E07C7" w14:paraId="11767AB7" w14:textId="77777777" w:rsidTr="000E07C7">
        <w:tc>
          <w:tcPr>
            <w:tcW w:w="4644" w:type="dxa"/>
            <w:shd w:val="clear" w:color="auto" w:fill="auto"/>
            <w:vAlign w:val="bottom"/>
          </w:tcPr>
          <w:p w14:paraId="61E9DC2D"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Barrachas a coimeádadh amhail an 1 Eanáir</w:t>
            </w:r>
          </w:p>
        </w:tc>
        <w:tc>
          <w:tcPr>
            <w:tcW w:w="921" w:type="dxa"/>
            <w:shd w:val="clear" w:color="auto" w:fill="auto"/>
            <w:vAlign w:val="bottom"/>
          </w:tcPr>
          <w:p w14:paraId="63B093C5" w14:textId="77777777" w:rsidR="000E07C7" w:rsidRPr="000E07C7" w:rsidRDefault="000E07C7" w:rsidP="000E07C7">
            <w:pPr>
              <w:pStyle w:val="TableCell"/>
              <w:rPr>
                <w:sz w:val="24"/>
                <w:lang w:val="ga-IE" w:eastAsia="en-GB"/>
              </w:rPr>
            </w:pPr>
          </w:p>
        </w:tc>
        <w:tc>
          <w:tcPr>
            <w:tcW w:w="1301" w:type="dxa"/>
            <w:shd w:val="clear" w:color="auto" w:fill="auto"/>
            <w:vAlign w:val="bottom"/>
          </w:tcPr>
          <w:p w14:paraId="0821DC37" w14:textId="77777777" w:rsidR="000E07C7" w:rsidRPr="000E07C7" w:rsidRDefault="000E07C7" w:rsidP="000E07C7">
            <w:pPr>
              <w:pStyle w:val="TableCell"/>
              <w:rPr>
                <w:sz w:val="24"/>
                <w:lang w:val="ga-IE" w:eastAsia="en-GB"/>
              </w:rPr>
            </w:pPr>
            <w:r w:rsidRPr="000E07C7">
              <w:rPr>
                <w:sz w:val="24"/>
                <w:lang w:val="ga-IE" w:eastAsia="en-GB"/>
              </w:rPr>
              <w:t>197,668</w:t>
            </w:r>
          </w:p>
        </w:tc>
        <w:tc>
          <w:tcPr>
            <w:tcW w:w="1287" w:type="dxa"/>
            <w:shd w:val="clear" w:color="auto" w:fill="auto"/>
            <w:vAlign w:val="bottom"/>
          </w:tcPr>
          <w:p w14:paraId="1609CFD2" w14:textId="77777777" w:rsidR="000E07C7" w:rsidRPr="000E07C7" w:rsidRDefault="000E07C7" w:rsidP="000E07C7">
            <w:pPr>
              <w:pStyle w:val="TableCell"/>
              <w:rPr>
                <w:sz w:val="24"/>
                <w:lang w:val="ga-IE" w:eastAsia="en-GB"/>
              </w:rPr>
            </w:pPr>
            <w:r w:rsidRPr="000E07C7">
              <w:rPr>
                <w:sz w:val="24"/>
                <w:lang w:val="ga-IE" w:eastAsia="en-GB"/>
              </w:rPr>
              <w:t xml:space="preserve">173,648 </w:t>
            </w:r>
          </w:p>
        </w:tc>
      </w:tr>
      <w:tr w:rsidR="000E07C7" w:rsidRPr="000E07C7" w14:paraId="1FC11C90" w14:textId="77777777" w:rsidTr="000E07C7">
        <w:tc>
          <w:tcPr>
            <w:tcW w:w="4644" w:type="dxa"/>
            <w:shd w:val="clear" w:color="auto" w:fill="auto"/>
            <w:vAlign w:val="bottom"/>
          </w:tcPr>
          <w:p w14:paraId="094E86A4"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Barrachas a coimeádadh amhail an 31 Nollaig</w:t>
            </w:r>
          </w:p>
        </w:tc>
        <w:tc>
          <w:tcPr>
            <w:tcW w:w="921" w:type="dxa"/>
            <w:shd w:val="clear" w:color="auto" w:fill="auto"/>
            <w:vAlign w:val="bottom"/>
          </w:tcPr>
          <w:p w14:paraId="248FF1FC" w14:textId="77777777" w:rsidR="000E07C7" w:rsidRPr="000E07C7" w:rsidRDefault="000E07C7" w:rsidP="000E07C7">
            <w:pPr>
              <w:pStyle w:val="TableCell"/>
              <w:jc w:val="center"/>
              <w:rPr>
                <w:sz w:val="24"/>
                <w:lang w:val="ga-IE" w:eastAsia="en-GB"/>
              </w:rPr>
            </w:pPr>
          </w:p>
        </w:tc>
        <w:tc>
          <w:tcPr>
            <w:tcW w:w="1301" w:type="dxa"/>
            <w:shd w:val="clear" w:color="auto" w:fill="auto"/>
            <w:vAlign w:val="bottom"/>
          </w:tcPr>
          <w:p w14:paraId="4143110F" w14:textId="77777777" w:rsidR="000E07C7" w:rsidRPr="000E07C7" w:rsidRDefault="000E07C7" w:rsidP="000E07C7">
            <w:pPr>
              <w:pStyle w:val="TableCell"/>
              <w:rPr>
                <w:sz w:val="24"/>
                <w:lang w:val="ga-IE" w:eastAsia="en-GB"/>
              </w:rPr>
            </w:pPr>
            <w:r w:rsidRPr="000E07C7">
              <w:rPr>
                <w:sz w:val="24"/>
                <w:lang w:val="ga-IE" w:eastAsia="en-GB"/>
              </w:rPr>
              <w:t>268,846</w:t>
            </w:r>
          </w:p>
        </w:tc>
        <w:tc>
          <w:tcPr>
            <w:tcW w:w="1287" w:type="dxa"/>
            <w:shd w:val="clear" w:color="auto" w:fill="auto"/>
            <w:vAlign w:val="bottom"/>
          </w:tcPr>
          <w:p w14:paraId="44F25559" w14:textId="77777777" w:rsidR="000E07C7" w:rsidRPr="000E07C7" w:rsidRDefault="000E07C7" w:rsidP="000E07C7">
            <w:pPr>
              <w:pStyle w:val="TableCell"/>
              <w:rPr>
                <w:sz w:val="24"/>
                <w:lang w:val="ga-IE" w:eastAsia="en-GB"/>
              </w:rPr>
            </w:pPr>
            <w:r w:rsidRPr="000E07C7">
              <w:rPr>
                <w:sz w:val="24"/>
                <w:lang w:val="ga-IE" w:eastAsia="en-GB"/>
              </w:rPr>
              <w:t xml:space="preserve">197,668 </w:t>
            </w:r>
          </w:p>
        </w:tc>
      </w:tr>
      <w:tr w:rsidR="000E07C7" w:rsidRPr="000E07C7" w14:paraId="73BB63CC" w14:textId="77777777" w:rsidTr="000E07C7">
        <w:tc>
          <w:tcPr>
            <w:tcW w:w="8153" w:type="dxa"/>
            <w:gridSpan w:val="4"/>
            <w:shd w:val="clear" w:color="auto" w:fill="auto"/>
            <w:vAlign w:val="bottom"/>
          </w:tcPr>
          <w:p w14:paraId="4E718300" w14:textId="77777777" w:rsidR="000E07C7" w:rsidRPr="000E07C7" w:rsidRDefault="000E07C7" w:rsidP="000E07C7">
            <w:pPr>
              <w:spacing w:after="0"/>
              <w:rPr>
                <w:rFonts w:cs="Arial"/>
                <w:lang w:val="ga-IE" w:eastAsia="en-GB"/>
              </w:rPr>
            </w:pPr>
            <w:r w:rsidRPr="000E07C7">
              <w:rPr>
                <w:b/>
                <w:bCs/>
                <w:lang w:val="ga-IE" w:eastAsia="en-GB"/>
              </w:rPr>
              <w:t xml:space="preserve">Ráiteas na </w:t>
            </w:r>
            <w:proofErr w:type="spellStart"/>
            <w:r w:rsidRPr="000E07C7">
              <w:rPr>
                <w:b/>
                <w:bCs/>
                <w:lang w:val="ga-IE" w:eastAsia="en-GB"/>
              </w:rPr>
              <w:t>nGnóthachan</w:t>
            </w:r>
            <w:proofErr w:type="spellEnd"/>
            <w:r w:rsidRPr="000E07C7">
              <w:rPr>
                <w:b/>
                <w:bCs/>
                <w:lang w:val="ga-IE" w:eastAsia="en-GB"/>
              </w:rPr>
              <w:t xml:space="preserve"> agus na gCaillteanas Aitheanta Iomlán</w:t>
            </w:r>
          </w:p>
        </w:tc>
      </w:tr>
      <w:tr w:rsidR="000E07C7" w:rsidRPr="000E07C7" w14:paraId="2AA84038" w14:textId="77777777" w:rsidTr="000E07C7">
        <w:tc>
          <w:tcPr>
            <w:tcW w:w="4644" w:type="dxa"/>
            <w:shd w:val="clear" w:color="auto" w:fill="auto"/>
            <w:vAlign w:val="bottom"/>
          </w:tcPr>
          <w:p w14:paraId="76F0904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Barrachas don bhliain</w:t>
            </w:r>
          </w:p>
        </w:tc>
        <w:tc>
          <w:tcPr>
            <w:tcW w:w="921" w:type="dxa"/>
            <w:shd w:val="clear" w:color="auto" w:fill="auto"/>
            <w:vAlign w:val="bottom"/>
          </w:tcPr>
          <w:p w14:paraId="05DBE7B6" w14:textId="77777777" w:rsidR="000E07C7" w:rsidRPr="000E07C7" w:rsidRDefault="000E07C7" w:rsidP="000E07C7">
            <w:pPr>
              <w:spacing w:after="0"/>
              <w:jc w:val="center"/>
              <w:rPr>
                <w:rFonts w:cs="Arial"/>
                <w:b/>
                <w:bCs/>
                <w:lang w:val="ga-IE" w:eastAsia="en-GB"/>
              </w:rPr>
            </w:pPr>
          </w:p>
        </w:tc>
        <w:tc>
          <w:tcPr>
            <w:tcW w:w="1301" w:type="dxa"/>
            <w:shd w:val="clear" w:color="auto" w:fill="auto"/>
            <w:vAlign w:val="bottom"/>
          </w:tcPr>
          <w:p w14:paraId="6054E497" w14:textId="77777777" w:rsidR="000E07C7" w:rsidRPr="000E07C7" w:rsidRDefault="000E07C7" w:rsidP="000E07C7">
            <w:pPr>
              <w:pStyle w:val="TableCell"/>
              <w:rPr>
                <w:sz w:val="24"/>
                <w:lang w:val="ga-IE" w:eastAsia="en-GB"/>
              </w:rPr>
            </w:pPr>
            <w:r w:rsidRPr="000E07C7">
              <w:rPr>
                <w:sz w:val="24"/>
                <w:lang w:val="ga-IE" w:eastAsia="en-GB"/>
              </w:rPr>
              <w:t>71,178</w:t>
            </w:r>
          </w:p>
        </w:tc>
        <w:tc>
          <w:tcPr>
            <w:tcW w:w="1287" w:type="dxa"/>
            <w:shd w:val="clear" w:color="auto" w:fill="auto"/>
            <w:vAlign w:val="bottom"/>
          </w:tcPr>
          <w:p w14:paraId="33D26CE4" w14:textId="77777777" w:rsidR="000E07C7" w:rsidRPr="000E07C7" w:rsidRDefault="000E07C7" w:rsidP="000E07C7">
            <w:pPr>
              <w:pStyle w:val="TableCell"/>
              <w:rPr>
                <w:sz w:val="24"/>
                <w:lang w:val="ga-IE" w:eastAsia="en-GB"/>
              </w:rPr>
            </w:pPr>
            <w:r w:rsidRPr="000E07C7">
              <w:rPr>
                <w:sz w:val="24"/>
                <w:lang w:val="ga-IE" w:eastAsia="en-GB"/>
              </w:rPr>
              <w:t>24,020</w:t>
            </w:r>
          </w:p>
        </w:tc>
      </w:tr>
      <w:tr w:rsidR="000E07C7" w:rsidRPr="000E07C7" w14:paraId="1771D5E1" w14:textId="77777777" w:rsidTr="000E07C7">
        <w:tc>
          <w:tcPr>
            <w:tcW w:w="4644" w:type="dxa"/>
            <w:shd w:val="clear" w:color="auto" w:fill="auto"/>
            <w:vAlign w:val="bottom"/>
          </w:tcPr>
          <w:p w14:paraId="13B47292"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(Gnóthachan) / Caillteanas </w:t>
            </w:r>
            <w:proofErr w:type="spellStart"/>
            <w:r w:rsidRPr="000E07C7">
              <w:rPr>
                <w:rFonts w:ascii="Gill Sans" w:hAnsi="Gill Sans"/>
                <w:sz w:val="24"/>
                <w:lang w:val="ga-IE" w:eastAsia="en-GB"/>
              </w:rPr>
              <w:t>Achtúireach</w:t>
            </w:r>
            <w:proofErr w:type="spellEnd"/>
            <w:r w:rsidRPr="000E07C7">
              <w:rPr>
                <w:rFonts w:ascii="Gill Sans" w:hAnsi="Gill Sans"/>
                <w:sz w:val="24"/>
                <w:lang w:val="ga-IE" w:eastAsia="en-GB"/>
              </w:rPr>
              <w:t xml:space="preserve"> ar Dhliteanais Phinsin</w:t>
            </w:r>
          </w:p>
        </w:tc>
        <w:tc>
          <w:tcPr>
            <w:tcW w:w="921" w:type="dxa"/>
            <w:shd w:val="clear" w:color="auto" w:fill="auto"/>
            <w:vAlign w:val="bottom"/>
          </w:tcPr>
          <w:p w14:paraId="0C9C16CC" w14:textId="77777777" w:rsidR="000E07C7" w:rsidRPr="000E07C7" w:rsidRDefault="000E07C7" w:rsidP="000E07C7">
            <w:pPr>
              <w:pStyle w:val="TableCell"/>
              <w:rPr>
                <w:sz w:val="24"/>
                <w:lang w:val="ga-IE" w:eastAsia="en-GB"/>
              </w:rPr>
            </w:pPr>
            <w:r w:rsidRPr="000E07C7">
              <w:rPr>
                <w:sz w:val="24"/>
                <w:lang w:val="ga-IE" w:eastAsia="en-GB"/>
              </w:rPr>
              <w:t>10(e)</w:t>
            </w:r>
          </w:p>
        </w:tc>
        <w:tc>
          <w:tcPr>
            <w:tcW w:w="1301" w:type="dxa"/>
            <w:shd w:val="clear" w:color="auto" w:fill="auto"/>
            <w:vAlign w:val="bottom"/>
          </w:tcPr>
          <w:p w14:paraId="5B2335B9" w14:textId="77777777" w:rsidR="000E07C7" w:rsidRPr="000E07C7" w:rsidRDefault="000E07C7" w:rsidP="000E07C7">
            <w:pPr>
              <w:pStyle w:val="TableCell"/>
              <w:rPr>
                <w:sz w:val="24"/>
                <w:lang w:val="ga-IE" w:eastAsia="en-GB"/>
              </w:rPr>
            </w:pPr>
            <w:r w:rsidRPr="000E07C7">
              <w:rPr>
                <w:sz w:val="24"/>
                <w:lang w:val="ga-IE" w:eastAsia="en-GB"/>
              </w:rPr>
              <w:t>(978,000)</w:t>
            </w:r>
          </w:p>
        </w:tc>
        <w:tc>
          <w:tcPr>
            <w:tcW w:w="1287" w:type="dxa"/>
            <w:shd w:val="clear" w:color="auto" w:fill="auto"/>
            <w:vAlign w:val="bottom"/>
          </w:tcPr>
          <w:p w14:paraId="70D0DB16" w14:textId="77777777" w:rsidR="000E07C7" w:rsidRPr="000E07C7" w:rsidRDefault="000E07C7" w:rsidP="000E07C7">
            <w:pPr>
              <w:pStyle w:val="TableCell"/>
              <w:rPr>
                <w:sz w:val="24"/>
                <w:lang w:val="ga-IE" w:eastAsia="en-GB"/>
              </w:rPr>
            </w:pPr>
            <w:r w:rsidRPr="000E07C7">
              <w:rPr>
                <w:sz w:val="24"/>
                <w:lang w:val="ga-IE" w:eastAsia="en-GB"/>
              </w:rPr>
              <w:t>(515,000)</w:t>
            </w:r>
          </w:p>
        </w:tc>
      </w:tr>
      <w:tr w:rsidR="000E07C7" w:rsidRPr="000E07C7" w14:paraId="485C0BF0" w14:textId="77777777" w:rsidTr="000E07C7">
        <w:tc>
          <w:tcPr>
            <w:tcW w:w="4644" w:type="dxa"/>
            <w:shd w:val="clear" w:color="auto" w:fill="auto"/>
            <w:vAlign w:val="bottom"/>
          </w:tcPr>
          <w:p w14:paraId="0526C806"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Coigeartú an </w:t>
            </w:r>
            <w:proofErr w:type="spellStart"/>
            <w:r w:rsidRPr="000E07C7">
              <w:rPr>
                <w:rFonts w:ascii="Gill Sans" w:hAnsi="Gill Sans"/>
                <w:sz w:val="24"/>
                <w:lang w:val="ga-IE" w:eastAsia="en-GB"/>
              </w:rPr>
              <w:t>Chistithe</w:t>
            </w:r>
            <w:proofErr w:type="spellEnd"/>
            <w:r w:rsidRPr="000E07C7">
              <w:rPr>
                <w:rFonts w:ascii="Gill Sans" w:hAnsi="Gill Sans"/>
                <w:sz w:val="24"/>
                <w:lang w:val="ga-IE" w:eastAsia="en-GB"/>
              </w:rPr>
              <w:t xml:space="preserve"> Iarchurtha Pinsin</w:t>
            </w:r>
          </w:p>
        </w:tc>
        <w:tc>
          <w:tcPr>
            <w:tcW w:w="921" w:type="dxa"/>
            <w:shd w:val="clear" w:color="auto" w:fill="auto"/>
            <w:vAlign w:val="bottom"/>
          </w:tcPr>
          <w:p w14:paraId="3BD432E5" w14:textId="77777777" w:rsidR="000E07C7" w:rsidRPr="000E07C7" w:rsidRDefault="000E07C7" w:rsidP="000E07C7">
            <w:pPr>
              <w:spacing w:after="0"/>
              <w:jc w:val="center"/>
              <w:rPr>
                <w:rFonts w:cs="Arial"/>
                <w:b/>
                <w:bCs/>
                <w:lang w:val="ga-IE" w:eastAsia="en-GB"/>
              </w:rPr>
            </w:pPr>
          </w:p>
        </w:tc>
        <w:tc>
          <w:tcPr>
            <w:tcW w:w="1301" w:type="dxa"/>
            <w:shd w:val="clear" w:color="auto" w:fill="auto"/>
            <w:vAlign w:val="bottom"/>
          </w:tcPr>
          <w:p w14:paraId="56B1552E" w14:textId="77777777" w:rsidR="000E07C7" w:rsidRPr="000E07C7" w:rsidRDefault="000E07C7" w:rsidP="000E07C7">
            <w:pPr>
              <w:pStyle w:val="TableCell"/>
              <w:rPr>
                <w:sz w:val="24"/>
                <w:lang w:val="ga-IE" w:eastAsia="en-GB"/>
              </w:rPr>
            </w:pPr>
            <w:r w:rsidRPr="000E07C7">
              <w:rPr>
                <w:sz w:val="24"/>
                <w:lang w:val="ga-IE" w:eastAsia="en-GB"/>
              </w:rPr>
              <w:t>978,000</w:t>
            </w:r>
          </w:p>
        </w:tc>
        <w:tc>
          <w:tcPr>
            <w:tcW w:w="1287" w:type="dxa"/>
            <w:shd w:val="clear" w:color="auto" w:fill="auto"/>
            <w:vAlign w:val="bottom"/>
          </w:tcPr>
          <w:p w14:paraId="6C1DA551" w14:textId="77777777" w:rsidR="000E07C7" w:rsidRPr="000E07C7" w:rsidRDefault="000E07C7" w:rsidP="000E07C7">
            <w:pPr>
              <w:pStyle w:val="TableCell"/>
              <w:rPr>
                <w:sz w:val="24"/>
                <w:lang w:val="ga-IE" w:eastAsia="en-GB"/>
              </w:rPr>
            </w:pPr>
            <w:r w:rsidRPr="000E07C7">
              <w:rPr>
                <w:sz w:val="24"/>
                <w:lang w:val="ga-IE" w:eastAsia="en-GB"/>
              </w:rPr>
              <w:t xml:space="preserve">515,000 </w:t>
            </w:r>
          </w:p>
        </w:tc>
      </w:tr>
      <w:tr w:rsidR="000E07C7" w:rsidRPr="000E07C7" w14:paraId="1879D048" w14:textId="77777777" w:rsidTr="000E07C7">
        <w:tc>
          <w:tcPr>
            <w:tcW w:w="4644" w:type="dxa"/>
            <w:shd w:val="clear" w:color="auto" w:fill="auto"/>
            <w:vAlign w:val="bottom"/>
          </w:tcPr>
          <w:p w14:paraId="0E42C53D" w14:textId="77777777" w:rsidR="000E07C7" w:rsidRPr="000E07C7" w:rsidRDefault="000E07C7" w:rsidP="000E07C7">
            <w:pPr>
              <w:pStyle w:val="TableRowHead"/>
              <w:rPr>
                <w:rFonts w:ascii="Gill Sans" w:hAnsi="Gill Sans"/>
                <w:bCs/>
                <w:sz w:val="24"/>
                <w:lang w:val="ga-IE" w:eastAsia="en-GB"/>
              </w:rPr>
            </w:pPr>
            <w:r w:rsidRPr="000E07C7">
              <w:rPr>
                <w:rFonts w:ascii="Gill Sans" w:hAnsi="Gill Sans"/>
                <w:bCs/>
                <w:sz w:val="24"/>
                <w:lang w:val="ga-IE" w:eastAsia="en-GB"/>
              </w:rPr>
              <w:t>Gnóthachan Aitheanta Iomlán don Bhliain</w:t>
            </w:r>
          </w:p>
        </w:tc>
        <w:tc>
          <w:tcPr>
            <w:tcW w:w="921" w:type="dxa"/>
            <w:shd w:val="clear" w:color="auto" w:fill="auto"/>
            <w:vAlign w:val="bottom"/>
          </w:tcPr>
          <w:p w14:paraId="329580D7" w14:textId="77777777" w:rsidR="000E07C7" w:rsidRPr="000E07C7" w:rsidRDefault="000E07C7" w:rsidP="000E07C7">
            <w:pPr>
              <w:spacing w:after="0"/>
              <w:jc w:val="center"/>
              <w:rPr>
                <w:rFonts w:cs="Arial"/>
                <w:b/>
                <w:bCs/>
                <w:lang w:val="ga-IE" w:eastAsia="en-GB"/>
              </w:rPr>
            </w:pPr>
          </w:p>
        </w:tc>
        <w:tc>
          <w:tcPr>
            <w:tcW w:w="1301" w:type="dxa"/>
            <w:shd w:val="clear" w:color="auto" w:fill="auto"/>
            <w:vAlign w:val="bottom"/>
          </w:tcPr>
          <w:p w14:paraId="2C7C7D1E" w14:textId="77777777" w:rsidR="000E07C7" w:rsidRPr="000E07C7" w:rsidRDefault="000E07C7" w:rsidP="000E07C7">
            <w:pPr>
              <w:pStyle w:val="TableCell"/>
              <w:rPr>
                <w:b/>
                <w:sz w:val="24"/>
                <w:lang w:val="ga-IE" w:eastAsia="en-GB"/>
              </w:rPr>
            </w:pPr>
            <w:r w:rsidRPr="000E07C7">
              <w:rPr>
                <w:b/>
                <w:sz w:val="24"/>
                <w:lang w:val="ga-IE" w:eastAsia="en-GB"/>
              </w:rPr>
              <w:t>71,178</w:t>
            </w:r>
          </w:p>
        </w:tc>
        <w:tc>
          <w:tcPr>
            <w:tcW w:w="1287" w:type="dxa"/>
            <w:shd w:val="clear" w:color="auto" w:fill="auto"/>
            <w:vAlign w:val="bottom"/>
          </w:tcPr>
          <w:p w14:paraId="3ED8A68A" w14:textId="77777777" w:rsidR="000E07C7" w:rsidRPr="000E07C7" w:rsidRDefault="000E07C7" w:rsidP="000E07C7">
            <w:pPr>
              <w:pStyle w:val="TableCell"/>
              <w:rPr>
                <w:b/>
                <w:bCs/>
                <w:color w:val="FF0000"/>
                <w:sz w:val="24"/>
                <w:lang w:val="ga-IE" w:eastAsia="en-GB"/>
              </w:rPr>
            </w:pPr>
            <w:r w:rsidRPr="000E07C7">
              <w:rPr>
                <w:b/>
                <w:sz w:val="24"/>
                <w:lang w:val="ga-IE" w:eastAsia="en-GB"/>
              </w:rPr>
              <w:t>24,020</w:t>
            </w:r>
          </w:p>
        </w:tc>
      </w:tr>
    </w:tbl>
    <w:p w14:paraId="14380CF6" w14:textId="77777777" w:rsidR="000E07C7" w:rsidRPr="000E07C7" w:rsidRDefault="000E07C7" w:rsidP="000E07C7">
      <w:pPr>
        <w:rPr>
          <w:lang w:val="ga-IE" w:eastAsia="en-GB"/>
        </w:rPr>
      </w:pPr>
      <w:r w:rsidRPr="000E07C7">
        <w:rPr>
          <w:lang w:val="ga-IE" w:eastAsia="en-GB"/>
        </w:rPr>
        <w:br/>
        <w:t>Baineann na torthaí don bhliain le hoibríochtaí leanúnacha.</w:t>
      </w:r>
    </w:p>
    <w:p w14:paraId="4555F2B0" w14:textId="77777777" w:rsidR="000E07C7" w:rsidRPr="000E07C7" w:rsidRDefault="000E07C7" w:rsidP="000E07C7">
      <w:pPr>
        <w:rPr>
          <w:lang w:val="ga-IE" w:eastAsia="en-GB"/>
        </w:rPr>
      </w:pPr>
      <w:r w:rsidRPr="000E07C7">
        <w:rPr>
          <w:lang w:val="ga-IE" w:eastAsia="en-GB"/>
        </w:rPr>
        <w:t>Tá an Ráiteas ar Bheartais Chuntasaíochta, an Ráiteas ar Shreabhadh Airgid agus Nótaí 1 go dtí 16 ina gcuid de na Ráitis Airgeadais seo.</w:t>
      </w:r>
    </w:p>
    <w:p w14:paraId="0D4C220E" w14:textId="77777777" w:rsidR="000E07C7" w:rsidRPr="000E07C7" w:rsidRDefault="000E07C7" w:rsidP="000E07C7">
      <w:pPr>
        <w:keepLines/>
        <w:spacing w:after="120"/>
        <w:ind w:left="1440" w:hanging="1440"/>
        <w:rPr>
          <w:lang w:val="ga-IE" w:eastAsia="en-GB"/>
        </w:rPr>
      </w:pPr>
      <w:r w:rsidRPr="000E07C7">
        <w:rPr>
          <w:lang w:val="ga-IE" w:eastAsia="en-GB"/>
        </w:rPr>
        <w:t>Sínithe:</w:t>
      </w:r>
      <w:r w:rsidRPr="000E07C7">
        <w:rPr>
          <w:lang w:val="ga-IE" w:eastAsia="en-GB"/>
        </w:rPr>
        <w:tab/>
        <w:t>________________</w:t>
      </w:r>
      <w:r w:rsidRPr="000E07C7">
        <w:rPr>
          <w:lang w:val="ga-IE" w:eastAsia="en-GB"/>
        </w:rPr>
        <w:br/>
        <w:t xml:space="preserve">Helen </w:t>
      </w:r>
      <w:proofErr w:type="spellStart"/>
      <w:r w:rsidRPr="000E07C7">
        <w:rPr>
          <w:lang w:val="ga-IE" w:eastAsia="en-GB"/>
        </w:rPr>
        <w:t>Guinan</w:t>
      </w:r>
      <w:proofErr w:type="spellEnd"/>
      <w:r w:rsidRPr="000E07C7">
        <w:rPr>
          <w:lang w:val="ga-IE" w:eastAsia="en-GB"/>
        </w:rPr>
        <w:br/>
        <w:t>Cathaoirleach</w:t>
      </w:r>
    </w:p>
    <w:p w14:paraId="3CC33DF1" w14:textId="77777777" w:rsidR="000E07C7" w:rsidRPr="000E07C7" w:rsidRDefault="000E07C7" w:rsidP="000E07C7">
      <w:pPr>
        <w:keepLines/>
        <w:spacing w:after="120"/>
        <w:ind w:left="1440" w:hanging="1440"/>
        <w:rPr>
          <w:lang w:val="ga-IE" w:eastAsia="en-GB"/>
        </w:rPr>
      </w:pPr>
      <w:r w:rsidRPr="000E07C7">
        <w:rPr>
          <w:lang w:val="ga-IE" w:eastAsia="en-GB"/>
        </w:rPr>
        <w:t xml:space="preserve">Sínithe: </w:t>
      </w:r>
      <w:r w:rsidRPr="000E07C7">
        <w:rPr>
          <w:lang w:val="ga-IE" w:eastAsia="en-GB"/>
        </w:rPr>
        <w:tab/>
        <w:t>________________</w:t>
      </w:r>
      <w:r w:rsidRPr="000E07C7">
        <w:rPr>
          <w:lang w:val="ga-IE" w:eastAsia="en-GB"/>
        </w:rPr>
        <w:br/>
        <w:t xml:space="preserve">Frank </w:t>
      </w:r>
      <w:proofErr w:type="spellStart"/>
      <w:r w:rsidRPr="000E07C7">
        <w:rPr>
          <w:lang w:val="ga-IE" w:eastAsia="en-GB"/>
        </w:rPr>
        <w:t>Cunneen</w:t>
      </w:r>
      <w:proofErr w:type="spellEnd"/>
      <w:r w:rsidRPr="000E07C7">
        <w:rPr>
          <w:lang w:val="ga-IE" w:eastAsia="en-GB"/>
        </w:rPr>
        <w:br/>
        <w:t>Comhalta an Údaráis</w:t>
      </w:r>
    </w:p>
    <w:p w14:paraId="292C0BA3" w14:textId="77777777" w:rsidR="000E07C7" w:rsidRPr="000E07C7" w:rsidRDefault="000E07C7" w:rsidP="000E07C7">
      <w:pPr>
        <w:ind w:left="1440" w:hanging="1440"/>
        <w:rPr>
          <w:lang w:val="ga-IE" w:eastAsia="en-GB"/>
        </w:rPr>
      </w:pPr>
      <w:r w:rsidRPr="000E07C7">
        <w:rPr>
          <w:lang w:val="ga-IE" w:eastAsia="en-GB"/>
        </w:rPr>
        <w:t>Sínithe:</w:t>
      </w:r>
      <w:r w:rsidRPr="000E07C7">
        <w:rPr>
          <w:lang w:val="ga-IE" w:eastAsia="en-GB"/>
        </w:rPr>
        <w:tab/>
        <w:t>________________</w:t>
      </w:r>
      <w:r w:rsidRPr="000E07C7">
        <w:rPr>
          <w:lang w:val="ga-IE" w:eastAsia="en-GB"/>
        </w:rPr>
        <w:br/>
        <w:t xml:space="preserve">Siobhán </w:t>
      </w:r>
      <w:proofErr w:type="spellStart"/>
      <w:r w:rsidRPr="000E07C7">
        <w:rPr>
          <w:lang w:val="ga-IE" w:eastAsia="en-GB"/>
        </w:rPr>
        <w:t>Barron</w:t>
      </w:r>
      <w:proofErr w:type="spellEnd"/>
      <w:r w:rsidRPr="000E07C7">
        <w:rPr>
          <w:lang w:val="ga-IE" w:eastAsia="en-GB"/>
        </w:rPr>
        <w:br/>
        <w:t>Stiúrthóir</w:t>
      </w:r>
    </w:p>
    <w:p w14:paraId="19C731D3" w14:textId="77777777" w:rsidR="000E07C7" w:rsidRPr="000E07C7" w:rsidRDefault="000E07C7" w:rsidP="000E07C7">
      <w:pPr>
        <w:rPr>
          <w:lang w:val="ga-IE" w:eastAsia="en-GB"/>
        </w:rPr>
      </w:pPr>
      <w:r w:rsidRPr="000E07C7">
        <w:rPr>
          <w:lang w:val="ga-IE" w:eastAsia="en-GB"/>
        </w:rPr>
        <w:t>Dáta:</w:t>
      </w:r>
      <w:r w:rsidRPr="000E07C7">
        <w:rPr>
          <w:lang w:val="ga-IE" w:eastAsia="en-GB"/>
        </w:rPr>
        <w:tab/>
      </w:r>
      <w:r w:rsidRPr="000E07C7">
        <w:rPr>
          <w:lang w:val="ga-IE" w:eastAsia="en-GB"/>
        </w:rPr>
        <w:tab/>
        <w:t>________________</w:t>
      </w:r>
    </w:p>
    <w:p w14:paraId="09CF3BAE" w14:textId="77777777" w:rsidR="000E07C7" w:rsidRPr="000E07C7" w:rsidRDefault="000E07C7" w:rsidP="000E07C7">
      <w:pPr>
        <w:pStyle w:val="Heading2"/>
        <w:rPr>
          <w:lang w:val="ga-IE" w:eastAsia="en-GB"/>
        </w:rPr>
      </w:pPr>
      <w:r w:rsidRPr="000E07C7">
        <w:rPr>
          <w:lang w:val="ga-IE" w:eastAsia="en-GB"/>
        </w:rPr>
        <w:lastRenderedPageBreak/>
        <w:t>An Clár Comhardaithe amhail an 31 Nollaig 2014</w:t>
      </w:r>
    </w:p>
    <w:tbl>
      <w:tblPr>
        <w:tblW w:w="5000" w:type="pct"/>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886"/>
        <w:gridCol w:w="968"/>
        <w:gridCol w:w="1567"/>
        <w:gridCol w:w="1500"/>
      </w:tblGrid>
      <w:tr w:rsidR="000E07C7" w:rsidRPr="000E07C7" w14:paraId="332749A3" w14:textId="77777777" w:rsidTr="00213552">
        <w:trPr>
          <w:tblHeader/>
        </w:trPr>
        <w:tc>
          <w:tcPr>
            <w:tcW w:w="4008" w:type="dxa"/>
            <w:shd w:val="clear" w:color="auto" w:fill="auto"/>
          </w:tcPr>
          <w:p w14:paraId="6E313562" w14:textId="77777777" w:rsidR="000E07C7" w:rsidRPr="000E07C7" w:rsidRDefault="000E07C7" w:rsidP="000E07C7">
            <w:pPr>
              <w:pStyle w:val="TableHead"/>
              <w:jc w:val="right"/>
              <w:rPr>
                <w:sz w:val="24"/>
                <w:lang w:val="ga-IE"/>
              </w:rPr>
            </w:pPr>
          </w:p>
        </w:tc>
        <w:tc>
          <w:tcPr>
            <w:tcW w:w="992" w:type="dxa"/>
            <w:vAlign w:val="bottom"/>
          </w:tcPr>
          <w:p w14:paraId="70D9F320" w14:textId="77777777" w:rsidR="000E07C7" w:rsidRPr="000E07C7" w:rsidRDefault="000E07C7" w:rsidP="000E07C7">
            <w:pPr>
              <w:pStyle w:val="TableHead"/>
              <w:jc w:val="right"/>
              <w:rPr>
                <w:lang w:val="ga-IE" w:eastAsia="en-GB"/>
              </w:rPr>
            </w:pPr>
            <w:r w:rsidRPr="000E07C7">
              <w:rPr>
                <w:lang w:val="ga-IE" w:eastAsia="en-GB"/>
              </w:rPr>
              <w:t>Nótaí</w:t>
            </w:r>
          </w:p>
        </w:tc>
        <w:tc>
          <w:tcPr>
            <w:tcW w:w="1611" w:type="dxa"/>
            <w:vAlign w:val="bottom"/>
          </w:tcPr>
          <w:p w14:paraId="7450FCA5" w14:textId="77777777" w:rsidR="000E07C7" w:rsidRPr="000E07C7" w:rsidRDefault="000E07C7" w:rsidP="000E07C7">
            <w:pPr>
              <w:pStyle w:val="TableHead"/>
              <w:jc w:val="center"/>
              <w:rPr>
                <w:bCs/>
                <w:lang w:val="ga-IE" w:eastAsia="en-GB"/>
              </w:rPr>
            </w:pPr>
            <w:r w:rsidRPr="000E07C7">
              <w:rPr>
                <w:bCs/>
                <w:lang w:val="ga-IE" w:eastAsia="en-GB"/>
              </w:rPr>
              <w:t>2014</w:t>
            </w:r>
          </w:p>
        </w:tc>
        <w:tc>
          <w:tcPr>
            <w:tcW w:w="1542" w:type="dxa"/>
            <w:vAlign w:val="bottom"/>
          </w:tcPr>
          <w:p w14:paraId="61F9470B" w14:textId="77777777" w:rsidR="000E07C7" w:rsidRPr="000E07C7" w:rsidRDefault="000E07C7" w:rsidP="000E07C7">
            <w:pPr>
              <w:pStyle w:val="TableHead"/>
              <w:jc w:val="center"/>
              <w:rPr>
                <w:bCs/>
                <w:lang w:val="ga-IE" w:eastAsia="en-GB"/>
              </w:rPr>
            </w:pPr>
            <w:r w:rsidRPr="000E07C7">
              <w:rPr>
                <w:bCs/>
                <w:lang w:val="ga-IE" w:eastAsia="en-GB"/>
              </w:rPr>
              <w:t>2013</w:t>
            </w:r>
          </w:p>
        </w:tc>
      </w:tr>
      <w:tr w:rsidR="000E07C7" w:rsidRPr="000E07C7" w14:paraId="40C1369E" w14:textId="77777777" w:rsidTr="00213552">
        <w:tc>
          <w:tcPr>
            <w:tcW w:w="4008" w:type="dxa"/>
            <w:shd w:val="clear" w:color="auto" w:fill="auto"/>
          </w:tcPr>
          <w:p w14:paraId="0540C77D" w14:textId="77777777" w:rsidR="000E07C7" w:rsidRPr="000E07C7" w:rsidRDefault="000E07C7" w:rsidP="000E07C7">
            <w:pPr>
              <w:pStyle w:val="TableRowHead"/>
              <w:rPr>
                <w:rFonts w:ascii="Gill Sans" w:hAnsi="Gill Sans"/>
                <w:sz w:val="24"/>
                <w:lang w:val="ga-IE"/>
              </w:rPr>
            </w:pPr>
          </w:p>
        </w:tc>
        <w:tc>
          <w:tcPr>
            <w:tcW w:w="992" w:type="dxa"/>
            <w:vAlign w:val="bottom"/>
          </w:tcPr>
          <w:p w14:paraId="2131AEA6" w14:textId="77777777" w:rsidR="000E07C7" w:rsidRPr="000E07C7" w:rsidRDefault="000E07C7" w:rsidP="000E07C7">
            <w:pPr>
              <w:spacing w:after="0"/>
              <w:jc w:val="center"/>
              <w:rPr>
                <w:rFonts w:cs="Arial"/>
                <w:lang w:val="ga-IE" w:eastAsia="en-GB"/>
              </w:rPr>
            </w:pPr>
          </w:p>
        </w:tc>
        <w:tc>
          <w:tcPr>
            <w:tcW w:w="1611" w:type="dxa"/>
            <w:vAlign w:val="bottom"/>
          </w:tcPr>
          <w:p w14:paraId="0A05DE8A" w14:textId="77777777" w:rsidR="000E07C7" w:rsidRPr="000E07C7" w:rsidRDefault="000E07C7" w:rsidP="000E07C7">
            <w:pPr>
              <w:spacing w:after="0"/>
              <w:jc w:val="center"/>
              <w:rPr>
                <w:rFonts w:cs="Arial"/>
                <w:b/>
                <w:bCs/>
                <w:lang w:val="ga-IE" w:eastAsia="en-GB"/>
              </w:rPr>
            </w:pPr>
            <w:r w:rsidRPr="000E07C7">
              <w:rPr>
                <w:rFonts w:cs="Arial"/>
                <w:b/>
                <w:bCs/>
                <w:lang w:val="ga-IE" w:eastAsia="en-GB"/>
              </w:rPr>
              <w:t>€</w:t>
            </w:r>
          </w:p>
        </w:tc>
        <w:tc>
          <w:tcPr>
            <w:tcW w:w="1542" w:type="dxa"/>
            <w:vAlign w:val="bottom"/>
          </w:tcPr>
          <w:p w14:paraId="1E370B82" w14:textId="77777777" w:rsidR="000E07C7" w:rsidRPr="000E07C7" w:rsidRDefault="000E07C7" w:rsidP="000E07C7">
            <w:pPr>
              <w:spacing w:after="0"/>
              <w:jc w:val="center"/>
              <w:rPr>
                <w:rFonts w:cs="Arial"/>
                <w:b/>
                <w:bCs/>
                <w:lang w:val="ga-IE" w:eastAsia="en-GB"/>
              </w:rPr>
            </w:pPr>
            <w:r w:rsidRPr="000E07C7">
              <w:rPr>
                <w:rFonts w:cs="Arial"/>
                <w:b/>
                <w:bCs/>
                <w:lang w:val="ga-IE" w:eastAsia="en-GB"/>
              </w:rPr>
              <w:t>€</w:t>
            </w:r>
          </w:p>
        </w:tc>
      </w:tr>
      <w:tr w:rsidR="000E07C7" w:rsidRPr="000E07C7" w14:paraId="19A48E84" w14:textId="77777777" w:rsidTr="00213552">
        <w:tc>
          <w:tcPr>
            <w:tcW w:w="4008" w:type="dxa"/>
            <w:shd w:val="clear" w:color="auto" w:fill="auto"/>
            <w:vAlign w:val="bottom"/>
          </w:tcPr>
          <w:p w14:paraId="4F5934AC"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Sócmhainní Seasta </w:t>
            </w:r>
          </w:p>
        </w:tc>
        <w:tc>
          <w:tcPr>
            <w:tcW w:w="992" w:type="dxa"/>
            <w:vAlign w:val="bottom"/>
          </w:tcPr>
          <w:p w14:paraId="2C468C31" w14:textId="77777777" w:rsidR="000E07C7" w:rsidRPr="000E07C7" w:rsidRDefault="000E07C7" w:rsidP="000E07C7">
            <w:pPr>
              <w:spacing w:after="0"/>
              <w:jc w:val="center"/>
              <w:rPr>
                <w:rFonts w:cs="Arial"/>
                <w:lang w:val="ga-IE" w:eastAsia="en-GB"/>
              </w:rPr>
            </w:pPr>
            <w:r w:rsidRPr="000E07C7">
              <w:rPr>
                <w:rFonts w:cs="Arial"/>
                <w:lang w:val="ga-IE" w:eastAsia="en-GB"/>
              </w:rPr>
              <w:t>7</w:t>
            </w:r>
          </w:p>
        </w:tc>
        <w:tc>
          <w:tcPr>
            <w:tcW w:w="1611" w:type="dxa"/>
            <w:vAlign w:val="bottom"/>
          </w:tcPr>
          <w:p w14:paraId="297D083F" w14:textId="77777777" w:rsidR="000E07C7" w:rsidRPr="000E07C7" w:rsidRDefault="000E07C7" w:rsidP="000E07C7">
            <w:pPr>
              <w:spacing w:after="0"/>
              <w:jc w:val="right"/>
              <w:rPr>
                <w:rFonts w:cs="Arial"/>
                <w:b/>
                <w:lang w:val="ga-IE" w:eastAsia="en-GB"/>
              </w:rPr>
            </w:pPr>
            <w:r w:rsidRPr="000E07C7">
              <w:rPr>
                <w:rFonts w:cs="Arial"/>
                <w:b/>
                <w:lang w:val="ga-IE" w:eastAsia="en-GB"/>
              </w:rPr>
              <w:t>2,807,709</w:t>
            </w:r>
          </w:p>
        </w:tc>
        <w:tc>
          <w:tcPr>
            <w:tcW w:w="1542" w:type="dxa"/>
            <w:vAlign w:val="bottom"/>
          </w:tcPr>
          <w:p w14:paraId="3CB22790" w14:textId="77777777" w:rsidR="000E07C7" w:rsidRPr="000E07C7" w:rsidRDefault="000E07C7" w:rsidP="000E07C7">
            <w:pPr>
              <w:spacing w:after="0"/>
              <w:jc w:val="right"/>
              <w:rPr>
                <w:rFonts w:cs="Arial"/>
                <w:b/>
                <w:lang w:val="ga-IE" w:eastAsia="en-GB"/>
              </w:rPr>
            </w:pPr>
            <w:r w:rsidRPr="000E07C7">
              <w:rPr>
                <w:rFonts w:cs="Arial"/>
                <w:b/>
                <w:lang w:val="ga-IE" w:eastAsia="en-GB"/>
              </w:rPr>
              <w:t xml:space="preserve">2,869,467 </w:t>
            </w:r>
          </w:p>
        </w:tc>
      </w:tr>
      <w:tr w:rsidR="000E07C7" w:rsidRPr="000E07C7" w14:paraId="592CDB05" w14:textId="77777777" w:rsidTr="000E07C7">
        <w:tc>
          <w:tcPr>
            <w:tcW w:w="8153" w:type="dxa"/>
            <w:gridSpan w:val="4"/>
            <w:shd w:val="clear" w:color="auto" w:fill="auto"/>
            <w:vAlign w:val="bottom"/>
          </w:tcPr>
          <w:p w14:paraId="58FC1134" w14:textId="77777777" w:rsidR="000E07C7" w:rsidRPr="000E07C7" w:rsidRDefault="000E07C7" w:rsidP="000E07C7">
            <w:pPr>
              <w:pStyle w:val="TableHead"/>
              <w:rPr>
                <w:sz w:val="24"/>
                <w:lang w:val="ga-IE" w:eastAsia="en-GB"/>
              </w:rPr>
            </w:pPr>
            <w:r w:rsidRPr="000E07C7">
              <w:rPr>
                <w:sz w:val="24"/>
                <w:lang w:val="ga-IE" w:eastAsia="en-GB"/>
              </w:rPr>
              <w:t>Sócmhainní Reatha</w:t>
            </w:r>
          </w:p>
        </w:tc>
      </w:tr>
      <w:tr w:rsidR="000E07C7" w:rsidRPr="000E07C7" w14:paraId="6F81DB86" w14:textId="77777777" w:rsidTr="00213552">
        <w:tc>
          <w:tcPr>
            <w:tcW w:w="4008" w:type="dxa"/>
            <w:shd w:val="clear" w:color="auto" w:fill="auto"/>
            <w:vAlign w:val="bottom"/>
          </w:tcPr>
          <w:p w14:paraId="28DB3492"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Féichiúnaithe agus Réamhíocaíochtaí</w:t>
            </w:r>
          </w:p>
        </w:tc>
        <w:tc>
          <w:tcPr>
            <w:tcW w:w="992" w:type="dxa"/>
            <w:vAlign w:val="bottom"/>
          </w:tcPr>
          <w:p w14:paraId="7C7C9223" w14:textId="77777777" w:rsidR="000E07C7" w:rsidRPr="000E07C7" w:rsidRDefault="000E07C7" w:rsidP="000E07C7">
            <w:pPr>
              <w:spacing w:after="0"/>
              <w:jc w:val="center"/>
              <w:rPr>
                <w:rFonts w:cs="Arial"/>
                <w:lang w:val="ga-IE" w:eastAsia="en-GB"/>
              </w:rPr>
            </w:pPr>
            <w:r w:rsidRPr="000E07C7">
              <w:rPr>
                <w:rFonts w:cs="Arial"/>
                <w:lang w:val="ga-IE" w:eastAsia="en-GB"/>
              </w:rPr>
              <w:t>12</w:t>
            </w:r>
          </w:p>
        </w:tc>
        <w:tc>
          <w:tcPr>
            <w:tcW w:w="1611" w:type="dxa"/>
            <w:vAlign w:val="bottom"/>
          </w:tcPr>
          <w:p w14:paraId="51FF4565" w14:textId="77777777" w:rsidR="000E07C7" w:rsidRPr="000E07C7" w:rsidRDefault="000E07C7" w:rsidP="000E07C7">
            <w:pPr>
              <w:spacing w:after="0"/>
              <w:jc w:val="right"/>
              <w:rPr>
                <w:rFonts w:cs="Arial"/>
                <w:lang w:val="ga-IE" w:eastAsia="en-GB"/>
              </w:rPr>
            </w:pPr>
            <w:r w:rsidRPr="000E07C7">
              <w:rPr>
                <w:rFonts w:cs="Arial"/>
                <w:lang w:val="ga-IE" w:eastAsia="en-GB"/>
              </w:rPr>
              <w:t>305,399</w:t>
            </w:r>
          </w:p>
        </w:tc>
        <w:tc>
          <w:tcPr>
            <w:tcW w:w="1542" w:type="dxa"/>
            <w:vAlign w:val="bottom"/>
          </w:tcPr>
          <w:p w14:paraId="4916171F"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259,475 </w:t>
            </w:r>
          </w:p>
        </w:tc>
      </w:tr>
      <w:tr w:rsidR="000E07C7" w:rsidRPr="000E07C7" w14:paraId="2F4D3E80" w14:textId="77777777" w:rsidTr="00213552">
        <w:tc>
          <w:tcPr>
            <w:tcW w:w="4008" w:type="dxa"/>
            <w:shd w:val="clear" w:color="auto" w:fill="auto"/>
            <w:vAlign w:val="bottom"/>
          </w:tcPr>
          <w:p w14:paraId="63CF86A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Airgead sa Bhanc agus ar Láimh </w:t>
            </w:r>
          </w:p>
        </w:tc>
        <w:tc>
          <w:tcPr>
            <w:tcW w:w="992" w:type="dxa"/>
            <w:vAlign w:val="bottom"/>
          </w:tcPr>
          <w:p w14:paraId="2B6DD949" w14:textId="77777777" w:rsidR="000E07C7" w:rsidRPr="000E07C7" w:rsidRDefault="000E07C7" w:rsidP="000E07C7">
            <w:pPr>
              <w:spacing w:after="0"/>
              <w:jc w:val="center"/>
              <w:rPr>
                <w:rFonts w:cs="Arial"/>
                <w:lang w:val="ga-IE" w:eastAsia="en-GB"/>
              </w:rPr>
            </w:pPr>
            <w:r w:rsidRPr="000E07C7">
              <w:rPr>
                <w:rFonts w:cs="Arial"/>
                <w:lang w:val="ga-IE" w:eastAsia="en-GB"/>
              </w:rPr>
              <w:t>9(b)</w:t>
            </w:r>
          </w:p>
        </w:tc>
        <w:tc>
          <w:tcPr>
            <w:tcW w:w="1611" w:type="dxa"/>
            <w:vAlign w:val="bottom"/>
          </w:tcPr>
          <w:p w14:paraId="3035A1D5" w14:textId="77777777" w:rsidR="000E07C7" w:rsidRPr="000E07C7" w:rsidRDefault="000E07C7" w:rsidP="000E07C7">
            <w:pPr>
              <w:spacing w:after="0"/>
              <w:jc w:val="right"/>
              <w:rPr>
                <w:rFonts w:cs="Arial"/>
                <w:lang w:val="ga-IE" w:eastAsia="en-GB"/>
              </w:rPr>
            </w:pPr>
            <w:r w:rsidRPr="000E07C7">
              <w:rPr>
                <w:rFonts w:cs="Arial"/>
                <w:lang w:val="ga-IE" w:eastAsia="en-GB"/>
              </w:rPr>
              <w:t>1,984</w:t>
            </w:r>
          </w:p>
        </w:tc>
        <w:tc>
          <w:tcPr>
            <w:tcW w:w="1542" w:type="dxa"/>
            <w:vAlign w:val="bottom"/>
          </w:tcPr>
          <w:p w14:paraId="148E39D4"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2,323 </w:t>
            </w:r>
          </w:p>
        </w:tc>
      </w:tr>
      <w:tr w:rsidR="000E07C7" w:rsidRPr="000E07C7" w14:paraId="7188EE6A" w14:textId="77777777" w:rsidTr="00213552">
        <w:tc>
          <w:tcPr>
            <w:tcW w:w="4008" w:type="dxa"/>
            <w:shd w:val="clear" w:color="auto" w:fill="auto"/>
            <w:vAlign w:val="bottom"/>
          </w:tcPr>
          <w:p w14:paraId="41638F17" w14:textId="77777777" w:rsidR="000E07C7" w:rsidRPr="000E07C7" w:rsidRDefault="000E07C7" w:rsidP="000E07C7">
            <w:pPr>
              <w:spacing w:after="0"/>
              <w:rPr>
                <w:rFonts w:cs="Arial"/>
                <w:lang w:val="ga-IE" w:eastAsia="en-GB"/>
              </w:rPr>
            </w:pPr>
          </w:p>
        </w:tc>
        <w:tc>
          <w:tcPr>
            <w:tcW w:w="992" w:type="dxa"/>
            <w:vAlign w:val="bottom"/>
          </w:tcPr>
          <w:p w14:paraId="23752FFC" w14:textId="77777777" w:rsidR="000E07C7" w:rsidRPr="000E07C7" w:rsidRDefault="000E07C7" w:rsidP="000E07C7">
            <w:pPr>
              <w:spacing w:after="0"/>
              <w:jc w:val="center"/>
              <w:rPr>
                <w:rFonts w:cs="Arial"/>
                <w:lang w:val="ga-IE" w:eastAsia="en-GB"/>
              </w:rPr>
            </w:pPr>
          </w:p>
        </w:tc>
        <w:tc>
          <w:tcPr>
            <w:tcW w:w="1611" w:type="dxa"/>
            <w:vAlign w:val="bottom"/>
          </w:tcPr>
          <w:p w14:paraId="61BEAD16" w14:textId="77777777" w:rsidR="000E07C7" w:rsidRPr="000E07C7" w:rsidRDefault="000E07C7" w:rsidP="000E07C7">
            <w:pPr>
              <w:spacing w:after="0"/>
              <w:jc w:val="right"/>
              <w:rPr>
                <w:rFonts w:cs="Arial"/>
                <w:b/>
                <w:lang w:val="ga-IE" w:eastAsia="en-GB"/>
              </w:rPr>
            </w:pPr>
            <w:r w:rsidRPr="000E07C7">
              <w:rPr>
                <w:rFonts w:cs="Arial"/>
                <w:b/>
                <w:lang w:val="ga-IE" w:eastAsia="en-GB"/>
              </w:rPr>
              <w:t>307,383</w:t>
            </w:r>
          </w:p>
        </w:tc>
        <w:tc>
          <w:tcPr>
            <w:tcW w:w="1542" w:type="dxa"/>
            <w:vAlign w:val="bottom"/>
          </w:tcPr>
          <w:p w14:paraId="6B031D53" w14:textId="77777777" w:rsidR="000E07C7" w:rsidRPr="000E07C7" w:rsidRDefault="000E07C7" w:rsidP="000E07C7">
            <w:pPr>
              <w:spacing w:after="0"/>
              <w:jc w:val="right"/>
              <w:rPr>
                <w:rFonts w:cs="Arial"/>
                <w:b/>
                <w:lang w:val="ga-IE" w:eastAsia="en-GB"/>
              </w:rPr>
            </w:pPr>
            <w:r w:rsidRPr="000E07C7">
              <w:rPr>
                <w:rFonts w:cs="Arial"/>
                <w:b/>
                <w:lang w:val="ga-IE" w:eastAsia="en-GB"/>
              </w:rPr>
              <w:t xml:space="preserve">261,798 </w:t>
            </w:r>
          </w:p>
        </w:tc>
      </w:tr>
      <w:tr w:rsidR="000E07C7" w:rsidRPr="000E07C7" w14:paraId="0838003C" w14:textId="77777777" w:rsidTr="000E07C7">
        <w:tc>
          <w:tcPr>
            <w:tcW w:w="8153" w:type="dxa"/>
            <w:gridSpan w:val="4"/>
            <w:shd w:val="clear" w:color="auto" w:fill="auto"/>
            <w:vAlign w:val="bottom"/>
          </w:tcPr>
          <w:p w14:paraId="2D2F3CB0" w14:textId="77777777" w:rsidR="000E07C7" w:rsidRPr="000E07C7" w:rsidRDefault="000E07C7" w:rsidP="000E07C7">
            <w:pPr>
              <w:pStyle w:val="TableHead"/>
              <w:rPr>
                <w:sz w:val="24"/>
                <w:lang w:val="ga-IE" w:eastAsia="en-GB"/>
              </w:rPr>
            </w:pPr>
            <w:r w:rsidRPr="000E07C7">
              <w:rPr>
                <w:sz w:val="24"/>
                <w:lang w:val="ga-IE" w:eastAsia="en-GB"/>
              </w:rPr>
              <w:t>Dliteanais Reatha</w:t>
            </w:r>
          </w:p>
        </w:tc>
      </w:tr>
      <w:tr w:rsidR="000E07C7" w:rsidRPr="000E07C7" w14:paraId="242FDAE7" w14:textId="77777777" w:rsidTr="00213552">
        <w:tc>
          <w:tcPr>
            <w:tcW w:w="4008" w:type="dxa"/>
            <w:shd w:val="clear" w:color="auto" w:fill="auto"/>
            <w:vAlign w:val="bottom"/>
          </w:tcPr>
          <w:p w14:paraId="676DBE8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Creidiúnaithe agus Fabhruithe</w:t>
            </w:r>
          </w:p>
        </w:tc>
        <w:tc>
          <w:tcPr>
            <w:tcW w:w="992" w:type="dxa"/>
            <w:vAlign w:val="bottom"/>
          </w:tcPr>
          <w:p w14:paraId="78336535" w14:textId="77777777" w:rsidR="000E07C7" w:rsidRPr="000E07C7" w:rsidRDefault="000E07C7" w:rsidP="000E07C7">
            <w:pPr>
              <w:spacing w:after="0"/>
              <w:jc w:val="center"/>
              <w:rPr>
                <w:rFonts w:cs="Arial"/>
                <w:lang w:val="ga-IE" w:eastAsia="en-GB"/>
              </w:rPr>
            </w:pPr>
            <w:r w:rsidRPr="000E07C7">
              <w:rPr>
                <w:rFonts w:cs="Arial"/>
                <w:lang w:val="ga-IE" w:eastAsia="en-GB"/>
              </w:rPr>
              <w:t>11</w:t>
            </w:r>
          </w:p>
        </w:tc>
        <w:tc>
          <w:tcPr>
            <w:tcW w:w="1611" w:type="dxa"/>
            <w:vAlign w:val="bottom"/>
          </w:tcPr>
          <w:p w14:paraId="66BEA17B" w14:textId="77777777" w:rsidR="000E07C7" w:rsidRPr="000E07C7" w:rsidRDefault="000E07C7" w:rsidP="000E07C7">
            <w:pPr>
              <w:spacing w:after="0"/>
              <w:jc w:val="right"/>
              <w:rPr>
                <w:rFonts w:cs="Arial"/>
                <w:lang w:val="ga-IE" w:eastAsia="en-GB"/>
              </w:rPr>
            </w:pPr>
            <w:r w:rsidRPr="000E07C7">
              <w:rPr>
                <w:rFonts w:cs="Arial"/>
                <w:lang w:val="ga-IE" w:eastAsia="en-GB"/>
              </w:rPr>
              <w:t>38,537</w:t>
            </w:r>
          </w:p>
        </w:tc>
        <w:tc>
          <w:tcPr>
            <w:tcW w:w="1542" w:type="dxa"/>
            <w:vAlign w:val="bottom"/>
          </w:tcPr>
          <w:p w14:paraId="3A45D602"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64,130 </w:t>
            </w:r>
          </w:p>
        </w:tc>
      </w:tr>
      <w:tr w:rsidR="000E07C7" w:rsidRPr="000E07C7" w14:paraId="39935476" w14:textId="77777777" w:rsidTr="00213552">
        <w:tc>
          <w:tcPr>
            <w:tcW w:w="4008" w:type="dxa"/>
            <w:shd w:val="clear" w:color="auto" w:fill="auto"/>
            <w:vAlign w:val="bottom"/>
          </w:tcPr>
          <w:p w14:paraId="5AED9108" w14:textId="77777777" w:rsidR="000E07C7" w:rsidRPr="000E07C7" w:rsidRDefault="000E07C7" w:rsidP="000E07C7">
            <w:pPr>
              <w:spacing w:after="0"/>
              <w:rPr>
                <w:rFonts w:cs="Arial"/>
                <w:lang w:val="ga-IE" w:eastAsia="en-GB"/>
              </w:rPr>
            </w:pPr>
          </w:p>
        </w:tc>
        <w:tc>
          <w:tcPr>
            <w:tcW w:w="992" w:type="dxa"/>
            <w:vAlign w:val="bottom"/>
          </w:tcPr>
          <w:p w14:paraId="66E1B3D3" w14:textId="77777777" w:rsidR="000E07C7" w:rsidRPr="000E07C7" w:rsidRDefault="000E07C7" w:rsidP="000E07C7">
            <w:pPr>
              <w:spacing w:after="0"/>
              <w:jc w:val="center"/>
              <w:rPr>
                <w:rFonts w:cs="Arial"/>
                <w:lang w:val="ga-IE" w:eastAsia="en-GB"/>
              </w:rPr>
            </w:pPr>
            <w:r w:rsidRPr="000E07C7">
              <w:rPr>
                <w:rFonts w:cs="Arial"/>
                <w:lang w:val="ga-IE" w:eastAsia="en-GB"/>
              </w:rPr>
              <w:t xml:space="preserve"> </w:t>
            </w:r>
          </w:p>
        </w:tc>
        <w:tc>
          <w:tcPr>
            <w:tcW w:w="1611" w:type="dxa"/>
            <w:vAlign w:val="bottom"/>
          </w:tcPr>
          <w:p w14:paraId="7BBC9046" w14:textId="77777777" w:rsidR="000E07C7" w:rsidRPr="000E07C7" w:rsidRDefault="000E07C7" w:rsidP="000E07C7">
            <w:pPr>
              <w:spacing w:after="0"/>
              <w:jc w:val="right"/>
              <w:rPr>
                <w:rFonts w:cs="Arial"/>
                <w:b/>
                <w:lang w:val="ga-IE" w:eastAsia="en-GB"/>
              </w:rPr>
            </w:pPr>
            <w:r w:rsidRPr="000E07C7">
              <w:rPr>
                <w:rFonts w:cs="Arial"/>
                <w:b/>
                <w:lang w:val="ga-IE" w:eastAsia="en-GB"/>
              </w:rPr>
              <w:t>38,537</w:t>
            </w:r>
          </w:p>
        </w:tc>
        <w:tc>
          <w:tcPr>
            <w:tcW w:w="1542" w:type="dxa"/>
            <w:vAlign w:val="bottom"/>
          </w:tcPr>
          <w:p w14:paraId="0BF7B97B" w14:textId="77777777" w:rsidR="000E07C7" w:rsidRPr="000E07C7" w:rsidRDefault="000E07C7" w:rsidP="000E07C7">
            <w:pPr>
              <w:spacing w:after="0"/>
              <w:jc w:val="right"/>
              <w:rPr>
                <w:rFonts w:cs="Arial"/>
                <w:b/>
                <w:lang w:val="ga-IE" w:eastAsia="en-GB"/>
              </w:rPr>
            </w:pPr>
            <w:r w:rsidRPr="000E07C7">
              <w:rPr>
                <w:rFonts w:cs="Arial"/>
                <w:b/>
                <w:lang w:val="ga-IE" w:eastAsia="en-GB"/>
              </w:rPr>
              <w:t xml:space="preserve">64,130 </w:t>
            </w:r>
          </w:p>
        </w:tc>
      </w:tr>
      <w:tr w:rsidR="000E07C7" w:rsidRPr="000E07C7" w14:paraId="57425954" w14:textId="77777777" w:rsidTr="00213552">
        <w:tc>
          <w:tcPr>
            <w:tcW w:w="4008" w:type="dxa"/>
            <w:shd w:val="clear" w:color="auto" w:fill="auto"/>
            <w:vAlign w:val="bottom"/>
          </w:tcPr>
          <w:p w14:paraId="641C163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Glansócmhainní Reatha</w:t>
            </w:r>
          </w:p>
        </w:tc>
        <w:tc>
          <w:tcPr>
            <w:tcW w:w="992" w:type="dxa"/>
            <w:vAlign w:val="bottom"/>
          </w:tcPr>
          <w:p w14:paraId="248D5D01" w14:textId="77777777" w:rsidR="000E07C7" w:rsidRPr="000E07C7" w:rsidRDefault="000E07C7" w:rsidP="000E07C7">
            <w:pPr>
              <w:spacing w:after="0"/>
              <w:jc w:val="center"/>
              <w:rPr>
                <w:rFonts w:cs="Arial"/>
                <w:lang w:val="ga-IE" w:eastAsia="en-GB"/>
              </w:rPr>
            </w:pPr>
            <w:r w:rsidRPr="000E07C7">
              <w:rPr>
                <w:rFonts w:cs="Arial"/>
                <w:lang w:val="ga-IE" w:eastAsia="en-GB"/>
              </w:rPr>
              <w:t xml:space="preserve"> </w:t>
            </w:r>
          </w:p>
        </w:tc>
        <w:tc>
          <w:tcPr>
            <w:tcW w:w="1611" w:type="dxa"/>
            <w:vAlign w:val="bottom"/>
          </w:tcPr>
          <w:p w14:paraId="5E35B01A" w14:textId="77777777" w:rsidR="000E07C7" w:rsidRPr="000E07C7" w:rsidRDefault="000E07C7" w:rsidP="000E07C7">
            <w:pPr>
              <w:spacing w:after="0"/>
              <w:jc w:val="right"/>
              <w:rPr>
                <w:rFonts w:cs="Arial"/>
                <w:b/>
                <w:lang w:val="ga-IE" w:eastAsia="en-GB"/>
              </w:rPr>
            </w:pPr>
            <w:r w:rsidRPr="000E07C7">
              <w:rPr>
                <w:rFonts w:cs="Arial"/>
                <w:b/>
                <w:lang w:val="ga-IE" w:eastAsia="en-GB"/>
              </w:rPr>
              <w:t>268,846</w:t>
            </w:r>
          </w:p>
        </w:tc>
        <w:tc>
          <w:tcPr>
            <w:tcW w:w="1542" w:type="dxa"/>
            <w:vAlign w:val="bottom"/>
          </w:tcPr>
          <w:p w14:paraId="4CB1ACE3" w14:textId="77777777" w:rsidR="000E07C7" w:rsidRPr="000E07C7" w:rsidRDefault="000E07C7" w:rsidP="000E07C7">
            <w:pPr>
              <w:spacing w:after="0"/>
              <w:jc w:val="right"/>
              <w:rPr>
                <w:rFonts w:cs="Arial"/>
                <w:b/>
                <w:lang w:val="ga-IE" w:eastAsia="en-GB"/>
              </w:rPr>
            </w:pPr>
            <w:r w:rsidRPr="000E07C7">
              <w:rPr>
                <w:rFonts w:cs="Arial"/>
                <w:b/>
                <w:lang w:val="ga-IE" w:eastAsia="en-GB"/>
              </w:rPr>
              <w:t xml:space="preserve">197,668 </w:t>
            </w:r>
          </w:p>
        </w:tc>
      </w:tr>
      <w:tr w:rsidR="000E07C7" w:rsidRPr="000E07C7" w14:paraId="61ED716E" w14:textId="77777777" w:rsidTr="00213552">
        <w:tc>
          <w:tcPr>
            <w:tcW w:w="4008" w:type="dxa"/>
            <w:shd w:val="clear" w:color="auto" w:fill="auto"/>
            <w:vAlign w:val="bottom"/>
          </w:tcPr>
          <w:p w14:paraId="2769D5B1"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Sócmhainní Iomlána lúide Dliteanais roimh Phinsin</w:t>
            </w:r>
          </w:p>
        </w:tc>
        <w:tc>
          <w:tcPr>
            <w:tcW w:w="992" w:type="dxa"/>
            <w:vAlign w:val="bottom"/>
          </w:tcPr>
          <w:p w14:paraId="2237A98A" w14:textId="77777777" w:rsidR="000E07C7" w:rsidRPr="000E07C7" w:rsidRDefault="000E07C7" w:rsidP="000E07C7">
            <w:pPr>
              <w:spacing w:after="0"/>
              <w:jc w:val="center"/>
              <w:rPr>
                <w:rFonts w:cs="Arial"/>
                <w:lang w:val="ga-IE" w:eastAsia="en-GB"/>
              </w:rPr>
            </w:pPr>
          </w:p>
        </w:tc>
        <w:tc>
          <w:tcPr>
            <w:tcW w:w="1611" w:type="dxa"/>
            <w:vAlign w:val="bottom"/>
          </w:tcPr>
          <w:p w14:paraId="4C6FDC7D" w14:textId="77777777" w:rsidR="000E07C7" w:rsidRPr="000E07C7" w:rsidRDefault="000E07C7" w:rsidP="000E07C7">
            <w:pPr>
              <w:spacing w:after="0"/>
              <w:jc w:val="right"/>
              <w:rPr>
                <w:rFonts w:cs="Arial"/>
                <w:lang w:val="ga-IE" w:eastAsia="en-GB"/>
              </w:rPr>
            </w:pPr>
            <w:r w:rsidRPr="000E07C7">
              <w:rPr>
                <w:rFonts w:cs="Arial"/>
                <w:lang w:val="ga-IE" w:eastAsia="en-GB"/>
              </w:rPr>
              <w:t>3,076,555</w:t>
            </w:r>
          </w:p>
        </w:tc>
        <w:tc>
          <w:tcPr>
            <w:tcW w:w="1542" w:type="dxa"/>
            <w:vAlign w:val="bottom"/>
          </w:tcPr>
          <w:p w14:paraId="7A6A7A94"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3,067,135 </w:t>
            </w:r>
          </w:p>
        </w:tc>
      </w:tr>
      <w:tr w:rsidR="000E07C7" w:rsidRPr="000E07C7" w14:paraId="0BE7B11F" w14:textId="77777777" w:rsidTr="00213552">
        <w:tc>
          <w:tcPr>
            <w:tcW w:w="4008" w:type="dxa"/>
            <w:shd w:val="clear" w:color="auto" w:fill="auto"/>
            <w:vAlign w:val="bottom"/>
          </w:tcPr>
          <w:p w14:paraId="6D2577ED"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Sócmhainn Mhaoinithe Iarchurtha le haghaidh Pinsean</w:t>
            </w:r>
          </w:p>
        </w:tc>
        <w:tc>
          <w:tcPr>
            <w:tcW w:w="992" w:type="dxa"/>
            <w:vAlign w:val="bottom"/>
          </w:tcPr>
          <w:p w14:paraId="5176BFAD" w14:textId="77777777" w:rsidR="000E07C7" w:rsidRPr="000E07C7" w:rsidRDefault="000E07C7" w:rsidP="000E07C7">
            <w:pPr>
              <w:spacing w:after="0"/>
              <w:jc w:val="center"/>
              <w:rPr>
                <w:rFonts w:cs="Arial"/>
                <w:lang w:val="ga-IE" w:eastAsia="en-GB"/>
              </w:rPr>
            </w:pPr>
            <w:r w:rsidRPr="000E07C7">
              <w:rPr>
                <w:rFonts w:cs="Arial"/>
                <w:lang w:val="ga-IE" w:eastAsia="en-GB"/>
              </w:rPr>
              <w:t>10(d)</w:t>
            </w:r>
          </w:p>
        </w:tc>
        <w:tc>
          <w:tcPr>
            <w:tcW w:w="1611" w:type="dxa"/>
            <w:vAlign w:val="bottom"/>
          </w:tcPr>
          <w:p w14:paraId="53A41DFF" w14:textId="77777777" w:rsidR="000E07C7" w:rsidRPr="000E07C7" w:rsidRDefault="000E07C7" w:rsidP="000E07C7">
            <w:pPr>
              <w:spacing w:after="0"/>
              <w:jc w:val="right"/>
              <w:rPr>
                <w:rFonts w:cs="Arial"/>
                <w:lang w:val="ga-IE" w:eastAsia="en-GB"/>
              </w:rPr>
            </w:pPr>
            <w:r w:rsidRPr="000E07C7">
              <w:rPr>
                <w:rFonts w:cs="Arial"/>
                <w:lang w:val="ga-IE" w:eastAsia="en-GB"/>
              </w:rPr>
              <w:t>(16,600,000)</w:t>
            </w:r>
          </w:p>
        </w:tc>
        <w:tc>
          <w:tcPr>
            <w:tcW w:w="1542" w:type="dxa"/>
            <w:vAlign w:val="bottom"/>
          </w:tcPr>
          <w:p w14:paraId="5A1FAAC8" w14:textId="77777777" w:rsidR="000E07C7" w:rsidRPr="000E07C7" w:rsidRDefault="000E07C7" w:rsidP="000E07C7">
            <w:pPr>
              <w:spacing w:after="0"/>
              <w:jc w:val="right"/>
              <w:rPr>
                <w:rFonts w:cs="Arial"/>
                <w:lang w:val="ga-IE" w:eastAsia="en-GB"/>
              </w:rPr>
            </w:pPr>
            <w:r w:rsidRPr="000E07C7">
              <w:rPr>
                <w:rFonts w:cs="Arial"/>
                <w:lang w:val="ga-IE" w:eastAsia="en-GB"/>
              </w:rPr>
              <w:t>(16,800,000)</w:t>
            </w:r>
          </w:p>
        </w:tc>
      </w:tr>
      <w:tr w:rsidR="000E07C7" w:rsidRPr="000E07C7" w14:paraId="29BD4895" w14:textId="77777777" w:rsidTr="00213552">
        <w:tc>
          <w:tcPr>
            <w:tcW w:w="4008" w:type="dxa"/>
            <w:shd w:val="clear" w:color="auto" w:fill="auto"/>
            <w:vAlign w:val="bottom"/>
          </w:tcPr>
          <w:p w14:paraId="5282AC6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Dliteanais Phinsin</w:t>
            </w:r>
          </w:p>
        </w:tc>
        <w:tc>
          <w:tcPr>
            <w:tcW w:w="992" w:type="dxa"/>
            <w:vAlign w:val="bottom"/>
          </w:tcPr>
          <w:p w14:paraId="7A1CE9D2" w14:textId="77777777" w:rsidR="000E07C7" w:rsidRPr="000E07C7" w:rsidRDefault="000E07C7" w:rsidP="000E07C7">
            <w:pPr>
              <w:spacing w:after="0"/>
              <w:jc w:val="center"/>
              <w:rPr>
                <w:rFonts w:cs="Arial"/>
                <w:lang w:val="ga-IE" w:eastAsia="en-GB"/>
              </w:rPr>
            </w:pPr>
            <w:r w:rsidRPr="000E07C7">
              <w:rPr>
                <w:rFonts w:cs="Arial"/>
                <w:lang w:val="ga-IE" w:eastAsia="en-GB"/>
              </w:rPr>
              <w:t>10(e)</w:t>
            </w:r>
          </w:p>
        </w:tc>
        <w:tc>
          <w:tcPr>
            <w:tcW w:w="1611" w:type="dxa"/>
            <w:vAlign w:val="bottom"/>
          </w:tcPr>
          <w:p w14:paraId="4243078A"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16,600,000 </w:t>
            </w:r>
          </w:p>
        </w:tc>
        <w:tc>
          <w:tcPr>
            <w:tcW w:w="1542" w:type="dxa"/>
            <w:vAlign w:val="bottom"/>
          </w:tcPr>
          <w:p w14:paraId="2085027D"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16,800,000 </w:t>
            </w:r>
          </w:p>
        </w:tc>
      </w:tr>
      <w:tr w:rsidR="000E07C7" w:rsidRPr="000E07C7" w14:paraId="79C41094" w14:textId="77777777" w:rsidTr="00213552">
        <w:tc>
          <w:tcPr>
            <w:tcW w:w="4008" w:type="dxa"/>
            <w:shd w:val="clear" w:color="auto" w:fill="auto"/>
            <w:vAlign w:val="bottom"/>
          </w:tcPr>
          <w:p w14:paraId="5D96476E" w14:textId="77777777" w:rsidR="000E07C7" w:rsidRPr="000E07C7" w:rsidRDefault="000E07C7" w:rsidP="000E07C7">
            <w:pPr>
              <w:pStyle w:val="TableRowHead"/>
              <w:rPr>
                <w:rFonts w:ascii="Gill Sans" w:hAnsi="Gill Sans"/>
                <w:sz w:val="24"/>
                <w:lang w:val="ga-IE" w:eastAsia="en-GB"/>
              </w:rPr>
            </w:pPr>
          </w:p>
        </w:tc>
        <w:tc>
          <w:tcPr>
            <w:tcW w:w="992" w:type="dxa"/>
            <w:vAlign w:val="bottom"/>
          </w:tcPr>
          <w:p w14:paraId="693F35DA" w14:textId="77777777" w:rsidR="000E07C7" w:rsidRPr="000E07C7" w:rsidRDefault="000E07C7" w:rsidP="000E07C7">
            <w:pPr>
              <w:spacing w:after="0"/>
              <w:jc w:val="center"/>
              <w:rPr>
                <w:rFonts w:cs="Arial"/>
                <w:lang w:val="ga-IE" w:eastAsia="en-GB"/>
              </w:rPr>
            </w:pPr>
          </w:p>
        </w:tc>
        <w:tc>
          <w:tcPr>
            <w:tcW w:w="1611" w:type="dxa"/>
            <w:vAlign w:val="bottom"/>
          </w:tcPr>
          <w:p w14:paraId="3901E5CE" w14:textId="77777777" w:rsidR="000E07C7" w:rsidRPr="000E07C7" w:rsidRDefault="000E07C7" w:rsidP="000E07C7">
            <w:pPr>
              <w:spacing w:after="0"/>
              <w:jc w:val="right"/>
              <w:rPr>
                <w:rFonts w:cs="Arial"/>
                <w:b/>
                <w:lang w:val="ga-IE" w:eastAsia="en-GB"/>
              </w:rPr>
            </w:pPr>
            <w:r w:rsidRPr="000E07C7">
              <w:rPr>
                <w:rFonts w:cs="Arial"/>
                <w:b/>
                <w:lang w:val="ga-IE" w:eastAsia="en-GB"/>
              </w:rPr>
              <w:t>3,076,555</w:t>
            </w:r>
          </w:p>
        </w:tc>
        <w:tc>
          <w:tcPr>
            <w:tcW w:w="1542" w:type="dxa"/>
            <w:vAlign w:val="bottom"/>
          </w:tcPr>
          <w:p w14:paraId="18D9E21C" w14:textId="77777777" w:rsidR="000E07C7" w:rsidRPr="000E07C7" w:rsidRDefault="000E07C7" w:rsidP="000E07C7">
            <w:pPr>
              <w:spacing w:after="0"/>
              <w:jc w:val="right"/>
              <w:rPr>
                <w:rFonts w:cs="Arial"/>
                <w:b/>
                <w:lang w:val="ga-IE" w:eastAsia="en-GB"/>
              </w:rPr>
            </w:pPr>
            <w:r w:rsidRPr="000E07C7">
              <w:rPr>
                <w:rFonts w:cs="Arial"/>
                <w:b/>
                <w:lang w:val="ga-IE" w:eastAsia="en-GB"/>
              </w:rPr>
              <w:t xml:space="preserve">3,067,135 </w:t>
            </w:r>
          </w:p>
        </w:tc>
      </w:tr>
      <w:tr w:rsidR="000E07C7" w:rsidRPr="000E07C7" w14:paraId="79794F7F" w14:textId="77777777" w:rsidTr="000E07C7">
        <w:tc>
          <w:tcPr>
            <w:tcW w:w="8153" w:type="dxa"/>
            <w:gridSpan w:val="4"/>
            <w:shd w:val="clear" w:color="auto" w:fill="auto"/>
            <w:vAlign w:val="bottom"/>
          </w:tcPr>
          <w:p w14:paraId="71BCF7BF" w14:textId="77777777" w:rsidR="000E07C7" w:rsidRPr="000E07C7" w:rsidRDefault="000E07C7" w:rsidP="000E07C7">
            <w:pPr>
              <w:pStyle w:val="TableHead"/>
              <w:rPr>
                <w:rFonts w:cs="Arial"/>
                <w:sz w:val="24"/>
                <w:lang w:val="ga-IE" w:eastAsia="en-GB"/>
              </w:rPr>
            </w:pPr>
            <w:r w:rsidRPr="000E07C7">
              <w:rPr>
                <w:sz w:val="24"/>
                <w:lang w:val="ga-IE" w:eastAsia="en-GB"/>
              </w:rPr>
              <w:t>Arna léiriú ag:</w:t>
            </w:r>
          </w:p>
        </w:tc>
      </w:tr>
      <w:tr w:rsidR="000E07C7" w:rsidRPr="000E07C7" w14:paraId="09AC3038" w14:textId="77777777" w:rsidTr="00213552">
        <w:tc>
          <w:tcPr>
            <w:tcW w:w="4008" w:type="dxa"/>
            <w:shd w:val="clear" w:color="auto" w:fill="auto"/>
            <w:vAlign w:val="bottom"/>
          </w:tcPr>
          <w:p w14:paraId="3DEBB7BE"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An Cuntas Caipitil</w:t>
            </w:r>
          </w:p>
        </w:tc>
        <w:tc>
          <w:tcPr>
            <w:tcW w:w="992" w:type="dxa"/>
            <w:vAlign w:val="bottom"/>
          </w:tcPr>
          <w:p w14:paraId="16F4D090" w14:textId="77777777" w:rsidR="000E07C7" w:rsidRPr="000E07C7" w:rsidRDefault="000E07C7" w:rsidP="000E07C7">
            <w:pPr>
              <w:spacing w:after="0"/>
              <w:jc w:val="center"/>
              <w:rPr>
                <w:rFonts w:cs="Arial"/>
                <w:lang w:val="ga-IE" w:eastAsia="en-GB"/>
              </w:rPr>
            </w:pPr>
            <w:r w:rsidRPr="000E07C7">
              <w:rPr>
                <w:rFonts w:cs="Arial"/>
                <w:lang w:val="ga-IE" w:eastAsia="en-GB"/>
              </w:rPr>
              <w:t>8</w:t>
            </w:r>
          </w:p>
        </w:tc>
        <w:tc>
          <w:tcPr>
            <w:tcW w:w="1611" w:type="dxa"/>
            <w:vAlign w:val="bottom"/>
          </w:tcPr>
          <w:p w14:paraId="48F1E44D" w14:textId="77777777" w:rsidR="000E07C7" w:rsidRPr="000E07C7" w:rsidRDefault="000E07C7" w:rsidP="000E07C7">
            <w:pPr>
              <w:spacing w:after="0"/>
              <w:jc w:val="right"/>
              <w:rPr>
                <w:rFonts w:cs="Arial"/>
                <w:lang w:val="ga-IE" w:eastAsia="en-GB"/>
              </w:rPr>
            </w:pPr>
            <w:r w:rsidRPr="000E07C7">
              <w:rPr>
                <w:rFonts w:cs="Arial"/>
                <w:lang w:val="ga-IE" w:eastAsia="en-GB"/>
              </w:rPr>
              <w:t>2,807,709</w:t>
            </w:r>
          </w:p>
        </w:tc>
        <w:tc>
          <w:tcPr>
            <w:tcW w:w="1542" w:type="dxa"/>
            <w:vAlign w:val="bottom"/>
          </w:tcPr>
          <w:p w14:paraId="02D03C76"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2,869,467 </w:t>
            </w:r>
          </w:p>
        </w:tc>
      </w:tr>
      <w:tr w:rsidR="000E07C7" w:rsidRPr="000E07C7" w14:paraId="5F7B7698" w14:textId="77777777" w:rsidTr="00213552">
        <w:tc>
          <w:tcPr>
            <w:tcW w:w="4008" w:type="dxa"/>
            <w:shd w:val="clear" w:color="auto" w:fill="auto"/>
          </w:tcPr>
          <w:p w14:paraId="2DC29469" w14:textId="77777777" w:rsidR="000E07C7" w:rsidRPr="000E07C7" w:rsidRDefault="000E07C7" w:rsidP="000E07C7">
            <w:pPr>
              <w:pStyle w:val="TableRowHead"/>
              <w:rPr>
                <w:rFonts w:ascii="Gill Sans" w:hAnsi="Gill Sans"/>
                <w:sz w:val="24"/>
                <w:lang w:val="ga-IE"/>
              </w:rPr>
            </w:pPr>
            <w:r w:rsidRPr="000E07C7">
              <w:rPr>
                <w:rFonts w:ascii="Gill Sans" w:hAnsi="Gill Sans"/>
                <w:sz w:val="24"/>
                <w:lang w:val="ga-IE" w:eastAsia="en-GB"/>
              </w:rPr>
              <w:t>Barrachas a Coimeádadh ar an gCuntas Ioncaim agus Caiteachais</w:t>
            </w:r>
          </w:p>
        </w:tc>
        <w:tc>
          <w:tcPr>
            <w:tcW w:w="992" w:type="dxa"/>
            <w:vAlign w:val="bottom"/>
          </w:tcPr>
          <w:p w14:paraId="1CC4563B" w14:textId="77777777" w:rsidR="000E07C7" w:rsidRPr="000E07C7" w:rsidRDefault="000E07C7" w:rsidP="000E07C7">
            <w:pPr>
              <w:spacing w:after="0"/>
              <w:jc w:val="center"/>
              <w:rPr>
                <w:rFonts w:cs="Arial"/>
                <w:lang w:val="ga-IE" w:eastAsia="en-GB"/>
              </w:rPr>
            </w:pPr>
            <w:r w:rsidRPr="000E07C7">
              <w:rPr>
                <w:rFonts w:cs="Arial"/>
                <w:lang w:val="ga-IE" w:eastAsia="en-GB"/>
              </w:rPr>
              <w:t>13</w:t>
            </w:r>
          </w:p>
        </w:tc>
        <w:tc>
          <w:tcPr>
            <w:tcW w:w="1611" w:type="dxa"/>
            <w:vAlign w:val="bottom"/>
          </w:tcPr>
          <w:p w14:paraId="332CD4B6" w14:textId="77777777" w:rsidR="000E07C7" w:rsidRPr="000E07C7" w:rsidRDefault="000E07C7" w:rsidP="000E07C7">
            <w:pPr>
              <w:spacing w:after="0"/>
              <w:jc w:val="right"/>
              <w:rPr>
                <w:rFonts w:cs="Arial"/>
                <w:lang w:val="ga-IE" w:eastAsia="en-GB"/>
              </w:rPr>
            </w:pPr>
            <w:r w:rsidRPr="000E07C7">
              <w:rPr>
                <w:rFonts w:cs="Arial"/>
                <w:lang w:val="ga-IE" w:eastAsia="en-GB"/>
              </w:rPr>
              <w:t>268,846</w:t>
            </w:r>
          </w:p>
        </w:tc>
        <w:tc>
          <w:tcPr>
            <w:tcW w:w="1542" w:type="dxa"/>
            <w:vAlign w:val="bottom"/>
          </w:tcPr>
          <w:p w14:paraId="59E91FF2"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197,668 </w:t>
            </w:r>
          </w:p>
        </w:tc>
      </w:tr>
      <w:tr w:rsidR="000E07C7" w:rsidRPr="000E07C7" w14:paraId="1591DE98" w14:textId="77777777" w:rsidTr="00213552">
        <w:tc>
          <w:tcPr>
            <w:tcW w:w="4008" w:type="dxa"/>
            <w:shd w:val="clear" w:color="auto" w:fill="auto"/>
          </w:tcPr>
          <w:p w14:paraId="1E818820" w14:textId="77777777" w:rsidR="000E07C7" w:rsidRPr="000E07C7" w:rsidRDefault="000E07C7" w:rsidP="000E07C7">
            <w:pPr>
              <w:pStyle w:val="TableRowHead"/>
              <w:rPr>
                <w:rFonts w:ascii="Gill Sans" w:hAnsi="Gill Sans"/>
                <w:sz w:val="24"/>
                <w:lang w:val="ga-IE"/>
              </w:rPr>
            </w:pPr>
          </w:p>
        </w:tc>
        <w:tc>
          <w:tcPr>
            <w:tcW w:w="992" w:type="dxa"/>
            <w:vAlign w:val="bottom"/>
          </w:tcPr>
          <w:p w14:paraId="6A500478" w14:textId="77777777" w:rsidR="000E07C7" w:rsidRPr="000E07C7" w:rsidRDefault="000E07C7" w:rsidP="000E07C7">
            <w:pPr>
              <w:spacing w:after="0"/>
              <w:jc w:val="center"/>
              <w:rPr>
                <w:rFonts w:cs="Arial"/>
                <w:lang w:val="ga-IE" w:eastAsia="en-GB"/>
              </w:rPr>
            </w:pPr>
          </w:p>
        </w:tc>
        <w:tc>
          <w:tcPr>
            <w:tcW w:w="1611" w:type="dxa"/>
            <w:vAlign w:val="bottom"/>
          </w:tcPr>
          <w:p w14:paraId="1AC86F6D" w14:textId="77777777" w:rsidR="000E07C7" w:rsidRPr="000E07C7" w:rsidRDefault="000E07C7" w:rsidP="000E07C7">
            <w:pPr>
              <w:spacing w:after="0"/>
              <w:jc w:val="right"/>
              <w:rPr>
                <w:rFonts w:cs="Arial"/>
                <w:b/>
                <w:lang w:val="ga-IE" w:eastAsia="en-GB"/>
              </w:rPr>
            </w:pPr>
            <w:r w:rsidRPr="000E07C7">
              <w:rPr>
                <w:rFonts w:cs="Arial"/>
                <w:b/>
                <w:lang w:val="ga-IE" w:eastAsia="en-GB"/>
              </w:rPr>
              <w:t>3,076,555</w:t>
            </w:r>
          </w:p>
        </w:tc>
        <w:tc>
          <w:tcPr>
            <w:tcW w:w="1542" w:type="dxa"/>
            <w:vAlign w:val="bottom"/>
          </w:tcPr>
          <w:p w14:paraId="1667576E" w14:textId="77777777" w:rsidR="000E07C7" w:rsidRPr="000E07C7" w:rsidRDefault="000E07C7" w:rsidP="000E07C7">
            <w:pPr>
              <w:spacing w:after="0"/>
              <w:jc w:val="right"/>
              <w:rPr>
                <w:rFonts w:cs="Arial"/>
                <w:b/>
                <w:lang w:val="ga-IE" w:eastAsia="en-GB"/>
              </w:rPr>
            </w:pPr>
            <w:r w:rsidRPr="000E07C7">
              <w:rPr>
                <w:rFonts w:cs="Arial"/>
                <w:b/>
                <w:lang w:val="ga-IE" w:eastAsia="en-GB"/>
              </w:rPr>
              <w:t xml:space="preserve">3,067,135 </w:t>
            </w:r>
          </w:p>
        </w:tc>
      </w:tr>
    </w:tbl>
    <w:p w14:paraId="18153993" w14:textId="77777777" w:rsidR="000E07C7" w:rsidRPr="000E07C7" w:rsidRDefault="000E07C7" w:rsidP="000E07C7">
      <w:pPr>
        <w:rPr>
          <w:lang w:val="ga-IE" w:eastAsia="en-GB"/>
        </w:rPr>
      </w:pPr>
      <w:r w:rsidRPr="000E07C7">
        <w:rPr>
          <w:lang w:val="ga-IE" w:eastAsia="en-GB"/>
        </w:rPr>
        <w:br/>
        <w:t>Tá an Ráiteas ar Bheartais Chuntasaíochta, an Ráiteas ar Shreabhadh Airgid agus Nótaí 1 go dtí 16 ina gcuid de na Ráitis Airgeadais seo.</w:t>
      </w:r>
    </w:p>
    <w:p w14:paraId="014E7367" w14:textId="77777777" w:rsidR="000E07C7" w:rsidRPr="000E07C7" w:rsidRDefault="000E07C7" w:rsidP="000E07C7">
      <w:pPr>
        <w:ind w:left="1440" w:hanging="1440"/>
        <w:rPr>
          <w:lang w:val="ga-IE" w:eastAsia="en-GB"/>
        </w:rPr>
      </w:pPr>
      <w:r w:rsidRPr="000E07C7">
        <w:rPr>
          <w:lang w:val="ga-IE" w:eastAsia="en-GB"/>
        </w:rPr>
        <w:t>Sínithe:</w:t>
      </w:r>
      <w:r w:rsidRPr="000E07C7">
        <w:rPr>
          <w:lang w:val="ga-IE" w:eastAsia="en-GB"/>
        </w:rPr>
        <w:tab/>
        <w:t>________________</w:t>
      </w:r>
      <w:r w:rsidRPr="000E07C7">
        <w:rPr>
          <w:lang w:val="ga-IE" w:eastAsia="en-GB"/>
        </w:rPr>
        <w:br/>
        <w:t xml:space="preserve">Helen </w:t>
      </w:r>
      <w:proofErr w:type="spellStart"/>
      <w:r w:rsidRPr="000E07C7">
        <w:rPr>
          <w:lang w:val="ga-IE" w:eastAsia="en-GB"/>
        </w:rPr>
        <w:t>Guinan</w:t>
      </w:r>
      <w:proofErr w:type="spellEnd"/>
      <w:r w:rsidRPr="000E07C7">
        <w:rPr>
          <w:lang w:val="ga-IE" w:eastAsia="en-GB"/>
        </w:rPr>
        <w:br/>
        <w:t>Cathaoirleach</w:t>
      </w:r>
    </w:p>
    <w:p w14:paraId="39ADF655" w14:textId="77777777" w:rsidR="000E07C7" w:rsidRPr="000E07C7" w:rsidRDefault="000E07C7" w:rsidP="000E07C7">
      <w:pPr>
        <w:keepLines/>
        <w:spacing w:after="120"/>
        <w:ind w:left="1440" w:hanging="1440"/>
        <w:rPr>
          <w:lang w:val="ga-IE" w:eastAsia="en-GB"/>
        </w:rPr>
      </w:pPr>
      <w:r w:rsidRPr="000E07C7">
        <w:rPr>
          <w:lang w:val="ga-IE" w:eastAsia="en-GB"/>
        </w:rPr>
        <w:t xml:space="preserve">Sínithe: </w:t>
      </w:r>
      <w:r w:rsidRPr="000E07C7">
        <w:rPr>
          <w:lang w:val="ga-IE" w:eastAsia="en-GB"/>
        </w:rPr>
        <w:tab/>
        <w:t>________________</w:t>
      </w:r>
      <w:r w:rsidRPr="000E07C7">
        <w:rPr>
          <w:lang w:val="ga-IE" w:eastAsia="en-GB"/>
        </w:rPr>
        <w:br/>
        <w:t xml:space="preserve">Frank </w:t>
      </w:r>
      <w:proofErr w:type="spellStart"/>
      <w:r w:rsidRPr="000E07C7">
        <w:rPr>
          <w:lang w:val="ga-IE" w:eastAsia="en-GB"/>
        </w:rPr>
        <w:t>Cunneen</w:t>
      </w:r>
      <w:proofErr w:type="spellEnd"/>
      <w:r w:rsidRPr="000E07C7">
        <w:rPr>
          <w:lang w:val="ga-IE" w:eastAsia="en-GB"/>
        </w:rPr>
        <w:br/>
        <w:t>Comhalta an Údaráis</w:t>
      </w:r>
    </w:p>
    <w:p w14:paraId="61CFF265" w14:textId="77777777" w:rsidR="000E07C7" w:rsidRPr="000E07C7" w:rsidRDefault="000E07C7" w:rsidP="000E07C7">
      <w:pPr>
        <w:ind w:left="1440" w:hanging="1440"/>
        <w:rPr>
          <w:lang w:val="ga-IE" w:eastAsia="en-GB"/>
        </w:rPr>
      </w:pPr>
      <w:r w:rsidRPr="000E07C7">
        <w:rPr>
          <w:lang w:val="ga-IE" w:eastAsia="en-GB"/>
        </w:rPr>
        <w:t>Sínithe:</w:t>
      </w:r>
      <w:r w:rsidRPr="000E07C7">
        <w:rPr>
          <w:lang w:val="ga-IE" w:eastAsia="en-GB"/>
        </w:rPr>
        <w:tab/>
        <w:t>________________</w:t>
      </w:r>
      <w:r w:rsidRPr="000E07C7">
        <w:rPr>
          <w:lang w:val="ga-IE" w:eastAsia="en-GB"/>
        </w:rPr>
        <w:br/>
        <w:t xml:space="preserve">Siobhán </w:t>
      </w:r>
      <w:proofErr w:type="spellStart"/>
      <w:r w:rsidRPr="000E07C7">
        <w:rPr>
          <w:lang w:val="ga-IE" w:eastAsia="en-GB"/>
        </w:rPr>
        <w:t>Barron</w:t>
      </w:r>
      <w:proofErr w:type="spellEnd"/>
      <w:r w:rsidRPr="000E07C7">
        <w:rPr>
          <w:lang w:val="ga-IE" w:eastAsia="en-GB"/>
        </w:rPr>
        <w:br/>
        <w:t>Stiúrthóir</w:t>
      </w:r>
    </w:p>
    <w:p w14:paraId="0192F7FE" w14:textId="77777777" w:rsidR="000E07C7" w:rsidRPr="000E07C7" w:rsidRDefault="000E07C7" w:rsidP="000E07C7">
      <w:pPr>
        <w:rPr>
          <w:lang w:val="ga-IE" w:eastAsia="en-GB"/>
        </w:rPr>
      </w:pPr>
      <w:r w:rsidRPr="000E07C7">
        <w:rPr>
          <w:lang w:val="ga-IE" w:eastAsia="en-GB"/>
        </w:rPr>
        <w:t>Dáta:</w:t>
      </w:r>
      <w:r w:rsidRPr="000E07C7">
        <w:rPr>
          <w:lang w:val="ga-IE" w:eastAsia="en-GB"/>
        </w:rPr>
        <w:tab/>
      </w:r>
      <w:r w:rsidRPr="000E07C7">
        <w:rPr>
          <w:lang w:val="ga-IE" w:eastAsia="en-GB"/>
        </w:rPr>
        <w:tab/>
        <w:t>________________</w:t>
      </w:r>
    </w:p>
    <w:p w14:paraId="7E4082F1" w14:textId="77777777" w:rsidR="000E07C7" w:rsidRPr="000E07C7" w:rsidRDefault="000E07C7" w:rsidP="000E07C7">
      <w:pPr>
        <w:pStyle w:val="Heading2"/>
        <w:rPr>
          <w:lang w:val="ga-IE" w:eastAsia="en-GB"/>
        </w:rPr>
      </w:pPr>
      <w:r w:rsidRPr="000E07C7">
        <w:rPr>
          <w:lang w:val="ga-IE" w:eastAsia="en-GB"/>
        </w:rPr>
        <w:lastRenderedPageBreak/>
        <w:t>An Ráiteas ar Shreabhadh Airgid don Bhliain dar críoch an 31 Nollaig 2014</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409"/>
        <w:gridCol w:w="1139"/>
        <w:gridCol w:w="1139"/>
        <w:gridCol w:w="1234"/>
      </w:tblGrid>
      <w:tr w:rsidR="000E07C7" w:rsidRPr="000E07C7" w14:paraId="54ED2EBE" w14:textId="77777777" w:rsidTr="000E07C7">
        <w:trPr>
          <w:tblHeader/>
        </w:trPr>
        <w:tc>
          <w:tcPr>
            <w:tcW w:w="4548" w:type="dxa"/>
            <w:shd w:val="clear" w:color="auto" w:fill="auto"/>
            <w:vAlign w:val="bottom"/>
          </w:tcPr>
          <w:p w14:paraId="0BEC562F" w14:textId="77777777" w:rsidR="000E07C7" w:rsidRPr="000E07C7" w:rsidRDefault="000E07C7" w:rsidP="000E07C7">
            <w:pPr>
              <w:pStyle w:val="TableRowHead"/>
              <w:rPr>
                <w:rFonts w:ascii="Gill Sans" w:hAnsi="Gill Sans"/>
                <w:sz w:val="24"/>
                <w:lang w:val="ga-IE" w:eastAsia="en-GB"/>
              </w:rPr>
            </w:pPr>
          </w:p>
        </w:tc>
        <w:tc>
          <w:tcPr>
            <w:tcW w:w="1169" w:type="dxa"/>
            <w:shd w:val="clear" w:color="auto" w:fill="auto"/>
            <w:vAlign w:val="bottom"/>
          </w:tcPr>
          <w:p w14:paraId="04B3070B" w14:textId="77777777" w:rsidR="000E07C7" w:rsidRPr="000E07C7" w:rsidRDefault="000E07C7" w:rsidP="000E07C7">
            <w:pPr>
              <w:pStyle w:val="TableHead"/>
              <w:jc w:val="right"/>
              <w:rPr>
                <w:sz w:val="24"/>
                <w:lang w:val="ga-IE" w:eastAsia="en-GB"/>
              </w:rPr>
            </w:pPr>
            <w:r w:rsidRPr="000E07C7">
              <w:rPr>
                <w:sz w:val="24"/>
                <w:lang w:val="ga-IE" w:eastAsia="en-GB"/>
              </w:rPr>
              <w:t>Nótaí</w:t>
            </w:r>
          </w:p>
        </w:tc>
        <w:tc>
          <w:tcPr>
            <w:tcW w:w="1169" w:type="dxa"/>
            <w:shd w:val="clear" w:color="auto" w:fill="auto"/>
            <w:vAlign w:val="bottom"/>
          </w:tcPr>
          <w:p w14:paraId="6321ECC9" w14:textId="77777777" w:rsidR="000E07C7" w:rsidRPr="000E07C7" w:rsidRDefault="000E07C7" w:rsidP="000E07C7">
            <w:pPr>
              <w:pStyle w:val="TableHead"/>
              <w:jc w:val="center"/>
              <w:rPr>
                <w:bCs/>
                <w:sz w:val="24"/>
                <w:lang w:val="ga-IE" w:eastAsia="en-GB"/>
              </w:rPr>
            </w:pPr>
            <w:r w:rsidRPr="000E07C7">
              <w:rPr>
                <w:bCs/>
                <w:sz w:val="24"/>
                <w:lang w:val="ga-IE" w:eastAsia="en-GB"/>
              </w:rPr>
              <w:t>2014</w:t>
            </w:r>
          </w:p>
        </w:tc>
        <w:tc>
          <w:tcPr>
            <w:tcW w:w="1267" w:type="dxa"/>
            <w:shd w:val="clear" w:color="auto" w:fill="auto"/>
            <w:vAlign w:val="bottom"/>
          </w:tcPr>
          <w:p w14:paraId="2785D947" w14:textId="77777777" w:rsidR="000E07C7" w:rsidRPr="000E07C7" w:rsidRDefault="000E07C7" w:rsidP="000E07C7">
            <w:pPr>
              <w:pStyle w:val="TableHead"/>
              <w:jc w:val="center"/>
              <w:rPr>
                <w:bCs/>
                <w:sz w:val="24"/>
                <w:lang w:val="ga-IE" w:eastAsia="en-GB"/>
              </w:rPr>
            </w:pPr>
            <w:r w:rsidRPr="000E07C7">
              <w:rPr>
                <w:bCs/>
                <w:sz w:val="24"/>
                <w:lang w:val="ga-IE" w:eastAsia="en-GB"/>
              </w:rPr>
              <w:t>2013</w:t>
            </w:r>
          </w:p>
        </w:tc>
      </w:tr>
      <w:tr w:rsidR="000E07C7" w:rsidRPr="000E07C7" w14:paraId="1A853CCC" w14:textId="77777777" w:rsidTr="000E07C7">
        <w:tc>
          <w:tcPr>
            <w:tcW w:w="4548" w:type="dxa"/>
            <w:shd w:val="clear" w:color="auto" w:fill="auto"/>
            <w:vAlign w:val="bottom"/>
          </w:tcPr>
          <w:p w14:paraId="2A270079" w14:textId="77777777" w:rsidR="000E07C7" w:rsidRPr="000E07C7" w:rsidRDefault="000E07C7" w:rsidP="000E07C7">
            <w:pPr>
              <w:pStyle w:val="TableRowHead"/>
              <w:rPr>
                <w:rFonts w:ascii="Gill Sans" w:hAnsi="Gill Sans"/>
                <w:sz w:val="24"/>
                <w:lang w:val="ga-IE" w:eastAsia="en-GB"/>
              </w:rPr>
            </w:pPr>
          </w:p>
        </w:tc>
        <w:tc>
          <w:tcPr>
            <w:tcW w:w="1169" w:type="dxa"/>
            <w:shd w:val="clear" w:color="auto" w:fill="auto"/>
            <w:vAlign w:val="bottom"/>
          </w:tcPr>
          <w:p w14:paraId="3549E671" w14:textId="77777777" w:rsidR="000E07C7" w:rsidRPr="000E07C7" w:rsidRDefault="000E07C7" w:rsidP="000E07C7">
            <w:pPr>
              <w:spacing w:after="0"/>
              <w:jc w:val="center"/>
              <w:rPr>
                <w:rFonts w:cs="Arial"/>
                <w:lang w:val="ga-IE" w:eastAsia="en-GB"/>
              </w:rPr>
            </w:pPr>
          </w:p>
        </w:tc>
        <w:tc>
          <w:tcPr>
            <w:tcW w:w="1169" w:type="dxa"/>
            <w:shd w:val="clear" w:color="auto" w:fill="auto"/>
            <w:vAlign w:val="bottom"/>
          </w:tcPr>
          <w:p w14:paraId="6F1A57A3"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1267" w:type="dxa"/>
            <w:shd w:val="clear" w:color="auto" w:fill="auto"/>
            <w:vAlign w:val="bottom"/>
          </w:tcPr>
          <w:p w14:paraId="60A0F934"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7C866B56" w14:textId="77777777" w:rsidTr="000E07C7">
        <w:tc>
          <w:tcPr>
            <w:tcW w:w="4548" w:type="dxa"/>
            <w:shd w:val="clear" w:color="auto" w:fill="auto"/>
            <w:vAlign w:val="bottom"/>
          </w:tcPr>
          <w:p w14:paraId="047A3016"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Glan-</w:t>
            </w:r>
            <w:proofErr w:type="spellStart"/>
            <w:r w:rsidRPr="000E07C7">
              <w:rPr>
                <w:rFonts w:ascii="Gill Sans" w:hAnsi="Gill Sans"/>
                <w:sz w:val="24"/>
                <w:lang w:val="ga-IE" w:eastAsia="en-GB"/>
              </w:rPr>
              <w:t>Eis</w:t>
            </w:r>
            <w:proofErr w:type="spellEnd"/>
            <w:r w:rsidRPr="000E07C7">
              <w:rPr>
                <w:rFonts w:ascii="Gill Sans" w:hAnsi="Gill Sans"/>
                <w:sz w:val="24"/>
                <w:lang w:val="ga-IE" w:eastAsia="en-GB"/>
              </w:rPr>
              <w:t>-Sreabhadh Airgid ó Ghníomhaíochtaí Oibriúcháin</w:t>
            </w:r>
          </w:p>
        </w:tc>
        <w:tc>
          <w:tcPr>
            <w:tcW w:w="1169" w:type="dxa"/>
            <w:shd w:val="clear" w:color="auto" w:fill="auto"/>
            <w:vAlign w:val="bottom"/>
          </w:tcPr>
          <w:p w14:paraId="5E936487" w14:textId="77777777" w:rsidR="000E07C7" w:rsidRPr="000E07C7" w:rsidRDefault="000E07C7" w:rsidP="000E07C7">
            <w:pPr>
              <w:pStyle w:val="TableCell"/>
              <w:rPr>
                <w:sz w:val="24"/>
                <w:lang w:val="ga-IE" w:eastAsia="en-GB"/>
              </w:rPr>
            </w:pPr>
            <w:r w:rsidRPr="000E07C7">
              <w:rPr>
                <w:sz w:val="24"/>
                <w:lang w:val="ga-IE" w:eastAsia="en-GB"/>
              </w:rPr>
              <w:t>9a</w:t>
            </w:r>
          </w:p>
        </w:tc>
        <w:tc>
          <w:tcPr>
            <w:tcW w:w="1169" w:type="dxa"/>
            <w:shd w:val="clear" w:color="auto" w:fill="auto"/>
            <w:vAlign w:val="bottom"/>
          </w:tcPr>
          <w:p w14:paraId="57847325" w14:textId="77777777" w:rsidR="000E07C7" w:rsidRPr="000E07C7" w:rsidRDefault="000E07C7" w:rsidP="000E07C7">
            <w:pPr>
              <w:pStyle w:val="TableCell"/>
              <w:rPr>
                <w:sz w:val="24"/>
                <w:lang w:val="ga-IE" w:eastAsia="en-GB"/>
              </w:rPr>
            </w:pPr>
            <w:r w:rsidRPr="000E07C7">
              <w:rPr>
                <w:sz w:val="24"/>
                <w:lang w:val="ga-IE" w:eastAsia="en-GB"/>
              </w:rPr>
              <w:t>4,840</w:t>
            </w:r>
          </w:p>
        </w:tc>
        <w:tc>
          <w:tcPr>
            <w:tcW w:w="1267" w:type="dxa"/>
            <w:shd w:val="clear" w:color="auto" w:fill="auto"/>
            <w:vAlign w:val="bottom"/>
          </w:tcPr>
          <w:p w14:paraId="0F42460F" w14:textId="77777777" w:rsidR="000E07C7" w:rsidRPr="000E07C7" w:rsidRDefault="000E07C7" w:rsidP="000E07C7">
            <w:pPr>
              <w:pStyle w:val="TableCell"/>
              <w:rPr>
                <w:sz w:val="24"/>
                <w:lang w:val="ga-IE" w:eastAsia="en-GB"/>
              </w:rPr>
            </w:pPr>
            <w:r w:rsidRPr="000E07C7">
              <w:rPr>
                <w:sz w:val="24"/>
                <w:lang w:val="ga-IE" w:eastAsia="en-GB"/>
              </w:rPr>
              <w:t>(6,038)</w:t>
            </w:r>
          </w:p>
        </w:tc>
      </w:tr>
      <w:tr w:rsidR="000E07C7" w:rsidRPr="000E07C7" w14:paraId="22F41ED6" w14:textId="77777777" w:rsidTr="000E07C7">
        <w:tc>
          <w:tcPr>
            <w:tcW w:w="8153" w:type="dxa"/>
            <w:gridSpan w:val="4"/>
            <w:shd w:val="clear" w:color="auto" w:fill="auto"/>
            <w:vAlign w:val="bottom"/>
          </w:tcPr>
          <w:p w14:paraId="4BD0C3CB" w14:textId="77777777" w:rsidR="000E07C7" w:rsidRPr="000E07C7" w:rsidRDefault="000E07C7" w:rsidP="000E07C7">
            <w:pPr>
              <w:pStyle w:val="TableCell"/>
              <w:jc w:val="left"/>
              <w:rPr>
                <w:sz w:val="24"/>
                <w:lang w:val="ga-IE" w:eastAsia="en-GB"/>
              </w:rPr>
            </w:pPr>
            <w:r w:rsidRPr="000E07C7">
              <w:rPr>
                <w:b/>
                <w:sz w:val="24"/>
                <w:lang w:val="ga-IE" w:eastAsia="en-GB"/>
              </w:rPr>
              <w:t xml:space="preserve">Torthaí ar Infheistíochtaí agus ar </w:t>
            </w:r>
            <w:proofErr w:type="spellStart"/>
            <w:r w:rsidRPr="000E07C7">
              <w:rPr>
                <w:b/>
                <w:sz w:val="24"/>
                <w:lang w:val="ga-IE" w:eastAsia="en-GB"/>
              </w:rPr>
              <w:t>Sheirbhísiú</w:t>
            </w:r>
            <w:proofErr w:type="spellEnd"/>
            <w:r w:rsidRPr="000E07C7">
              <w:rPr>
                <w:b/>
                <w:sz w:val="24"/>
                <w:lang w:val="ga-IE" w:eastAsia="en-GB"/>
              </w:rPr>
              <w:t xml:space="preserve"> Airgeadais</w:t>
            </w:r>
          </w:p>
        </w:tc>
      </w:tr>
      <w:tr w:rsidR="000E07C7" w:rsidRPr="000E07C7" w14:paraId="7E486B10" w14:textId="77777777" w:rsidTr="000E07C7">
        <w:tc>
          <w:tcPr>
            <w:tcW w:w="4548" w:type="dxa"/>
            <w:shd w:val="clear" w:color="auto" w:fill="auto"/>
            <w:vAlign w:val="bottom"/>
          </w:tcPr>
          <w:p w14:paraId="0A4FB44A"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Ús a Fuarthas</w:t>
            </w:r>
          </w:p>
        </w:tc>
        <w:tc>
          <w:tcPr>
            <w:tcW w:w="1169" w:type="dxa"/>
            <w:shd w:val="clear" w:color="auto" w:fill="auto"/>
            <w:vAlign w:val="bottom"/>
          </w:tcPr>
          <w:p w14:paraId="2EC4255E" w14:textId="77777777" w:rsidR="000E07C7" w:rsidRPr="000E07C7" w:rsidRDefault="000E07C7" w:rsidP="000E07C7">
            <w:pPr>
              <w:pStyle w:val="TableCell"/>
              <w:rPr>
                <w:sz w:val="24"/>
                <w:lang w:val="ga-IE" w:eastAsia="en-GB"/>
              </w:rPr>
            </w:pPr>
          </w:p>
        </w:tc>
        <w:tc>
          <w:tcPr>
            <w:tcW w:w="1169" w:type="dxa"/>
            <w:shd w:val="clear" w:color="auto" w:fill="auto"/>
            <w:vAlign w:val="bottom"/>
          </w:tcPr>
          <w:p w14:paraId="35DA609D" w14:textId="77777777" w:rsidR="000E07C7" w:rsidRPr="000E07C7" w:rsidRDefault="000E07C7" w:rsidP="000E07C7">
            <w:pPr>
              <w:pStyle w:val="TableCell"/>
              <w:rPr>
                <w:sz w:val="24"/>
                <w:lang w:val="ga-IE" w:eastAsia="en-GB"/>
              </w:rPr>
            </w:pPr>
            <w:r w:rsidRPr="000E07C7">
              <w:rPr>
                <w:sz w:val="24"/>
                <w:lang w:val="ga-IE" w:eastAsia="en-GB"/>
              </w:rPr>
              <w:t xml:space="preserve">0 </w:t>
            </w:r>
          </w:p>
        </w:tc>
        <w:tc>
          <w:tcPr>
            <w:tcW w:w="1267" w:type="dxa"/>
            <w:shd w:val="clear" w:color="auto" w:fill="auto"/>
            <w:vAlign w:val="bottom"/>
          </w:tcPr>
          <w:p w14:paraId="15B93C3B" w14:textId="77777777" w:rsidR="000E07C7" w:rsidRPr="000E07C7" w:rsidRDefault="000E07C7" w:rsidP="000E07C7">
            <w:pPr>
              <w:pStyle w:val="TableCell"/>
              <w:rPr>
                <w:sz w:val="24"/>
                <w:lang w:val="ga-IE" w:eastAsia="en-GB"/>
              </w:rPr>
            </w:pPr>
            <w:r w:rsidRPr="000E07C7">
              <w:rPr>
                <w:sz w:val="24"/>
                <w:lang w:val="ga-IE" w:eastAsia="en-GB"/>
              </w:rPr>
              <w:t xml:space="preserve">1 </w:t>
            </w:r>
          </w:p>
        </w:tc>
      </w:tr>
      <w:tr w:rsidR="000E07C7" w:rsidRPr="000E07C7" w14:paraId="384624BF" w14:textId="77777777" w:rsidTr="000E07C7">
        <w:tc>
          <w:tcPr>
            <w:tcW w:w="4548" w:type="dxa"/>
            <w:shd w:val="clear" w:color="auto" w:fill="auto"/>
            <w:vAlign w:val="bottom"/>
          </w:tcPr>
          <w:p w14:paraId="3B40378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Glan-Insreabhadh ó Thorthaí ar Infheistíochtaí agus ar </w:t>
            </w:r>
            <w:proofErr w:type="spellStart"/>
            <w:r w:rsidRPr="000E07C7">
              <w:rPr>
                <w:rFonts w:ascii="Gill Sans" w:hAnsi="Gill Sans"/>
                <w:sz w:val="24"/>
                <w:lang w:val="ga-IE" w:eastAsia="en-GB"/>
              </w:rPr>
              <w:t>Sheirbhísiú</w:t>
            </w:r>
            <w:proofErr w:type="spellEnd"/>
            <w:r w:rsidRPr="000E07C7">
              <w:rPr>
                <w:rFonts w:ascii="Gill Sans" w:hAnsi="Gill Sans"/>
                <w:sz w:val="24"/>
                <w:lang w:val="ga-IE" w:eastAsia="en-GB"/>
              </w:rPr>
              <w:t xml:space="preserve"> Airgeadais</w:t>
            </w:r>
          </w:p>
        </w:tc>
        <w:tc>
          <w:tcPr>
            <w:tcW w:w="1169" w:type="dxa"/>
            <w:shd w:val="clear" w:color="auto" w:fill="auto"/>
            <w:vAlign w:val="bottom"/>
          </w:tcPr>
          <w:p w14:paraId="299F137B" w14:textId="77777777" w:rsidR="000E07C7" w:rsidRPr="000E07C7" w:rsidRDefault="000E07C7" w:rsidP="000E07C7">
            <w:pPr>
              <w:pStyle w:val="TableCell"/>
              <w:rPr>
                <w:sz w:val="24"/>
                <w:lang w:val="ga-IE" w:eastAsia="en-GB"/>
              </w:rPr>
            </w:pPr>
          </w:p>
        </w:tc>
        <w:tc>
          <w:tcPr>
            <w:tcW w:w="1169" w:type="dxa"/>
            <w:shd w:val="clear" w:color="auto" w:fill="auto"/>
            <w:vAlign w:val="bottom"/>
          </w:tcPr>
          <w:p w14:paraId="56BB1C91" w14:textId="77777777" w:rsidR="000E07C7" w:rsidRPr="000E07C7" w:rsidRDefault="000E07C7" w:rsidP="000E07C7">
            <w:pPr>
              <w:pStyle w:val="TableCell"/>
              <w:rPr>
                <w:sz w:val="24"/>
                <w:lang w:val="ga-IE" w:eastAsia="en-GB"/>
              </w:rPr>
            </w:pPr>
            <w:r w:rsidRPr="000E07C7">
              <w:rPr>
                <w:sz w:val="24"/>
                <w:lang w:val="ga-IE" w:eastAsia="en-GB"/>
              </w:rPr>
              <w:t xml:space="preserve">0 </w:t>
            </w:r>
          </w:p>
        </w:tc>
        <w:tc>
          <w:tcPr>
            <w:tcW w:w="1267" w:type="dxa"/>
            <w:shd w:val="clear" w:color="auto" w:fill="auto"/>
            <w:vAlign w:val="bottom"/>
          </w:tcPr>
          <w:p w14:paraId="6343BA12" w14:textId="77777777" w:rsidR="000E07C7" w:rsidRPr="000E07C7" w:rsidRDefault="000E07C7" w:rsidP="000E07C7">
            <w:pPr>
              <w:pStyle w:val="TableCell"/>
              <w:rPr>
                <w:sz w:val="24"/>
                <w:lang w:val="ga-IE" w:eastAsia="en-GB"/>
              </w:rPr>
            </w:pPr>
            <w:r w:rsidRPr="000E07C7">
              <w:rPr>
                <w:sz w:val="24"/>
                <w:lang w:val="ga-IE" w:eastAsia="en-GB"/>
              </w:rPr>
              <w:t xml:space="preserve">1 </w:t>
            </w:r>
          </w:p>
        </w:tc>
      </w:tr>
      <w:tr w:rsidR="000E07C7" w:rsidRPr="000E07C7" w14:paraId="76102CBD" w14:textId="77777777" w:rsidTr="000E07C7">
        <w:tc>
          <w:tcPr>
            <w:tcW w:w="8153" w:type="dxa"/>
            <w:gridSpan w:val="4"/>
            <w:shd w:val="clear" w:color="auto" w:fill="auto"/>
            <w:vAlign w:val="bottom"/>
          </w:tcPr>
          <w:p w14:paraId="75FC95EA" w14:textId="77777777" w:rsidR="000E07C7" w:rsidRPr="000E07C7" w:rsidRDefault="000E07C7" w:rsidP="000E07C7">
            <w:pPr>
              <w:pStyle w:val="TableCell"/>
              <w:jc w:val="left"/>
              <w:rPr>
                <w:sz w:val="24"/>
                <w:lang w:val="ga-IE" w:eastAsia="en-GB"/>
              </w:rPr>
            </w:pPr>
            <w:r w:rsidRPr="000E07C7">
              <w:rPr>
                <w:b/>
                <w:sz w:val="24"/>
                <w:lang w:val="ga-IE" w:eastAsia="en-GB"/>
              </w:rPr>
              <w:t>Gníomhaíochtaí Infheistíochta</w:t>
            </w:r>
          </w:p>
        </w:tc>
      </w:tr>
      <w:tr w:rsidR="000E07C7" w:rsidRPr="000E07C7" w14:paraId="515303C4" w14:textId="77777777" w:rsidTr="000E07C7">
        <w:tc>
          <w:tcPr>
            <w:tcW w:w="4548" w:type="dxa"/>
            <w:shd w:val="clear" w:color="auto" w:fill="auto"/>
            <w:vAlign w:val="bottom"/>
          </w:tcPr>
          <w:p w14:paraId="65913CE1"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Sócmhainní Seasta a Cheannach</w:t>
            </w:r>
          </w:p>
        </w:tc>
        <w:tc>
          <w:tcPr>
            <w:tcW w:w="1169" w:type="dxa"/>
            <w:shd w:val="clear" w:color="auto" w:fill="auto"/>
            <w:vAlign w:val="bottom"/>
          </w:tcPr>
          <w:p w14:paraId="0FD96513" w14:textId="77777777" w:rsidR="000E07C7" w:rsidRPr="000E07C7" w:rsidRDefault="000E07C7" w:rsidP="000E07C7">
            <w:pPr>
              <w:pStyle w:val="TableCell"/>
              <w:rPr>
                <w:sz w:val="24"/>
                <w:lang w:val="ga-IE" w:eastAsia="en-GB"/>
              </w:rPr>
            </w:pPr>
            <w:r w:rsidRPr="000E07C7">
              <w:rPr>
                <w:sz w:val="24"/>
                <w:lang w:val="ga-IE" w:eastAsia="en-GB"/>
              </w:rPr>
              <w:t>7</w:t>
            </w:r>
          </w:p>
        </w:tc>
        <w:tc>
          <w:tcPr>
            <w:tcW w:w="1169" w:type="dxa"/>
            <w:shd w:val="clear" w:color="auto" w:fill="auto"/>
            <w:vAlign w:val="bottom"/>
          </w:tcPr>
          <w:p w14:paraId="22073B82" w14:textId="77777777" w:rsidR="000E07C7" w:rsidRPr="000E07C7" w:rsidRDefault="000E07C7" w:rsidP="000E07C7">
            <w:pPr>
              <w:pStyle w:val="TableCell"/>
              <w:rPr>
                <w:sz w:val="24"/>
                <w:lang w:val="ga-IE" w:eastAsia="en-GB"/>
              </w:rPr>
            </w:pPr>
            <w:r w:rsidRPr="000E07C7">
              <w:rPr>
                <w:sz w:val="24"/>
                <w:lang w:val="ga-IE" w:eastAsia="en-GB"/>
              </w:rPr>
              <w:t>(5,179)</w:t>
            </w:r>
          </w:p>
        </w:tc>
        <w:tc>
          <w:tcPr>
            <w:tcW w:w="1267" w:type="dxa"/>
            <w:shd w:val="clear" w:color="auto" w:fill="auto"/>
            <w:vAlign w:val="bottom"/>
          </w:tcPr>
          <w:p w14:paraId="0A82A726" w14:textId="77777777" w:rsidR="000E07C7" w:rsidRPr="000E07C7" w:rsidRDefault="000E07C7" w:rsidP="000E07C7">
            <w:pPr>
              <w:pStyle w:val="TableCell"/>
              <w:rPr>
                <w:sz w:val="24"/>
                <w:lang w:val="ga-IE" w:eastAsia="en-GB"/>
              </w:rPr>
            </w:pPr>
            <w:r w:rsidRPr="000E07C7">
              <w:rPr>
                <w:sz w:val="24"/>
                <w:lang w:val="ga-IE" w:eastAsia="en-GB"/>
              </w:rPr>
              <w:t>0</w:t>
            </w:r>
          </w:p>
        </w:tc>
      </w:tr>
      <w:tr w:rsidR="000E07C7" w:rsidRPr="000E07C7" w14:paraId="21FE1638" w14:textId="77777777" w:rsidTr="000E07C7">
        <w:tc>
          <w:tcPr>
            <w:tcW w:w="4548" w:type="dxa"/>
            <w:shd w:val="clear" w:color="auto" w:fill="auto"/>
            <w:vAlign w:val="bottom"/>
          </w:tcPr>
          <w:p w14:paraId="78C4616C"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Fáltais ó Dhiúscairt Sócmhainní Seasta</w:t>
            </w:r>
          </w:p>
        </w:tc>
        <w:tc>
          <w:tcPr>
            <w:tcW w:w="1169" w:type="dxa"/>
            <w:shd w:val="clear" w:color="auto" w:fill="auto"/>
            <w:vAlign w:val="bottom"/>
          </w:tcPr>
          <w:p w14:paraId="20DA69AB" w14:textId="77777777" w:rsidR="000E07C7" w:rsidRPr="000E07C7" w:rsidRDefault="000E07C7" w:rsidP="000E07C7">
            <w:pPr>
              <w:pStyle w:val="TableCell"/>
              <w:rPr>
                <w:sz w:val="24"/>
                <w:lang w:val="ga-IE" w:eastAsia="en-GB"/>
              </w:rPr>
            </w:pPr>
          </w:p>
        </w:tc>
        <w:tc>
          <w:tcPr>
            <w:tcW w:w="1169" w:type="dxa"/>
            <w:shd w:val="clear" w:color="auto" w:fill="auto"/>
            <w:vAlign w:val="bottom"/>
          </w:tcPr>
          <w:p w14:paraId="76147B4B" w14:textId="77777777" w:rsidR="000E07C7" w:rsidRPr="000E07C7" w:rsidRDefault="000E07C7" w:rsidP="000E07C7">
            <w:pPr>
              <w:pStyle w:val="TableCell"/>
              <w:rPr>
                <w:sz w:val="24"/>
                <w:lang w:val="ga-IE" w:eastAsia="en-GB"/>
              </w:rPr>
            </w:pPr>
            <w:r w:rsidRPr="000E07C7">
              <w:rPr>
                <w:sz w:val="24"/>
                <w:lang w:val="ga-IE" w:eastAsia="en-GB"/>
              </w:rPr>
              <w:t xml:space="preserve">0 </w:t>
            </w:r>
          </w:p>
        </w:tc>
        <w:tc>
          <w:tcPr>
            <w:tcW w:w="1267" w:type="dxa"/>
            <w:shd w:val="clear" w:color="auto" w:fill="auto"/>
            <w:vAlign w:val="bottom"/>
          </w:tcPr>
          <w:p w14:paraId="0ACAD29A" w14:textId="77777777" w:rsidR="000E07C7" w:rsidRPr="000E07C7" w:rsidRDefault="000E07C7" w:rsidP="000E07C7">
            <w:pPr>
              <w:pStyle w:val="TableCell"/>
              <w:rPr>
                <w:sz w:val="24"/>
                <w:lang w:val="ga-IE" w:eastAsia="en-GB"/>
              </w:rPr>
            </w:pPr>
            <w:r w:rsidRPr="000E07C7">
              <w:rPr>
                <w:sz w:val="24"/>
                <w:lang w:val="ga-IE" w:eastAsia="en-GB"/>
              </w:rPr>
              <w:t xml:space="preserve">0 </w:t>
            </w:r>
          </w:p>
        </w:tc>
      </w:tr>
      <w:tr w:rsidR="000E07C7" w:rsidRPr="000E07C7" w14:paraId="47562000" w14:textId="77777777" w:rsidTr="000E07C7">
        <w:tc>
          <w:tcPr>
            <w:tcW w:w="4548" w:type="dxa"/>
            <w:shd w:val="clear" w:color="auto" w:fill="auto"/>
            <w:vAlign w:val="bottom"/>
          </w:tcPr>
          <w:p w14:paraId="2BA725A2"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Glan-</w:t>
            </w:r>
            <w:proofErr w:type="spellStart"/>
            <w:r w:rsidRPr="000E07C7">
              <w:rPr>
                <w:rFonts w:ascii="Gill Sans" w:hAnsi="Gill Sans"/>
                <w:sz w:val="24"/>
                <w:lang w:val="ga-IE" w:eastAsia="en-GB"/>
              </w:rPr>
              <w:t>Eis</w:t>
            </w:r>
            <w:proofErr w:type="spellEnd"/>
            <w:r w:rsidRPr="000E07C7">
              <w:rPr>
                <w:rFonts w:ascii="Gill Sans" w:hAnsi="Gill Sans"/>
                <w:sz w:val="24"/>
                <w:lang w:val="ga-IE" w:eastAsia="en-GB"/>
              </w:rPr>
              <w:t>-Sreabhadh Airgid ó Ghníomhaíochtaí Infheistíochta</w:t>
            </w:r>
          </w:p>
        </w:tc>
        <w:tc>
          <w:tcPr>
            <w:tcW w:w="1169" w:type="dxa"/>
            <w:shd w:val="clear" w:color="auto" w:fill="auto"/>
            <w:vAlign w:val="bottom"/>
          </w:tcPr>
          <w:p w14:paraId="465B6FAC" w14:textId="77777777" w:rsidR="000E07C7" w:rsidRPr="000E07C7" w:rsidRDefault="000E07C7" w:rsidP="000E07C7">
            <w:pPr>
              <w:pStyle w:val="TableCell"/>
              <w:rPr>
                <w:sz w:val="24"/>
                <w:lang w:val="ga-IE" w:eastAsia="en-GB"/>
              </w:rPr>
            </w:pPr>
          </w:p>
        </w:tc>
        <w:tc>
          <w:tcPr>
            <w:tcW w:w="1169" w:type="dxa"/>
            <w:shd w:val="clear" w:color="auto" w:fill="auto"/>
            <w:vAlign w:val="bottom"/>
          </w:tcPr>
          <w:p w14:paraId="3CD7FFB0" w14:textId="77777777" w:rsidR="000E07C7" w:rsidRPr="000E07C7" w:rsidRDefault="000E07C7" w:rsidP="000E07C7">
            <w:pPr>
              <w:pStyle w:val="TableCell"/>
              <w:rPr>
                <w:sz w:val="24"/>
                <w:lang w:val="ga-IE" w:eastAsia="en-GB"/>
              </w:rPr>
            </w:pPr>
            <w:r w:rsidRPr="000E07C7">
              <w:rPr>
                <w:sz w:val="24"/>
                <w:lang w:val="ga-IE" w:eastAsia="en-GB"/>
              </w:rPr>
              <w:t>0</w:t>
            </w:r>
          </w:p>
        </w:tc>
        <w:tc>
          <w:tcPr>
            <w:tcW w:w="1267" w:type="dxa"/>
            <w:shd w:val="clear" w:color="auto" w:fill="auto"/>
            <w:vAlign w:val="bottom"/>
          </w:tcPr>
          <w:p w14:paraId="4578D37C" w14:textId="77777777" w:rsidR="000E07C7" w:rsidRPr="000E07C7" w:rsidRDefault="000E07C7" w:rsidP="000E07C7">
            <w:pPr>
              <w:pStyle w:val="TableCell"/>
              <w:rPr>
                <w:sz w:val="24"/>
                <w:lang w:val="ga-IE" w:eastAsia="en-GB"/>
              </w:rPr>
            </w:pPr>
            <w:r w:rsidRPr="000E07C7">
              <w:rPr>
                <w:sz w:val="24"/>
                <w:lang w:val="ga-IE" w:eastAsia="en-GB"/>
              </w:rPr>
              <w:t>0</w:t>
            </w:r>
          </w:p>
        </w:tc>
      </w:tr>
      <w:tr w:rsidR="000E07C7" w:rsidRPr="000E07C7" w14:paraId="51132A58" w14:textId="77777777" w:rsidTr="000E07C7">
        <w:tc>
          <w:tcPr>
            <w:tcW w:w="8153" w:type="dxa"/>
            <w:gridSpan w:val="4"/>
            <w:shd w:val="clear" w:color="auto" w:fill="auto"/>
            <w:vAlign w:val="bottom"/>
          </w:tcPr>
          <w:p w14:paraId="4E1685AD" w14:textId="77777777" w:rsidR="000E07C7" w:rsidRPr="000E07C7" w:rsidRDefault="000E07C7" w:rsidP="000E07C7">
            <w:pPr>
              <w:pStyle w:val="TableCell"/>
              <w:rPr>
                <w:sz w:val="24"/>
                <w:lang w:val="ga-IE" w:eastAsia="en-GB"/>
              </w:rPr>
            </w:pPr>
          </w:p>
        </w:tc>
      </w:tr>
      <w:tr w:rsidR="000E07C7" w:rsidRPr="000E07C7" w14:paraId="26881685" w14:textId="77777777" w:rsidTr="000E07C7">
        <w:tc>
          <w:tcPr>
            <w:tcW w:w="4548" w:type="dxa"/>
            <w:shd w:val="clear" w:color="auto" w:fill="auto"/>
            <w:vAlign w:val="bottom"/>
          </w:tcPr>
          <w:p w14:paraId="674C4C6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Méadú / (Laghdú) ar Airgead sa Bhanc agus ar Láimh</w:t>
            </w:r>
          </w:p>
        </w:tc>
        <w:tc>
          <w:tcPr>
            <w:tcW w:w="1169" w:type="dxa"/>
            <w:shd w:val="clear" w:color="auto" w:fill="auto"/>
            <w:vAlign w:val="bottom"/>
          </w:tcPr>
          <w:p w14:paraId="751C14D5" w14:textId="77777777" w:rsidR="000E07C7" w:rsidRPr="000E07C7" w:rsidRDefault="000E07C7" w:rsidP="000E07C7">
            <w:pPr>
              <w:pStyle w:val="TableCell"/>
              <w:rPr>
                <w:sz w:val="24"/>
                <w:lang w:val="ga-IE" w:eastAsia="en-GB"/>
              </w:rPr>
            </w:pPr>
            <w:r w:rsidRPr="000E07C7">
              <w:rPr>
                <w:sz w:val="24"/>
                <w:lang w:val="ga-IE" w:eastAsia="en-GB"/>
              </w:rPr>
              <w:t>9b</w:t>
            </w:r>
          </w:p>
        </w:tc>
        <w:tc>
          <w:tcPr>
            <w:tcW w:w="1169" w:type="dxa"/>
            <w:shd w:val="clear" w:color="auto" w:fill="auto"/>
            <w:vAlign w:val="bottom"/>
          </w:tcPr>
          <w:p w14:paraId="51583487" w14:textId="77777777" w:rsidR="000E07C7" w:rsidRPr="000E07C7" w:rsidRDefault="000E07C7" w:rsidP="000E07C7">
            <w:pPr>
              <w:pStyle w:val="TableCell"/>
              <w:rPr>
                <w:sz w:val="24"/>
                <w:highlight w:val="yellow"/>
                <w:lang w:val="ga-IE" w:eastAsia="en-GB"/>
              </w:rPr>
            </w:pPr>
            <w:r w:rsidRPr="000E07C7">
              <w:rPr>
                <w:sz w:val="24"/>
                <w:lang w:val="ga-IE" w:eastAsia="en-GB"/>
              </w:rPr>
              <w:t>(339)</w:t>
            </w:r>
          </w:p>
        </w:tc>
        <w:tc>
          <w:tcPr>
            <w:tcW w:w="1267" w:type="dxa"/>
            <w:shd w:val="clear" w:color="auto" w:fill="auto"/>
            <w:vAlign w:val="bottom"/>
          </w:tcPr>
          <w:p w14:paraId="3FE3F057" w14:textId="77777777" w:rsidR="000E07C7" w:rsidRPr="000E07C7" w:rsidRDefault="000E07C7" w:rsidP="000E07C7">
            <w:pPr>
              <w:pStyle w:val="TableCell"/>
              <w:rPr>
                <w:sz w:val="24"/>
                <w:highlight w:val="yellow"/>
                <w:lang w:val="ga-IE" w:eastAsia="en-GB"/>
              </w:rPr>
            </w:pPr>
            <w:r w:rsidRPr="000E07C7">
              <w:rPr>
                <w:sz w:val="24"/>
                <w:lang w:val="ga-IE" w:eastAsia="en-GB"/>
              </w:rPr>
              <w:t>(6,037)</w:t>
            </w:r>
          </w:p>
        </w:tc>
      </w:tr>
    </w:tbl>
    <w:p w14:paraId="4DD4A8C8" w14:textId="77777777" w:rsidR="000E07C7" w:rsidRPr="000E07C7" w:rsidRDefault="000E07C7" w:rsidP="000E07C7">
      <w:pPr>
        <w:rPr>
          <w:lang w:val="ga-IE" w:eastAsia="en-GB"/>
        </w:rPr>
      </w:pPr>
      <w:r w:rsidRPr="000E07C7">
        <w:rPr>
          <w:lang w:val="ga-IE" w:eastAsia="en-GB"/>
        </w:rPr>
        <w:br/>
        <w:t>Tá an Ráiteas ar Bheartais Chuntasaíochta, an Ráiteas ar Shreabhadh Airgid agus Nótaí 1 go dtí 16 ina gcuid de na Ráitis Airgeadais seo.</w:t>
      </w:r>
    </w:p>
    <w:p w14:paraId="725BF0E5" w14:textId="77777777" w:rsidR="000E07C7" w:rsidRPr="000E07C7" w:rsidRDefault="000E07C7" w:rsidP="000E07C7">
      <w:pPr>
        <w:keepLines/>
        <w:spacing w:after="120"/>
        <w:ind w:left="1440" w:hanging="1440"/>
        <w:rPr>
          <w:lang w:val="ga-IE" w:eastAsia="en-GB"/>
        </w:rPr>
      </w:pPr>
      <w:r w:rsidRPr="000E07C7">
        <w:rPr>
          <w:lang w:val="ga-IE" w:eastAsia="en-GB"/>
        </w:rPr>
        <w:t>Sínithe:</w:t>
      </w:r>
      <w:r w:rsidRPr="000E07C7">
        <w:rPr>
          <w:lang w:val="ga-IE" w:eastAsia="en-GB"/>
        </w:rPr>
        <w:tab/>
        <w:t>________________</w:t>
      </w:r>
      <w:r w:rsidRPr="000E07C7">
        <w:rPr>
          <w:lang w:val="ga-IE" w:eastAsia="en-GB"/>
        </w:rPr>
        <w:br/>
        <w:t xml:space="preserve">Helen </w:t>
      </w:r>
      <w:proofErr w:type="spellStart"/>
      <w:r w:rsidRPr="000E07C7">
        <w:rPr>
          <w:lang w:val="ga-IE" w:eastAsia="en-GB"/>
        </w:rPr>
        <w:t>Guinan</w:t>
      </w:r>
      <w:proofErr w:type="spellEnd"/>
      <w:r w:rsidRPr="000E07C7">
        <w:rPr>
          <w:lang w:val="ga-IE" w:eastAsia="en-GB"/>
        </w:rPr>
        <w:br/>
        <w:t>Cathaoirleach</w:t>
      </w:r>
    </w:p>
    <w:p w14:paraId="4C358524" w14:textId="77777777" w:rsidR="000E07C7" w:rsidRPr="000E07C7" w:rsidRDefault="000E07C7" w:rsidP="000E07C7">
      <w:pPr>
        <w:keepLines/>
        <w:spacing w:after="120"/>
        <w:ind w:left="1440" w:hanging="1440"/>
        <w:rPr>
          <w:lang w:val="ga-IE" w:eastAsia="en-GB"/>
        </w:rPr>
      </w:pPr>
      <w:r w:rsidRPr="000E07C7">
        <w:rPr>
          <w:lang w:val="ga-IE" w:eastAsia="en-GB"/>
        </w:rPr>
        <w:t xml:space="preserve">Sínithe: </w:t>
      </w:r>
      <w:r w:rsidRPr="000E07C7">
        <w:rPr>
          <w:lang w:val="ga-IE" w:eastAsia="en-GB"/>
        </w:rPr>
        <w:tab/>
        <w:t>________________</w:t>
      </w:r>
      <w:r w:rsidRPr="000E07C7">
        <w:rPr>
          <w:lang w:val="ga-IE" w:eastAsia="en-GB"/>
        </w:rPr>
        <w:br/>
        <w:t xml:space="preserve">Frank </w:t>
      </w:r>
      <w:proofErr w:type="spellStart"/>
      <w:r w:rsidRPr="000E07C7">
        <w:rPr>
          <w:lang w:val="ga-IE" w:eastAsia="en-GB"/>
        </w:rPr>
        <w:t>Cunneen</w:t>
      </w:r>
      <w:proofErr w:type="spellEnd"/>
      <w:r w:rsidRPr="000E07C7">
        <w:rPr>
          <w:lang w:val="ga-IE" w:eastAsia="en-GB"/>
        </w:rPr>
        <w:br/>
        <w:t>Comhalta an Údaráis</w:t>
      </w:r>
    </w:p>
    <w:p w14:paraId="3C418AF9" w14:textId="77777777" w:rsidR="000E07C7" w:rsidRPr="000E07C7" w:rsidRDefault="000E07C7" w:rsidP="000E07C7">
      <w:pPr>
        <w:ind w:left="1440" w:hanging="1440"/>
        <w:rPr>
          <w:lang w:val="ga-IE" w:eastAsia="en-GB"/>
        </w:rPr>
      </w:pPr>
      <w:r w:rsidRPr="000E07C7">
        <w:rPr>
          <w:lang w:val="ga-IE" w:eastAsia="en-GB"/>
        </w:rPr>
        <w:t>Sínithe:</w:t>
      </w:r>
      <w:r w:rsidRPr="000E07C7">
        <w:rPr>
          <w:lang w:val="ga-IE" w:eastAsia="en-GB"/>
        </w:rPr>
        <w:tab/>
        <w:t>________________</w:t>
      </w:r>
      <w:r w:rsidRPr="000E07C7">
        <w:rPr>
          <w:lang w:val="ga-IE" w:eastAsia="en-GB"/>
        </w:rPr>
        <w:br/>
        <w:t xml:space="preserve">Siobhán </w:t>
      </w:r>
      <w:proofErr w:type="spellStart"/>
      <w:r w:rsidRPr="000E07C7">
        <w:rPr>
          <w:lang w:val="ga-IE" w:eastAsia="en-GB"/>
        </w:rPr>
        <w:t>Barron</w:t>
      </w:r>
      <w:proofErr w:type="spellEnd"/>
      <w:r w:rsidRPr="000E07C7">
        <w:rPr>
          <w:lang w:val="ga-IE" w:eastAsia="en-GB"/>
        </w:rPr>
        <w:br/>
        <w:t>Stiúrthóir</w:t>
      </w:r>
    </w:p>
    <w:p w14:paraId="397D4494" w14:textId="77777777" w:rsidR="000E07C7" w:rsidRPr="000E07C7" w:rsidRDefault="000E07C7" w:rsidP="000E07C7">
      <w:pPr>
        <w:rPr>
          <w:lang w:val="ga-IE" w:eastAsia="en-GB"/>
        </w:rPr>
      </w:pPr>
      <w:r w:rsidRPr="000E07C7">
        <w:rPr>
          <w:lang w:val="ga-IE" w:eastAsia="en-GB"/>
        </w:rPr>
        <w:t>Dáta:</w:t>
      </w:r>
      <w:r w:rsidRPr="000E07C7">
        <w:rPr>
          <w:lang w:val="ga-IE" w:eastAsia="en-GB"/>
        </w:rPr>
        <w:tab/>
      </w:r>
      <w:r w:rsidRPr="000E07C7">
        <w:rPr>
          <w:lang w:val="ga-IE" w:eastAsia="en-GB"/>
        </w:rPr>
        <w:tab/>
        <w:t>________________</w:t>
      </w:r>
    </w:p>
    <w:p w14:paraId="15BCBE9B" w14:textId="77777777" w:rsidR="000E07C7" w:rsidRPr="000E07C7" w:rsidRDefault="000E07C7" w:rsidP="000E07C7">
      <w:pPr>
        <w:spacing w:after="0"/>
        <w:rPr>
          <w:lang w:val="ga-IE"/>
        </w:rPr>
      </w:pPr>
    </w:p>
    <w:p w14:paraId="04E8F5D0" w14:textId="77777777" w:rsidR="000E07C7" w:rsidRPr="000E07C7" w:rsidRDefault="000E07C7" w:rsidP="000E07C7">
      <w:pPr>
        <w:pStyle w:val="Heading2"/>
        <w:rPr>
          <w:lang w:val="ga-IE" w:eastAsia="en-GB"/>
        </w:rPr>
      </w:pPr>
      <w:r w:rsidRPr="000E07C7">
        <w:rPr>
          <w:lang w:val="ga-IE" w:eastAsia="en-GB"/>
        </w:rPr>
        <w:lastRenderedPageBreak/>
        <w:t>Nótaí leis na Ráitis Airgeadais don Bhliain dar críoch an 31 Nollaig 2014</w:t>
      </w:r>
    </w:p>
    <w:p w14:paraId="782AD432" w14:textId="77777777" w:rsidR="000E07C7" w:rsidRPr="000E07C7" w:rsidRDefault="000E07C7" w:rsidP="000E07C7">
      <w:pPr>
        <w:pStyle w:val="Heading3"/>
        <w:rPr>
          <w:lang w:val="ga-IE" w:eastAsia="en-GB"/>
        </w:rPr>
      </w:pPr>
      <w:r w:rsidRPr="000E07C7">
        <w:rPr>
          <w:lang w:val="ga-IE" w:eastAsia="en-GB"/>
        </w:rPr>
        <w:t>1. Cuimsíonn na Ráitis Airgeadais an bhliain dar críoch an 31 Nollaig 2014.</w:t>
      </w:r>
    </w:p>
    <w:p w14:paraId="1E1B85BE" w14:textId="77777777" w:rsidR="000E07C7" w:rsidRPr="000E07C7" w:rsidRDefault="000E07C7" w:rsidP="000E07C7">
      <w:pPr>
        <w:pStyle w:val="Heading3"/>
        <w:rPr>
          <w:lang w:val="ga-IE" w:eastAsia="en-GB"/>
        </w:rPr>
      </w:pPr>
      <w:r w:rsidRPr="000E07C7">
        <w:rPr>
          <w:lang w:val="ga-IE" w:eastAsia="en-GB"/>
        </w:rPr>
        <w:t>2. Ioncam</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195"/>
        <w:gridCol w:w="1452"/>
        <w:gridCol w:w="1274"/>
      </w:tblGrid>
      <w:tr w:rsidR="000E07C7" w:rsidRPr="000E07C7" w14:paraId="3B436B0C" w14:textId="77777777" w:rsidTr="000E07C7">
        <w:trPr>
          <w:tblHeader/>
        </w:trPr>
        <w:tc>
          <w:tcPr>
            <w:tcW w:w="5416" w:type="dxa"/>
            <w:shd w:val="clear" w:color="auto" w:fill="auto"/>
            <w:vAlign w:val="bottom"/>
          </w:tcPr>
          <w:p w14:paraId="20E67C01" w14:textId="77777777" w:rsidR="000E07C7" w:rsidRPr="000E07C7" w:rsidRDefault="000E07C7" w:rsidP="000E07C7">
            <w:pPr>
              <w:pStyle w:val="TableRowHead"/>
              <w:rPr>
                <w:rFonts w:ascii="Gill Sans" w:hAnsi="Gill Sans"/>
                <w:sz w:val="24"/>
                <w:lang w:val="ga-IE" w:eastAsia="en-GB"/>
              </w:rPr>
            </w:pPr>
          </w:p>
        </w:tc>
        <w:tc>
          <w:tcPr>
            <w:tcW w:w="1463" w:type="dxa"/>
            <w:shd w:val="clear" w:color="auto" w:fill="auto"/>
            <w:vAlign w:val="bottom"/>
          </w:tcPr>
          <w:p w14:paraId="452FEBC2" w14:textId="77777777" w:rsidR="000E07C7" w:rsidRPr="000E07C7" w:rsidRDefault="000E07C7" w:rsidP="000E07C7">
            <w:pPr>
              <w:pStyle w:val="TableHead"/>
              <w:jc w:val="center"/>
              <w:rPr>
                <w:lang w:val="ga-IE" w:eastAsia="en-GB"/>
              </w:rPr>
            </w:pPr>
            <w:r w:rsidRPr="000E07C7">
              <w:rPr>
                <w:lang w:val="ga-IE" w:eastAsia="en-GB"/>
              </w:rPr>
              <w:t>2014</w:t>
            </w:r>
          </w:p>
        </w:tc>
        <w:tc>
          <w:tcPr>
            <w:tcW w:w="1274" w:type="dxa"/>
            <w:shd w:val="clear" w:color="auto" w:fill="auto"/>
            <w:vAlign w:val="bottom"/>
          </w:tcPr>
          <w:p w14:paraId="5A74508F" w14:textId="77777777" w:rsidR="000E07C7" w:rsidRPr="000E07C7" w:rsidRDefault="000E07C7" w:rsidP="000E07C7">
            <w:pPr>
              <w:pStyle w:val="TableHead"/>
              <w:jc w:val="center"/>
              <w:rPr>
                <w:lang w:val="ga-IE" w:eastAsia="en-GB"/>
              </w:rPr>
            </w:pPr>
            <w:r w:rsidRPr="000E07C7">
              <w:rPr>
                <w:lang w:val="ga-IE" w:eastAsia="en-GB"/>
              </w:rPr>
              <w:t>2013</w:t>
            </w:r>
          </w:p>
        </w:tc>
      </w:tr>
      <w:tr w:rsidR="000E07C7" w:rsidRPr="000E07C7" w14:paraId="10597672" w14:textId="77777777" w:rsidTr="000E07C7">
        <w:tc>
          <w:tcPr>
            <w:tcW w:w="5416" w:type="dxa"/>
            <w:shd w:val="clear" w:color="auto" w:fill="auto"/>
            <w:vAlign w:val="bottom"/>
          </w:tcPr>
          <w:p w14:paraId="246E70D2" w14:textId="77777777" w:rsidR="000E07C7" w:rsidRPr="000E07C7" w:rsidRDefault="000E07C7" w:rsidP="000E07C7">
            <w:pPr>
              <w:pStyle w:val="TableRowHead"/>
              <w:rPr>
                <w:rFonts w:ascii="Gill Sans" w:hAnsi="Gill Sans"/>
                <w:bCs/>
                <w:sz w:val="24"/>
                <w:lang w:val="ga-IE" w:eastAsia="en-GB"/>
              </w:rPr>
            </w:pPr>
          </w:p>
        </w:tc>
        <w:tc>
          <w:tcPr>
            <w:tcW w:w="1463" w:type="dxa"/>
            <w:shd w:val="clear" w:color="auto" w:fill="auto"/>
            <w:vAlign w:val="bottom"/>
          </w:tcPr>
          <w:p w14:paraId="3BEAEA60"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1274" w:type="dxa"/>
            <w:shd w:val="clear" w:color="auto" w:fill="auto"/>
            <w:vAlign w:val="bottom"/>
          </w:tcPr>
          <w:p w14:paraId="3E2E46A8"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5081A2AB" w14:textId="77777777" w:rsidTr="000E07C7">
        <w:tc>
          <w:tcPr>
            <w:tcW w:w="8153" w:type="dxa"/>
            <w:gridSpan w:val="3"/>
            <w:shd w:val="clear" w:color="auto" w:fill="auto"/>
            <w:vAlign w:val="bottom"/>
          </w:tcPr>
          <w:p w14:paraId="5321BDF8" w14:textId="77777777" w:rsidR="000E07C7" w:rsidRPr="000E07C7" w:rsidRDefault="000E07C7" w:rsidP="000E07C7">
            <w:pPr>
              <w:spacing w:after="0"/>
              <w:rPr>
                <w:rFonts w:cs="Arial"/>
                <w:lang w:val="ga-IE" w:eastAsia="en-GB"/>
              </w:rPr>
            </w:pPr>
            <w:r w:rsidRPr="000E07C7">
              <w:rPr>
                <w:b/>
                <w:lang w:val="ga-IE" w:eastAsia="en-GB"/>
              </w:rPr>
              <w:t>2 (a) Ioncam Deontais</w:t>
            </w:r>
          </w:p>
        </w:tc>
      </w:tr>
      <w:tr w:rsidR="000E07C7" w:rsidRPr="000E07C7" w14:paraId="78136557" w14:textId="77777777" w:rsidTr="000E07C7">
        <w:tc>
          <w:tcPr>
            <w:tcW w:w="5416" w:type="dxa"/>
            <w:shd w:val="clear" w:color="auto" w:fill="auto"/>
            <w:vAlign w:val="bottom"/>
          </w:tcPr>
          <w:p w14:paraId="184A5037" w14:textId="77777777" w:rsidR="000E07C7" w:rsidRPr="000E07C7" w:rsidRDefault="000E07C7" w:rsidP="000E07C7">
            <w:pPr>
              <w:pStyle w:val="TableRowHead"/>
              <w:rPr>
                <w:rFonts w:ascii="Gill Sans" w:hAnsi="Gill Sans"/>
                <w:b w:val="0"/>
                <w:color w:val="0D0D0D"/>
                <w:sz w:val="24"/>
                <w:lang w:val="ga-IE" w:eastAsia="en-GB"/>
              </w:rPr>
            </w:pPr>
            <w:r w:rsidRPr="000E07C7">
              <w:rPr>
                <w:rFonts w:ascii="Gill Sans" w:hAnsi="Gill Sans"/>
                <w:b w:val="0"/>
                <w:color w:val="0D0D0D"/>
                <w:sz w:val="24"/>
                <w:lang w:val="ga-IE" w:eastAsia="en-GB"/>
              </w:rPr>
              <w:t>Déantar an méid Iomlán a íocann an Roinn Dlí agus Cirt agus Comhionannais thar ceann an ÚNM a tharraingt anuas faoi fhotheideal D11 vóta 24</w:t>
            </w:r>
          </w:p>
        </w:tc>
        <w:tc>
          <w:tcPr>
            <w:tcW w:w="1463" w:type="dxa"/>
            <w:shd w:val="clear" w:color="auto" w:fill="auto"/>
            <w:vAlign w:val="bottom"/>
          </w:tcPr>
          <w:p w14:paraId="75F41C81" w14:textId="77777777" w:rsidR="000E07C7" w:rsidRPr="000E07C7" w:rsidRDefault="000E07C7" w:rsidP="000E07C7">
            <w:pPr>
              <w:pStyle w:val="TableCell"/>
              <w:rPr>
                <w:sz w:val="24"/>
                <w:lang w:val="ga-IE" w:eastAsia="en-GB"/>
              </w:rPr>
            </w:pPr>
            <w:r w:rsidRPr="000E07C7">
              <w:rPr>
                <w:sz w:val="24"/>
                <w:lang w:val="ga-IE" w:eastAsia="en-GB"/>
              </w:rPr>
              <w:t>3,240,600</w:t>
            </w:r>
          </w:p>
        </w:tc>
        <w:tc>
          <w:tcPr>
            <w:tcW w:w="1274" w:type="dxa"/>
            <w:shd w:val="clear" w:color="auto" w:fill="auto"/>
            <w:vAlign w:val="bottom"/>
          </w:tcPr>
          <w:p w14:paraId="30F6687E" w14:textId="77777777" w:rsidR="000E07C7" w:rsidRPr="000E07C7" w:rsidRDefault="000E07C7" w:rsidP="000E07C7">
            <w:pPr>
              <w:pStyle w:val="TableCell"/>
              <w:rPr>
                <w:sz w:val="24"/>
                <w:lang w:val="ga-IE" w:eastAsia="en-GB"/>
              </w:rPr>
            </w:pPr>
            <w:r w:rsidRPr="000E07C7">
              <w:rPr>
                <w:sz w:val="24"/>
                <w:lang w:val="ga-IE" w:eastAsia="en-GB"/>
              </w:rPr>
              <w:t xml:space="preserve">3,426,814 </w:t>
            </w:r>
          </w:p>
        </w:tc>
      </w:tr>
      <w:tr w:rsidR="000E07C7" w:rsidRPr="000E07C7" w14:paraId="630FDF94" w14:textId="77777777" w:rsidTr="000E07C7">
        <w:tc>
          <w:tcPr>
            <w:tcW w:w="5416" w:type="dxa"/>
            <w:shd w:val="clear" w:color="auto" w:fill="auto"/>
            <w:vAlign w:val="bottom"/>
          </w:tcPr>
          <w:p w14:paraId="1B23A3F5" w14:textId="77777777" w:rsidR="000E07C7" w:rsidRPr="000E07C7" w:rsidRDefault="000E07C7" w:rsidP="000E07C7">
            <w:pPr>
              <w:pStyle w:val="TableRowHead"/>
              <w:rPr>
                <w:rFonts w:ascii="Gill Sans" w:hAnsi="Gill Sans"/>
                <w:sz w:val="24"/>
                <w:lang w:val="ga-IE" w:eastAsia="en-GB"/>
              </w:rPr>
            </w:pPr>
          </w:p>
        </w:tc>
        <w:tc>
          <w:tcPr>
            <w:tcW w:w="1463" w:type="dxa"/>
            <w:shd w:val="clear" w:color="auto" w:fill="auto"/>
            <w:vAlign w:val="bottom"/>
          </w:tcPr>
          <w:p w14:paraId="4155B077" w14:textId="77777777" w:rsidR="000E07C7" w:rsidRPr="000E07C7" w:rsidRDefault="000E07C7" w:rsidP="000E07C7">
            <w:pPr>
              <w:pStyle w:val="TableCell"/>
              <w:rPr>
                <w:b/>
                <w:sz w:val="24"/>
                <w:lang w:val="ga-IE" w:eastAsia="en-GB"/>
              </w:rPr>
            </w:pPr>
            <w:r w:rsidRPr="000E07C7">
              <w:rPr>
                <w:b/>
                <w:sz w:val="24"/>
                <w:lang w:val="ga-IE" w:eastAsia="en-GB"/>
              </w:rPr>
              <w:t>3,240,600</w:t>
            </w:r>
          </w:p>
        </w:tc>
        <w:tc>
          <w:tcPr>
            <w:tcW w:w="1274" w:type="dxa"/>
            <w:shd w:val="clear" w:color="auto" w:fill="auto"/>
            <w:vAlign w:val="bottom"/>
          </w:tcPr>
          <w:p w14:paraId="0F5FA37E" w14:textId="77777777" w:rsidR="000E07C7" w:rsidRPr="000E07C7" w:rsidRDefault="000E07C7" w:rsidP="000E07C7">
            <w:pPr>
              <w:pStyle w:val="TableCell"/>
              <w:rPr>
                <w:b/>
                <w:sz w:val="24"/>
                <w:lang w:val="ga-IE" w:eastAsia="en-GB"/>
              </w:rPr>
            </w:pPr>
            <w:r w:rsidRPr="000E07C7">
              <w:rPr>
                <w:b/>
                <w:sz w:val="24"/>
                <w:lang w:val="ga-IE" w:eastAsia="en-GB"/>
              </w:rPr>
              <w:t xml:space="preserve">3,426,814 </w:t>
            </w:r>
          </w:p>
        </w:tc>
      </w:tr>
      <w:tr w:rsidR="000E07C7" w:rsidRPr="000E07C7" w14:paraId="0DBDE2EB" w14:textId="77777777" w:rsidTr="000E07C7">
        <w:tc>
          <w:tcPr>
            <w:tcW w:w="8153" w:type="dxa"/>
            <w:gridSpan w:val="3"/>
            <w:shd w:val="clear" w:color="auto" w:fill="auto"/>
            <w:vAlign w:val="bottom"/>
          </w:tcPr>
          <w:p w14:paraId="7301238E" w14:textId="77777777" w:rsidR="000E07C7" w:rsidRPr="000E07C7" w:rsidRDefault="000E07C7" w:rsidP="000E07C7">
            <w:pPr>
              <w:pStyle w:val="TableCell"/>
              <w:jc w:val="left"/>
              <w:rPr>
                <w:sz w:val="24"/>
                <w:lang w:val="ga-IE" w:eastAsia="en-GB"/>
              </w:rPr>
            </w:pPr>
            <w:r w:rsidRPr="000E07C7">
              <w:rPr>
                <w:b/>
                <w:sz w:val="24"/>
                <w:lang w:val="ga-IE" w:eastAsia="en-GB"/>
              </w:rPr>
              <w:t>2 (b) Ioncam Eile</w:t>
            </w:r>
          </w:p>
        </w:tc>
      </w:tr>
      <w:tr w:rsidR="000E07C7" w:rsidRPr="000E07C7" w14:paraId="59C7F28C" w14:textId="77777777" w:rsidTr="000E07C7">
        <w:tc>
          <w:tcPr>
            <w:tcW w:w="5416" w:type="dxa"/>
            <w:shd w:val="clear" w:color="auto" w:fill="auto"/>
            <w:vAlign w:val="bottom"/>
          </w:tcPr>
          <w:p w14:paraId="48B70D3D"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Ús Bainc</w:t>
            </w:r>
          </w:p>
        </w:tc>
        <w:tc>
          <w:tcPr>
            <w:tcW w:w="1463" w:type="dxa"/>
            <w:shd w:val="clear" w:color="auto" w:fill="auto"/>
            <w:vAlign w:val="bottom"/>
          </w:tcPr>
          <w:p w14:paraId="3183BC05" w14:textId="77777777" w:rsidR="000E07C7" w:rsidRPr="000E07C7" w:rsidRDefault="000E07C7" w:rsidP="000E07C7">
            <w:pPr>
              <w:pStyle w:val="TableCell"/>
              <w:rPr>
                <w:sz w:val="24"/>
                <w:lang w:val="ga-IE" w:eastAsia="en-GB"/>
              </w:rPr>
            </w:pPr>
            <w:r w:rsidRPr="000E07C7">
              <w:rPr>
                <w:sz w:val="24"/>
                <w:lang w:val="ga-IE" w:eastAsia="en-GB"/>
              </w:rPr>
              <w:t>0</w:t>
            </w:r>
          </w:p>
        </w:tc>
        <w:tc>
          <w:tcPr>
            <w:tcW w:w="1274" w:type="dxa"/>
            <w:shd w:val="clear" w:color="auto" w:fill="auto"/>
            <w:vAlign w:val="bottom"/>
          </w:tcPr>
          <w:p w14:paraId="25D0E402" w14:textId="77777777" w:rsidR="000E07C7" w:rsidRPr="000E07C7" w:rsidRDefault="000E07C7" w:rsidP="000E07C7">
            <w:pPr>
              <w:pStyle w:val="TableCell"/>
              <w:rPr>
                <w:sz w:val="24"/>
                <w:lang w:val="ga-IE" w:eastAsia="en-GB"/>
              </w:rPr>
            </w:pPr>
            <w:r w:rsidRPr="000E07C7">
              <w:rPr>
                <w:sz w:val="24"/>
                <w:lang w:val="ga-IE" w:eastAsia="en-GB"/>
              </w:rPr>
              <w:t xml:space="preserve">1 </w:t>
            </w:r>
          </w:p>
        </w:tc>
      </w:tr>
      <w:tr w:rsidR="000E07C7" w:rsidRPr="000E07C7" w14:paraId="4FCE3198" w14:textId="77777777" w:rsidTr="000E07C7">
        <w:tc>
          <w:tcPr>
            <w:tcW w:w="5416" w:type="dxa"/>
            <w:shd w:val="clear" w:color="auto" w:fill="auto"/>
            <w:vAlign w:val="bottom"/>
          </w:tcPr>
          <w:p w14:paraId="66B0CC2F"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An Roinn Coimirce Sóisialaí</w:t>
            </w:r>
          </w:p>
        </w:tc>
        <w:tc>
          <w:tcPr>
            <w:tcW w:w="1463" w:type="dxa"/>
            <w:shd w:val="clear" w:color="auto" w:fill="auto"/>
            <w:vAlign w:val="bottom"/>
          </w:tcPr>
          <w:p w14:paraId="2796136C" w14:textId="77777777" w:rsidR="000E07C7" w:rsidRPr="000E07C7" w:rsidRDefault="000E07C7" w:rsidP="000E07C7">
            <w:pPr>
              <w:pStyle w:val="TableCell"/>
              <w:rPr>
                <w:sz w:val="24"/>
                <w:lang w:val="ga-IE" w:eastAsia="en-GB"/>
              </w:rPr>
            </w:pPr>
            <w:r w:rsidRPr="000E07C7">
              <w:rPr>
                <w:sz w:val="24"/>
                <w:lang w:val="ga-IE" w:eastAsia="en-GB"/>
              </w:rPr>
              <w:t>7,082</w:t>
            </w:r>
          </w:p>
        </w:tc>
        <w:tc>
          <w:tcPr>
            <w:tcW w:w="1274" w:type="dxa"/>
            <w:shd w:val="clear" w:color="auto" w:fill="auto"/>
            <w:vAlign w:val="bottom"/>
          </w:tcPr>
          <w:p w14:paraId="4373E2BC" w14:textId="77777777" w:rsidR="000E07C7" w:rsidRPr="000E07C7" w:rsidRDefault="000E07C7" w:rsidP="000E07C7">
            <w:pPr>
              <w:pStyle w:val="TableCell"/>
              <w:rPr>
                <w:sz w:val="24"/>
                <w:lang w:val="ga-IE" w:eastAsia="en-GB"/>
              </w:rPr>
            </w:pPr>
            <w:r w:rsidRPr="000E07C7">
              <w:rPr>
                <w:sz w:val="24"/>
                <w:lang w:val="ga-IE" w:eastAsia="en-GB"/>
              </w:rPr>
              <w:t xml:space="preserve">12,113 </w:t>
            </w:r>
          </w:p>
        </w:tc>
      </w:tr>
      <w:tr w:rsidR="000E07C7" w:rsidRPr="000E07C7" w14:paraId="1CCEA540" w14:textId="77777777" w:rsidTr="000E07C7">
        <w:tc>
          <w:tcPr>
            <w:tcW w:w="5416" w:type="dxa"/>
            <w:shd w:val="clear" w:color="auto" w:fill="auto"/>
            <w:vAlign w:val="bottom"/>
          </w:tcPr>
          <w:p w14:paraId="34517241" w14:textId="77777777" w:rsidR="000E07C7" w:rsidRPr="000E07C7" w:rsidRDefault="000E07C7" w:rsidP="000E07C7">
            <w:pPr>
              <w:pStyle w:val="TableRowHead"/>
              <w:rPr>
                <w:rFonts w:ascii="Gill Sans" w:hAnsi="Gill Sans"/>
                <w:b w:val="0"/>
                <w:sz w:val="24"/>
                <w:lang w:val="ga-IE" w:eastAsia="en-GB"/>
              </w:rPr>
            </w:pPr>
            <w:proofErr w:type="spellStart"/>
            <w:r w:rsidRPr="000E07C7">
              <w:rPr>
                <w:rFonts w:ascii="Gill Sans" w:hAnsi="Gill Sans"/>
                <w:b w:val="0"/>
                <w:sz w:val="24"/>
                <w:lang w:val="ga-IE" w:eastAsia="en-GB"/>
              </w:rPr>
              <w:t>Ilearraí</w:t>
            </w:r>
            <w:proofErr w:type="spellEnd"/>
            <w:r w:rsidRPr="000E07C7">
              <w:rPr>
                <w:rFonts w:ascii="Gill Sans" w:hAnsi="Gill Sans"/>
                <w:b w:val="0"/>
                <w:sz w:val="24"/>
                <w:lang w:val="ga-IE" w:eastAsia="en-GB"/>
              </w:rPr>
              <w:t xml:space="preserve"> </w:t>
            </w:r>
          </w:p>
        </w:tc>
        <w:tc>
          <w:tcPr>
            <w:tcW w:w="1463" w:type="dxa"/>
            <w:shd w:val="clear" w:color="auto" w:fill="auto"/>
            <w:vAlign w:val="bottom"/>
          </w:tcPr>
          <w:p w14:paraId="3398FFE1" w14:textId="77777777" w:rsidR="000E07C7" w:rsidRPr="000E07C7" w:rsidRDefault="000E07C7" w:rsidP="000E07C7">
            <w:pPr>
              <w:pStyle w:val="TableCell"/>
              <w:rPr>
                <w:sz w:val="24"/>
                <w:lang w:val="ga-IE" w:eastAsia="en-GB"/>
              </w:rPr>
            </w:pPr>
            <w:r w:rsidRPr="000E07C7">
              <w:rPr>
                <w:sz w:val="24"/>
                <w:lang w:val="ga-IE" w:eastAsia="en-GB"/>
              </w:rPr>
              <w:t>15,275</w:t>
            </w:r>
          </w:p>
        </w:tc>
        <w:tc>
          <w:tcPr>
            <w:tcW w:w="1274" w:type="dxa"/>
            <w:shd w:val="clear" w:color="auto" w:fill="auto"/>
            <w:vAlign w:val="bottom"/>
          </w:tcPr>
          <w:p w14:paraId="0F9D3388" w14:textId="77777777" w:rsidR="000E07C7" w:rsidRPr="000E07C7" w:rsidRDefault="000E07C7" w:rsidP="000E07C7">
            <w:pPr>
              <w:pStyle w:val="TableCell"/>
              <w:rPr>
                <w:sz w:val="24"/>
                <w:lang w:val="ga-IE" w:eastAsia="en-GB"/>
              </w:rPr>
            </w:pPr>
            <w:r w:rsidRPr="000E07C7">
              <w:rPr>
                <w:sz w:val="24"/>
                <w:lang w:val="ga-IE" w:eastAsia="en-GB"/>
              </w:rPr>
              <w:t xml:space="preserve">17,752 </w:t>
            </w:r>
          </w:p>
        </w:tc>
      </w:tr>
      <w:tr w:rsidR="000E07C7" w:rsidRPr="000E07C7" w14:paraId="1F82A955" w14:textId="77777777" w:rsidTr="000E07C7">
        <w:tc>
          <w:tcPr>
            <w:tcW w:w="5416" w:type="dxa"/>
            <w:shd w:val="clear" w:color="auto" w:fill="auto"/>
            <w:vAlign w:val="bottom"/>
          </w:tcPr>
          <w:p w14:paraId="3EA64E9C" w14:textId="77777777" w:rsidR="000E07C7" w:rsidRPr="000E07C7" w:rsidRDefault="000E07C7" w:rsidP="000E07C7">
            <w:pPr>
              <w:pStyle w:val="TableRowHead"/>
              <w:rPr>
                <w:rFonts w:ascii="Gill Sans" w:hAnsi="Gill Sans"/>
                <w:sz w:val="24"/>
                <w:lang w:val="ga-IE" w:eastAsia="en-GB"/>
              </w:rPr>
            </w:pPr>
          </w:p>
        </w:tc>
        <w:tc>
          <w:tcPr>
            <w:tcW w:w="1463" w:type="dxa"/>
            <w:shd w:val="clear" w:color="auto" w:fill="auto"/>
            <w:vAlign w:val="bottom"/>
          </w:tcPr>
          <w:p w14:paraId="0D227FA8" w14:textId="77777777" w:rsidR="000E07C7" w:rsidRPr="000E07C7" w:rsidRDefault="000E07C7" w:rsidP="000E07C7">
            <w:pPr>
              <w:pStyle w:val="TableCell"/>
              <w:rPr>
                <w:b/>
                <w:sz w:val="24"/>
                <w:lang w:val="ga-IE" w:eastAsia="en-GB"/>
              </w:rPr>
            </w:pPr>
            <w:r w:rsidRPr="000E07C7">
              <w:rPr>
                <w:b/>
                <w:sz w:val="24"/>
                <w:lang w:val="ga-IE" w:eastAsia="en-GB"/>
              </w:rPr>
              <w:t>22,357</w:t>
            </w:r>
          </w:p>
        </w:tc>
        <w:tc>
          <w:tcPr>
            <w:tcW w:w="1274" w:type="dxa"/>
            <w:shd w:val="clear" w:color="auto" w:fill="auto"/>
            <w:vAlign w:val="bottom"/>
          </w:tcPr>
          <w:p w14:paraId="7F88005B" w14:textId="77777777" w:rsidR="000E07C7" w:rsidRPr="000E07C7" w:rsidRDefault="000E07C7" w:rsidP="000E07C7">
            <w:pPr>
              <w:pStyle w:val="TableCell"/>
              <w:rPr>
                <w:b/>
                <w:sz w:val="24"/>
                <w:lang w:val="ga-IE" w:eastAsia="en-GB"/>
              </w:rPr>
            </w:pPr>
            <w:r w:rsidRPr="000E07C7">
              <w:rPr>
                <w:b/>
                <w:sz w:val="24"/>
                <w:lang w:val="ga-IE" w:eastAsia="en-GB"/>
              </w:rPr>
              <w:t xml:space="preserve">29,866 </w:t>
            </w:r>
          </w:p>
        </w:tc>
      </w:tr>
    </w:tbl>
    <w:p w14:paraId="72A6E889" w14:textId="77777777" w:rsidR="000E07C7" w:rsidRPr="000E07C7" w:rsidRDefault="000E07C7" w:rsidP="000E07C7">
      <w:pPr>
        <w:rPr>
          <w:lang w:val="ga-IE"/>
        </w:rPr>
      </w:pPr>
    </w:p>
    <w:p w14:paraId="0833B4A0" w14:textId="77777777" w:rsidR="000E07C7" w:rsidRPr="000E07C7" w:rsidRDefault="000E07C7" w:rsidP="000E07C7">
      <w:pPr>
        <w:pStyle w:val="Heading3"/>
        <w:rPr>
          <w:lang w:val="ga-IE"/>
        </w:rPr>
      </w:pPr>
      <w:r w:rsidRPr="000E07C7">
        <w:rPr>
          <w:lang w:val="ga-IE"/>
        </w:rPr>
        <w:t>3. Tionscadail agus Obair Choimisiúnaithe</w:t>
      </w:r>
    </w:p>
    <w:p w14:paraId="42A5247C" w14:textId="77777777" w:rsidR="000E07C7" w:rsidRPr="000E07C7" w:rsidRDefault="000E07C7" w:rsidP="000E07C7">
      <w:pPr>
        <w:rPr>
          <w:lang w:val="ga-IE"/>
        </w:rPr>
      </w:pPr>
      <w:r w:rsidRPr="000E07C7">
        <w:rPr>
          <w:lang w:val="ga-IE"/>
        </w:rPr>
        <w:t>Chaith an tÚdarás Náisiúnta Míchumais €</w:t>
      </w:r>
      <w:r w:rsidR="00213552">
        <w:t>374,920</w:t>
      </w:r>
      <w:r w:rsidR="00213552" w:rsidRPr="00002A40">
        <w:t xml:space="preserve"> </w:t>
      </w:r>
      <w:r w:rsidRPr="000E07C7">
        <w:rPr>
          <w:lang w:val="ga-IE"/>
        </w:rPr>
        <w:t>(2013: €509,596) ar thionscadail agus ar obair choimisiúnaithe. Rangaíodh caitheamh iarbhír faoi na fotheidil a leanas:</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565"/>
        <w:gridCol w:w="1189"/>
        <w:gridCol w:w="1167"/>
      </w:tblGrid>
      <w:tr w:rsidR="000E07C7" w:rsidRPr="000E07C7" w14:paraId="69C0A469"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54757207" w14:textId="77777777" w:rsidR="000E07C7" w:rsidRPr="000E07C7" w:rsidRDefault="000E07C7" w:rsidP="000E07C7">
            <w:pPr>
              <w:spacing w:after="0"/>
              <w:rPr>
                <w:rFonts w:cs="Arial"/>
                <w:b/>
                <w:bCs/>
                <w:lang w:val="ga-IE" w:eastAsia="en-GB"/>
              </w:rPr>
            </w:pPr>
          </w:p>
        </w:tc>
        <w:tc>
          <w:tcPr>
            <w:tcW w:w="1220" w:type="dxa"/>
            <w:tcBorders>
              <w:top w:val="single" w:sz="6" w:space="0" w:color="000000"/>
              <w:left w:val="single" w:sz="6" w:space="0" w:color="000000"/>
              <w:bottom w:val="single" w:sz="6" w:space="0" w:color="000000"/>
              <w:right w:val="single" w:sz="6" w:space="0" w:color="000000"/>
            </w:tcBorders>
            <w:vAlign w:val="bottom"/>
          </w:tcPr>
          <w:p w14:paraId="38A44D3C" w14:textId="77777777" w:rsidR="000E07C7" w:rsidRPr="000E07C7" w:rsidRDefault="000E07C7" w:rsidP="000E07C7">
            <w:pPr>
              <w:spacing w:after="0"/>
              <w:jc w:val="center"/>
              <w:rPr>
                <w:rFonts w:cs="Arial"/>
                <w:b/>
                <w:bCs/>
                <w:lang w:val="ga-IE" w:eastAsia="en-GB"/>
              </w:rPr>
            </w:pPr>
            <w:r w:rsidRPr="000E07C7">
              <w:rPr>
                <w:rFonts w:cs="Arial"/>
                <w:b/>
                <w:bCs/>
                <w:lang w:val="ga-IE" w:eastAsia="en-GB"/>
              </w:rPr>
              <w:t>2014</w:t>
            </w:r>
          </w:p>
        </w:tc>
        <w:tc>
          <w:tcPr>
            <w:tcW w:w="1197" w:type="dxa"/>
            <w:tcBorders>
              <w:top w:val="single" w:sz="6" w:space="0" w:color="000000"/>
              <w:left w:val="single" w:sz="6" w:space="0" w:color="000000"/>
              <w:bottom w:val="single" w:sz="6" w:space="0" w:color="000000"/>
              <w:right w:val="single" w:sz="6" w:space="0" w:color="000000"/>
            </w:tcBorders>
            <w:vAlign w:val="bottom"/>
          </w:tcPr>
          <w:p w14:paraId="1233D6B5" w14:textId="77777777" w:rsidR="000E07C7" w:rsidRPr="000E07C7" w:rsidRDefault="000E07C7" w:rsidP="000E07C7">
            <w:pPr>
              <w:spacing w:after="0"/>
              <w:jc w:val="center"/>
              <w:rPr>
                <w:rFonts w:cs="Arial"/>
                <w:b/>
                <w:bCs/>
                <w:lang w:val="ga-IE" w:eastAsia="en-GB"/>
              </w:rPr>
            </w:pPr>
            <w:r w:rsidRPr="000E07C7">
              <w:rPr>
                <w:rFonts w:cs="Arial"/>
                <w:b/>
                <w:bCs/>
                <w:lang w:val="ga-IE" w:eastAsia="en-GB"/>
              </w:rPr>
              <w:t>2013</w:t>
            </w:r>
          </w:p>
        </w:tc>
      </w:tr>
      <w:tr w:rsidR="000E07C7" w:rsidRPr="000E07C7" w14:paraId="5EB0FB54"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1E703500" w14:textId="77777777" w:rsidR="000E07C7" w:rsidRPr="000E07C7" w:rsidRDefault="000E07C7" w:rsidP="000E07C7">
            <w:pPr>
              <w:spacing w:after="0"/>
              <w:rPr>
                <w:rFonts w:cs="Arial"/>
                <w:b/>
                <w:bCs/>
                <w:lang w:val="ga-IE" w:eastAsia="en-GB"/>
              </w:rPr>
            </w:pPr>
          </w:p>
        </w:tc>
        <w:tc>
          <w:tcPr>
            <w:tcW w:w="1220" w:type="dxa"/>
            <w:tcBorders>
              <w:top w:val="single" w:sz="6" w:space="0" w:color="000000"/>
              <w:left w:val="single" w:sz="6" w:space="0" w:color="000000"/>
              <w:bottom w:val="single" w:sz="6" w:space="0" w:color="000000"/>
              <w:right w:val="single" w:sz="6" w:space="0" w:color="000000"/>
            </w:tcBorders>
            <w:vAlign w:val="bottom"/>
          </w:tcPr>
          <w:p w14:paraId="51AE0735"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1197" w:type="dxa"/>
            <w:tcBorders>
              <w:top w:val="single" w:sz="6" w:space="0" w:color="000000"/>
              <w:left w:val="single" w:sz="6" w:space="0" w:color="000000"/>
              <w:bottom w:val="single" w:sz="6" w:space="0" w:color="000000"/>
              <w:right w:val="single" w:sz="6" w:space="0" w:color="000000"/>
            </w:tcBorders>
            <w:vAlign w:val="bottom"/>
          </w:tcPr>
          <w:p w14:paraId="1C575DAA"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6A18AEC6"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46A6A4AD" w14:textId="77777777" w:rsidR="000E07C7" w:rsidRPr="000E07C7" w:rsidRDefault="000E07C7" w:rsidP="000E07C7">
            <w:pPr>
              <w:spacing w:after="0"/>
              <w:rPr>
                <w:rFonts w:cs="Arial"/>
                <w:b/>
                <w:lang w:val="ga-IE" w:eastAsia="en-GB"/>
              </w:rPr>
            </w:pPr>
            <w:r w:rsidRPr="000E07C7">
              <w:rPr>
                <w:rFonts w:cs="Arial"/>
                <w:b/>
                <w:lang w:val="ga-IE" w:eastAsia="en-GB"/>
              </w:rPr>
              <w:t>Taighde</w:t>
            </w:r>
          </w:p>
        </w:tc>
        <w:tc>
          <w:tcPr>
            <w:tcW w:w="1220" w:type="dxa"/>
            <w:tcBorders>
              <w:top w:val="single" w:sz="6" w:space="0" w:color="000000"/>
              <w:left w:val="single" w:sz="6" w:space="0" w:color="000000"/>
              <w:bottom w:val="single" w:sz="6" w:space="0" w:color="000000"/>
              <w:right w:val="single" w:sz="6" w:space="0" w:color="000000"/>
            </w:tcBorders>
            <w:vAlign w:val="bottom"/>
          </w:tcPr>
          <w:p w14:paraId="02084E8D" w14:textId="77777777" w:rsidR="000E07C7" w:rsidRPr="000E07C7" w:rsidRDefault="000E07C7" w:rsidP="000E07C7">
            <w:pPr>
              <w:spacing w:after="0"/>
              <w:jc w:val="right"/>
              <w:rPr>
                <w:rFonts w:cs="Arial"/>
                <w:lang w:val="ga-IE" w:eastAsia="en-GB"/>
              </w:rPr>
            </w:pPr>
            <w:r w:rsidRPr="000E07C7">
              <w:rPr>
                <w:rFonts w:cs="Arial"/>
                <w:lang w:val="ga-IE" w:eastAsia="en-GB"/>
              </w:rPr>
              <w:t>158,584</w:t>
            </w:r>
          </w:p>
        </w:tc>
        <w:tc>
          <w:tcPr>
            <w:tcW w:w="1197" w:type="dxa"/>
            <w:tcBorders>
              <w:top w:val="single" w:sz="6" w:space="0" w:color="000000"/>
              <w:left w:val="single" w:sz="6" w:space="0" w:color="000000"/>
              <w:bottom w:val="single" w:sz="6" w:space="0" w:color="000000"/>
              <w:right w:val="single" w:sz="6" w:space="0" w:color="000000"/>
            </w:tcBorders>
            <w:vAlign w:val="bottom"/>
          </w:tcPr>
          <w:p w14:paraId="13BA3890" w14:textId="77777777" w:rsidR="000E07C7" w:rsidRPr="000E07C7" w:rsidRDefault="000E07C7" w:rsidP="000E07C7">
            <w:pPr>
              <w:spacing w:after="0"/>
              <w:jc w:val="right"/>
              <w:rPr>
                <w:rFonts w:cs="Arial"/>
                <w:lang w:val="ga-IE" w:eastAsia="en-GB"/>
              </w:rPr>
            </w:pPr>
            <w:r w:rsidRPr="000E07C7">
              <w:rPr>
                <w:rFonts w:cs="Arial"/>
                <w:lang w:val="ga-IE" w:eastAsia="en-GB"/>
              </w:rPr>
              <w:t>274,122</w:t>
            </w:r>
          </w:p>
        </w:tc>
      </w:tr>
      <w:tr w:rsidR="000E07C7" w:rsidRPr="000E07C7" w14:paraId="172578AA"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4FF5D731" w14:textId="77777777" w:rsidR="000E07C7" w:rsidRPr="000E07C7" w:rsidRDefault="000E07C7" w:rsidP="000E07C7">
            <w:pPr>
              <w:spacing w:after="0"/>
              <w:rPr>
                <w:rFonts w:cs="Arial"/>
                <w:b/>
                <w:lang w:val="ga-IE" w:eastAsia="en-GB"/>
              </w:rPr>
            </w:pPr>
            <w:r w:rsidRPr="000E07C7">
              <w:rPr>
                <w:rFonts w:cs="Arial"/>
                <w:b/>
                <w:lang w:val="ga-IE" w:eastAsia="en-GB"/>
              </w:rPr>
              <w:t>Acmhainní Faisnéise</w:t>
            </w:r>
          </w:p>
        </w:tc>
        <w:tc>
          <w:tcPr>
            <w:tcW w:w="1220" w:type="dxa"/>
            <w:tcBorders>
              <w:top w:val="single" w:sz="6" w:space="0" w:color="000000"/>
              <w:left w:val="single" w:sz="6" w:space="0" w:color="000000"/>
              <w:bottom w:val="single" w:sz="6" w:space="0" w:color="000000"/>
              <w:right w:val="single" w:sz="6" w:space="0" w:color="000000"/>
            </w:tcBorders>
            <w:vAlign w:val="bottom"/>
          </w:tcPr>
          <w:p w14:paraId="254D56E8" w14:textId="77777777" w:rsidR="000E07C7" w:rsidRPr="000E07C7" w:rsidRDefault="000E07C7" w:rsidP="000E07C7">
            <w:pPr>
              <w:spacing w:after="0"/>
              <w:jc w:val="right"/>
              <w:rPr>
                <w:rFonts w:cs="Arial"/>
                <w:lang w:val="ga-IE" w:eastAsia="en-GB"/>
              </w:rPr>
            </w:pPr>
            <w:r w:rsidRPr="000E07C7">
              <w:rPr>
                <w:rFonts w:cs="Arial"/>
                <w:lang w:val="ga-IE" w:eastAsia="en-GB"/>
              </w:rPr>
              <w:t>58,676</w:t>
            </w:r>
          </w:p>
        </w:tc>
        <w:tc>
          <w:tcPr>
            <w:tcW w:w="1197" w:type="dxa"/>
            <w:tcBorders>
              <w:top w:val="single" w:sz="6" w:space="0" w:color="000000"/>
              <w:left w:val="single" w:sz="6" w:space="0" w:color="000000"/>
              <w:bottom w:val="single" w:sz="6" w:space="0" w:color="000000"/>
              <w:right w:val="single" w:sz="6" w:space="0" w:color="000000"/>
            </w:tcBorders>
            <w:vAlign w:val="bottom"/>
          </w:tcPr>
          <w:p w14:paraId="230BCF89" w14:textId="77777777" w:rsidR="000E07C7" w:rsidRPr="000E07C7" w:rsidRDefault="000E07C7" w:rsidP="000E07C7">
            <w:pPr>
              <w:spacing w:after="0"/>
              <w:jc w:val="right"/>
              <w:rPr>
                <w:rFonts w:cs="Arial"/>
                <w:lang w:val="ga-IE" w:eastAsia="en-GB"/>
              </w:rPr>
            </w:pPr>
            <w:r w:rsidRPr="000E07C7">
              <w:rPr>
                <w:rFonts w:cs="Arial"/>
                <w:lang w:val="ga-IE" w:eastAsia="en-GB"/>
              </w:rPr>
              <w:t>27,382</w:t>
            </w:r>
          </w:p>
        </w:tc>
      </w:tr>
      <w:tr w:rsidR="000E07C7" w:rsidRPr="000E07C7" w14:paraId="7DF3996B"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1392C696" w14:textId="77777777" w:rsidR="000E07C7" w:rsidRPr="000E07C7" w:rsidRDefault="000E07C7" w:rsidP="000E07C7">
            <w:pPr>
              <w:spacing w:after="0"/>
              <w:rPr>
                <w:rFonts w:cs="Arial"/>
                <w:b/>
                <w:lang w:val="ga-IE" w:eastAsia="en-GB"/>
              </w:rPr>
            </w:pPr>
            <w:r w:rsidRPr="000E07C7">
              <w:rPr>
                <w:rFonts w:cs="Arial"/>
                <w:b/>
                <w:lang w:val="ga-IE" w:eastAsia="en-GB"/>
              </w:rPr>
              <w:t>Dearadh Uilíoch a Chur chun Cinn</w:t>
            </w:r>
          </w:p>
        </w:tc>
        <w:tc>
          <w:tcPr>
            <w:tcW w:w="1220" w:type="dxa"/>
            <w:tcBorders>
              <w:top w:val="single" w:sz="6" w:space="0" w:color="000000"/>
              <w:left w:val="single" w:sz="6" w:space="0" w:color="000000"/>
              <w:bottom w:val="single" w:sz="6" w:space="0" w:color="000000"/>
              <w:right w:val="single" w:sz="6" w:space="0" w:color="000000"/>
            </w:tcBorders>
            <w:vAlign w:val="bottom"/>
          </w:tcPr>
          <w:p w14:paraId="00D91E25" w14:textId="77777777" w:rsidR="000E07C7" w:rsidRPr="000E07C7" w:rsidRDefault="000E07C7" w:rsidP="000E07C7">
            <w:pPr>
              <w:spacing w:after="0"/>
              <w:jc w:val="right"/>
              <w:rPr>
                <w:rFonts w:cs="Arial"/>
                <w:lang w:val="ga-IE" w:eastAsia="en-GB"/>
              </w:rPr>
            </w:pPr>
            <w:r w:rsidRPr="000E07C7">
              <w:rPr>
                <w:rFonts w:cs="Arial"/>
                <w:lang w:val="ga-IE" w:eastAsia="en-GB"/>
              </w:rPr>
              <w:t>52,063</w:t>
            </w:r>
          </w:p>
        </w:tc>
        <w:tc>
          <w:tcPr>
            <w:tcW w:w="1197" w:type="dxa"/>
            <w:tcBorders>
              <w:top w:val="single" w:sz="6" w:space="0" w:color="000000"/>
              <w:left w:val="single" w:sz="6" w:space="0" w:color="000000"/>
              <w:bottom w:val="single" w:sz="6" w:space="0" w:color="000000"/>
              <w:right w:val="single" w:sz="6" w:space="0" w:color="000000"/>
            </w:tcBorders>
            <w:vAlign w:val="bottom"/>
          </w:tcPr>
          <w:p w14:paraId="24662704" w14:textId="77777777" w:rsidR="000E07C7" w:rsidRPr="000E07C7" w:rsidRDefault="000E07C7" w:rsidP="000E07C7">
            <w:pPr>
              <w:spacing w:after="0"/>
              <w:jc w:val="right"/>
              <w:rPr>
                <w:rFonts w:cs="Arial"/>
                <w:lang w:val="ga-IE" w:eastAsia="en-GB"/>
              </w:rPr>
            </w:pPr>
            <w:r w:rsidRPr="000E07C7">
              <w:rPr>
                <w:rFonts w:cs="Arial"/>
                <w:lang w:val="ga-IE" w:eastAsia="en-GB"/>
              </w:rPr>
              <w:t>66,676</w:t>
            </w:r>
          </w:p>
        </w:tc>
      </w:tr>
      <w:tr w:rsidR="000E07C7" w:rsidRPr="000E07C7" w14:paraId="209DBDE8"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0551A8D4" w14:textId="77777777" w:rsidR="000E07C7" w:rsidRPr="000E07C7" w:rsidRDefault="000E07C7" w:rsidP="000E07C7">
            <w:pPr>
              <w:spacing w:after="0"/>
              <w:rPr>
                <w:rFonts w:cs="Arial"/>
                <w:b/>
                <w:lang w:val="ga-IE" w:eastAsia="en-GB"/>
              </w:rPr>
            </w:pPr>
            <w:r w:rsidRPr="000E07C7">
              <w:rPr>
                <w:rFonts w:cs="Arial"/>
                <w:b/>
                <w:lang w:val="ga-IE" w:eastAsia="en-GB"/>
              </w:rPr>
              <w:t>Seirbhísí Corparáideacha</w:t>
            </w:r>
          </w:p>
        </w:tc>
        <w:tc>
          <w:tcPr>
            <w:tcW w:w="1220" w:type="dxa"/>
            <w:tcBorders>
              <w:top w:val="single" w:sz="6" w:space="0" w:color="000000"/>
              <w:left w:val="single" w:sz="6" w:space="0" w:color="000000"/>
              <w:bottom w:val="single" w:sz="6" w:space="0" w:color="000000"/>
              <w:right w:val="single" w:sz="6" w:space="0" w:color="000000"/>
            </w:tcBorders>
            <w:vAlign w:val="bottom"/>
          </w:tcPr>
          <w:p w14:paraId="28C68E21" w14:textId="77777777" w:rsidR="000E07C7" w:rsidRPr="000E07C7" w:rsidRDefault="000E07C7" w:rsidP="000E07C7">
            <w:pPr>
              <w:spacing w:after="0"/>
              <w:jc w:val="right"/>
              <w:rPr>
                <w:rFonts w:cs="Arial"/>
                <w:lang w:val="ga-IE" w:eastAsia="en-GB"/>
              </w:rPr>
            </w:pPr>
            <w:r w:rsidRPr="000E07C7">
              <w:rPr>
                <w:rFonts w:cs="Arial"/>
                <w:lang w:val="ga-IE" w:eastAsia="en-GB"/>
              </w:rPr>
              <w:t>51,941</w:t>
            </w:r>
          </w:p>
        </w:tc>
        <w:tc>
          <w:tcPr>
            <w:tcW w:w="1197" w:type="dxa"/>
            <w:tcBorders>
              <w:top w:val="single" w:sz="6" w:space="0" w:color="000000"/>
              <w:left w:val="single" w:sz="6" w:space="0" w:color="000000"/>
              <w:bottom w:val="single" w:sz="6" w:space="0" w:color="000000"/>
              <w:right w:val="single" w:sz="6" w:space="0" w:color="000000"/>
            </w:tcBorders>
            <w:vAlign w:val="bottom"/>
          </w:tcPr>
          <w:p w14:paraId="64475BE8" w14:textId="77777777" w:rsidR="000E07C7" w:rsidRPr="000E07C7" w:rsidRDefault="000E07C7" w:rsidP="000E07C7">
            <w:pPr>
              <w:spacing w:after="0"/>
              <w:jc w:val="right"/>
              <w:rPr>
                <w:rFonts w:cs="Arial"/>
                <w:lang w:val="ga-IE" w:eastAsia="en-GB"/>
              </w:rPr>
            </w:pPr>
            <w:r w:rsidRPr="000E07C7">
              <w:rPr>
                <w:rFonts w:cs="Arial"/>
                <w:lang w:val="ga-IE" w:eastAsia="en-GB"/>
              </w:rPr>
              <w:t>53,126</w:t>
            </w:r>
          </w:p>
        </w:tc>
      </w:tr>
      <w:tr w:rsidR="000E07C7" w:rsidRPr="000E07C7" w14:paraId="19D290AA"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5E8B32F7" w14:textId="77777777" w:rsidR="000E07C7" w:rsidRPr="000E07C7" w:rsidRDefault="000E07C7" w:rsidP="000E07C7">
            <w:pPr>
              <w:spacing w:after="0"/>
              <w:rPr>
                <w:rFonts w:cs="Arial"/>
                <w:b/>
                <w:lang w:val="ga-IE" w:eastAsia="en-GB"/>
              </w:rPr>
            </w:pPr>
            <w:r w:rsidRPr="000E07C7">
              <w:rPr>
                <w:rFonts w:cs="Arial"/>
                <w:b/>
                <w:lang w:val="ga-IE" w:eastAsia="en-GB"/>
              </w:rPr>
              <w:t>Caighdeáin agus Treoirlínte</w:t>
            </w:r>
          </w:p>
        </w:tc>
        <w:tc>
          <w:tcPr>
            <w:tcW w:w="1220" w:type="dxa"/>
            <w:tcBorders>
              <w:top w:val="single" w:sz="6" w:space="0" w:color="000000"/>
              <w:left w:val="single" w:sz="6" w:space="0" w:color="000000"/>
              <w:bottom w:val="single" w:sz="6" w:space="0" w:color="000000"/>
              <w:right w:val="single" w:sz="6" w:space="0" w:color="000000"/>
            </w:tcBorders>
            <w:vAlign w:val="bottom"/>
          </w:tcPr>
          <w:p w14:paraId="1D2F04BA" w14:textId="77777777" w:rsidR="000E07C7" w:rsidRPr="000E07C7" w:rsidRDefault="000E07C7" w:rsidP="000E07C7">
            <w:pPr>
              <w:spacing w:after="0"/>
              <w:jc w:val="right"/>
              <w:rPr>
                <w:rFonts w:cs="Arial"/>
                <w:lang w:val="ga-IE" w:eastAsia="en-GB"/>
              </w:rPr>
            </w:pPr>
            <w:r w:rsidRPr="000E07C7">
              <w:rPr>
                <w:rFonts w:cs="Arial"/>
                <w:lang w:val="ga-IE" w:eastAsia="en-GB"/>
              </w:rPr>
              <w:t>25,942</w:t>
            </w:r>
          </w:p>
        </w:tc>
        <w:tc>
          <w:tcPr>
            <w:tcW w:w="1197" w:type="dxa"/>
            <w:tcBorders>
              <w:top w:val="single" w:sz="6" w:space="0" w:color="000000"/>
              <w:left w:val="single" w:sz="6" w:space="0" w:color="000000"/>
              <w:bottom w:val="single" w:sz="6" w:space="0" w:color="000000"/>
              <w:right w:val="single" w:sz="6" w:space="0" w:color="000000"/>
            </w:tcBorders>
            <w:vAlign w:val="bottom"/>
          </w:tcPr>
          <w:p w14:paraId="2FD502A0" w14:textId="77777777" w:rsidR="000E07C7" w:rsidRPr="000E07C7" w:rsidRDefault="000E07C7" w:rsidP="000E07C7">
            <w:pPr>
              <w:spacing w:after="0"/>
              <w:jc w:val="right"/>
              <w:rPr>
                <w:rFonts w:cs="Arial"/>
                <w:lang w:val="ga-IE" w:eastAsia="en-GB"/>
              </w:rPr>
            </w:pPr>
            <w:r w:rsidRPr="000E07C7">
              <w:rPr>
                <w:rFonts w:cs="Arial"/>
                <w:lang w:val="ga-IE" w:eastAsia="en-GB"/>
              </w:rPr>
              <w:t>23,667</w:t>
            </w:r>
          </w:p>
        </w:tc>
      </w:tr>
      <w:tr w:rsidR="000E07C7" w:rsidRPr="000E07C7" w14:paraId="3D56DFA2"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3E0489BF" w14:textId="77777777" w:rsidR="000E07C7" w:rsidRPr="000E07C7" w:rsidRDefault="000E07C7" w:rsidP="000E07C7">
            <w:pPr>
              <w:spacing w:after="0"/>
              <w:rPr>
                <w:rFonts w:cs="Arial"/>
                <w:b/>
                <w:lang w:val="ga-IE" w:eastAsia="en-GB"/>
              </w:rPr>
            </w:pPr>
            <w:r w:rsidRPr="000E07C7">
              <w:rPr>
                <w:rFonts w:cs="Arial"/>
                <w:b/>
                <w:lang w:val="ga-IE" w:eastAsia="en-GB"/>
              </w:rPr>
              <w:t>Comhdhálacha agus Seimineáir</w:t>
            </w:r>
          </w:p>
        </w:tc>
        <w:tc>
          <w:tcPr>
            <w:tcW w:w="1220" w:type="dxa"/>
            <w:tcBorders>
              <w:top w:val="single" w:sz="6" w:space="0" w:color="000000"/>
              <w:left w:val="single" w:sz="6" w:space="0" w:color="000000"/>
              <w:bottom w:val="single" w:sz="6" w:space="0" w:color="000000"/>
              <w:right w:val="single" w:sz="6" w:space="0" w:color="000000"/>
            </w:tcBorders>
            <w:vAlign w:val="bottom"/>
          </w:tcPr>
          <w:p w14:paraId="4F2542DF" w14:textId="77777777" w:rsidR="000E07C7" w:rsidRPr="000E07C7" w:rsidRDefault="000E07C7" w:rsidP="000E07C7">
            <w:pPr>
              <w:spacing w:after="0"/>
              <w:jc w:val="right"/>
              <w:rPr>
                <w:rFonts w:cs="Arial"/>
                <w:lang w:val="ga-IE" w:eastAsia="en-GB"/>
              </w:rPr>
            </w:pPr>
            <w:r w:rsidRPr="000E07C7">
              <w:rPr>
                <w:rFonts w:cs="Arial"/>
                <w:lang w:val="ga-IE" w:eastAsia="en-GB"/>
              </w:rPr>
              <w:t>18,560</w:t>
            </w:r>
          </w:p>
        </w:tc>
        <w:tc>
          <w:tcPr>
            <w:tcW w:w="1197" w:type="dxa"/>
            <w:tcBorders>
              <w:top w:val="single" w:sz="6" w:space="0" w:color="000000"/>
              <w:left w:val="single" w:sz="6" w:space="0" w:color="000000"/>
              <w:bottom w:val="single" w:sz="6" w:space="0" w:color="000000"/>
              <w:right w:val="single" w:sz="6" w:space="0" w:color="000000"/>
            </w:tcBorders>
            <w:vAlign w:val="bottom"/>
          </w:tcPr>
          <w:p w14:paraId="638340B9" w14:textId="77777777" w:rsidR="000E07C7" w:rsidRPr="000E07C7" w:rsidRDefault="000E07C7" w:rsidP="000E07C7">
            <w:pPr>
              <w:spacing w:after="0"/>
              <w:jc w:val="right"/>
              <w:rPr>
                <w:rFonts w:cs="Arial"/>
                <w:lang w:val="ga-IE" w:eastAsia="en-GB"/>
              </w:rPr>
            </w:pPr>
            <w:r w:rsidRPr="000E07C7">
              <w:rPr>
                <w:rFonts w:cs="Arial"/>
                <w:lang w:val="ga-IE" w:eastAsia="en-GB"/>
              </w:rPr>
              <w:t>57,542</w:t>
            </w:r>
          </w:p>
        </w:tc>
      </w:tr>
      <w:tr w:rsidR="000E07C7" w:rsidRPr="000E07C7" w14:paraId="042DC57D"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48CE2F4E" w14:textId="77777777" w:rsidR="000E07C7" w:rsidRPr="000E07C7" w:rsidRDefault="000E07C7" w:rsidP="000E07C7">
            <w:pPr>
              <w:spacing w:after="0"/>
              <w:rPr>
                <w:rFonts w:cs="Arial"/>
                <w:b/>
                <w:lang w:val="ga-IE" w:eastAsia="en-GB"/>
              </w:rPr>
            </w:pPr>
            <w:proofErr w:type="spellStart"/>
            <w:r w:rsidRPr="000E07C7">
              <w:rPr>
                <w:rFonts w:cs="Arial"/>
                <w:b/>
                <w:lang w:val="ga-IE" w:eastAsia="en-GB"/>
              </w:rPr>
              <w:t>Sainchomhairleoireacht</w:t>
            </w:r>
            <w:proofErr w:type="spellEnd"/>
          </w:p>
        </w:tc>
        <w:tc>
          <w:tcPr>
            <w:tcW w:w="1220" w:type="dxa"/>
            <w:tcBorders>
              <w:top w:val="single" w:sz="6" w:space="0" w:color="000000"/>
              <w:left w:val="single" w:sz="6" w:space="0" w:color="000000"/>
              <w:bottom w:val="single" w:sz="6" w:space="0" w:color="000000"/>
              <w:right w:val="single" w:sz="6" w:space="0" w:color="000000"/>
            </w:tcBorders>
            <w:vAlign w:val="bottom"/>
          </w:tcPr>
          <w:p w14:paraId="28F99AEE" w14:textId="77777777" w:rsidR="000E07C7" w:rsidRPr="000E07C7" w:rsidRDefault="000E07C7" w:rsidP="00BA586A">
            <w:pPr>
              <w:spacing w:after="0"/>
              <w:jc w:val="right"/>
              <w:rPr>
                <w:rFonts w:cs="Arial"/>
                <w:lang w:val="ga-IE" w:eastAsia="en-GB"/>
              </w:rPr>
            </w:pPr>
            <w:r w:rsidRPr="000E07C7">
              <w:rPr>
                <w:rFonts w:cs="Arial"/>
                <w:lang w:val="ga-IE" w:eastAsia="en-GB"/>
              </w:rPr>
              <w:t>6,</w:t>
            </w:r>
            <w:r w:rsidR="00BA586A">
              <w:rPr>
                <w:rFonts w:cs="Arial"/>
                <w:lang w:val="ga-IE" w:eastAsia="en-GB"/>
              </w:rPr>
              <w:t>780</w:t>
            </w:r>
          </w:p>
        </w:tc>
        <w:tc>
          <w:tcPr>
            <w:tcW w:w="1197" w:type="dxa"/>
            <w:tcBorders>
              <w:top w:val="single" w:sz="6" w:space="0" w:color="000000"/>
              <w:left w:val="single" w:sz="6" w:space="0" w:color="000000"/>
              <w:bottom w:val="single" w:sz="6" w:space="0" w:color="000000"/>
              <w:right w:val="single" w:sz="6" w:space="0" w:color="000000"/>
            </w:tcBorders>
            <w:vAlign w:val="bottom"/>
          </w:tcPr>
          <w:p w14:paraId="0AB95CE7" w14:textId="77777777" w:rsidR="000E07C7" w:rsidRPr="000E07C7" w:rsidRDefault="000E07C7" w:rsidP="000E07C7">
            <w:pPr>
              <w:spacing w:after="0"/>
              <w:jc w:val="right"/>
              <w:rPr>
                <w:rFonts w:cs="Arial"/>
                <w:lang w:val="ga-IE" w:eastAsia="en-GB"/>
              </w:rPr>
            </w:pPr>
            <w:r w:rsidRPr="000E07C7">
              <w:rPr>
                <w:rFonts w:cs="Arial"/>
                <w:lang w:val="ga-IE" w:eastAsia="en-GB"/>
              </w:rPr>
              <w:t>4,084</w:t>
            </w:r>
          </w:p>
        </w:tc>
      </w:tr>
      <w:tr w:rsidR="000E07C7" w:rsidRPr="000E07C7" w14:paraId="13DD4CE1"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6AFE0F65" w14:textId="77777777" w:rsidR="000E07C7" w:rsidRPr="000E07C7" w:rsidRDefault="000E07C7" w:rsidP="000E07C7">
            <w:pPr>
              <w:spacing w:after="0"/>
              <w:rPr>
                <w:rFonts w:cs="Arial"/>
                <w:b/>
                <w:lang w:val="ga-IE" w:eastAsia="en-GB"/>
              </w:rPr>
            </w:pPr>
            <w:r w:rsidRPr="000E07C7">
              <w:rPr>
                <w:rFonts w:cs="Arial"/>
                <w:b/>
                <w:lang w:val="ga-IE" w:eastAsia="en-GB"/>
              </w:rPr>
              <w:t>Aistriúchán</w:t>
            </w:r>
          </w:p>
        </w:tc>
        <w:tc>
          <w:tcPr>
            <w:tcW w:w="1220" w:type="dxa"/>
            <w:tcBorders>
              <w:top w:val="single" w:sz="6" w:space="0" w:color="000000"/>
              <w:left w:val="single" w:sz="6" w:space="0" w:color="000000"/>
              <w:bottom w:val="single" w:sz="6" w:space="0" w:color="000000"/>
              <w:right w:val="single" w:sz="6" w:space="0" w:color="000000"/>
            </w:tcBorders>
            <w:vAlign w:val="bottom"/>
          </w:tcPr>
          <w:p w14:paraId="2FA17E5E" w14:textId="77777777" w:rsidR="000E07C7" w:rsidRPr="000E07C7" w:rsidRDefault="000E07C7" w:rsidP="000E07C7">
            <w:pPr>
              <w:spacing w:after="0"/>
              <w:jc w:val="right"/>
              <w:rPr>
                <w:rFonts w:cs="Arial"/>
                <w:lang w:val="ga-IE" w:eastAsia="en-GB"/>
              </w:rPr>
            </w:pPr>
            <w:r w:rsidRPr="000E07C7">
              <w:rPr>
                <w:rFonts w:cs="Arial"/>
                <w:lang w:val="ga-IE" w:eastAsia="en-GB"/>
              </w:rPr>
              <w:t>2,374</w:t>
            </w:r>
          </w:p>
        </w:tc>
        <w:tc>
          <w:tcPr>
            <w:tcW w:w="1197" w:type="dxa"/>
            <w:tcBorders>
              <w:top w:val="single" w:sz="6" w:space="0" w:color="000000"/>
              <w:left w:val="single" w:sz="6" w:space="0" w:color="000000"/>
              <w:bottom w:val="single" w:sz="6" w:space="0" w:color="000000"/>
              <w:right w:val="single" w:sz="6" w:space="0" w:color="000000"/>
            </w:tcBorders>
            <w:vAlign w:val="bottom"/>
          </w:tcPr>
          <w:p w14:paraId="6179AC8B" w14:textId="77777777" w:rsidR="000E07C7" w:rsidRPr="000E07C7" w:rsidRDefault="000E07C7" w:rsidP="000E07C7">
            <w:pPr>
              <w:spacing w:after="0"/>
              <w:jc w:val="right"/>
              <w:rPr>
                <w:rFonts w:cs="Arial"/>
                <w:lang w:val="ga-IE" w:eastAsia="en-GB"/>
              </w:rPr>
            </w:pPr>
            <w:r w:rsidRPr="000E07C7">
              <w:rPr>
                <w:rFonts w:cs="Arial"/>
                <w:lang w:val="ga-IE" w:eastAsia="en-GB"/>
              </w:rPr>
              <w:t>2,997</w:t>
            </w:r>
          </w:p>
        </w:tc>
      </w:tr>
      <w:tr w:rsidR="000E07C7" w:rsidRPr="000E07C7" w14:paraId="49504E04"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2BDB1B4C" w14:textId="77777777" w:rsidR="000E07C7" w:rsidRPr="000E07C7" w:rsidRDefault="000E07C7" w:rsidP="000E07C7">
            <w:pPr>
              <w:spacing w:after="0"/>
              <w:rPr>
                <w:rFonts w:cs="Arial"/>
                <w:b/>
                <w:lang w:val="ga-IE" w:eastAsia="en-GB"/>
              </w:rPr>
            </w:pPr>
          </w:p>
        </w:tc>
        <w:tc>
          <w:tcPr>
            <w:tcW w:w="1220" w:type="dxa"/>
            <w:tcBorders>
              <w:top w:val="single" w:sz="6" w:space="0" w:color="000000"/>
              <w:left w:val="single" w:sz="6" w:space="0" w:color="000000"/>
              <w:bottom w:val="single" w:sz="6" w:space="0" w:color="000000"/>
              <w:right w:val="single" w:sz="6" w:space="0" w:color="000000"/>
            </w:tcBorders>
            <w:vAlign w:val="bottom"/>
          </w:tcPr>
          <w:p w14:paraId="0FB2F7FF" w14:textId="77777777" w:rsidR="000E07C7" w:rsidRPr="000E07C7" w:rsidRDefault="000E07C7" w:rsidP="000E07C7">
            <w:pPr>
              <w:spacing w:after="0"/>
              <w:jc w:val="right"/>
              <w:rPr>
                <w:rFonts w:cs="Arial"/>
                <w:lang w:val="ga-IE" w:eastAsia="en-GB"/>
              </w:rPr>
            </w:pPr>
          </w:p>
        </w:tc>
        <w:tc>
          <w:tcPr>
            <w:tcW w:w="1197" w:type="dxa"/>
            <w:tcBorders>
              <w:top w:val="single" w:sz="6" w:space="0" w:color="000000"/>
              <w:left w:val="single" w:sz="6" w:space="0" w:color="000000"/>
              <w:bottom w:val="single" w:sz="6" w:space="0" w:color="000000"/>
              <w:right w:val="single" w:sz="6" w:space="0" w:color="000000"/>
            </w:tcBorders>
            <w:vAlign w:val="bottom"/>
          </w:tcPr>
          <w:p w14:paraId="5FE0ACC1" w14:textId="77777777" w:rsidR="000E07C7" w:rsidRPr="000E07C7" w:rsidRDefault="000E07C7" w:rsidP="000E07C7">
            <w:pPr>
              <w:spacing w:after="0"/>
              <w:jc w:val="right"/>
              <w:rPr>
                <w:rFonts w:cs="Arial"/>
                <w:lang w:val="ga-IE" w:eastAsia="en-GB"/>
              </w:rPr>
            </w:pPr>
          </w:p>
        </w:tc>
      </w:tr>
      <w:tr w:rsidR="000E07C7" w:rsidRPr="000E07C7" w14:paraId="090AC563" w14:textId="77777777" w:rsidTr="000E07C7">
        <w:trPr>
          <w:tblHeader/>
        </w:trPr>
        <w:tc>
          <w:tcPr>
            <w:tcW w:w="5736" w:type="dxa"/>
            <w:tcBorders>
              <w:top w:val="single" w:sz="6" w:space="0" w:color="000000"/>
              <w:left w:val="single" w:sz="6" w:space="0" w:color="000000"/>
              <w:bottom w:val="single" w:sz="6" w:space="0" w:color="000000"/>
              <w:right w:val="single" w:sz="6" w:space="0" w:color="000000"/>
            </w:tcBorders>
            <w:vAlign w:val="bottom"/>
          </w:tcPr>
          <w:p w14:paraId="28CDCA7E" w14:textId="77777777" w:rsidR="000E07C7" w:rsidRPr="000E07C7" w:rsidRDefault="000E07C7" w:rsidP="000E07C7">
            <w:pPr>
              <w:spacing w:after="0"/>
              <w:rPr>
                <w:rFonts w:cs="Arial"/>
                <w:b/>
                <w:lang w:val="ga-IE" w:eastAsia="en-GB"/>
              </w:rPr>
            </w:pPr>
            <w:r w:rsidRPr="000E07C7">
              <w:rPr>
                <w:rFonts w:cs="Arial"/>
                <w:b/>
                <w:lang w:val="ga-IE" w:eastAsia="en-GB"/>
              </w:rPr>
              <w:t xml:space="preserve">Iomlán na dTionscadal agus na </w:t>
            </w:r>
            <w:proofErr w:type="spellStart"/>
            <w:r w:rsidRPr="000E07C7">
              <w:rPr>
                <w:rFonts w:cs="Arial"/>
                <w:b/>
                <w:lang w:val="ga-IE" w:eastAsia="en-GB"/>
              </w:rPr>
              <w:t>hOibre</w:t>
            </w:r>
            <w:proofErr w:type="spellEnd"/>
            <w:r w:rsidRPr="000E07C7">
              <w:rPr>
                <w:rFonts w:cs="Arial"/>
                <w:b/>
                <w:lang w:val="ga-IE" w:eastAsia="en-GB"/>
              </w:rPr>
              <w:t xml:space="preserve"> a Coimisiúnaíodh</w:t>
            </w:r>
          </w:p>
        </w:tc>
        <w:tc>
          <w:tcPr>
            <w:tcW w:w="1220" w:type="dxa"/>
            <w:tcBorders>
              <w:top w:val="single" w:sz="6" w:space="0" w:color="000000"/>
              <w:left w:val="single" w:sz="6" w:space="0" w:color="000000"/>
              <w:bottom w:val="single" w:sz="6" w:space="0" w:color="000000"/>
              <w:right w:val="single" w:sz="6" w:space="0" w:color="000000"/>
            </w:tcBorders>
            <w:vAlign w:val="bottom"/>
          </w:tcPr>
          <w:p w14:paraId="79DE11D8" w14:textId="77777777" w:rsidR="000E07C7" w:rsidRPr="000E07C7" w:rsidRDefault="00213552" w:rsidP="000E07C7">
            <w:pPr>
              <w:spacing w:after="0"/>
              <w:jc w:val="right"/>
              <w:rPr>
                <w:rFonts w:cs="Arial"/>
                <w:b/>
                <w:lang w:val="ga-IE" w:eastAsia="en-GB"/>
              </w:rPr>
            </w:pPr>
            <w:r>
              <w:t>374,920</w:t>
            </w:r>
          </w:p>
        </w:tc>
        <w:tc>
          <w:tcPr>
            <w:tcW w:w="1197" w:type="dxa"/>
            <w:tcBorders>
              <w:top w:val="single" w:sz="6" w:space="0" w:color="000000"/>
              <w:left w:val="single" w:sz="6" w:space="0" w:color="000000"/>
              <w:bottom w:val="single" w:sz="6" w:space="0" w:color="000000"/>
              <w:right w:val="single" w:sz="6" w:space="0" w:color="000000"/>
            </w:tcBorders>
            <w:vAlign w:val="bottom"/>
          </w:tcPr>
          <w:p w14:paraId="575F9603" w14:textId="77777777" w:rsidR="000E07C7" w:rsidRPr="000E07C7" w:rsidRDefault="000E07C7" w:rsidP="000E07C7">
            <w:pPr>
              <w:spacing w:after="0"/>
              <w:jc w:val="right"/>
              <w:rPr>
                <w:rFonts w:cs="Arial"/>
                <w:b/>
                <w:lang w:val="ga-IE" w:eastAsia="en-GB"/>
              </w:rPr>
            </w:pPr>
            <w:r w:rsidRPr="000E07C7">
              <w:rPr>
                <w:rFonts w:cs="Arial"/>
                <w:b/>
                <w:lang w:val="ga-IE" w:eastAsia="en-GB"/>
              </w:rPr>
              <w:t>509,596</w:t>
            </w:r>
          </w:p>
        </w:tc>
      </w:tr>
    </w:tbl>
    <w:p w14:paraId="7D4327B3" w14:textId="77777777" w:rsidR="000E07C7" w:rsidRPr="000E07C7" w:rsidRDefault="000E07C7" w:rsidP="000E07C7">
      <w:pPr>
        <w:rPr>
          <w:lang w:val="ga-IE" w:eastAsia="en-GB"/>
        </w:rPr>
      </w:pPr>
    </w:p>
    <w:p w14:paraId="1456FBD6" w14:textId="77777777" w:rsidR="000E07C7" w:rsidRPr="000E07C7" w:rsidRDefault="000E07C7" w:rsidP="000E07C7">
      <w:pPr>
        <w:pStyle w:val="Heading3"/>
        <w:rPr>
          <w:lang w:val="ga-IE" w:eastAsia="en-GB"/>
        </w:rPr>
      </w:pPr>
      <w:r w:rsidRPr="000E07C7">
        <w:rPr>
          <w:lang w:val="ga-IE" w:eastAsia="en-GB"/>
        </w:rPr>
        <w:lastRenderedPageBreak/>
        <w:t xml:space="preserve">4. Costais Phárolla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331"/>
        <w:gridCol w:w="1244"/>
        <w:gridCol w:w="1346"/>
      </w:tblGrid>
      <w:tr w:rsidR="000E07C7" w:rsidRPr="000E07C7" w14:paraId="57B4FE42" w14:textId="77777777" w:rsidTr="000E07C7">
        <w:trPr>
          <w:tblHeader/>
        </w:trPr>
        <w:tc>
          <w:tcPr>
            <w:tcW w:w="5495" w:type="dxa"/>
            <w:shd w:val="clear" w:color="auto" w:fill="auto"/>
            <w:vAlign w:val="bottom"/>
          </w:tcPr>
          <w:p w14:paraId="6807F351" w14:textId="77777777" w:rsidR="000E07C7" w:rsidRPr="000E07C7" w:rsidRDefault="000E07C7" w:rsidP="000E07C7">
            <w:pPr>
              <w:spacing w:after="0"/>
              <w:rPr>
                <w:rFonts w:cs="Arial"/>
                <w:lang w:val="ga-IE" w:eastAsia="en-GB"/>
              </w:rPr>
            </w:pPr>
          </w:p>
        </w:tc>
        <w:tc>
          <w:tcPr>
            <w:tcW w:w="1276" w:type="dxa"/>
            <w:shd w:val="clear" w:color="auto" w:fill="auto"/>
            <w:vAlign w:val="bottom"/>
          </w:tcPr>
          <w:p w14:paraId="140E5B92" w14:textId="77777777" w:rsidR="000E07C7" w:rsidRPr="000E07C7" w:rsidRDefault="000E07C7" w:rsidP="000E07C7">
            <w:pPr>
              <w:pStyle w:val="TableHead"/>
              <w:jc w:val="center"/>
              <w:rPr>
                <w:lang w:val="ga-IE" w:eastAsia="en-GB"/>
              </w:rPr>
            </w:pPr>
            <w:r w:rsidRPr="000E07C7">
              <w:rPr>
                <w:lang w:val="ga-IE" w:eastAsia="en-GB"/>
              </w:rPr>
              <w:t>2014</w:t>
            </w:r>
          </w:p>
        </w:tc>
        <w:tc>
          <w:tcPr>
            <w:tcW w:w="1382" w:type="dxa"/>
            <w:shd w:val="clear" w:color="auto" w:fill="auto"/>
            <w:vAlign w:val="bottom"/>
          </w:tcPr>
          <w:p w14:paraId="05DBAE29" w14:textId="77777777" w:rsidR="000E07C7" w:rsidRPr="000E07C7" w:rsidRDefault="000E07C7" w:rsidP="000E07C7">
            <w:pPr>
              <w:pStyle w:val="TableHead"/>
              <w:jc w:val="center"/>
              <w:rPr>
                <w:lang w:val="ga-IE" w:eastAsia="en-GB"/>
              </w:rPr>
            </w:pPr>
            <w:r w:rsidRPr="000E07C7">
              <w:rPr>
                <w:lang w:val="ga-IE" w:eastAsia="en-GB"/>
              </w:rPr>
              <w:t>2013</w:t>
            </w:r>
          </w:p>
        </w:tc>
      </w:tr>
      <w:tr w:rsidR="000E07C7" w:rsidRPr="000E07C7" w14:paraId="663862EC" w14:textId="77777777" w:rsidTr="000E07C7">
        <w:tc>
          <w:tcPr>
            <w:tcW w:w="5495" w:type="dxa"/>
            <w:shd w:val="clear" w:color="auto" w:fill="auto"/>
            <w:vAlign w:val="bottom"/>
          </w:tcPr>
          <w:p w14:paraId="558B1FFD" w14:textId="77777777" w:rsidR="000E07C7" w:rsidRPr="000E07C7" w:rsidRDefault="000E07C7" w:rsidP="000E07C7">
            <w:pPr>
              <w:spacing w:after="0"/>
              <w:rPr>
                <w:rFonts w:cs="Arial"/>
                <w:lang w:val="ga-IE" w:eastAsia="en-GB"/>
              </w:rPr>
            </w:pPr>
          </w:p>
        </w:tc>
        <w:tc>
          <w:tcPr>
            <w:tcW w:w="1276" w:type="dxa"/>
            <w:shd w:val="clear" w:color="auto" w:fill="auto"/>
            <w:vAlign w:val="bottom"/>
          </w:tcPr>
          <w:p w14:paraId="555709F8"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1382" w:type="dxa"/>
            <w:shd w:val="clear" w:color="auto" w:fill="auto"/>
            <w:vAlign w:val="bottom"/>
          </w:tcPr>
          <w:p w14:paraId="07265FDD"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650AF7A3" w14:textId="77777777" w:rsidTr="000E07C7">
        <w:tc>
          <w:tcPr>
            <w:tcW w:w="5495" w:type="dxa"/>
            <w:shd w:val="clear" w:color="auto" w:fill="auto"/>
            <w:vAlign w:val="bottom"/>
          </w:tcPr>
          <w:p w14:paraId="1C37D612"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Pá Foirne an ÚNM</w:t>
            </w:r>
          </w:p>
        </w:tc>
        <w:tc>
          <w:tcPr>
            <w:tcW w:w="1276" w:type="dxa"/>
            <w:shd w:val="clear" w:color="auto" w:fill="auto"/>
            <w:vAlign w:val="bottom"/>
          </w:tcPr>
          <w:p w14:paraId="251C3E51" w14:textId="77777777" w:rsidR="000E07C7" w:rsidRPr="000E07C7" w:rsidRDefault="000E07C7" w:rsidP="000E07C7">
            <w:pPr>
              <w:pStyle w:val="TableCell"/>
              <w:rPr>
                <w:sz w:val="24"/>
                <w:lang w:val="ga-IE" w:eastAsia="en-GB"/>
              </w:rPr>
            </w:pPr>
            <w:r w:rsidRPr="000E07C7">
              <w:rPr>
                <w:sz w:val="24"/>
                <w:lang w:val="ga-IE" w:eastAsia="en-GB"/>
              </w:rPr>
              <w:t>1,869,847</w:t>
            </w:r>
          </w:p>
        </w:tc>
        <w:tc>
          <w:tcPr>
            <w:tcW w:w="1382" w:type="dxa"/>
            <w:shd w:val="clear" w:color="auto" w:fill="auto"/>
            <w:vAlign w:val="bottom"/>
          </w:tcPr>
          <w:p w14:paraId="478F71BB" w14:textId="77777777" w:rsidR="000E07C7" w:rsidRPr="000E07C7" w:rsidRDefault="000E07C7" w:rsidP="000E07C7">
            <w:pPr>
              <w:pStyle w:val="TableCell"/>
              <w:rPr>
                <w:sz w:val="24"/>
                <w:lang w:val="ga-IE" w:eastAsia="en-GB"/>
              </w:rPr>
            </w:pPr>
            <w:r w:rsidRPr="000E07C7">
              <w:rPr>
                <w:sz w:val="24"/>
                <w:lang w:val="ga-IE" w:eastAsia="en-GB"/>
              </w:rPr>
              <w:t>1,931,023</w:t>
            </w:r>
          </w:p>
        </w:tc>
      </w:tr>
      <w:tr w:rsidR="000E07C7" w:rsidRPr="000E07C7" w14:paraId="50630297" w14:textId="77777777" w:rsidTr="000E07C7">
        <w:tc>
          <w:tcPr>
            <w:tcW w:w="5495" w:type="dxa"/>
            <w:shd w:val="clear" w:color="auto" w:fill="auto"/>
            <w:vAlign w:val="bottom"/>
          </w:tcPr>
          <w:p w14:paraId="70CB06D9"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Foireann Ghníomhaireachta</w:t>
            </w:r>
          </w:p>
        </w:tc>
        <w:tc>
          <w:tcPr>
            <w:tcW w:w="1276" w:type="dxa"/>
            <w:shd w:val="clear" w:color="auto" w:fill="auto"/>
            <w:vAlign w:val="bottom"/>
          </w:tcPr>
          <w:p w14:paraId="37D29C7B" w14:textId="77777777" w:rsidR="000E07C7" w:rsidRPr="000E07C7" w:rsidRDefault="000E07C7" w:rsidP="000E07C7">
            <w:pPr>
              <w:pStyle w:val="TableCell"/>
              <w:rPr>
                <w:sz w:val="24"/>
                <w:lang w:val="ga-IE" w:eastAsia="en-GB"/>
              </w:rPr>
            </w:pPr>
            <w:r w:rsidRPr="000E07C7">
              <w:rPr>
                <w:sz w:val="24"/>
                <w:lang w:val="ga-IE" w:eastAsia="en-GB"/>
              </w:rPr>
              <w:t>3,644</w:t>
            </w:r>
          </w:p>
        </w:tc>
        <w:tc>
          <w:tcPr>
            <w:tcW w:w="1382" w:type="dxa"/>
            <w:shd w:val="clear" w:color="auto" w:fill="auto"/>
            <w:vAlign w:val="bottom"/>
          </w:tcPr>
          <w:p w14:paraId="25C9F905" w14:textId="77777777" w:rsidR="000E07C7" w:rsidRPr="000E07C7" w:rsidRDefault="000E07C7" w:rsidP="000E07C7">
            <w:pPr>
              <w:pStyle w:val="TableCell"/>
              <w:rPr>
                <w:sz w:val="24"/>
                <w:lang w:val="ga-IE" w:eastAsia="en-GB"/>
              </w:rPr>
            </w:pPr>
            <w:r w:rsidRPr="000E07C7">
              <w:rPr>
                <w:sz w:val="24"/>
                <w:lang w:val="ga-IE" w:eastAsia="en-GB"/>
              </w:rPr>
              <w:t xml:space="preserve">3,984 </w:t>
            </w:r>
          </w:p>
        </w:tc>
      </w:tr>
      <w:tr w:rsidR="000E07C7" w:rsidRPr="000E07C7" w14:paraId="59F1770F" w14:textId="77777777" w:rsidTr="000E07C7">
        <w:tc>
          <w:tcPr>
            <w:tcW w:w="5495" w:type="dxa"/>
            <w:shd w:val="clear" w:color="auto" w:fill="auto"/>
            <w:vAlign w:val="bottom"/>
          </w:tcPr>
          <w:p w14:paraId="01674987" w14:textId="77777777" w:rsidR="000E07C7" w:rsidRPr="000E07C7" w:rsidRDefault="000E07C7" w:rsidP="000E07C7">
            <w:pPr>
              <w:spacing w:after="0"/>
              <w:rPr>
                <w:rFonts w:cs="Arial"/>
                <w:lang w:val="ga-IE" w:eastAsia="en-GB"/>
              </w:rPr>
            </w:pPr>
          </w:p>
        </w:tc>
        <w:tc>
          <w:tcPr>
            <w:tcW w:w="1276" w:type="dxa"/>
            <w:shd w:val="clear" w:color="auto" w:fill="auto"/>
            <w:vAlign w:val="bottom"/>
          </w:tcPr>
          <w:p w14:paraId="727C7E61" w14:textId="77777777" w:rsidR="000E07C7" w:rsidRPr="000E07C7" w:rsidRDefault="000E07C7" w:rsidP="000E07C7">
            <w:pPr>
              <w:pStyle w:val="TableCell"/>
              <w:rPr>
                <w:b/>
                <w:sz w:val="24"/>
                <w:lang w:val="ga-IE" w:eastAsia="en-GB"/>
              </w:rPr>
            </w:pPr>
            <w:r w:rsidRPr="000E07C7">
              <w:rPr>
                <w:b/>
                <w:sz w:val="24"/>
                <w:lang w:val="ga-IE" w:eastAsia="en-GB"/>
              </w:rPr>
              <w:t>1,873,491</w:t>
            </w:r>
          </w:p>
        </w:tc>
        <w:tc>
          <w:tcPr>
            <w:tcW w:w="1382" w:type="dxa"/>
            <w:shd w:val="clear" w:color="auto" w:fill="auto"/>
            <w:vAlign w:val="bottom"/>
          </w:tcPr>
          <w:p w14:paraId="2D09543D" w14:textId="77777777" w:rsidR="000E07C7" w:rsidRPr="000E07C7" w:rsidRDefault="000E07C7" w:rsidP="000E07C7">
            <w:pPr>
              <w:pStyle w:val="TableCell"/>
              <w:rPr>
                <w:b/>
                <w:sz w:val="24"/>
                <w:lang w:val="ga-IE" w:eastAsia="en-GB"/>
              </w:rPr>
            </w:pPr>
            <w:r w:rsidRPr="000E07C7">
              <w:rPr>
                <w:b/>
                <w:sz w:val="24"/>
                <w:lang w:val="ga-IE" w:eastAsia="en-GB"/>
              </w:rPr>
              <w:t xml:space="preserve">1,935,007 </w:t>
            </w:r>
          </w:p>
        </w:tc>
      </w:tr>
    </w:tbl>
    <w:p w14:paraId="1F715E8E" w14:textId="77777777" w:rsidR="000E07C7" w:rsidRPr="000E07C7" w:rsidRDefault="000E07C7" w:rsidP="000E07C7">
      <w:pPr>
        <w:rPr>
          <w:lang w:val="ga-IE" w:eastAsia="en-GB"/>
        </w:rPr>
      </w:pPr>
      <w:r w:rsidRPr="000E07C7">
        <w:rPr>
          <w:lang w:val="ga-IE" w:eastAsia="en-GB"/>
        </w:rPr>
        <w:br/>
        <w:t xml:space="preserve">Ba é 33 duine an meánlíon foirne a bhí fostaithe ag an Údarás i gcaitheamh na bliana (2013: 33). </w:t>
      </w:r>
    </w:p>
    <w:p w14:paraId="5B453AD6" w14:textId="77777777" w:rsidR="000E07C7" w:rsidRPr="000E07C7" w:rsidRDefault="000E07C7" w:rsidP="000E07C7">
      <w:pPr>
        <w:pStyle w:val="Heading4"/>
        <w:spacing w:line="320" w:lineRule="atLeast"/>
        <w:rPr>
          <w:lang w:val="ga-IE"/>
        </w:rPr>
      </w:pPr>
      <w:r w:rsidRPr="000E07C7">
        <w:rPr>
          <w:lang w:val="ga-IE" w:eastAsia="en-GB"/>
        </w:rPr>
        <w:t>Luach saothair an Stiúrthóra</w:t>
      </w:r>
    </w:p>
    <w:p w14:paraId="09EF0800" w14:textId="77777777" w:rsidR="000E07C7" w:rsidRPr="000E07C7" w:rsidRDefault="000E07C7" w:rsidP="000E07C7">
      <w:pPr>
        <w:rPr>
          <w:lang w:val="ga-IE" w:eastAsia="en-GB"/>
        </w:rPr>
      </w:pPr>
      <w:r w:rsidRPr="000E07C7">
        <w:rPr>
          <w:lang w:val="ga-IE"/>
        </w:rPr>
        <w:t xml:space="preserve">Íocadh tuarastal €95,816 (2013: €97,924) leis an Stiúrthóir in 2014 ar </w:t>
      </w:r>
      <w:r w:rsidRPr="000E07C7">
        <w:rPr>
          <w:rFonts w:cs="Gill Sans"/>
          <w:lang w:val="ga-IE"/>
        </w:rPr>
        <w:t>Scála Phríomhoifigeach na Státseirbhíse</w:t>
      </w:r>
      <w:r w:rsidRPr="000E07C7">
        <w:rPr>
          <w:lang w:val="ga-IE"/>
        </w:rPr>
        <w:t xml:space="preserve">. </w:t>
      </w:r>
      <w:r w:rsidRPr="000E07C7">
        <w:rPr>
          <w:rFonts w:cs="Gill Sans"/>
          <w:lang w:val="ga-IE"/>
        </w:rPr>
        <w:t>Ní dhearnadh aon íocaíocht eile de chineál pá leis an Stiúrthóir i rith na bliana.</w:t>
      </w:r>
      <w:r w:rsidR="00D00624">
        <w:rPr>
          <w:rFonts w:cs="Gill Sans"/>
          <w:lang w:val="ga-IE"/>
        </w:rPr>
        <w:t xml:space="preserve"> </w:t>
      </w:r>
      <w:r w:rsidRPr="000E07C7">
        <w:rPr>
          <w:lang w:val="ga-IE" w:eastAsia="en-GB"/>
        </w:rPr>
        <w:t>Tá an Stiúrthóir ina comhalta de scéim sochair shainithe neamhchistithe de chuid na hearnála poiblí agus ní sháraíonn a cuid teidlíochtaí na teidlíochtaí caighdeánacha a bhíonn ar fáil do scéim den sórt sin.</w:t>
      </w:r>
    </w:p>
    <w:p w14:paraId="32129CD3" w14:textId="77777777" w:rsidR="000E07C7" w:rsidRPr="000E07C7" w:rsidRDefault="000E07C7" w:rsidP="000E07C7">
      <w:pPr>
        <w:pStyle w:val="Heading3"/>
        <w:rPr>
          <w:lang w:val="ga-IE" w:eastAsia="en-GB"/>
        </w:rPr>
      </w:pPr>
      <w:r w:rsidRPr="000E07C7">
        <w:rPr>
          <w:lang w:val="ga-IE" w:eastAsia="en-GB"/>
        </w:rPr>
        <w:t xml:space="preserve">5. Costais Riaracháin </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428"/>
        <w:gridCol w:w="1500"/>
        <w:gridCol w:w="1500"/>
        <w:gridCol w:w="1500"/>
      </w:tblGrid>
      <w:tr w:rsidR="000E07C7" w:rsidRPr="000E07C7" w14:paraId="20E03158" w14:textId="77777777" w:rsidTr="000E07C7">
        <w:trPr>
          <w:trHeight w:val="302"/>
          <w:tblHeader/>
        </w:trPr>
        <w:tc>
          <w:tcPr>
            <w:tcW w:w="4428" w:type="dxa"/>
            <w:shd w:val="clear" w:color="auto" w:fill="auto"/>
          </w:tcPr>
          <w:p w14:paraId="0F1726AB" w14:textId="77777777" w:rsidR="000E07C7" w:rsidRPr="000E07C7" w:rsidRDefault="000E07C7" w:rsidP="000E07C7">
            <w:pPr>
              <w:pStyle w:val="TableHead"/>
              <w:jc w:val="right"/>
              <w:rPr>
                <w:lang w:val="ga-IE"/>
              </w:rPr>
            </w:pPr>
          </w:p>
        </w:tc>
        <w:tc>
          <w:tcPr>
            <w:tcW w:w="1500" w:type="dxa"/>
            <w:shd w:val="clear" w:color="auto" w:fill="auto"/>
          </w:tcPr>
          <w:p w14:paraId="063323B3" w14:textId="77777777" w:rsidR="000E07C7" w:rsidRPr="000E07C7" w:rsidRDefault="000E07C7" w:rsidP="000E07C7">
            <w:pPr>
              <w:pStyle w:val="TableHead"/>
              <w:jc w:val="right"/>
              <w:rPr>
                <w:sz w:val="24"/>
                <w:lang w:val="ga-IE"/>
              </w:rPr>
            </w:pPr>
            <w:r w:rsidRPr="000E07C7">
              <w:rPr>
                <w:sz w:val="24"/>
                <w:lang w:val="ga-IE"/>
              </w:rPr>
              <w:t>Nótaí</w:t>
            </w:r>
          </w:p>
        </w:tc>
        <w:tc>
          <w:tcPr>
            <w:tcW w:w="1500" w:type="dxa"/>
            <w:shd w:val="clear" w:color="auto" w:fill="auto"/>
            <w:vAlign w:val="bottom"/>
          </w:tcPr>
          <w:p w14:paraId="72ED38A1" w14:textId="77777777" w:rsidR="000E07C7" w:rsidRPr="000E07C7" w:rsidRDefault="000E07C7" w:rsidP="000E07C7">
            <w:pPr>
              <w:pStyle w:val="TableHead"/>
              <w:jc w:val="center"/>
              <w:rPr>
                <w:rFonts w:cs="Arial"/>
                <w:bCs/>
                <w:sz w:val="24"/>
                <w:lang w:val="ga-IE" w:eastAsia="en-GB"/>
              </w:rPr>
            </w:pPr>
            <w:r w:rsidRPr="000E07C7">
              <w:rPr>
                <w:rFonts w:cs="Arial"/>
                <w:bCs/>
                <w:sz w:val="24"/>
                <w:lang w:val="ga-IE" w:eastAsia="en-GB"/>
              </w:rPr>
              <w:t>2014</w:t>
            </w:r>
          </w:p>
        </w:tc>
        <w:tc>
          <w:tcPr>
            <w:tcW w:w="1500" w:type="dxa"/>
            <w:shd w:val="clear" w:color="auto" w:fill="auto"/>
            <w:vAlign w:val="bottom"/>
          </w:tcPr>
          <w:p w14:paraId="11A277F2" w14:textId="77777777" w:rsidR="000E07C7" w:rsidRPr="000E07C7" w:rsidRDefault="000E07C7" w:rsidP="000E07C7">
            <w:pPr>
              <w:pStyle w:val="TableHead"/>
              <w:jc w:val="center"/>
              <w:rPr>
                <w:rFonts w:cs="Arial"/>
                <w:bCs/>
                <w:sz w:val="24"/>
                <w:lang w:val="ga-IE" w:eastAsia="en-GB"/>
              </w:rPr>
            </w:pPr>
            <w:r w:rsidRPr="000E07C7">
              <w:rPr>
                <w:rFonts w:cs="Arial"/>
                <w:bCs/>
                <w:sz w:val="24"/>
                <w:lang w:val="ga-IE" w:eastAsia="en-GB"/>
              </w:rPr>
              <w:t>2013</w:t>
            </w:r>
          </w:p>
        </w:tc>
      </w:tr>
      <w:tr w:rsidR="000E07C7" w:rsidRPr="000E07C7" w14:paraId="204C62E5" w14:textId="77777777" w:rsidTr="000E07C7">
        <w:trPr>
          <w:trHeight w:val="302"/>
        </w:trPr>
        <w:tc>
          <w:tcPr>
            <w:tcW w:w="4428" w:type="dxa"/>
            <w:shd w:val="clear" w:color="auto" w:fill="auto"/>
          </w:tcPr>
          <w:p w14:paraId="53D1B9CF" w14:textId="77777777" w:rsidR="000E07C7" w:rsidRPr="000E07C7" w:rsidRDefault="000E07C7" w:rsidP="000E07C7">
            <w:pPr>
              <w:pStyle w:val="TableRowHead"/>
              <w:rPr>
                <w:lang w:val="ga-IE"/>
              </w:rPr>
            </w:pPr>
          </w:p>
        </w:tc>
        <w:tc>
          <w:tcPr>
            <w:tcW w:w="1500" w:type="dxa"/>
            <w:shd w:val="clear" w:color="auto" w:fill="auto"/>
          </w:tcPr>
          <w:p w14:paraId="2FD226EC" w14:textId="77777777" w:rsidR="000E07C7" w:rsidRPr="000E07C7" w:rsidRDefault="000E07C7" w:rsidP="000E07C7">
            <w:pPr>
              <w:pStyle w:val="TableCell"/>
              <w:rPr>
                <w:lang w:val="ga-IE"/>
              </w:rPr>
            </w:pPr>
          </w:p>
        </w:tc>
        <w:tc>
          <w:tcPr>
            <w:tcW w:w="1500" w:type="dxa"/>
            <w:shd w:val="clear" w:color="auto" w:fill="auto"/>
            <w:vAlign w:val="bottom"/>
          </w:tcPr>
          <w:p w14:paraId="2C2BF4B7"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1500" w:type="dxa"/>
            <w:shd w:val="clear" w:color="auto" w:fill="auto"/>
            <w:vAlign w:val="bottom"/>
          </w:tcPr>
          <w:p w14:paraId="2D57E72D"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6AFE03C4" w14:textId="77777777" w:rsidTr="000E07C7">
        <w:trPr>
          <w:trHeight w:val="302"/>
        </w:trPr>
        <w:tc>
          <w:tcPr>
            <w:tcW w:w="4428" w:type="dxa"/>
            <w:shd w:val="clear" w:color="auto" w:fill="auto"/>
            <w:vAlign w:val="bottom"/>
          </w:tcPr>
          <w:p w14:paraId="2D7AB1DA"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Costais Taistil</w:t>
            </w:r>
          </w:p>
        </w:tc>
        <w:tc>
          <w:tcPr>
            <w:tcW w:w="1500" w:type="dxa"/>
            <w:shd w:val="clear" w:color="auto" w:fill="auto"/>
            <w:vAlign w:val="bottom"/>
          </w:tcPr>
          <w:p w14:paraId="5705B6AF"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113E4426" w14:textId="77777777" w:rsidR="000E07C7" w:rsidRPr="000E07C7" w:rsidRDefault="000E07C7" w:rsidP="000E07C7">
            <w:pPr>
              <w:pStyle w:val="TableCell"/>
              <w:rPr>
                <w:sz w:val="24"/>
                <w:lang w:val="ga-IE" w:eastAsia="en-GB"/>
              </w:rPr>
            </w:pPr>
            <w:r w:rsidRPr="000E07C7">
              <w:rPr>
                <w:sz w:val="24"/>
                <w:lang w:val="ga-IE" w:eastAsia="en-GB"/>
              </w:rPr>
              <w:t>13,937</w:t>
            </w:r>
          </w:p>
        </w:tc>
        <w:tc>
          <w:tcPr>
            <w:tcW w:w="1500" w:type="dxa"/>
            <w:shd w:val="clear" w:color="auto" w:fill="auto"/>
            <w:vAlign w:val="bottom"/>
          </w:tcPr>
          <w:p w14:paraId="1CC920DA" w14:textId="77777777" w:rsidR="000E07C7" w:rsidRPr="000E07C7" w:rsidRDefault="000E07C7" w:rsidP="000E07C7">
            <w:pPr>
              <w:pStyle w:val="TableCell"/>
              <w:rPr>
                <w:sz w:val="24"/>
                <w:lang w:val="ga-IE" w:eastAsia="en-GB"/>
              </w:rPr>
            </w:pPr>
            <w:r w:rsidRPr="000E07C7">
              <w:rPr>
                <w:sz w:val="24"/>
                <w:lang w:val="ga-IE" w:eastAsia="en-GB"/>
              </w:rPr>
              <w:t>24,544</w:t>
            </w:r>
          </w:p>
        </w:tc>
      </w:tr>
      <w:tr w:rsidR="000E07C7" w:rsidRPr="000E07C7" w14:paraId="78317048" w14:textId="77777777" w:rsidTr="000E07C7">
        <w:trPr>
          <w:trHeight w:val="302"/>
        </w:trPr>
        <w:tc>
          <w:tcPr>
            <w:tcW w:w="4428" w:type="dxa"/>
            <w:shd w:val="clear" w:color="auto" w:fill="auto"/>
            <w:vAlign w:val="bottom"/>
          </w:tcPr>
          <w:p w14:paraId="2DE3555D"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Oiliúint agus Earcaíocht Foirne agus Sláinte agus Sábháilteacht </w:t>
            </w:r>
          </w:p>
        </w:tc>
        <w:tc>
          <w:tcPr>
            <w:tcW w:w="1500" w:type="dxa"/>
            <w:shd w:val="clear" w:color="auto" w:fill="auto"/>
            <w:vAlign w:val="bottom"/>
          </w:tcPr>
          <w:p w14:paraId="054E9EA4"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3428A27D" w14:textId="77777777" w:rsidR="000E07C7" w:rsidRPr="000E07C7" w:rsidRDefault="000E07C7" w:rsidP="000E07C7">
            <w:pPr>
              <w:pStyle w:val="TableCell"/>
              <w:rPr>
                <w:sz w:val="24"/>
                <w:lang w:val="ga-IE" w:eastAsia="en-GB"/>
              </w:rPr>
            </w:pPr>
            <w:r w:rsidRPr="000E07C7">
              <w:rPr>
                <w:sz w:val="24"/>
                <w:lang w:val="ga-IE" w:eastAsia="en-GB"/>
              </w:rPr>
              <w:t>16,704</w:t>
            </w:r>
          </w:p>
        </w:tc>
        <w:tc>
          <w:tcPr>
            <w:tcW w:w="1500" w:type="dxa"/>
            <w:shd w:val="clear" w:color="auto" w:fill="auto"/>
            <w:vAlign w:val="bottom"/>
          </w:tcPr>
          <w:p w14:paraId="15EE75FF" w14:textId="77777777" w:rsidR="000E07C7" w:rsidRPr="000E07C7" w:rsidRDefault="000E07C7" w:rsidP="000E07C7">
            <w:pPr>
              <w:pStyle w:val="TableCell"/>
              <w:rPr>
                <w:sz w:val="24"/>
                <w:lang w:val="ga-IE" w:eastAsia="en-GB"/>
              </w:rPr>
            </w:pPr>
            <w:r w:rsidRPr="000E07C7">
              <w:rPr>
                <w:sz w:val="24"/>
                <w:lang w:val="ga-IE" w:eastAsia="en-GB"/>
              </w:rPr>
              <w:t>32,922</w:t>
            </w:r>
          </w:p>
        </w:tc>
      </w:tr>
      <w:tr w:rsidR="000E07C7" w:rsidRPr="000E07C7" w14:paraId="1F57C39A" w14:textId="77777777" w:rsidTr="000E07C7">
        <w:trPr>
          <w:trHeight w:val="302"/>
        </w:trPr>
        <w:tc>
          <w:tcPr>
            <w:tcW w:w="4428" w:type="dxa"/>
            <w:shd w:val="clear" w:color="auto" w:fill="auto"/>
            <w:vAlign w:val="bottom"/>
          </w:tcPr>
          <w:p w14:paraId="1BAD6049"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Forchostais a bhaineann leis an bhfoirgneamh</w:t>
            </w:r>
          </w:p>
        </w:tc>
        <w:tc>
          <w:tcPr>
            <w:tcW w:w="1500" w:type="dxa"/>
            <w:shd w:val="clear" w:color="auto" w:fill="auto"/>
            <w:vAlign w:val="bottom"/>
          </w:tcPr>
          <w:p w14:paraId="65539A2C"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534E7907" w14:textId="77777777" w:rsidR="000E07C7" w:rsidRPr="000E07C7" w:rsidRDefault="000E07C7" w:rsidP="000E07C7">
            <w:pPr>
              <w:pStyle w:val="TableCell"/>
              <w:rPr>
                <w:sz w:val="24"/>
                <w:lang w:val="ga-IE" w:eastAsia="en-GB"/>
              </w:rPr>
            </w:pPr>
            <w:r w:rsidRPr="000E07C7">
              <w:rPr>
                <w:sz w:val="24"/>
                <w:lang w:val="ga-IE" w:eastAsia="en-GB"/>
              </w:rPr>
              <w:t>87,819</w:t>
            </w:r>
          </w:p>
        </w:tc>
        <w:tc>
          <w:tcPr>
            <w:tcW w:w="1500" w:type="dxa"/>
            <w:shd w:val="clear" w:color="auto" w:fill="auto"/>
            <w:vAlign w:val="bottom"/>
          </w:tcPr>
          <w:p w14:paraId="0485E2BB" w14:textId="77777777" w:rsidR="000E07C7" w:rsidRPr="000E07C7" w:rsidRDefault="000E07C7" w:rsidP="000E07C7">
            <w:pPr>
              <w:pStyle w:val="TableCell"/>
              <w:rPr>
                <w:sz w:val="24"/>
                <w:lang w:val="ga-IE" w:eastAsia="en-GB"/>
              </w:rPr>
            </w:pPr>
            <w:r w:rsidRPr="000E07C7">
              <w:rPr>
                <w:sz w:val="24"/>
                <w:lang w:val="ga-IE" w:eastAsia="en-GB"/>
              </w:rPr>
              <w:t>87,633</w:t>
            </w:r>
          </w:p>
        </w:tc>
      </w:tr>
      <w:tr w:rsidR="000E07C7" w:rsidRPr="000E07C7" w14:paraId="0F00A3F5" w14:textId="77777777" w:rsidTr="000E07C7">
        <w:trPr>
          <w:trHeight w:val="302"/>
        </w:trPr>
        <w:tc>
          <w:tcPr>
            <w:tcW w:w="4428" w:type="dxa"/>
            <w:shd w:val="clear" w:color="auto" w:fill="auto"/>
            <w:vAlign w:val="bottom"/>
          </w:tcPr>
          <w:p w14:paraId="04F7B01C" w14:textId="77777777" w:rsidR="000E07C7" w:rsidRPr="000E07C7" w:rsidRDefault="000E07C7" w:rsidP="000E07C7">
            <w:pPr>
              <w:pStyle w:val="TableRowHead"/>
              <w:rPr>
                <w:rFonts w:ascii="Gill Sans" w:hAnsi="Gill Sans"/>
                <w:sz w:val="24"/>
                <w:lang w:val="ga-IE" w:eastAsia="en-GB"/>
              </w:rPr>
            </w:pPr>
            <w:proofErr w:type="spellStart"/>
            <w:r w:rsidRPr="000E07C7">
              <w:rPr>
                <w:rFonts w:ascii="Gill Sans" w:hAnsi="Gill Sans"/>
                <w:sz w:val="24"/>
                <w:lang w:val="ga-IE" w:eastAsia="en-GB"/>
              </w:rPr>
              <w:t>Rates</w:t>
            </w:r>
            <w:proofErr w:type="spellEnd"/>
          </w:p>
        </w:tc>
        <w:tc>
          <w:tcPr>
            <w:tcW w:w="1500" w:type="dxa"/>
            <w:shd w:val="clear" w:color="auto" w:fill="auto"/>
            <w:vAlign w:val="bottom"/>
          </w:tcPr>
          <w:p w14:paraId="2D2BC863"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03B349DF" w14:textId="77777777" w:rsidR="000E07C7" w:rsidRPr="000E07C7" w:rsidRDefault="000E07C7" w:rsidP="000E07C7">
            <w:pPr>
              <w:pStyle w:val="TableCell"/>
              <w:rPr>
                <w:sz w:val="24"/>
                <w:lang w:val="ga-IE" w:eastAsia="en-GB"/>
              </w:rPr>
            </w:pPr>
            <w:r w:rsidRPr="000E07C7">
              <w:rPr>
                <w:sz w:val="24"/>
                <w:lang w:val="ga-IE" w:eastAsia="en-GB"/>
              </w:rPr>
              <w:t>52,197</w:t>
            </w:r>
          </w:p>
        </w:tc>
        <w:tc>
          <w:tcPr>
            <w:tcW w:w="1500" w:type="dxa"/>
            <w:shd w:val="clear" w:color="auto" w:fill="auto"/>
            <w:vAlign w:val="bottom"/>
          </w:tcPr>
          <w:p w14:paraId="1025A391" w14:textId="77777777" w:rsidR="000E07C7" w:rsidRPr="000E07C7" w:rsidRDefault="000E07C7" w:rsidP="000E07C7">
            <w:pPr>
              <w:pStyle w:val="TableCell"/>
              <w:rPr>
                <w:sz w:val="24"/>
                <w:lang w:val="ga-IE" w:eastAsia="en-GB"/>
              </w:rPr>
            </w:pPr>
            <w:r w:rsidRPr="000E07C7">
              <w:rPr>
                <w:sz w:val="24"/>
                <w:lang w:val="ga-IE" w:eastAsia="en-GB"/>
              </w:rPr>
              <w:t>68,490</w:t>
            </w:r>
          </w:p>
        </w:tc>
      </w:tr>
      <w:tr w:rsidR="000E07C7" w:rsidRPr="000E07C7" w14:paraId="5B5B4F9B" w14:textId="77777777" w:rsidTr="000E07C7">
        <w:trPr>
          <w:trHeight w:val="302"/>
        </w:trPr>
        <w:tc>
          <w:tcPr>
            <w:tcW w:w="4428" w:type="dxa"/>
            <w:shd w:val="clear" w:color="auto" w:fill="auto"/>
            <w:vAlign w:val="bottom"/>
          </w:tcPr>
          <w:p w14:paraId="269E9CE9"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Glantachán / Costais Tí</w:t>
            </w:r>
          </w:p>
        </w:tc>
        <w:tc>
          <w:tcPr>
            <w:tcW w:w="1500" w:type="dxa"/>
            <w:shd w:val="clear" w:color="auto" w:fill="auto"/>
            <w:vAlign w:val="bottom"/>
          </w:tcPr>
          <w:p w14:paraId="2DF6653F"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6096EA1E" w14:textId="77777777" w:rsidR="000E07C7" w:rsidRPr="000E07C7" w:rsidRDefault="000E07C7" w:rsidP="000E07C7">
            <w:pPr>
              <w:pStyle w:val="TableCell"/>
              <w:rPr>
                <w:sz w:val="24"/>
                <w:lang w:val="ga-IE" w:eastAsia="en-GB"/>
              </w:rPr>
            </w:pPr>
            <w:r w:rsidRPr="000E07C7">
              <w:rPr>
                <w:sz w:val="24"/>
                <w:lang w:val="ga-IE" w:eastAsia="en-GB"/>
              </w:rPr>
              <w:t>52,013</w:t>
            </w:r>
          </w:p>
        </w:tc>
        <w:tc>
          <w:tcPr>
            <w:tcW w:w="1500" w:type="dxa"/>
            <w:shd w:val="clear" w:color="auto" w:fill="auto"/>
            <w:vAlign w:val="bottom"/>
          </w:tcPr>
          <w:p w14:paraId="18A05EA3" w14:textId="77777777" w:rsidR="000E07C7" w:rsidRPr="000E07C7" w:rsidRDefault="000E07C7" w:rsidP="000E07C7">
            <w:pPr>
              <w:pStyle w:val="TableCell"/>
              <w:rPr>
                <w:sz w:val="24"/>
                <w:lang w:val="ga-IE" w:eastAsia="en-GB"/>
              </w:rPr>
            </w:pPr>
            <w:r w:rsidRPr="000E07C7">
              <w:rPr>
                <w:sz w:val="24"/>
                <w:lang w:val="ga-IE" w:eastAsia="en-GB"/>
              </w:rPr>
              <w:t>54,228</w:t>
            </w:r>
          </w:p>
        </w:tc>
      </w:tr>
      <w:tr w:rsidR="000E07C7" w:rsidRPr="000E07C7" w14:paraId="1D9D7CBD" w14:textId="77777777" w:rsidTr="000E07C7">
        <w:trPr>
          <w:trHeight w:val="302"/>
        </w:trPr>
        <w:tc>
          <w:tcPr>
            <w:tcW w:w="4428" w:type="dxa"/>
            <w:shd w:val="clear" w:color="auto" w:fill="auto"/>
            <w:vAlign w:val="bottom"/>
          </w:tcPr>
          <w:p w14:paraId="5909D695"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Táillí agus Costais an Údaráis</w:t>
            </w:r>
          </w:p>
        </w:tc>
        <w:tc>
          <w:tcPr>
            <w:tcW w:w="1500" w:type="dxa"/>
            <w:shd w:val="clear" w:color="auto" w:fill="auto"/>
            <w:vAlign w:val="bottom"/>
          </w:tcPr>
          <w:p w14:paraId="6979F3D5" w14:textId="77777777" w:rsidR="000E07C7" w:rsidRPr="000E07C7" w:rsidRDefault="000E07C7" w:rsidP="000E07C7">
            <w:pPr>
              <w:pStyle w:val="TableCell"/>
              <w:rPr>
                <w:sz w:val="24"/>
                <w:lang w:val="ga-IE" w:eastAsia="en-GB"/>
              </w:rPr>
            </w:pPr>
            <w:r w:rsidRPr="000E07C7">
              <w:rPr>
                <w:sz w:val="24"/>
                <w:lang w:val="ga-IE" w:eastAsia="en-GB"/>
              </w:rPr>
              <w:t>6</w:t>
            </w:r>
          </w:p>
        </w:tc>
        <w:tc>
          <w:tcPr>
            <w:tcW w:w="1500" w:type="dxa"/>
            <w:shd w:val="clear" w:color="auto" w:fill="auto"/>
            <w:vAlign w:val="bottom"/>
          </w:tcPr>
          <w:p w14:paraId="068C2D31" w14:textId="77777777" w:rsidR="000E07C7" w:rsidRPr="000E07C7" w:rsidRDefault="000E07C7" w:rsidP="00BA586A">
            <w:pPr>
              <w:pStyle w:val="TableCell"/>
              <w:rPr>
                <w:sz w:val="24"/>
                <w:lang w:val="ga-IE" w:eastAsia="en-GB"/>
              </w:rPr>
            </w:pPr>
            <w:r w:rsidRPr="000E07C7">
              <w:rPr>
                <w:sz w:val="24"/>
                <w:lang w:val="ga-IE" w:eastAsia="en-GB"/>
              </w:rPr>
              <w:t>35,</w:t>
            </w:r>
            <w:r w:rsidR="00BA586A">
              <w:rPr>
                <w:sz w:val="24"/>
                <w:lang w:val="ga-IE" w:eastAsia="en-GB"/>
              </w:rPr>
              <w:t>193</w:t>
            </w:r>
          </w:p>
        </w:tc>
        <w:tc>
          <w:tcPr>
            <w:tcW w:w="1500" w:type="dxa"/>
            <w:shd w:val="clear" w:color="auto" w:fill="auto"/>
            <w:vAlign w:val="bottom"/>
          </w:tcPr>
          <w:p w14:paraId="4AAE591D" w14:textId="77777777" w:rsidR="000E07C7" w:rsidRPr="000E07C7" w:rsidRDefault="000E07C7" w:rsidP="000E07C7">
            <w:pPr>
              <w:pStyle w:val="TableCell"/>
              <w:rPr>
                <w:sz w:val="24"/>
                <w:lang w:val="ga-IE" w:eastAsia="en-GB"/>
              </w:rPr>
            </w:pPr>
            <w:r w:rsidRPr="000E07C7">
              <w:rPr>
                <w:sz w:val="24"/>
                <w:lang w:val="ga-IE" w:eastAsia="en-GB"/>
              </w:rPr>
              <w:t>68,267</w:t>
            </w:r>
          </w:p>
        </w:tc>
      </w:tr>
      <w:tr w:rsidR="000E07C7" w:rsidRPr="000E07C7" w14:paraId="3223AC2B" w14:textId="77777777" w:rsidTr="000E07C7">
        <w:trPr>
          <w:trHeight w:val="302"/>
        </w:trPr>
        <w:tc>
          <w:tcPr>
            <w:tcW w:w="4428" w:type="dxa"/>
            <w:shd w:val="clear" w:color="auto" w:fill="auto"/>
            <w:vAlign w:val="bottom"/>
          </w:tcPr>
          <w:p w14:paraId="3DC711E9"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Postas agus Gutháin</w:t>
            </w:r>
          </w:p>
        </w:tc>
        <w:tc>
          <w:tcPr>
            <w:tcW w:w="1500" w:type="dxa"/>
            <w:shd w:val="clear" w:color="auto" w:fill="auto"/>
            <w:vAlign w:val="bottom"/>
          </w:tcPr>
          <w:p w14:paraId="1906FAC7"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3BCF63AF" w14:textId="77777777" w:rsidR="000E07C7" w:rsidRPr="000E07C7" w:rsidRDefault="000E07C7" w:rsidP="000E07C7">
            <w:pPr>
              <w:pStyle w:val="TableCell"/>
              <w:rPr>
                <w:sz w:val="24"/>
                <w:lang w:val="ga-IE" w:eastAsia="en-GB"/>
              </w:rPr>
            </w:pPr>
            <w:r w:rsidRPr="000E07C7">
              <w:rPr>
                <w:sz w:val="24"/>
                <w:lang w:val="ga-IE" w:eastAsia="en-GB"/>
              </w:rPr>
              <w:t>22,446</w:t>
            </w:r>
          </w:p>
        </w:tc>
        <w:tc>
          <w:tcPr>
            <w:tcW w:w="1500" w:type="dxa"/>
            <w:shd w:val="clear" w:color="auto" w:fill="auto"/>
            <w:vAlign w:val="bottom"/>
          </w:tcPr>
          <w:p w14:paraId="1E2FFDAE" w14:textId="77777777" w:rsidR="000E07C7" w:rsidRPr="000E07C7" w:rsidRDefault="000E07C7" w:rsidP="000E07C7">
            <w:pPr>
              <w:pStyle w:val="TableCell"/>
              <w:rPr>
                <w:sz w:val="24"/>
                <w:lang w:val="ga-IE" w:eastAsia="en-GB"/>
              </w:rPr>
            </w:pPr>
            <w:r w:rsidRPr="000E07C7">
              <w:rPr>
                <w:sz w:val="24"/>
                <w:lang w:val="ga-IE" w:eastAsia="en-GB"/>
              </w:rPr>
              <w:t>22,565</w:t>
            </w:r>
          </w:p>
        </w:tc>
      </w:tr>
      <w:tr w:rsidR="000E07C7" w:rsidRPr="000E07C7" w14:paraId="4C449257" w14:textId="77777777" w:rsidTr="000E07C7">
        <w:trPr>
          <w:trHeight w:val="302"/>
        </w:trPr>
        <w:tc>
          <w:tcPr>
            <w:tcW w:w="4428" w:type="dxa"/>
            <w:shd w:val="clear" w:color="auto" w:fill="auto"/>
            <w:vAlign w:val="bottom"/>
          </w:tcPr>
          <w:p w14:paraId="1D90AAB1"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Costais reatha na hoifige</w:t>
            </w:r>
          </w:p>
        </w:tc>
        <w:tc>
          <w:tcPr>
            <w:tcW w:w="1500" w:type="dxa"/>
            <w:shd w:val="clear" w:color="auto" w:fill="auto"/>
            <w:vAlign w:val="bottom"/>
          </w:tcPr>
          <w:p w14:paraId="51F0FD33"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252E7082" w14:textId="77777777" w:rsidR="000E07C7" w:rsidRPr="000E07C7" w:rsidRDefault="000E07C7" w:rsidP="000E07C7">
            <w:pPr>
              <w:pStyle w:val="TableCell"/>
              <w:rPr>
                <w:sz w:val="24"/>
                <w:lang w:val="ga-IE" w:eastAsia="en-GB"/>
              </w:rPr>
            </w:pPr>
            <w:r w:rsidRPr="000E07C7">
              <w:rPr>
                <w:sz w:val="24"/>
                <w:lang w:val="ga-IE" w:eastAsia="en-GB"/>
              </w:rPr>
              <w:t>26,831</w:t>
            </w:r>
          </w:p>
        </w:tc>
        <w:tc>
          <w:tcPr>
            <w:tcW w:w="1500" w:type="dxa"/>
            <w:shd w:val="clear" w:color="auto" w:fill="auto"/>
            <w:vAlign w:val="bottom"/>
          </w:tcPr>
          <w:p w14:paraId="019F030C" w14:textId="77777777" w:rsidR="000E07C7" w:rsidRPr="000E07C7" w:rsidRDefault="000E07C7" w:rsidP="000E07C7">
            <w:pPr>
              <w:pStyle w:val="TableCell"/>
              <w:rPr>
                <w:sz w:val="24"/>
                <w:lang w:val="ga-IE" w:eastAsia="en-GB"/>
              </w:rPr>
            </w:pPr>
            <w:r w:rsidRPr="000E07C7">
              <w:rPr>
                <w:sz w:val="24"/>
                <w:lang w:val="ga-IE" w:eastAsia="en-GB"/>
              </w:rPr>
              <w:t>43,675</w:t>
            </w:r>
          </w:p>
        </w:tc>
      </w:tr>
      <w:tr w:rsidR="000E07C7" w:rsidRPr="000E07C7" w14:paraId="1045D5B1" w14:textId="77777777" w:rsidTr="000E07C7">
        <w:trPr>
          <w:trHeight w:val="302"/>
        </w:trPr>
        <w:tc>
          <w:tcPr>
            <w:tcW w:w="4428" w:type="dxa"/>
            <w:shd w:val="clear" w:color="auto" w:fill="auto"/>
            <w:vAlign w:val="bottom"/>
          </w:tcPr>
          <w:p w14:paraId="7DAEE92C"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An Leabharlann</w:t>
            </w:r>
          </w:p>
        </w:tc>
        <w:tc>
          <w:tcPr>
            <w:tcW w:w="1500" w:type="dxa"/>
            <w:shd w:val="clear" w:color="auto" w:fill="auto"/>
            <w:vAlign w:val="bottom"/>
          </w:tcPr>
          <w:p w14:paraId="3A3432EC"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7F925DF9" w14:textId="77777777" w:rsidR="000E07C7" w:rsidRPr="000E07C7" w:rsidRDefault="000E07C7" w:rsidP="000E07C7">
            <w:pPr>
              <w:pStyle w:val="TableCell"/>
              <w:rPr>
                <w:sz w:val="24"/>
                <w:lang w:val="ga-IE" w:eastAsia="en-GB"/>
              </w:rPr>
            </w:pPr>
            <w:r w:rsidRPr="000E07C7">
              <w:rPr>
                <w:sz w:val="24"/>
                <w:lang w:val="ga-IE" w:eastAsia="en-GB"/>
              </w:rPr>
              <w:t>7,869</w:t>
            </w:r>
          </w:p>
        </w:tc>
        <w:tc>
          <w:tcPr>
            <w:tcW w:w="1500" w:type="dxa"/>
            <w:shd w:val="clear" w:color="auto" w:fill="auto"/>
            <w:vAlign w:val="bottom"/>
          </w:tcPr>
          <w:p w14:paraId="2D2C1C49" w14:textId="77777777" w:rsidR="000E07C7" w:rsidRPr="000E07C7" w:rsidRDefault="000E07C7" w:rsidP="000E07C7">
            <w:pPr>
              <w:pStyle w:val="TableCell"/>
              <w:rPr>
                <w:sz w:val="24"/>
                <w:lang w:val="ga-IE" w:eastAsia="en-GB"/>
              </w:rPr>
            </w:pPr>
            <w:r w:rsidRPr="000E07C7">
              <w:rPr>
                <w:sz w:val="24"/>
                <w:lang w:val="ga-IE" w:eastAsia="en-GB"/>
              </w:rPr>
              <w:t>19,141</w:t>
            </w:r>
          </w:p>
        </w:tc>
      </w:tr>
      <w:tr w:rsidR="000E07C7" w:rsidRPr="000E07C7" w14:paraId="4F6AA4F8" w14:textId="77777777" w:rsidTr="000E07C7">
        <w:trPr>
          <w:trHeight w:val="302"/>
        </w:trPr>
        <w:tc>
          <w:tcPr>
            <w:tcW w:w="4428" w:type="dxa"/>
            <w:shd w:val="clear" w:color="auto" w:fill="auto"/>
            <w:vAlign w:val="bottom"/>
          </w:tcPr>
          <w:p w14:paraId="6223B17A"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Costais TF</w:t>
            </w:r>
          </w:p>
        </w:tc>
        <w:tc>
          <w:tcPr>
            <w:tcW w:w="1500" w:type="dxa"/>
            <w:shd w:val="clear" w:color="auto" w:fill="auto"/>
            <w:vAlign w:val="bottom"/>
          </w:tcPr>
          <w:p w14:paraId="0E5C8EC8"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0FDE52FE" w14:textId="77777777" w:rsidR="000E07C7" w:rsidRPr="000E07C7" w:rsidRDefault="000E07C7" w:rsidP="000E07C7">
            <w:pPr>
              <w:pStyle w:val="TableCell"/>
              <w:rPr>
                <w:sz w:val="24"/>
                <w:lang w:val="ga-IE" w:eastAsia="en-GB"/>
              </w:rPr>
            </w:pPr>
            <w:r w:rsidRPr="000E07C7">
              <w:rPr>
                <w:sz w:val="24"/>
                <w:lang w:val="ga-IE" w:eastAsia="en-GB"/>
              </w:rPr>
              <w:t>95,669</w:t>
            </w:r>
          </w:p>
        </w:tc>
        <w:tc>
          <w:tcPr>
            <w:tcW w:w="1500" w:type="dxa"/>
            <w:shd w:val="clear" w:color="auto" w:fill="auto"/>
            <w:vAlign w:val="bottom"/>
          </w:tcPr>
          <w:p w14:paraId="5F22A6EC" w14:textId="77777777" w:rsidR="000E07C7" w:rsidRPr="000E07C7" w:rsidRDefault="000E07C7" w:rsidP="000E07C7">
            <w:pPr>
              <w:pStyle w:val="TableCell"/>
              <w:rPr>
                <w:sz w:val="24"/>
                <w:lang w:val="ga-IE" w:eastAsia="en-GB"/>
              </w:rPr>
            </w:pPr>
            <w:r w:rsidRPr="000E07C7">
              <w:rPr>
                <w:sz w:val="24"/>
                <w:lang w:val="ga-IE" w:eastAsia="en-GB"/>
              </w:rPr>
              <w:t>84,508</w:t>
            </w:r>
          </w:p>
        </w:tc>
      </w:tr>
      <w:tr w:rsidR="000E07C7" w:rsidRPr="000E07C7" w14:paraId="395B140B" w14:textId="77777777" w:rsidTr="000E07C7">
        <w:trPr>
          <w:trHeight w:val="302"/>
        </w:trPr>
        <w:tc>
          <w:tcPr>
            <w:tcW w:w="4428" w:type="dxa"/>
            <w:shd w:val="clear" w:color="auto" w:fill="auto"/>
            <w:vAlign w:val="bottom"/>
          </w:tcPr>
          <w:p w14:paraId="494793E3"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Táillí Gairmithe</w:t>
            </w:r>
          </w:p>
        </w:tc>
        <w:tc>
          <w:tcPr>
            <w:tcW w:w="1500" w:type="dxa"/>
            <w:shd w:val="clear" w:color="auto" w:fill="auto"/>
            <w:vAlign w:val="bottom"/>
          </w:tcPr>
          <w:p w14:paraId="5A01447A"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7DACF46D" w14:textId="77777777" w:rsidR="000E07C7" w:rsidRPr="000E07C7" w:rsidRDefault="009633ED" w:rsidP="000E07C7">
            <w:pPr>
              <w:pStyle w:val="TableCell"/>
              <w:rPr>
                <w:sz w:val="24"/>
                <w:lang w:val="ga-IE" w:eastAsia="en-GB"/>
              </w:rPr>
            </w:pPr>
            <w:r>
              <w:rPr>
                <w:sz w:val="24"/>
                <w:lang w:val="ga-IE" w:eastAsia="en-GB"/>
              </w:rPr>
              <w:t>12,787</w:t>
            </w:r>
          </w:p>
        </w:tc>
        <w:tc>
          <w:tcPr>
            <w:tcW w:w="1500" w:type="dxa"/>
            <w:shd w:val="clear" w:color="auto" w:fill="auto"/>
            <w:vAlign w:val="bottom"/>
          </w:tcPr>
          <w:p w14:paraId="6F2A0051" w14:textId="77777777" w:rsidR="000E07C7" w:rsidRPr="000E07C7" w:rsidRDefault="009633ED" w:rsidP="000E07C7">
            <w:pPr>
              <w:pStyle w:val="TableCell"/>
              <w:rPr>
                <w:sz w:val="24"/>
                <w:lang w:val="ga-IE" w:eastAsia="en-GB"/>
              </w:rPr>
            </w:pPr>
            <w:r>
              <w:rPr>
                <w:sz w:val="24"/>
                <w:lang w:val="ga-IE" w:eastAsia="en-GB"/>
              </w:rPr>
              <w:t>22,867</w:t>
            </w:r>
          </w:p>
        </w:tc>
      </w:tr>
      <w:tr w:rsidR="009633ED" w:rsidRPr="000E07C7" w14:paraId="0D6B7BAB" w14:textId="77777777" w:rsidTr="000E07C7">
        <w:trPr>
          <w:trHeight w:val="302"/>
        </w:trPr>
        <w:tc>
          <w:tcPr>
            <w:tcW w:w="4428" w:type="dxa"/>
            <w:shd w:val="clear" w:color="auto" w:fill="auto"/>
            <w:vAlign w:val="bottom"/>
          </w:tcPr>
          <w:p w14:paraId="761CC422" w14:textId="77777777" w:rsidR="009633ED" w:rsidRPr="000E07C7" w:rsidRDefault="009633ED" w:rsidP="000E07C7">
            <w:pPr>
              <w:pStyle w:val="TableRowHead"/>
              <w:rPr>
                <w:rFonts w:ascii="Gill Sans" w:hAnsi="Gill Sans"/>
                <w:sz w:val="24"/>
                <w:lang w:val="ga-IE" w:eastAsia="en-GB"/>
              </w:rPr>
            </w:pPr>
            <w:r w:rsidRPr="009633ED">
              <w:rPr>
                <w:rFonts w:ascii="Gill Sans" w:hAnsi="Gill Sans"/>
                <w:sz w:val="24"/>
                <w:lang w:val="ga-IE" w:eastAsia="en-GB"/>
              </w:rPr>
              <w:t>Táille Iniúchta</w:t>
            </w:r>
          </w:p>
        </w:tc>
        <w:tc>
          <w:tcPr>
            <w:tcW w:w="1500" w:type="dxa"/>
            <w:shd w:val="clear" w:color="auto" w:fill="auto"/>
            <w:vAlign w:val="bottom"/>
          </w:tcPr>
          <w:p w14:paraId="489D39E6" w14:textId="77777777" w:rsidR="009633ED" w:rsidRPr="000E07C7" w:rsidRDefault="009633ED" w:rsidP="000E07C7">
            <w:pPr>
              <w:pStyle w:val="TableCell"/>
              <w:rPr>
                <w:sz w:val="24"/>
                <w:lang w:val="ga-IE" w:eastAsia="en-GB"/>
              </w:rPr>
            </w:pPr>
          </w:p>
        </w:tc>
        <w:tc>
          <w:tcPr>
            <w:tcW w:w="1500" w:type="dxa"/>
            <w:shd w:val="clear" w:color="auto" w:fill="auto"/>
            <w:vAlign w:val="bottom"/>
          </w:tcPr>
          <w:p w14:paraId="52C2F59C" w14:textId="77777777" w:rsidR="009633ED" w:rsidRPr="000E07C7" w:rsidRDefault="009633ED" w:rsidP="000E07C7">
            <w:pPr>
              <w:pStyle w:val="TableCell"/>
              <w:rPr>
                <w:sz w:val="24"/>
                <w:lang w:val="ga-IE" w:eastAsia="en-GB"/>
              </w:rPr>
            </w:pPr>
            <w:r>
              <w:rPr>
                <w:sz w:val="24"/>
                <w:lang w:val="ga-IE" w:eastAsia="en-GB"/>
              </w:rPr>
              <w:t>16,600</w:t>
            </w:r>
          </w:p>
        </w:tc>
        <w:tc>
          <w:tcPr>
            <w:tcW w:w="1500" w:type="dxa"/>
            <w:shd w:val="clear" w:color="auto" w:fill="auto"/>
            <w:vAlign w:val="bottom"/>
          </w:tcPr>
          <w:p w14:paraId="1C553F56" w14:textId="77777777" w:rsidR="009633ED" w:rsidRPr="000E07C7" w:rsidRDefault="009633ED" w:rsidP="000E07C7">
            <w:pPr>
              <w:pStyle w:val="TableCell"/>
              <w:rPr>
                <w:sz w:val="24"/>
                <w:lang w:val="ga-IE" w:eastAsia="en-GB"/>
              </w:rPr>
            </w:pPr>
            <w:r>
              <w:rPr>
                <w:sz w:val="24"/>
                <w:lang w:val="ga-IE" w:eastAsia="en-GB"/>
              </w:rPr>
              <w:t>16,620</w:t>
            </w:r>
          </w:p>
        </w:tc>
      </w:tr>
      <w:tr w:rsidR="000E07C7" w:rsidRPr="000E07C7" w14:paraId="72F7F9CE" w14:textId="77777777" w:rsidTr="000E07C7">
        <w:trPr>
          <w:trHeight w:val="302"/>
        </w:trPr>
        <w:tc>
          <w:tcPr>
            <w:tcW w:w="4428" w:type="dxa"/>
            <w:shd w:val="clear" w:color="auto" w:fill="auto"/>
            <w:vAlign w:val="bottom"/>
          </w:tcPr>
          <w:p w14:paraId="6F74162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Deisiúcháin Foirgnimh</w:t>
            </w:r>
          </w:p>
        </w:tc>
        <w:tc>
          <w:tcPr>
            <w:tcW w:w="1500" w:type="dxa"/>
            <w:shd w:val="clear" w:color="auto" w:fill="auto"/>
            <w:vAlign w:val="bottom"/>
          </w:tcPr>
          <w:p w14:paraId="5382B780" w14:textId="77777777" w:rsidR="000E07C7" w:rsidRPr="000E07C7" w:rsidRDefault="000E07C7" w:rsidP="000E07C7">
            <w:pPr>
              <w:pStyle w:val="TableCell"/>
              <w:rPr>
                <w:sz w:val="24"/>
                <w:lang w:val="ga-IE" w:eastAsia="en-GB"/>
              </w:rPr>
            </w:pPr>
          </w:p>
        </w:tc>
        <w:tc>
          <w:tcPr>
            <w:tcW w:w="1500" w:type="dxa"/>
            <w:shd w:val="clear" w:color="auto" w:fill="auto"/>
            <w:vAlign w:val="bottom"/>
          </w:tcPr>
          <w:p w14:paraId="58C6818A" w14:textId="77777777" w:rsidR="000E07C7" w:rsidRPr="000E07C7" w:rsidRDefault="000E07C7" w:rsidP="000E07C7">
            <w:pPr>
              <w:pStyle w:val="TableCell"/>
              <w:rPr>
                <w:sz w:val="24"/>
                <w:lang w:val="ga-IE" w:eastAsia="en-GB"/>
              </w:rPr>
            </w:pPr>
            <w:r w:rsidRPr="000E07C7">
              <w:rPr>
                <w:sz w:val="24"/>
                <w:lang w:val="ga-IE" w:eastAsia="en-GB"/>
              </w:rPr>
              <w:t>39,914</w:t>
            </w:r>
          </w:p>
        </w:tc>
        <w:tc>
          <w:tcPr>
            <w:tcW w:w="1500" w:type="dxa"/>
            <w:shd w:val="clear" w:color="auto" w:fill="auto"/>
            <w:vAlign w:val="bottom"/>
          </w:tcPr>
          <w:p w14:paraId="52647561" w14:textId="77777777" w:rsidR="000E07C7" w:rsidRPr="000E07C7" w:rsidRDefault="000E07C7" w:rsidP="000E07C7">
            <w:pPr>
              <w:pStyle w:val="TableCell"/>
              <w:rPr>
                <w:sz w:val="24"/>
                <w:lang w:val="ga-IE" w:eastAsia="en-GB"/>
              </w:rPr>
            </w:pPr>
            <w:r w:rsidRPr="000E07C7">
              <w:rPr>
                <w:sz w:val="24"/>
                <w:lang w:val="ga-IE" w:eastAsia="en-GB"/>
              </w:rPr>
              <w:t>0</w:t>
            </w:r>
          </w:p>
        </w:tc>
      </w:tr>
      <w:tr w:rsidR="000E07C7" w:rsidRPr="000E07C7" w14:paraId="75C89663" w14:textId="77777777" w:rsidTr="000E07C7">
        <w:trPr>
          <w:trHeight w:val="302"/>
        </w:trPr>
        <w:tc>
          <w:tcPr>
            <w:tcW w:w="442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E373F6F" w14:textId="77777777" w:rsidR="000E07C7" w:rsidRPr="000E07C7" w:rsidRDefault="000E07C7" w:rsidP="000E07C7">
            <w:pPr>
              <w:pStyle w:val="TableRowHead"/>
              <w:rPr>
                <w:rFonts w:ascii="Gill Sans" w:hAnsi="Gill Sans"/>
                <w:sz w:val="24"/>
                <w:lang w:val="ga-IE" w:eastAsia="en-GB"/>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8958DF" w14:textId="77777777" w:rsidR="000E07C7" w:rsidRPr="000E07C7" w:rsidRDefault="000E07C7" w:rsidP="000E07C7">
            <w:pPr>
              <w:pStyle w:val="TableCell"/>
              <w:rPr>
                <w:sz w:val="24"/>
                <w:lang w:val="ga-IE" w:eastAsia="en-GB"/>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232ACA" w14:textId="77777777" w:rsidR="000E07C7" w:rsidRPr="000E07C7" w:rsidRDefault="00213552" w:rsidP="000E07C7">
            <w:pPr>
              <w:pStyle w:val="TableCell"/>
              <w:rPr>
                <w:b/>
                <w:sz w:val="24"/>
                <w:lang w:val="ga-IE" w:eastAsia="en-GB"/>
              </w:rPr>
            </w:pPr>
            <w:r>
              <w:rPr>
                <w:b/>
                <w:sz w:val="24"/>
                <w:lang w:val="en-GB" w:eastAsia="en-GB"/>
              </w:rPr>
              <w:t>479,979</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82D8809" w14:textId="77777777" w:rsidR="000E07C7" w:rsidRPr="000E07C7" w:rsidRDefault="000E07C7" w:rsidP="000E07C7">
            <w:pPr>
              <w:pStyle w:val="TableCell"/>
              <w:rPr>
                <w:b/>
                <w:sz w:val="24"/>
                <w:lang w:val="ga-IE" w:eastAsia="en-GB"/>
              </w:rPr>
            </w:pPr>
            <w:r w:rsidRPr="000E07C7">
              <w:rPr>
                <w:b/>
                <w:sz w:val="24"/>
                <w:lang w:val="ga-IE" w:eastAsia="en-GB"/>
              </w:rPr>
              <w:t>545,460</w:t>
            </w:r>
          </w:p>
        </w:tc>
      </w:tr>
    </w:tbl>
    <w:p w14:paraId="2B3E3AFE" w14:textId="77777777" w:rsidR="000E07C7" w:rsidRPr="000E07C7" w:rsidRDefault="000E07C7" w:rsidP="000E07C7">
      <w:pPr>
        <w:rPr>
          <w:lang w:val="ga-IE" w:eastAsia="en-GB"/>
        </w:rPr>
      </w:pPr>
    </w:p>
    <w:p w14:paraId="0D69F2D3" w14:textId="77777777" w:rsidR="000E07C7" w:rsidRPr="000E07C7" w:rsidRDefault="000E07C7" w:rsidP="000E07C7">
      <w:pPr>
        <w:pStyle w:val="Heading3"/>
        <w:rPr>
          <w:lang w:val="ga-IE" w:eastAsia="en-GB"/>
        </w:rPr>
      </w:pPr>
      <w:r w:rsidRPr="000E07C7">
        <w:rPr>
          <w:lang w:val="ga-IE" w:eastAsia="en-GB"/>
        </w:rPr>
        <w:t>6. Táillí agus Costais an Údaráis</w:t>
      </w:r>
    </w:p>
    <w:p w14:paraId="3495463F" w14:textId="77777777" w:rsidR="000E07C7" w:rsidRPr="000E07C7" w:rsidRDefault="000E07C7" w:rsidP="000E07C7">
      <w:pPr>
        <w:rPr>
          <w:rFonts w:cs="Gill Sans"/>
          <w:lang w:val="ga-IE" w:eastAsia="en-GB"/>
        </w:rPr>
      </w:pPr>
      <w:r w:rsidRPr="000E07C7">
        <w:rPr>
          <w:lang w:val="ga-IE" w:eastAsia="en-GB"/>
        </w:rPr>
        <w:t xml:space="preserve">Íocadh caiteachas </w:t>
      </w:r>
      <w:r w:rsidRPr="000E07C7">
        <w:rPr>
          <w:rFonts w:cs="Arial"/>
          <w:lang w:val="ga-IE" w:eastAsia="en-GB"/>
        </w:rPr>
        <w:t>€</w:t>
      </w:r>
      <w:r w:rsidR="00213552">
        <w:rPr>
          <w:rFonts w:cs="Arial"/>
          <w:lang w:val="en-GB" w:eastAsia="en-GB"/>
        </w:rPr>
        <w:t>35,193</w:t>
      </w:r>
      <w:r w:rsidR="00213552" w:rsidRPr="0055051C">
        <w:rPr>
          <w:lang w:val="en-GB" w:eastAsia="en-GB"/>
        </w:rPr>
        <w:t xml:space="preserve"> </w:t>
      </w:r>
      <w:r w:rsidRPr="000E07C7">
        <w:rPr>
          <w:lang w:val="ga-IE" w:eastAsia="en-GB"/>
        </w:rPr>
        <w:t xml:space="preserve"> (</w:t>
      </w:r>
      <w:r w:rsidRPr="000E07C7">
        <w:rPr>
          <w:rFonts w:cs="Arial"/>
          <w:lang w:val="ga-IE" w:eastAsia="en-GB"/>
        </w:rPr>
        <w:t>€68</w:t>
      </w:r>
      <w:r w:rsidRPr="000E07C7">
        <w:rPr>
          <w:lang w:val="ga-IE" w:eastAsia="en-GB"/>
        </w:rPr>
        <w:t xml:space="preserve">,267 </w:t>
      </w:r>
      <w:r w:rsidRPr="000E07C7">
        <w:rPr>
          <w:rFonts w:cs="Gill Sans"/>
          <w:lang w:val="ga-IE" w:eastAsia="en-GB"/>
        </w:rPr>
        <w:t xml:space="preserve">in 2013) i dtaca le Táillí an Údaráis.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994"/>
        <w:gridCol w:w="1527"/>
        <w:gridCol w:w="1700"/>
        <w:gridCol w:w="1700"/>
      </w:tblGrid>
      <w:tr w:rsidR="000E07C7" w:rsidRPr="000E07C7" w14:paraId="110B03CC" w14:textId="77777777" w:rsidTr="000E07C7">
        <w:trPr>
          <w:tblHeader/>
        </w:trPr>
        <w:tc>
          <w:tcPr>
            <w:tcW w:w="3085" w:type="dxa"/>
            <w:shd w:val="clear" w:color="auto" w:fill="auto"/>
          </w:tcPr>
          <w:p w14:paraId="5DB49E33" w14:textId="77777777" w:rsidR="000E07C7" w:rsidRPr="000E07C7" w:rsidRDefault="000E07C7" w:rsidP="000E07C7">
            <w:pPr>
              <w:pStyle w:val="TableHead"/>
              <w:rPr>
                <w:lang w:val="ga-IE" w:eastAsia="en-GB"/>
              </w:rPr>
            </w:pPr>
            <w:r w:rsidRPr="000E07C7">
              <w:rPr>
                <w:lang w:val="ga-IE" w:eastAsia="en-GB"/>
              </w:rPr>
              <w:lastRenderedPageBreak/>
              <w:t>Comhalta den Údarás</w:t>
            </w:r>
          </w:p>
        </w:tc>
        <w:tc>
          <w:tcPr>
            <w:tcW w:w="1570" w:type="dxa"/>
            <w:shd w:val="clear" w:color="auto" w:fill="auto"/>
          </w:tcPr>
          <w:p w14:paraId="7525F705" w14:textId="77777777" w:rsidR="000E07C7" w:rsidRPr="000E07C7" w:rsidRDefault="000E07C7" w:rsidP="000E07C7">
            <w:pPr>
              <w:pStyle w:val="TableHead"/>
              <w:rPr>
                <w:lang w:val="ga-IE" w:eastAsia="en-GB"/>
              </w:rPr>
            </w:pPr>
            <w:r w:rsidRPr="000E07C7">
              <w:rPr>
                <w:lang w:val="ga-IE" w:eastAsia="en-GB"/>
              </w:rPr>
              <w:t>Táillí</w:t>
            </w:r>
          </w:p>
        </w:tc>
        <w:tc>
          <w:tcPr>
            <w:tcW w:w="1749" w:type="dxa"/>
            <w:shd w:val="clear" w:color="auto" w:fill="auto"/>
          </w:tcPr>
          <w:p w14:paraId="4C827B9E" w14:textId="77777777" w:rsidR="000E07C7" w:rsidRPr="000E07C7" w:rsidRDefault="000E07C7" w:rsidP="000E07C7">
            <w:pPr>
              <w:pStyle w:val="TableHead"/>
              <w:rPr>
                <w:lang w:val="ga-IE" w:eastAsia="en-GB"/>
              </w:rPr>
            </w:pPr>
            <w:r w:rsidRPr="000E07C7">
              <w:rPr>
                <w:lang w:val="ga-IE" w:eastAsia="en-GB"/>
              </w:rPr>
              <w:t>Costais a íocadh le nó thar ceann</w:t>
            </w:r>
          </w:p>
        </w:tc>
        <w:tc>
          <w:tcPr>
            <w:tcW w:w="1749" w:type="dxa"/>
            <w:shd w:val="clear" w:color="auto" w:fill="auto"/>
          </w:tcPr>
          <w:p w14:paraId="44CD3F87" w14:textId="77777777" w:rsidR="000E07C7" w:rsidRPr="000E07C7" w:rsidRDefault="000E07C7" w:rsidP="000E07C7">
            <w:pPr>
              <w:pStyle w:val="TableHead"/>
              <w:rPr>
                <w:lang w:val="ga-IE" w:eastAsia="en-GB"/>
              </w:rPr>
            </w:pPr>
            <w:r w:rsidRPr="000E07C7">
              <w:rPr>
                <w:lang w:val="ga-IE" w:eastAsia="en-GB"/>
              </w:rPr>
              <w:t>Iomlán</w:t>
            </w:r>
          </w:p>
        </w:tc>
      </w:tr>
      <w:tr w:rsidR="000E07C7" w:rsidRPr="000E07C7" w14:paraId="07ACF75C" w14:textId="77777777" w:rsidTr="000E07C7">
        <w:tc>
          <w:tcPr>
            <w:tcW w:w="3085" w:type="dxa"/>
            <w:shd w:val="clear" w:color="auto" w:fill="auto"/>
          </w:tcPr>
          <w:p w14:paraId="6E9D7635"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Helen </w:t>
            </w:r>
            <w:proofErr w:type="spellStart"/>
            <w:r w:rsidRPr="000E07C7">
              <w:rPr>
                <w:rFonts w:ascii="Gill Sans" w:hAnsi="Gill Sans"/>
                <w:bCs/>
                <w:sz w:val="24"/>
                <w:lang w:val="ga-IE"/>
              </w:rPr>
              <w:t>Guinan</w:t>
            </w:r>
            <w:proofErr w:type="spellEnd"/>
          </w:p>
        </w:tc>
        <w:tc>
          <w:tcPr>
            <w:tcW w:w="1570" w:type="dxa"/>
            <w:shd w:val="clear" w:color="auto" w:fill="auto"/>
          </w:tcPr>
          <w:p w14:paraId="29CCCBF0" w14:textId="77777777" w:rsidR="000E07C7" w:rsidRPr="000E07C7" w:rsidRDefault="000E07C7" w:rsidP="000E07C7">
            <w:pPr>
              <w:pStyle w:val="TableCell"/>
              <w:rPr>
                <w:lang w:val="ga-IE"/>
              </w:rPr>
            </w:pPr>
            <w:r w:rsidRPr="000E07C7">
              <w:rPr>
                <w:lang w:val="ga-IE"/>
              </w:rPr>
              <w:t>€4,489</w:t>
            </w:r>
          </w:p>
        </w:tc>
        <w:tc>
          <w:tcPr>
            <w:tcW w:w="1749" w:type="dxa"/>
            <w:shd w:val="clear" w:color="auto" w:fill="auto"/>
          </w:tcPr>
          <w:p w14:paraId="30B87341" w14:textId="77777777" w:rsidR="000E07C7" w:rsidRPr="000E07C7" w:rsidRDefault="000E07C7" w:rsidP="000E07C7">
            <w:pPr>
              <w:pStyle w:val="TableCell"/>
              <w:rPr>
                <w:lang w:val="ga-IE"/>
              </w:rPr>
            </w:pPr>
            <w:r w:rsidRPr="000E07C7">
              <w:rPr>
                <w:lang w:val="ga-IE"/>
              </w:rPr>
              <w:t>€1,612</w:t>
            </w:r>
          </w:p>
        </w:tc>
        <w:tc>
          <w:tcPr>
            <w:tcW w:w="1749" w:type="dxa"/>
            <w:shd w:val="clear" w:color="auto" w:fill="auto"/>
          </w:tcPr>
          <w:p w14:paraId="2F2A5FE1" w14:textId="77777777" w:rsidR="000E07C7" w:rsidRPr="000E07C7" w:rsidRDefault="000E07C7" w:rsidP="000E07C7">
            <w:pPr>
              <w:pStyle w:val="TableCell"/>
              <w:rPr>
                <w:lang w:val="ga-IE"/>
              </w:rPr>
            </w:pPr>
          </w:p>
        </w:tc>
      </w:tr>
      <w:tr w:rsidR="000E07C7" w:rsidRPr="000E07C7" w14:paraId="5882C482" w14:textId="77777777" w:rsidTr="000E07C7">
        <w:tc>
          <w:tcPr>
            <w:tcW w:w="3085" w:type="dxa"/>
            <w:shd w:val="clear" w:color="auto" w:fill="auto"/>
          </w:tcPr>
          <w:p w14:paraId="119A35E1"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Orla </w:t>
            </w:r>
            <w:proofErr w:type="spellStart"/>
            <w:r w:rsidRPr="000E07C7">
              <w:rPr>
                <w:rFonts w:ascii="Gill Sans" w:hAnsi="Gill Sans"/>
                <w:bCs/>
                <w:sz w:val="24"/>
                <w:lang w:val="ga-IE"/>
              </w:rPr>
              <w:t>Barry</w:t>
            </w:r>
            <w:proofErr w:type="spellEnd"/>
          </w:p>
        </w:tc>
        <w:tc>
          <w:tcPr>
            <w:tcW w:w="1570" w:type="dxa"/>
            <w:shd w:val="clear" w:color="auto" w:fill="auto"/>
          </w:tcPr>
          <w:p w14:paraId="6411A7B7" w14:textId="77777777" w:rsidR="000E07C7" w:rsidRPr="000E07C7" w:rsidRDefault="000E07C7" w:rsidP="000E07C7">
            <w:pPr>
              <w:pStyle w:val="TableCell"/>
              <w:rPr>
                <w:lang w:val="ga-IE"/>
              </w:rPr>
            </w:pPr>
            <w:r w:rsidRPr="000E07C7">
              <w:rPr>
                <w:lang w:val="ga-IE"/>
              </w:rPr>
              <w:t>€0</w:t>
            </w:r>
          </w:p>
        </w:tc>
        <w:tc>
          <w:tcPr>
            <w:tcW w:w="1749" w:type="dxa"/>
            <w:shd w:val="clear" w:color="auto" w:fill="auto"/>
          </w:tcPr>
          <w:p w14:paraId="145C136A" w14:textId="77777777" w:rsidR="000E07C7" w:rsidRPr="000E07C7" w:rsidRDefault="000E07C7" w:rsidP="000E07C7">
            <w:pPr>
              <w:pStyle w:val="TableCell"/>
              <w:rPr>
                <w:lang w:val="ga-IE"/>
              </w:rPr>
            </w:pPr>
          </w:p>
        </w:tc>
        <w:tc>
          <w:tcPr>
            <w:tcW w:w="1749" w:type="dxa"/>
            <w:shd w:val="clear" w:color="auto" w:fill="auto"/>
          </w:tcPr>
          <w:p w14:paraId="2B618D9F" w14:textId="77777777" w:rsidR="000E07C7" w:rsidRPr="000E07C7" w:rsidRDefault="000E07C7" w:rsidP="000E07C7">
            <w:pPr>
              <w:pStyle w:val="TableCell"/>
              <w:rPr>
                <w:lang w:val="ga-IE"/>
              </w:rPr>
            </w:pPr>
          </w:p>
        </w:tc>
      </w:tr>
      <w:tr w:rsidR="000E07C7" w:rsidRPr="000E07C7" w14:paraId="18CF9F26" w14:textId="77777777" w:rsidTr="000E07C7">
        <w:tc>
          <w:tcPr>
            <w:tcW w:w="3085" w:type="dxa"/>
            <w:shd w:val="clear" w:color="auto" w:fill="auto"/>
          </w:tcPr>
          <w:p w14:paraId="2BB98E76"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Frank </w:t>
            </w:r>
            <w:proofErr w:type="spellStart"/>
            <w:r w:rsidRPr="000E07C7">
              <w:rPr>
                <w:rFonts w:ascii="Gill Sans" w:hAnsi="Gill Sans"/>
                <w:bCs/>
                <w:sz w:val="24"/>
                <w:lang w:val="ga-IE"/>
              </w:rPr>
              <w:t>Cunneen</w:t>
            </w:r>
            <w:proofErr w:type="spellEnd"/>
          </w:p>
        </w:tc>
        <w:tc>
          <w:tcPr>
            <w:tcW w:w="1570" w:type="dxa"/>
            <w:shd w:val="clear" w:color="auto" w:fill="auto"/>
          </w:tcPr>
          <w:p w14:paraId="089B198A"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412F8059" w14:textId="77777777" w:rsidR="000E07C7" w:rsidRPr="000E07C7" w:rsidRDefault="000E07C7" w:rsidP="000E07C7">
            <w:pPr>
              <w:pStyle w:val="TableCell"/>
              <w:rPr>
                <w:lang w:val="ga-IE"/>
              </w:rPr>
            </w:pPr>
            <w:r w:rsidRPr="000E07C7">
              <w:rPr>
                <w:lang w:val="ga-IE"/>
              </w:rPr>
              <w:t xml:space="preserve"> </w:t>
            </w:r>
          </w:p>
        </w:tc>
        <w:tc>
          <w:tcPr>
            <w:tcW w:w="1749" w:type="dxa"/>
            <w:shd w:val="clear" w:color="auto" w:fill="auto"/>
          </w:tcPr>
          <w:p w14:paraId="565BBF88" w14:textId="77777777" w:rsidR="000E07C7" w:rsidRPr="000E07C7" w:rsidRDefault="000E07C7" w:rsidP="000E07C7">
            <w:pPr>
              <w:pStyle w:val="TableCell"/>
              <w:rPr>
                <w:lang w:val="ga-IE"/>
              </w:rPr>
            </w:pPr>
          </w:p>
        </w:tc>
      </w:tr>
      <w:tr w:rsidR="000E07C7" w:rsidRPr="000E07C7" w14:paraId="2EAB4619" w14:textId="77777777" w:rsidTr="000E07C7">
        <w:tc>
          <w:tcPr>
            <w:tcW w:w="3085" w:type="dxa"/>
            <w:shd w:val="clear" w:color="auto" w:fill="auto"/>
          </w:tcPr>
          <w:p w14:paraId="70192701"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w:t>
            </w:r>
            <w:proofErr w:type="spellStart"/>
            <w:r w:rsidRPr="000E07C7">
              <w:rPr>
                <w:rFonts w:ascii="Gill Sans" w:hAnsi="Gill Sans"/>
                <w:bCs/>
                <w:sz w:val="24"/>
                <w:lang w:val="ga-IE"/>
              </w:rPr>
              <w:t>Des</w:t>
            </w:r>
            <w:proofErr w:type="spellEnd"/>
            <w:r w:rsidRPr="000E07C7">
              <w:rPr>
                <w:rFonts w:ascii="Gill Sans" w:hAnsi="Gill Sans"/>
                <w:bCs/>
                <w:sz w:val="24"/>
                <w:lang w:val="ga-IE"/>
              </w:rPr>
              <w:t xml:space="preserve"> Kenny</w:t>
            </w:r>
          </w:p>
        </w:tc>
        <w:tc>
          <w:tcPr>
            <w:tcW w:w="1570" w:type="dxa"/>
            <w:shd w:val="clear" w:color="auto" w:fill="auto"/>
          </w:tcPr>
          <w:p w14:paraId="0FFA4608"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0F5D4D58" w14:textId="77777777" w:rsidR="000E07C7" w:rsidRPr="000E07C7" w:rsidRDefault="000E07C7" w:rsidP="000E07C7">
            <w:pPr>
              <w:pStyle w:val="TableCell"/>
              <w:rPr>
                <w:lang w:val="ga-IE"/>
              </w:rPr>
            </w:pPr>
            <w:r w:rsidRPr="000E07C7">
              <w:rPr>
                <w:lang w:val="ga-IE"/>
              </w:rPr>
              <w:t xml:space="preserve"> </w:t>
            </w:r>
          </w:p>
        </w:tc>
        <w:tc>
          <w:tcPr>
            <w:tcW w:w="1749" w:type="dxa"/>
            <w:shd w:val="clear" w:color="auto" w:fill="auto"/>
          </w:tcPr>
          <w:p w14:paraId="096CD16F" w14:textId="77777777" w:rsidR="000E07C7" w:rsidRPr="000E07C7" w:rsidRDefault="000E07C7" w:rsidP="000E07C7">
            <w:pPr>
              <w:pStyle w:val="TableCell"/>
              <w:rPr>
                <w:lang w:val="ga-IE"/>
              </w:rPr>
            </w:pPr>
          </w:p>
        </w:tc>
      </w:tr>
      <w:tr w:rsidR="000E07C7" w:rsidRPr="000E07C7" w14:paraId="2B274291" w14:textId="77777777" w:rsidTr="000E07C7">
        <w:tc>
          <w:tcPr>
            <w:tcW w:w="3085" w:type="dxa"/>
            <w:shd w:val="clear" w:color="auto" w:fill="auto"/>
          </w:tcPr>
          <w:p w14:paraId="7BACFE73"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w:t>
            </w:r>
            <w:proofErr w:type="spellStart"/>
            <w:r w:rsidRPr="000E07C7">
              <w:rPr>
                <w:rFonts w:ascii="Gill Sans" w:hAnsi="Gill Sans"/>
                <w:bCs/>
                <w:sz w:val="24"/>
                <w:lang w:val="ga-IE"/>
              </w:rPr>
              <w:t>Ruthann</w:t>
            </w:r>
            <w:proofErr w:type="spellEnd"/>
            <w:r w:rsidRPr="000E07C7">
              <w:rPr>
                <w:rFonts w:ascii="Gill Sans" w:hAnsi="Gill Sans"/>
                <w:bCs/>
                <w:sz w:val="24"/>
                <w:lang w:val="ga-IE"/>
              </w:rPr>
              <w:t xml:space="preserve"> </w:t>
            </w:r>
            <w:proofErr w:type="spellStart"/>
            <w:r w:rsidRPr="000E07C7">
              <w:rPr>
                <w:rFonts w:ascii="Gill Sans" w:hAnsi="Gill Sans"/>
                <w:bCs/>
                <w:sz w:val="24"/>
                <w:lang w:val="ga-IE"/>
              </w:rPr>
              <w:t>La</w:t>
            </w:r>
            <w:proofErr w:type="spellEnd"/>
            <w:r w:rsidRPr="000E07C7">
              <w:rPr>
                <w:rFonts w:ascii="Gill Sans" w:hAnsi="Gill Sans"/>
                <w:bCs/>
                <w:sz w:val="24"/>
                <w:lang w:val="ga-IE"/>
              </w:rPr>
              <w:t xml:space="preserve"> </w:t>
            </w:r>
            <w:proofErr w:type="spellStart"/>
            <w:r w:rsidRPr="000E07C7">
              <w:rPr>
                <w:rFonts w:ascii="Gill Sans" w:hAnsi="Gill Sans"/>
                <w:bCs/>
                <w:sz w:val="24"/>
                <w:lang w:val="ga-IE"/>
              </w:rPr>
              <w:t>Malfa</w:t>
            </w:r>
            <w:proofErr w:type="spellEnd"/>
          </w:p>
        </w:tc>
        <w:tc>
          <w:tcPr>
            <w:tcW w:w="1570" w:type="dxa"/>
            <w:shd w:val="clear" w:color="auto" w:fill="auto"/>
          </w:tcPr>
          <w:p w14:paraId="36AA8C05"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47CA7A9A" w14:textId="77777777" w:rsidR="000E07C7" w:rsidRPr="000E07C7" w:rsidRDefault="000E07C7" w:rsidP="000E07C7">
            <w:pPr>
              <w:pStyle w:val="TableCell"/>
              <w:rPr>
                <w:lang w:val="ga-IE"/>
              </w:rPr>
            </w:pPr>
            <w:r w:rsidRPr="000E07C7">
              <w:rPr>
                <w:lang w:val="ga-IE"/>
              </w:rPr>
              <w:t xml:space="preserve"> </w:t>
            </w:r>
          </w:p>
        </w:tc>
        <w:tc>
          <w:tcPr>
            <w:tcW w:w="1749" w:type="dxa"/>
            <w:shd w:val="clear" w:color="auto" w:fill="auto"/>
          </w:tcPr>
          <w:p w14:paraId="3DCE372B" w14:textId="77777777" w:rsidR="000E07C7" w:rsidRPr="000E07C7" w:rsidRDefault="000E07C7" w:rsidP="000E07C7">
            <w:pPr>
              <w:pStyle w:val="TableCell"/>
              <w:rPr>
                <w:lang w:val="ga-IE"/>
              </w:rPr>
            </w:pPr>
          </w:p>
        </w:tc>
      </w:tr>
      <w:tr w:rsidR="000E07C7" w:rsidRPr="000E07C7" w14:paraId="4DE5411D" w14:textId="77777777" w:rsidTr="000E07C7">
        <w:tc>
          <w:tcPr>
            <w:tcW w:w="3085" w:type="dxa"/>
            <w:shd w:val="clear" w:color="auto" w:fill="auto"/>
          </w:tcPr>
          <w:p w14:paraId="1C317544"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Mary </w:t>
            </w:r>
            <w:proofErr w:type="spellStart"/>
            <w:r w:rsidRPr="000E07C7">
              <w:rPr>
                <w:rFonts w:ascii="Gill Sans" w:hAnsi="Gill Sans"/>
                <w:bCs/>
                <w:sz w:val="24"/>
                <w:lang w:val="ga-IE"/>
              </w:rPr>
              <w:t>Lavelle</w:t>
            </w:r>
            <w:proofErr w:type="spellEnd"/>
          </w:p>
        </w:tc>
        <w:tc>
          <w:tcPr>
            <w:tcW w:w="1570" w:type="dxa"/>
            <w:shd w:val="clear" w:color="auto" w:fill="auto"/>
          </w:tcPr>
          <w:p w14:paraId="306C7B36"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4CBF815C" w14:textId="77777777" w:rsidR="000E07C7" w:rsidRPr="000E07C7" w:rsidRDefault="000E07C7" w:rsidP="000E07C7">
            <w:pPr>
              <w:pStyle w:val="TableCell"/>
              <w:rPr>
                <w:lang w:val="ga-IE"/>
              </w:rPr>
            </w:pPr>
            <w:r w:rsidRPr="000E07C7">
              <w:rPr>
                <w:lang w:val="ga-IE"/>
              </w:rPr>
              <w:t xml:space="preserve"> </w:t>
            </w:r>
          </w:p>
        </w:tc>
        <w:tc>
          <w:tcPr>
            <w:tcW w:w="1749" w:type="dxa"/>
            <w:shd w:val="clear" w:color="auto" w:fill="auto"/>
          </w:tcPr>
          <w:p w14:paraId="69D28FD8" w14:textId="77777777" w:rsidR="000E07C7" w:rsidRPr="000E07C7" w:rsidRDefault="000E07C7" w:rsidP="000E07C7">
            <w:pPr>
              <w:pStyle w:val="TableCell"/>
              <w:rPr>
                <w:lang w:val="ga-IE"/>
              </w:rPr>
            </w:pPr>
          </w:p>
        </w:tc>
      </w:tr>
      <w:tr w:rsidR="000E07C7" w:rsidRPr="000E07C7" w14:paraId="11431EEB" w14:textId="77777777" w:rsidTr="000E07C7">
        <w:tc>
          <w:tcPr>
            <w:tcW w:w="3085" w:type="dxa"/>
            <w:shd w:val="clear" w:color="auto" w:fill="auto"/>
          </w:tcPr>
          <w:p w14:paraId="6EFFC1BC"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w:t>
            </w:r>
            <w:proofErr w:type="spellStart"/>
            <w:r w:rsidRPr="000E07C7">
              <w:rPr>
                <w:rFonts w:ascii="Gill Sans" w:hAnsi="Gill Sans"/>
                <w:bCs/>
                <w:sz w:val="24"/>
                <w:lang w:val="ga-IE"/>
              </w:rPr>
              <w:t>Teresa</w:t>
            </w:r>
            <w:proofErr w:type="spellEnd"/>
            <w:r w:rsidRPr="000E07C7">
              <w:rPr>
                <w:rFonts w:ascii="Gill Sans" w:hAnsi="Gill Sans"/>
                <w:bCs/>
                <w:sz w:val="24"/>
                <w:lang w:val="ga-IE"/>
              </w:rPr>
              <w:t xml:space="preserve"> </w:t>
            </w:r>
            <w:proofErr w:type="spellStart"/>
            <w:r w:rsidRPr="000E07C7">
              <w:rPr>
                <w:rFonts w:ascii="Gill Sans" w:hAnsi="Gill Sans"/>
                <w:bCs/>
                <w:sz w:val="24"/>
                <w:lang w:val="ga-IE"/>
              </w:rPr>
              <w:t>McDonnell</w:t>
            </w:r>
            <w:proofErr w:type="spellEnd"/>
          </w:p>
        </w:tc>
        <w:tc>
          <w:tcPr>
            <w:tcW w:w="1570" w:type="dxa"/>
            <w:shd w:val="clear" w:color="auto" w:fill="auto"/>
          </w:tcPr>
          <w:p w14:paraId="64B83F15"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0B58F727" w14:textId="77777777" w:rsidR="000E07C7" w:rsidRPr="000E07C7" w:rsidRDefault="000E07C7" w:rsidP="000E07C7">
            <w:pPr>
              <w:pStyle w:val="TableCell"/>
              <w:rPr>
                <w:lang w:val="ga-IE"/>
              </w:rPr>
            </w:pPr>
            <w:r w:rsidRPr="000E07C7">
              <w:rPr>
                <w:lang w:val="ga-IE"/>
              </w:rPr>
              <w:t>€57</w:t>
            </w:r>
          </w:p>
        </w:tc>
        <w:tc>
          <w:tcPr>
            <w:tcW w:w="1749" w:type="dxa"/>
            <w:shd w:val="clear" w:color="auto" w:fill="auto"/>
          </w:tcPr>
          <w:p w14:paraId="6F0E4392" w14:textId="77777777" w:rsidR="000E07C7" w:rsidRPr="000E07C7" w:rsidRDefault="000E07C7" w:rsidP="000E07C7">
            <w:pPr>
              <w:pStyle w:val="TableCell"/>
              <w:rPr>
                <w:lang w:val="ga-IE"/>
              </w:rPr>
            </w:pPr>
          </w:p>
        </w:tc>
      </w:tr>
      <w:tr w:rsidR="000E07C7" w:rsidRPr="000E07C7" w14:paraId="1DA50F66" w14:textId="77777777" w:rsidTr="000E07C7">
        <w:tc>
          <w:tcPr>
            <w:tcW w:w="3085" w:type="dxa"/>
            <w:shd w:val="clear" w:color="auto" w:fill="auto"/>
          </w:tcPr>
          <w:p w14:paraId="5705DFFB"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Déaglán Ó Briain</w:t>
            </w:r>
          </w:p>
        </w:tc>
        <w:tc>
          <w:tcPr>
            <w:tcW w:w="1570" w:type="dxa"/>
            <w:shd w:val="clear" w:color="auto" w:fill="auto"/>
          </w:tcPr>
          <w:p w14:paraId="176E8C62" w14:textId="77777777" w:rsidR="000E07C7" w:rsidRPr="000E07C7" w:rsidRDefault="000E07C7" w:rsidP="000E07C7">
            <w:pPr>
              <w:pStyle w:val="TableCell"/>
              <w:rPr>
                <w:lang w:val="ga-IE"/>
              </w:rPr>
            </w:pPr>
            <w:r w:rsidRPr="000E07C7">
              <w:rPr>
                <w:lang w:val="ga-IE"/>
              </w:rPr>
              <w:t>€0</w:t>
            </w:r>
          </w:p>
        </w:tc>
        <w:tc>
          <w:tcPr>
            <w:tcW w:w="1749" w:type="dxa"/>
            <w:shd w:val="clear" w:color="auto" w:fill="auto"/>
          </w:tcPr>
          <w:p w14:paraId="070C4A2C" w14:textId="77777777" w:rsidR="000E07C7" w:rsidRPr="000E07C7" w:rsidRDefault="000E07C7" w:rsidP="000E07C7">
            <w:pPr>
              <w:pStyle w:val="TableCell"/>
              <w:rPr>
                <w:lang w:val="ga-IE"/>
              </w:rPr>
            </w:pPr>
          </w:p>
        </w:tc>
        <w:tc>
          <w:tcPr>
            <w:tcW w:w="1749" w:type="dxa"/>
            <w:shd w:val="clear" w:color="auto" w:fill="auto"/>
          </w:tcPr>
          <w:p w14:paraId="7D8620CB" w14:textId="77777777" w:rsidR="000E07C7" w:rsidRPr="000E07C7" w:rsidRDefault="000E07C7" w:rsidP="000E07C7">
            <w:pPr>
              <w:pStyle w:val="TableCell"/>
              <w:rPr>
                <w:lang w:val="ga-IE"/>
              </w:rPr>
            </w:pPr>
          </w:p>
        </w:tc>
      </w:tr>
      <w:tr w:rsidR="000E07C7" w:rsidRPr="000E07C7" w14:paraId="5F1C35E7" w14:textId="77777777" w:rsidTr="000E07C7">
        <w:tc>
          <w:tcPr>
            <w:tcW w:w="3085" w:type="dxa"/>
            <w:shd w:val="clear" w:color="auto" w:fill="auto"/>
          </w:tcPr>
          <w:p w14:paraId="604C7513"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Deirdre O’Connor</w:t>
            </w:r>
          </w:p>
        </w:tc>
        <w:tc>
          <w:tcPr>
            <w:tcW w:w="1570" w:type="dxa"/>
            <w:shd w:val="clear" w:color="auto" w:fill="auto"/>
          </w:tcPr>
          <w:p w14:paraId="70343C81"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1F022291" w14:textId="77777777" w:rsidR="000E07C7" w:rsidRPr="000E07C7" w:rsidRDefault="000E07C7" w:rsidP="000E07C7">
            <w:pPr>
              <w:pStyle w:val="TableCell"/>
              <w:rPr>
                <w:lang w:val="ga-IE"/>
              </w:rPr>
            </w:pPr>
            <w:r w:rsidRPr="000E07C7">
              <w:rPr>
                <w:lang w:val="ga-IE"/>
              </w:rPr>
              <w:t xml:space="preserve"> </w:t>
            </w:r>
          </w:p>
        </w:tc>
        <w:tc>
          <w:tcPr>
            <w:tcW w:w="1749" w:type="dxa"/>
            <w:shd w:val="clear" w:color="auto" w:fill="auto"/>
          </w:tcPr>
          <w:p w14:paraId="2FF4D856" w14:textId="77777777" w:rsidR="000E07C7" w:rsidRPr="000E07C7" w:rsidRDefault="000E07C7" w:rsidP="000E07C7">
            <w:pPr>
              <w:pStyle w:val="TableCell"/>
              <w:rPr>
                <w:lang w:val="ga-IE"/>
              </w:rPr>
            </w:pPr>
          </w:p>
        </w:tc>
      </w:tr>
      <w:tr w:rsidR="000E07C7" w:rsidRPr="000E07C7" w14:paraId="271F656B" w14:textId="77777777" w:rsidTr="000E07C7">
        <w:tc>
          <w:tcPr>
            <w:tcW w:w="3085" w:type="dxa"/>
            <w:shd w:val="clear" w:color="auto" w:fill="auto"/>
          </w:tcPr>
          <w:p w14:paraId="584CD6E1"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James O’Grady </w:t>
            </w:r>
          </w:p>
        </w:tc>
        <w:tc>
          <w:tcPr>
            <w:tcW w:w="1570" w:type="dxa"/>
            <w:shd w:val="clear" w:color="auto" w:fill="auto"/>
          </w:tcPr>
          <w:p w14:paraId="16DC482A"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1BC91F3E" w14:textId="77777777" w:rsidR="000E07C7" w:rsidRPr="000E07C7" w:rsidRDefault="000E07C7" w:rsidP="000E07C7">
            <w:pPr>
              <w:pStyle w:val="TableCell"/>
              <w:rPr>
                <w:lang w:val="ga-IE"/>
              </w:rPr>
            </w:pPr>
            <w:r w:rsidRPr="000E07C7">
              <w:rPr>
                <w:lang w:val="ga-IE"/>
              </w:rPr>
              <w:t xml:space="preserve"> </w:t>
            </w:r>
          </w:p>
        </w:tc>
        <w:tc>
          <w:tcPr>
            <w:tcW w:w="1749" w:type="dxa"/>
            <w:shd w:val="clear" w:color="auto" w:fill="auto"/>
          </w:tcPr>
          <w:p w14:paraId="0DC058E8" w14:textId="77777777" w:rsidR="000E07C7" w:rsidRPr="000E07C7" w:rsidRDefault="000E07C7" w:rsidP="000E07C7">
            <w:pPr>
              <w:pStyle w:val="TableCell"/>
              <w:rPr>
                <w:lang w:val="ga-IE"/>
              </w:rPr>
            </w:pPr>
          </w:p>
        </w:tc>
      </w:tr>
      <w:tr w:rsidR="000E07C7" w:rsidRPr="000E07C7" w14:paraId="4A8E1C47" w14:textId="77777777" w:rsidTr="000E07C7">
        <w:tc>
          <w:tcPr>
            <w:tcW w:w="3085" w:type="dxa"/>
            <w:shd w:val="clear" w:color="auto" w:fill="auto"/>
          </w:tcPr>
          <w:p w14:paraId="7A8288FE"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Donie O’Leary</w:t>
            </w:r>
          </w:p>
        </w:tc>
        <w:tc>
          <w:tcPr>
            <w:tcW w:w="1570" w:type="dxa"/>
            <w:shd w:val="clear" w:color="auto" w:fill="auto"/>
          </w:tcPr>
          <w:p w14:paraId="7CCE7147" w14:textId="77777777" w:rsidR="000E07C7" w:rsidRPr="000E07C7" w:rsidRDefault="000E07C7" w:rsidP="000E07C7">
            <w:pPr>
              <w:pStyle w:val="TableCell"/>
              <w:rPr>
                <w:lang w:val="ga-IE"/>
              </w:rPr>
            </w:pPr>
            <w:r w:rsidRPr="000E07C7">
              <w:rPr>
                <w:lang w:val="ga-IE"/>
              </w:rPr>
              <w:t>€2,993</w:t>
            </w:r>
          </w:p>
        </w:tc>
        <w:tc>
          <w:tcPr>
            <w:tcW w:w="1749" w:type="dxa"/>
            <w:shd w:val="clear" w:color="auto" w:fill="auto"/>
          </w:tcPr>
          <w:p w14:paraId="16DCBE7C" w14:textId="77777777" w:rsidR="000E07C7" w:rsidRPr="000E07C7" w:rsidRDefault="000E07C7" w:rsidP="000E07C7">
            <w:pPr>
              <w:pStyle w:val="TableCell"/>
              <w:rPr>
                <w:lang w:val="ga-IE"/>
              </w:rPr>
            </w:pPr>
            <w:r w:rsidRPr="000E07C7">
              <w:rPr>
                <w:lang w:val="ga-IE"/>
              </w:rPr>
              <w:t>€775</w:t>
            </w:r>
          </w:p>
        </w:tc>
        <w:tc>
          <w:tcPr>
            <w:tcW w:w="1749" w:type="dxa"/>
            <w:shd w:val="clear" w:color="auto" w:fill="auto"/>
          </w:tcPr>
          <w:p w14:paraId="2D84611B" w14:textId="77777777" w:rsidR="000E07C7" w:rsidRPr="000E07C7" w:rsidRDefault="000E07C7" w:rsidP="000E07C7">
            <w:pPr>
              <w:pStyle w:val="TableCell"/>
              <w:rPr>
                <w:lang w:val="ga-IE"/>
              </w:rPr>
            </w:pPr>
          </w:p>
        </w:tc>
      </w:tr>
      <w:tr w:rsidR="000E07C7" w:rsidRPr="000E07C7" w14:paraId="6D43B9A2" w14:textId="77777777" w:rsidTr="000E07C7">
        <w:tc>
          <w:tcPr>
            <w:tcW w:w="3085" w:type="dxa"/>
            <w:shd w:val="clear" w:color="auto" w:fill="auto"/>
          </w:tcPr>
          <w:p w14:paraId="48DFB6F8"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w:t>
            </w:r>
            <w:proofErr w:type="spellStart"/>
            <w:r w:rsidRPr="000E07C7">
              <w:rPr>
                <w:rFonts w:ascii="Gill Sans" w:hAnsi="Gill Sans"/>
                <w:bCs/>
                <w:sz w:val="24"/>
                <w:lang w:val="ga-IE"/>
              </w:rPr>
              <w:t>Alison</w:t>
            </w:r>
            <w:proofErr w:type="spellEnd"/>
            <w:r w:rsidRPr="000E07C7">
              <w:rPr>
                <w:rFonts w:ascii="Gill Sans" w:hAnsi="Gill Sans"/>
                <w:bCs/>
                <w:sz w:val="24"/>
                <w:lang w:val="ga-IE"/>
              </w:rPr>
              <w:t xml:space="preserve"> Ryan</w:t>
            </w:r>
          </w:p>
        </w:tc>
        <w:tc>
          <w:tcPr>
            <w:tcW w:w="1570" w:type="dxa"/>
            <w:tcBorders>
              <w:bottom w:val="single" w:sz="2" w:space="0" w:color="000000"/>
            </w:tcBorders>
            <w:shd w:val="clear" w:color="auto" w:fill="auto"/>
          </w:tcPr>
          <w:p w14:paraId="497B2681" w14:textId="77777777" w:rsidR="000E07C7" w:rsidRPr="000E07C7" w:rsidRDefault="000E07C7" w:rsidP="000E07C7">
            <w:pPr>
              <w:pStyle w:val="TableCell"/>
              <w:rPr>
                <w:lang w:val="ga-IE"/>
              </w:rPr>
            </w:pPr>
            <w:r w:rsidRPr="000E07C7">
              <w:rPr>
                <w:lang w:val="ga-IE"/>
              </w:rPr>
              <w:t>€2,993</w:t>
            </w:r>
          </w:p>
        </w:tc>
        <w:tc>
          <w:tcPr>
            <w:tcW w:w="1749" w:type="dxa"/>
            <w:tcBorders>
              <w:bottom w:val="single" w:sz="2" w:space="0" w:color="000000"/>
            </w:tcBorders>
            <w:shd w:val="clear" w:color="auto" w:fill="auto"/>
          </w:tcPr>
          <w:p w14:paraId="1480F79C" w14:textId="77777777" w:rsidR="000E07C7" w:rsidRPr="000E07C7" w:rsidRDefault="000E07C7" w:rsidP="000E07C7">
            <w:pPr>
              <w:pStyle w:val="TableCell"/>
              <w:rPr>
                <w:lang w:val="ga-IE"/>
              </w:rPr>
            </w:pPr>
            <w:r w:rsidRPr="000E07C7">
              <w:rPr>
                <w:lang w:val="ga-IE"/>
              </w:rPr>
              <w:t>€172</w:t>
            </w:r>
          </w:p>
        </w:tc>
        <w:tc>
          <w:tcPr>
            <w:tcW w:w="1749" w:type="dxa"/>
            <w:shd w:val="clear" w:color="auto" w:fill="auto"/>
          </w:tcPr>
          <w:p w14:paraId="32A7DFDC" w14:textId="77777777" w:rsidR="000E07C7" w:rsidRPr="000E07C7" w:rsidRDefault="000E07C7" w:rsidP="000E07C7">
            <w:pPr>
              <w:pStyle w:val="TableCell"/>
              <w:rPr>
                <w:lang w:val="ga-IE"/>
              </w:rPr>
            </w:pPr>
          </w:p>
        </w:tc>
      </w:tr>
      <w:tr w:rsidR="000E07C7" w:rsidRPr="000E07C7" w14:paraId="14568567" w14:textId="77777777" w:rsidTr="000E07C7">
        <w:tc>
          <w:tcPr>
            <w:tcW w:w="3085" w:type="dxa"/>
            <w:tcBorders>
              <w:right w:val="single" w:sz="2" w:space="0" w:color="000000"/>
            </w:tcBorders>
            <w:shd w:val="clear" w:color="auto" w:fill="auto"/>
          </w:tcPr>
          <w:p w14:paraId="5A357D54" w14:textId="77777777" w:rsidR="000E07C7" w:rsidRPr="000E07C7" w:rsidRDefault="000E07C7" w:rsidP="009633ED">
            <w:pPr>
              <w:pStyle w:val="TableRowHead"/>
              <w:rPr>
                <w:rFonts w:ascii="Gill Sans" w:hAnsi="Gill Sans"/>
                <w:bCs/>
                <w:sz w:val="24"/>
                <w:lang w:val="ga-IE"/>
              </w:rPr>
            </w:pPr>
            <w:r w:rsidRPr="000E07C7">
              <w:rPr>
                <w:rFonts w:ascii="Gill Sans" w:hAnsi="Gill Sans"/>
                <w:bCs/>
                <w:sz w:val="24"/>
                <w:lang w:val="ga-IE"/>
              </w:rPr>
              <w:t xml:space="preserve">An </w:t>
            </w:r>
            <w:proofErr w:type="spellStart"/>
            <w:r w:rsidRPr="000E07C7">
              <w:rPr>
                <w:rFonts w:ascii="Gill Sans" w:hAnsi="Gill Sans"/>
                <w:bCs/>
                <w:sz w:val="24"/>
                <w:lang w:val="ga-IE"/>
              </w:rPr>
              <w:t>tUasal</w:t>
            </w:r>
            <w:proofErr w:type="spellEnd"/>
            <w:r w:rsidRPr="000E07C7">
              <w:rPr>
                <w:rFonts w:ascii="Gill Sans" w:hAnsi="Gill Sans"/>
                <w:bCs/>
                <w:sz w:val="24"/>
                <w:lang w:val="ga-IE"/>
              </w:rPr>
              <w:t xml:space="preserve"> D</w:t>
            </w:r>
            <w:r w:rsidR="009633ED">
              <w:rPr>
                <w:rFonts w:ascii="Gill Sans" w:hAnsi="Gill Sans"/>
                <w:bCs/>
                <w:sz w:val="24"/>
                <w:lang w:val="ga-IE"/>
              </w:rPr>
              <w:t>ó</w:t>
            </w:r>
            <w:r w:rsidRPr="000E07C7">
              <w:rPr>
                <w:rFonts w:ascii="Gill Sans" w:hAnsi="Gill Sans"/>
                <w:bCs/>
                <w:sz w:val="24"/>
                <w:lang w:val="ga-IE"/>
              </w:rPr>
              <w:t>nal Rice</w:t>
            </w:r>
          </w:p>
        </w:tc>
        <w:tc>
          <w:tcPr>
            <w:tcW w:w="1570" w:type="dxa"/>
            <w:tcBorders>
              <w:top w:val="single" w:sz="2" w:space="0" w:color="000000"/>
              <w:left w:val="single" w:sz="2" w:space="0" w:color="000000"/>
              <w:bottom w:val="single" w:sz="18" w:space="0" w:color="000000"/>
              <w:right w:val="single" w:sz="2" w:space="0" w:color="000000"/>
            </w:tcBorders>
            <w:shd w:val="clear" w:color="auto" w:fill="auto"/>
          </w:tcPr>
          <w:p w14:paraId="5115D48F" w14:textId="77777777" w:rsidR="000E07C7" w:rsidRPr="000E07C7" w:rsidRDefault="000E07C7" w:rsidP="000E07C7">
            <w:pPr>
              <w:pStyle w:val="TableCell"/>
              <w:rPr>
                <w:lang w:val="ga-IE"/>
              </w:rPr>
            </w:pPr>
            <w:r w:rsidRPr="000E07C7">
              <w:rPr>
                <w:lang w:val="ga-IE"/>
              </w:rPr>
              <w:t>€0</w:t>
            </w:r>
          </w:p>
        </w:tc>
        <w:tc>
          <w:tcPr>
            <w:tcW w:w="1749" w:type="dxa"/>
            <w:tcBorders>
              <w:top w:val="single" w:sz="2" w:space="0" w:color="000000"/>
              <w:left w:val="single" w:sz="2" w:space="0" w:color="000000"/>
              <w:bottom w:val="single" w:sz="18" w:space="0" w:color="000000"/>
              <w:right w:val="single" w:sz="2" w:space="0" w:color="000000"/>
            </w:tcBorders>
            <w:shd w:val="clear" w:color="auto" w:fill="auto"/>
          </w:tcPr>
          <w:p w14:paraId="4D885202" w14:textId="77777777" w:rsidR="000E07C7" w:rsidRPr="000E07C7" w:rsidRDefault="000E07C7" w:rsidP="000E07C7">
            <w:pPr>
              <w:pStyle w:val="TableCell"/>
              <w:rPr>
                <w:lang w:val="ga-IE"/>
              </w:rPr>
            </w:pPr>
          </w:p>
        </w:tc>
        <w:tc>
          <w:tcPr>
            <w:tcW w:w="1749" w:type="dxa"/>
            <w:tcBorders>
              <w:left w:val="single" w:sz="2" w:space="0" w:color="000000"/>
            </w:tcBorders>
            <w:shd w:val="clear" w:color="auto" w:fill="auto"/>
          </w:tcPr>
          <w:p w14:paraId="01BEEB53" w14:textId="77777777" w:rsidR="000E07C7" w:rsidRPr="000E07C7" w:rsidRDefault="000E07C7" w:rsidP="000E07C7">
            <w:pPr>
              <w:pStyle w:val="TableCell"/>
              <w:rPr>
                <w:lang w:val="ga-IE"/>
              </w:rPr>
            </w:pPr>
          </w:p>
        </w:tc>
      </w:tr>
      <w:tr w:rsidR="000E07C7" w:rsidRPr="000E07C7" w14:paraId="4F1AF9D8" w14:textId="77777777" w:rsidTr="000E07C7">
        <w:tc>
          <w:tcPr>
            <w:tcW w:w="3085" w:type="dxa"/>
            <w:shd w:val="clear" w:color="auto" w:fill="auto"/>
          </w:tcPr>
          <w:p w14:paraId="56488760"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Fo-iomlán</w:t>
            </w:r>
          </w:p>
        </w:tc>
        <w:tc>
          <w:tcPr>
            <w:tcW w:w="1570" w:type="dxa"/>
            <w:tcBorders>
              <w:top w:val="single" w:sz="18" w:space="0" w:color="000000"/>
            </w:tcBorders>
            <w:shd w:val="clear" w:color="auto" w:fill="auto"/>
          </w:tcPr>
          <w:p w14:paraId="377E5F3E" w14:textId="77777777" w:rsidR="000E07C7" w:rsidRPr="000E07C7" w:rsidRDefault="000E07C7" w:rsidP="000E07C7">
            <w:pPr>
              <w:pStyle w:val="TableCell"/>
              <w:rPr>
                <w:lang w:val="ga-IE"/>
              </w:rPr>
            </w:pPr>
            <w:r w:rsidRPr="000E07C7">
              <w:rPr>
                <w:lang w:val="ga-IE"/>
              </w:rPr>
              <w:t>€31,426</w:t>
            </w:r>
          </w:p>
        </w:tc>
        <w:tc>
          <w:tcPr>
            <w:tcW w:w="1749" w:type="dxa"/>
            <w:tcBorders>
              <w:top w:val="single" w:sz="18" w:space="0" w:color="000000"/>
            </w:tcBorders>
            <w:shd w:val="clear" w:color="auto" w:fill="auto"/>
          </w:tcPr>
          <w:p w14:paraId="0618A08C" w14:textId="77777777" w:rsidR="000E07C7" w:rsidRPr="000E07C7" w:rsidRDefault="000E07C7" w:rsidP="000E07C7">
            <w:pPr>
              <w:pStyle w:val="TableCell"/>
              <w:rPr>
                <w:lang w:val="ga-IE"/>
              </w:rPr>
            </w:pPr>
            <w:r w:rsidRPr="000E07C7">
              <w:rPr>
                <w:lang w:val="ga-IE"/>
              </w:rPr>
              <w:t>€</w:t>
            </w:r>
            <w:r w:rsidR="00213552">
              <w:t>2,484</w:t>
            </w:r>
          </w:p>
        </w:tc>
        <w:tc>
          <w:tcPr>
            <w:tcW w:w="1749" w:type="dxa"/>
            <w:shd w:val="clear" w:color="auto" w:fill="auto"/>
          </w:tcPr>
          <w:p w14:paraId="79D3D839" w14:textId="77777777" w:rsidR="000E07C7" w:rsidRPr="000E07C7" w:rsidRDefault="000E07C7" w:rsidP="000E07C7">
            <w:pPr>
              <w:pStyle w:val="TableCell"/>
              <w:rPr>
                <w:lang w:val="ga-IE"/>
              </w:rPr>
            </w:pPr>
          </w:p>
        </w:tc>
      </w:tr>
      <w:tr w:rsidR="000E07C7" w:rsidRPr="000E07C7" w14:paraId="67CDB1A4" w14:textId="77777777" w:rsidTr="000E07C7">
        <w:tc>
          <w:tcPr>
            <w:tcW w:w="3085" w:type="dxa"/>
            <w:shd w:val="clear" w:color="auto" w:fill="auto"/>
          </w:tcPr>
          <w:p w14:paraId="58EFA61D" w14:textId="77777777" w:rsidR="000E07C7" w:rsidRPr="000E07C7" w:rsidRDefault="000E07C7" w:rsidP="000E07C7">
            <w:pPr>
              <w:pStyle w:val="TableRowHead"/>
              <w:rPr>
                <w:rFonts w:ascii="Gill Sans" w:hAnsi="Gill Sans"/>
                <w:bCs/>
                <w:sz w:val="24"/>
                <w:lang w:val="ga-IE"/>
              </w:rPr>
            </w:pPr>
          </w:p>
        </w:tc>
        <w:tc>
          <w:tcPr>
            <w:tcW w:w="1570" w:type="dxa"/>
            <w:tcBorders>
              <w:bottom w:val="single" w:sz="2" w:space="0" w:color="000000"/>
            </w:tcBorders>
            <w:shd w:val="clear" w:color="auto" w:fill="auto"/>
          </w:tcPr>
          <w:p w14:paraId="7CC48DC8" w14:textId="77777777" w:rsidR="000E07C7" w:rsidRPr="000E07C7" w:rsidRDefault="000E07C7" w:rsidP="000E07C7">
            <w:pPr>
              <w:pStyle w:val="TableCell"/>
              <w:rPr>
                <w:lang w:val="ga-IE"/>
              </w:rPr>
            </w:pPr>
          </w:p>
        </w:tc>
        <w:tc>
          <w:tcPr>
            <w:tcW w:w="1749" w:type="dxa"/>
            <w:tcBorders>
              <w:bottom w:val="single" w:sz="2" w:space="0" w:color="000000"/>
            </w:tcBorders>
            <w:shd w:val="clear" w:color="auto" w:fill="auto"/>
          </w:tcPr>
          <w:p w14:paraId="1B803D66" w14:textId="77777777" w:rsidR="000E07C7" w:rsidRPr="000E07C7" w:rsidRDefault="000E07C7" w:rsidP="000E07C7">
            <w:pPr>
              <w:pStyle w:val="TableCell"/>
              <w:rPr>
                <w:lang w:val="ga-IE"/>
              </w:rPr>
            </w:pPr>
          </w:p>
        </w:tc>
        <w:tc>
          <w:tcPr>
            <w:tcW w:w="1749" w:type="dxa"/>
            <w:shd w:val="clear" w:color="auto" w:fill="auto"/>
          </w:tcPr>
          <w:p w14:paraId="21C042C1" w14:textId="77777777" w:rsidR="000E07C7" w:rsidRPr="000E07C7" w:rsidRDefault="000E07C7" w:rsidP="000E07C7">
            <w:pPr>
              <w:pStyle w:val="TableCell"/>
              <w:rPr>
                <w:lang w:val="ga-IE"/>
              </w:rPr>
            </w:pPr>
          </w:p>
        </w:tc>
      </w:tr>
      <w:tr w:rsidR="000E07C7" w:rsidRPr="000E07C7" w14:paraId="775CCEA2" w14:textId="77777777" w:rsidTr="000E07C7">
        <w:tc>
          <w:tcPr>
            <w:tcW w:w="3085" w:type="dxa"/>
            <w:tcBorders>
              <w:right w:val="single" w:sz="2" w:space="0" w:color="000000"/>
            </w:tcBorders>
            <w:shd w:val="clear" w:color="auto" w:fill="auto"/>
          </w:tcPr>
          <w:p w14:paraId="5924BE03"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 xml:space="preserve">Donal </w:t>
            </w:r>
            <w:proofErr w:type="spellStart"/>
            <w:r w:rsidRPr="000E07C7">
              <w:rPr>
                <w:rFonts w:ascii="Gill Sans" w:hAnsi="Gill Sans"/>
                <w:bCs/>
                <w:sz w:val="24"/>
                <w:lang w:val="ga-IE"/>
              </w:rPr>
              <w:t>Lawlor</w:t>
            </w:r>
            <w:proofErr w:type="spellEnd"/>
            <w:r w:rsidRPr="000E07C7">
              <w:rPr>
                <w:rFonts w:ascii="Gill Sans" w:hAnsi="Gill Sans"/>
                <w:bCs/>
                <w:sz w:val="24"/>
                <w:lang w:val="ga-IE"/>
              </w:rPr>
              <w:t xml:space="preserve"> (Cathaoirleach an Choiste Iniúchta)</w:t>
            </w:r>
          </w:p>
        </w:tc>
        <w:tc>
          <w:tcPr>
            <w:tcW w:w="1570" w:type="dxa"/>
            <w:tcBorders>
              <w:top w:val="single" w:sz="2" w:space="0" w:color="000000"/>
              <w:left w:val="single" w:sz="2" w:space="0" w:color="000000"/>
              <w:bottom w:val="single" w:sz="18" w:space="0" w:color="000000"/>
              <w:right w:val="single" w:sz="2" w:space="0" w:color="000000"/>
            </w:tcBorders>
            <w:shd w:val="clear" w:color="auto" w:fill="auto"/>
          </w:tcPr>
          <w:p w14:paraId="719A6655" w14:textId="77777777" w:rsidR="000E07C7" w:rsidRPr="000E07C7" w:rsidRDefault="000E07C7" w:rsidP="000E07C7">
            <w:pPr>
              <w:pStyle w:val="TableCell"/>
              <w:rPr>
                <w:lang w:val="ga-IE"/>
              </w:rPr>
            </w:pPr>
            <w:r w:rsidRPr="000E07C7">
              <w:rPr>
                <w:lang w:val="ga-IE"/>
              </w:rPr>
              <w:t>€1,283</w:t>
            </w:r>
          </w:p>
        </w:tc>
        <w:tc>
          <w:tcPr>
            <w:tcW w:w="1749" w:type="dxa"/>
            <w:tcBorders>
              <w:top w:val="single" w:sz="2" w:space="0" w:color="000000"/>
              <w:left w:val="single" w:sz="2" w:space="0" w:color="000000"/>
              <w:bottom w:val="single" w:sz="18" w:space="0" w:color="000000"/>
              <w:right w:val="single" w:sz="2" w:space="0" w:color="000000"/>
            </w:tcBorders>
            <w:shd w:val="clear" w:color="auto" w:fill="auto"/>
          </w:tcPr>
          <w:p w14:paraId="4B54C4A3" w14:textId="77777777" w:rsidR="000E07C7" w:rsidRPr="000E07C7" w:rsidRDefault="000E07C7" w:rsidP="000E07C7">
            <w:pPr>
              <w:pStyle w:val="TableCell"/>
              <w:rPr>
                <w:lang w:val="ga-IE"/>
              </w:rPr>
            </w:pPr>
          </w:p>
        </w:tc>
        <w:tc>
          <w:tcPr>
            <w:tcW w:w="1749" w:type="dxa"/>
            <w:tcBorders>
              <w:left w:val="single" w:sz="2" w:space="0" w:color="000000"/>
            </w:tcBorders>
            <w:shd w:val="clear" w:color="auto" w:fill="auto"/>
          </w:tcPr>
          <w:p w14:paraId="0E088180" w14:textId="77777777" w:rsidR="000E07C7" w:rsidRPr="000E07C7" w:rsidRDefault="000E07C7" w:rsidP="000E07C7">
            <w:pPr>
              <w:pStyle w:val="TableCell"/>
              <w:rPr>
                <w:lang w:val="ga-IE"/>
              </w:rPr>
            </w:pPr>
          </w:p>
        </w:tc>
      </w:tr>
      <w:tr w:rsidR="000E07C7" w:rsidRPr="000E07C7" w14:paraId="613309EA" w14:textId="77777777" w:rsidTr="000E07C7">
        <w:tc>
          <w:tcPr>
            <w:tcW w:w="3085" w:type="dxa"/>
            <w:shd w:val="clear" w:color="auto" w:fill="auto"/>
          </w:tcPr>
          <w:p w14:paraId="3E701377" w14:textId="77777777" w:rsidR="000E07C7" w:rsidRPr="000E07C7" w:rsidRDefault="000E07C7" w:rsidP="000E07C7">
            <w:pPr>
              <w:pStyle w:val="TableRowHead"/>
              <w:rPr>
                <w:rFonts w:ascii="Gill Sans" w:hAnsi="Gill Sans"/>
                <w:bCs/>
                <w:sz w:val="24"/>
                <w:lang w:val="ga-IE"/>
              </w:rPr>
            </w:pPr>
            <w:r w:rsidRPr="000E07C7">
              <w:rPr>
                <w:rFonts w:ascii="Gill Sans" w:hAnsi="Gill Sans"/>
                <w:bCs/>
                <w:sz w:val="24"/>
                <w:lang w:val="ga-IE"/>
              </w:rPr>
              <w:t>Iomlán</w:t>
            </w:r>
          </w:p>
        </w:tc>
        <w:tc>
          <w:tcPr>
            <w:tcW w:w="1570" w:type="dxa"/>
            <w:tcBorders>
              <w:top w:val="single" w:sz="18" w:space="0" w:color="000000"/>
            </w:tcBorders>
            <w:shd w:val="clear" w:color="auto" w:fill="auto"/>
          </w:tcPr>
          <w:p w14:paraId="6CA78462" w14:textId="77777777" w:rsidR="000E07C7" w:rsidRPr="000E07C7" w:rsidRDefault="000E07C7" w:rsidP="000E07C7">
            <w:pPr>
              <w:pStyle w:val="TableCell"/>
              <w:rPr>
                <w:lang w:val="ga-IE"/>
              </w:rPr>
            </w:pPr>
            <w:r w:rsidRPr="000E07C7">
              <w:rPr>
                <w:lang w:val="ga-IE"/>
              </w:rPr>
              <w:t>€32,709</w:t>
            </w:r>
          </w:p>
        </w:tc>
        <w:tc>
          <w:tcPr>
            <w:tcW w:w="1749" w:type="dxa"/>
            <w:tcBorders>
              <w:top w:val="single" w:sz="18" w:space="0" w:color="000000"/>
            </w:tcBorders>
            <w:shd w:val="clear" w:color="auto" w:fill="auto"/>
          </w:tcPr>
          <w:p w14:paraId="718EA0BB" w14:textId="77777777" w:rsidR="000E07C7" w:rsidRPr="000E07C7" w:rsidRDefault="000E07C7" w:rsidP="000E07C7">
            <w:pPr>
              <w:pStyle w:val="TableCell"/>
              <w:rPr>
                <w:lang w:val="ga-IE"/>
              </w:rPr>
            </w:pPr>
            <w:r w:rsidRPr="000E07C7">
              <w:rPr>
                <w:lang w:val="ga-IE"/>
              </w:rPr>
              <w:t>€</w:t>
            </w:r>
            <w:r w:rsidR="00213552">
              <w:t>2,484</w:t>
            </w:r>
          </w:p>
        </w:tc>
        <w:tc>
          <w:tcPr>
            <w:tcW w:w="1749" w:type="dxa"/>
            <w:shd w:val="clear" w:color="auto" w:fill="auto"/>
          </w:tcPr>
          <w:p w14:paraId="07B90CF7" w14:textId="77777777" w:rsidR="000E07C7" w:rsidRPr="000E07C7" w:rsidRDefault="000E07C7" w:rsidP="000E07C7">
            <w:pPr>
              <w:pStyle w:val="TableCell"/>
              <w:rPr>
                <w:lang w:val="ga-IE"/>
              </w:rPr>
            </w:pPr>
          </w:p>
        </w:tc>
      </w:tr>
      <w:tr w:rsidR="000E07C7" w:rsidRPr="000E07C7" w14:paraId="3B83AA90" w14:textId="77777777" w:rsidTr="000E07C7">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7E1039F5" w14:textId="77777777" w:rsidR="000E07C7" w:rsidRPr="000E07C7" w:rsidRDefault="000E07C7" w:rsidP="000E07C7">
            <w:pPr>
              <w:pStyle w:val="TableRowHead"/>
              <w:rPr>
                <w:rFonts w:ascii="Gill Sans" w:hAnsi="Gill Sans"/>
                <w:bCs/>
                <w:sz w:val="24"/>
                <w:lang w:val="ga-IE"/>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14:paraId="4F8C780B" w14:textId="77777777" w:rsidR="000E07C7" w:rsidRPr="000E07C7" w:rsidRDefault="000E07C7" w:rsidP="000E07C7">
            <w:pPr>
              <w:pStyle w:val="TableCell"/>
              <w:rPr>
                <w:lang w:val="ga-IE"/>
              </w:rPr>
            </w:pPr>
          </w:p>
        </w:tc>
        <w:tc>
          <w:tcPr>
            <w:tcW w:w="1749" w:type="dxa"/>
            <w:tcBorders>
              <w:top w:val="single" w:sz="6" w:space="0" w:color="000000"/>
              <w:left w:val="single" w:sz="6" w:space="0" w:color="000000"/>
              <w:bottom w:val="single" w:sz="6" w:space="0" w:color="000000"/>
              <w:right w:val="single" w:sz="6" w:space="0" w:color="000000"/>
            </w:tcBorders>
            <w:shd w:val="clear" w:color="auto" w:fill="auto"/>
          </w:tcPr>
          <w:p w14:paraId="5AE62A91" w14:textId="77777777" w:rsidR="000E07C7" w:rsidRPr="000E07C7" w:rsidRDefault="000E07C7" w:rsidP="000E07C7">
            <w:pPr>
              <w:pStyle w:val="TableCell"/>
              <w:rPr>
                <w:lang w:val="ga-IE"/>
              </w:rPr>
            </w:pPr>
          </w:p>
        </w:tc>
        <w:tc>
          <w:tcPr>
            <w:tcW w:w="1749" w:type="dxa"/>
            <w:tcBorders>
              <w:top w:val="single" w:sz="18" w:space="0" w:color="000000"/>
              <w:left w:val="single" w:sz="6" w:space="0" w:color="000000"/>
              <w:bottom w:val="single" w:sz="6" w:space="0" w:color="000000"/>
              <w:right w:val="single" w:sz="6" w:space="0" w:color="000000"/>
            </w:tcBorders>
            <w:shd w:val="clear" w:color="auto" w:fill="auto"/>
          </w:tcPr>
          <w:p w14:paraId="4AFBDE15" w14:textId="77777777" w:rsidR="000E07C7" w:rsidRPr="000E07C7" w:rsidRDefault="000E07C7" w:rsidP="000E07C7">
            <w:pPr>
              <w:pStyle w:val="TableCell"/>
              <w:rPr>
                <w:lang w:val="ga-IE"/>
              </w:rPr>
            </w:pPr>
            <w:r w:rsidRPr="000E07C7">
              <w:rPr>
                <w:lang w:val="ga-IE"/>
              </w:rPr>
              <w:t>€</w:t>
            </w:r>
            <w:r w:rsidR="00213552">
              <w:t>35,193</w:t>
            </w:r>
          </w:p>
        </w:tc>
      </w:tr>
    </w:tbl>
    <w:p w14:paraId="45333579" w14:textId="77777777" w:rsidR="000E07C7" w:rsidRPr="000E07C7" w:rsidRDefault="000E07C7" w:rsidP="000E07C7">
      <w:pPr>
        <w:rPr>
          <w:lang w:val="ga-IE"/>
        </w:rPr>
      </w:pPr>
      <w:r w:rsidRPr="000E07C7">
        <w:rPr>
          <w:lang w:val="ga-IE"/>
        </w:rPr>
        <w:br/>
        <w:t xml:space="preserve">Cheap an tAire Dlí agus Cirt agus Comhionannais </w:t>
      </w:r>
      <w:proofErr w:type="spellStart"/>
      <w:r w:rsidRPr="000E07C7">
        <w:rPr>
          <w:lang w:val="ga-IE"/>
        </w:rPr>
        <w:t>gnáthchomhaltaí</w:t>
      </w:r>
      <w:proofErr w:type="spellEnd"/>
      <w:r w:rsidRPr="000E07C7">
        <w:rPr>
          <w:lang w:val="ga-IE"/>
        </w:rPr>
        <w:t xml:space="preserve"> an Údaráis agus an Cathaoirleach ainmnithe an 22 Iúil 2014. Tháinig an Cathaoirleach ainmnithe os comhair Choiste an Oireachtais an 17 Meán Fómhair 2014, inar </w:t>
      </w:r>
      <w:proofErr w:type="spellStart"/>
      <w:r w:rsidRPr="000E07C7">
        <w:rPr>
          <w:lang w:val="ga-IE"/>
        </w:rPr>
        <w:t>sceidealaíodh</w:t>
      </w:r>
      <w:proofErr w:type="spellEnd"/>
      <w:r w:rsidRPr="000E07C7">
        <w:rPr>
          <w:lang w:val="ga-IE"/>
        </w:rPr>
        <w:t xml:space="preserve"> chéad chruinniú an Údaráis ina dhiaidh sin. Íocadh táillí leathbhliana le comhaltaí an Údaráis i Nollaig 2014. </w:t>
      </w:r>
    </w:p>
    <w:p w14:paraId="589730A8" w14:textId="77777777" w:rsidR="000E07C7" w:rsidRPr="000E07C7" w:rsidRDefault="000E07C7" w:rsidP="000E07C7">
      <w:pPr>
        <w:pStyle w:val="Heading3"/>
        <w:rPr>
          <w:lang w:val="ga-IE"/>
        </w:rPr>
      </w:pPr>
      <w:r w:rsidRPr="000E07C7">
        <w:rPr>
          <w:lang w:val="ga-IE"/>
        </w:rPr>
        <w:lastRenderedPageBreak/>
        <w:t xml:space="preserve">7. Sócmhainní Seasta </w:t>
      </w: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339"/>
        <w:gridCol w:w="1515"/>
        <w:gridCol w:w="1515"/>
        <w:gridCol w:w="1241"/>
        <w:gridCol w:w="1311"/>
      </w:tblGrid>
      <w:tr w:rsidR="000E07C7" w:rsidRPr="000E07C7" w14:paraId="76D81F24" w14:textId="77777777" w:rsidTr="004167E2">
        <w:trPr>
          <w:tblHeader/>
        </w:trPr>
        <w:tc>
          <w:tcPr>
            <w:tcW w:w="2411" w:type="dxa"/>
            <w:shd w:val="clear" w:color="auto" w:fill="auto"/>
          </w:tcPr>
          <w:p w14:paraId="3B3284BC" w14:textId="77777777" w:rsidR="000E07C7" w:rsidRPr="000E07C7" w:rsidRDefault="000E07C7" w:rsidP="000E07C7">
            <w:pPr>
              <w:pStyle w:val="TableHead"/>
              <w:jc w:val="right"/>
              <w:rPr>
                <w:lang w:val="ga-IE"/>
              </w:rPr>
            </w:pPr>
          </w:p>
        </w:tc>
        <w:tc>
          <w:tcPr>
            <w:tcW w:w="1559" w:type="dxa"/>
            <w:vAlign w:val="bottom"/>
          </w:tcPr>
          <w:p w14:paraId="1C1AE2C3" w14:textId="77777777" w:rsidR="000E07C7" w:rsidRPr="000E07C7" w:rsidRDefault="000E07C7" w:rsidP="000E07C7">
            <w:pPr>
              <w:pStyle w:val="TableHead"/>
              <w:rPr>
                <w:lang w:val="ga-IE" w:eastAsia="en-GB"/>
              </w:rPr>
            </w:pPr>
            <w:r w:rsidRPr="000E07C7">
              <w:rPr>
                <w:lang w:val="ga-IE" w:eastAsia="en-GB"/>
              </w:rPr>
              <w:t>Crua-Earraí agus Bogearraí Ríomhaire</w:t>
            </w:r>
          </w:p>
        </w:tc>
        <w:tc>
          <w:tcPr>
            <w:tcW w:w="1559" w:type="dxa"/>
            <w:vAlign w:val="bottom"/>
          </w:tcPr>
          <w:p w14:paraId="4E7A0ABC" w14:textId="77777777" w:rsidR="000E07C7" w:rsidRPr="000E07C7" w:rsidRDefault="000E07C7" w:rsidP="000E07C7">
            <w:pPr>
              <w:pStyle w:val="TableHead"/>
              <w:rPr>
                <w:lang w:val="ga-IE" w:eastAsia="en-GB"/>
              </w:rPr>
            </w:pPr>
            <w:r w:rsidRPr="000E07C7">
              <w:rPr>
                <w:lang w:val="ga-IE" w:eastAsia="en-GB"/>
              </w:rPr>
              <w:t>Troscán agus Trealamh Oifige</w:t>
            </w:r>
          </w:p>
        </w:tc>
        <w:tc>
          <w:tcPr>
            <w:tcW w:w="1276" w:type="dxa"/>
            <w:vAlign w:val="bottom"/>
          </w:tcPr>
          <w:p w14:paraId="3AFABB78" w14:textId="77777777" w:rsidR="000E07C7" w:rsidRPr="000E07C7" w:rsidRDefault="000E07C7" w:rsidP="000E07C7">
            <w:pPr>
              <w:pStyle w:val="TableHead"/>
              <w:rPr>
                <w:lang w:val="ga-IE" w:eastAsia="en-GB"/>
              </w:rPr>
            </w:pPr>
            <w:r w:rsidRPr="000E07C7">
              <w:rPr>
                <w:lang w:val="ga-IE" w:eastAsia="en-GB"/>
              </w:rPr>
              <w:t xml:space="preserve">Áitreabh Ruílse </w:t>
            </w:r>
          </w:p>
        </w:tc>
        <w:tc>
          <w:tcPr>
            <w:tcW w:w="1348" w:type="dxa"/>
            <w:vAlign w:val="bottom"/>
          </w:tcPr>
          <w:p w14:paraId="3FF6B705" w14:textId="77777777" w:rsidR="000E07C7" w:rsidRPr="000E07C7" w:rsidRDefault="000E07C7" w:rsidP="000E07C7">
            <w:pPr>
              <w:pStyle w:val="TableHead"/>
              <w:rPr>
                <w:lang w:val="ga-IE" w:eastAsia="en-GB"/>
              </w:rPr>
            </w:pPr>
            <w:r w:rsidRPr="000E07C7">
              <w:rPr>
                <w:lang w:val="ga-IE" w:eastAsia="en-GB"/>
              </w:rPr>
              <w:t>Iomlán</w:t>
            </w:r>
          </w:p>
        </w:tc>
      </w:tr>
      <w:tr w:rsidR="000E07C7" w:rsidRPr="000E07C7" w14:paraId="4F985103" w14:textId="77777777" w:rsidTr="004167E2">
        <w:tc>
          <w:tcPr>
            <w:tcW w:w="2411" w:type="dxa"/>
            <w:shd w:val="clear" w:color="auto" w:fill="auto"/>
          </w:tcPr>
          <w:p w14:paraId="5C2FB099" w14:textId="77777777" w:rsidR="000E07C7" w:rsidRPr="000E07C7" w:rsidRDefault="000E07C7" w:rsidP="000E07C7">
            <w:pPr>
              <w:pStyle w:val="TableRowHead"/>
              <w:rPr>
                <w:lang w:val="ga-IE"/>
              </w:rPr>
            </w:pPr>
          </w:p>
        </w:tc>
        <w:tc>
          <w:tcPr>
            <w:tcW w:w="1559" w:type="dxa"/>
            <w:vAlign w:val="bottom"/>
          </w:tcPr>
          <w:p w14:paraId="2C96B5A0" w14:textId="77777777" w:rsidR="000E07C7" w:rsidRPr="000E07C7" w:rsidRDefault="000E07C7" w:rsidP="000E07C7">
            <w:pPr>
              <w:spacing w:after="0"/>
              <w:jc w:val="center"/>
              <w:rPr>
                <w:b/>
                <w:lang w:val="ga-IE" w:eastAsia="en-GB"/>
              </w:rPr>
            </w:pPr>
            <w:r w:rsidRPr="000E07C7">
              <w:rPr>
                <w:rFonts w:cs="Arial"/>
                <w:b/>
                <w:lang w:val="ga-IE" w:eastAsia="en-GB"/>
              </w:rPr>
              <w:t>€</w:t>
            </w:r>
          </w:p>
        </w:tc>
        <w:tc>
          <w:tcPr>
            <w:tcW w:w="1559" w:type="dxa"/>
            <w:vAlign w:val="bottom"/>
          </w:tcPr>
          <w:p w14:paraId="2CC27F03" w14:textId="77777777" w:rsidR="000E07C7" w:rsidRPr="000E07C7" w:rsidRDefault="000E07C7" w:rsidP="000E07C7">
            <w:pPr>
              <w:spacing w:after="0"/>
              <w:jc w:val="center"/>
              <w:rPr>
                <w:b/>
                <w:lang w:val="ga-IE" w:eastAsia="en-GB"/>
              </w:rPr>
            </w:pPr>
            <w:r w:rsidRPr="000E07C7">
              <w:rPr>
                <w:rFonts w:cs="Arial"/>
                <w:b/>
                <w:lang w:val="ga-IE" w:eastAsia="en-GB"/>
              </w:rPr>
              <w:t>€</w:t>
            </w:r>
          </w:p>
        </w:tc>
        <w:tc>
          <w:tcPr>
            <w:tcW w:w="1276" w:type="dxa"/>
            <w:vAlign w:val="bottom"/>
          </w:tcPr>
          <w:p w14:paraId="3C8F5F4C" w14:textId="77777777" w:rsidR="000E07C7" w:rsidRPr="000E07C7" w:rsidRDefault="000E07C7" w:rsidP="000E07C7">
            <w:pPr>
              <w:spacing w:after="0"/>
              <w:jc w:val="center"/>
              <w:rPr>
                <w:b/>
                <w:lang w:val="ga-IE" w:eastAsia="en-GB"/>
              </w:rPr>
            </w:pPr>
            <w:r w:rsidRPr="000E07C7">
              <w:rPr>
                <w:rFonts w:cs="Arial"/>
                <w:b/>
                <w:lang w:val="ga-IE" w:eastAsia="en-GB"/>
              </w:rPr>
              <w:t>€</w:t>
            </w:r>
          </w:p>
        </w:tc>
        <w:tc>
          <w:tcPr>
            <w:tcW w:w="1348" w:type="dxa"/>
            <w:vAlign w:val="bottom"/>
          </w:tcPr>
          <w:p w14:paraId="6347ABD7" w14:textId="77777777" w:rsidR="000E07C7" w:rsidRPr="000E07C7" w:rsidRDefault="000E07C7" w:rsidP="000E07C7">
            <w:pPr>
              <w:spacing w:after="0"/>
              <w:jc w:val="center"/>
              <w:rPr>
                <w:b/>
                <w:lang w:val="ga-IE" w:eastAsia="en-GB"/>
              </w:rPr>
            </w:pPr>
            <w:r w:rsidRPr="000E07C7">
              <w:rPr>
                <w:rFonts w:cs="Arial"/>
                <w:b/>
                <w:lang w:val="ga-IE" w:eastAsia="en-GB"/>
              </w:rPr>
              <w:t>€</w:t>
            </w:r>
          </w:p>
        </w:tc>
      </w:tr>
      <w:tr w:rsidR="000E07C7" w:rsidRPr="000E07C7" w14:paraId="4CBCAE16" w14:textId="77777777" w:rsidTr="000E07C7">
        <w:tc>
          <w:tcPr>
            <w:tcW w:w="8153" w:type="dxa"/>
            <w:gridSpan w:val="5"/>
            <w:shd w:val="clear" w:color="auto" w:fill="auto"/>
          </w:tcPr>
          <w:p w14:paraId="2168CE3D" w14:textId="77777777" w:rsidR="000E07C7" w:rsidRPr="000E07C7" w:rsidRDefault="000E07C7" w:rsidP="000E07C7">
            <w:pPr>
              <w:pStyle w:val="TableHead"/>
              <w:jc w:val="center"/>
              <w:rPr>
                <w:sz w:val="24"/>
                <w:lang w:val="ga-IE" w:eastAsia="en-GB"/>
              </w:rPr>
            </w:pPr>
            <w:r w:rsidRPr="000E07C7">
              <w:rPr>
                <w:sz w:val="24"/>
                <w:lang w:val="ga-IE" w:eastAsia="en-GB"/>
              </w:rPr>
              <w:t xml:space="preserve">Costas nó </w:t>
            </w:r>
            <w:proofErr w:type="spellStart"/>
            <w:r w:rsidRPr="000E07C7">
              <w:rPr>
                <w:sz w:val="24"/>
                <w:lang w:val="ga-IE" w:eastAsia="en-GB"/>
              </w:rPr>
              <w:t>Lúacháil</w:t>
            </w:r>
            <w:proofErr w:type="spellEnd"/>
          </w:p>
        </w:tc>
      </w:tr>
      <w:tr w:rsidR="000E07C7" w:rsidRPr="000E07C7" w14:paraId="76CC3E4A" w14:textId="77777777" w:rsidTr="004167E2">
        <w:tc>
          <w:tcPr>
            <w:tcW w:w="2411" w:type="dxa"/>
            <w:shd w:val="clear" w:color="auto" w:fill="auto"/>
            <w:vAlign w:val="bottom"/>
          </w:tcPr>
          <w:p w14:paraId="7D6F571B"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Iarmhéid amhail an 1 Eanáir 2014</w:t>
            </w:r>
          </w:p>
        </w:tc>
        <w:tc>
          <w:tcPr>
            <w:tcW w:w="1559" w:type="dxa"/>
            <w:vAlign w:val="bottom"/>
          </w:tcPr>
          <w:p w14:paraId="336DB433" w14:textId="77777777" w:rsidR="000E07C7" w:rsidRPr="000E07C7" w:rsidRDefault="000E07C7" w:rsidP="000E07C7">
            <w:pPr>
              <w:pStyle w:val="TableCell"/>
              <w:rPr>
                <w:b/>
                <w:sz w:val="24"/>
                <w:lang w:val="ga-IE" w:eastAsia="en-GB"/>
              </w:rPr>
            </w:pPr>
            <w:r w:rsidRPr="000E07C7">
              <w:rPr>
                <w:b/>
                <w:sz w:val="24"/>
                <w:lang w:val="ga-IE" w:eastAsia="en-GB"/>
              </w:rPr>
              <w:t xml:space="preserve">411,778 </w:t>
            </w:r>
          </w:p>
        </w:tc>
        <w:tc>
          <w:tcPr>
            <w:tcW w:w="1559" w:type="dxa"/>
            <w:vAlign w:val="bottom"/>
          </w:tcPr>
          <w:p w14:paraId="12A6D914" w14:textId="77777777" w:rsidR="000E07C7" w:rsidRPr="000E07C7" w:rsidRDefault="000E07C7" w:rsidP="000E07C7">
            <w:pPr>
              <w:pStyle w:val="TableCell"/>
              <w:rPr>
                <w:b/>
                <w:sz w:val="24"/>
                <w:lang w:val="ga-IE" w:eastAsia="en-GB"/>
              </w:rPr>
            </w:pPr>
            <w:r w:rsidRPr="000E07C7">
              <w:rPr>
                <w:b/>
                <w:sz w:val="24"/>
                <w:lang w:val="ga-IE" w:eastAsia="en-GB"/>
              </w:rPr>
              <w:t xml:space="preserve">109,129 </w:t>
            </w:r>
          </w:p>
        </w:tc>
        <w:tc>
          <w:tcPr>
            <w:tcW w:w="1276" w:type="dxa"/>
            <w:vAlign w:val="bottom"/>
          </w:tcPr>
          <w:p w14:paraId="25E291DC" w14:textId="77777777" w:rsidR="000E07C7" w:rsidRPr="000E07C7" w:rsidRDefault="000E07C7" w:rsidP="000E07C7">
            <w:pPr>
              <w:pStyle w:val="TableCell"/>
              <w:rPr>
                <w:b/>
                <w:sz w:val="24"/>
                <w:lang w:val="ga-IE" w:eastAsia="en-GB"/>
              </w:rPr>
            </w:pPr>
            <w:r w:rsidRPr="000E07C7">
              <w:rPr>
                <w:b/>
                <w:sz w:val="24"/>
                <w:lang w:val="ga-IE" w:eastAsia="en-GB"/>
              </w:rPr>
              <w:t xml:space="preserve">3,988,604 </w:t>
            </w:r>
          </w:p>
        </w:tc>
        <w:tc>
          <w:tcPr>
            <w:tcW w:w="1348" w:type="dxa"/>
            <w:vAlign w:val="bottom"/>
          </w:tcPr>
          <w:p w14:paraId="0002643E" w14:textId="77777777" w:rsidR="000E07C7" w:rsidRPr="000E07C7" w:rsidRDefault="000E07C7" w:rsidP="000E07C7">
            <w:pPr>
              <w:pStyle w:val="TableCell"/>
              <w:rPr>
                <w:b/>
                <w:sz w:val="24"/>
                <w:lang w:val="ga-IE" w:eastAsia="en-GB"/>
              </w:rPr>
            </w:pPr>
            <w:r w:rsidRPr="000E07C7">
              <w:rPr>
                <w:b/>
                <w:sz w:val="24"/>
                <w:lang w:val="ga-IE" w:eastAsia="en-GB"/>
              </w:rPr>
              <w:t xml:space="preserve">4,509,511 </w:t>
            </w:r>
          </w:p>
        </w:tc>
      </w:tr>
      <w:tr w:rsidR="000E07C7" w:rsidRPr="000E07C7" w14:paraId="3A5424D5" w14:textId="77777777" w:rsidTr="004167E2">
        <w:tc>
          <w:tcPr>
            <w:tcW w:w="2411" w:type="dxa"/>
            <w:shd w:val="clear" w:color="auto" w:fill="auto"/>
            <w:vAlign w:val="bottom"/>
          </w:tcPr>
          <w:p w14:paraId="147E9DB0"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Breisiúcháin ar chostas</w:t>
            </w:r>
          </w:p>
        </w:tc>
        <w:tc>
          <w:tcPr>
            <w:tcW w:w="1559" w:type="dxa"/>
            <w:vAlign w:val="bottom"/>
          </w:tcPr>
          <w:p w14:paraId="5874337D" w14:textId="77777777" w:rsidR="000E07C7" w:rsidRPr="000E07C7" w:rsidRDefault="000E07C7" w:rsidP="000E07C7">
            <w:pPr>
              <w:pStyle w:val="TableCell"/>
              <w:rPr>
                <w:sz w:val="24"/>
                <w:lang w:val="ga-IE" w:eastAsia="en-GB"/>
              </w:rPr>
            </w:pPr>
            <w:r w:rsidRPr="000E07C7">
              <w:rPr>
                <w:sz w:val="24"/>
                <w:lang w:val="ga-IE" w:eastAsia="en-GB"/>
              </w:rPr>
              <w:t xml:space="preserve">5,179 </w:t>
            </w:r>
          </w:p>
        </w:tc>
        <w:tc>
          <w:tcPr>
            <w:tcW w:w="1559" w:type="dxa"/>
            <w:vAlign w:val="bottom"/>
          </w:tcPr>
          <w:p w14:paraId="7CE83858" w14:textId="77777777" w:rsidR="000E07C7" w:rsidRPr="000E07C7" w:rsidRDefault="000E07C7" w:rsidP="000E07C7">
            <w:pPr>
              <w:pStyle w:val="TableCell"/>
              <w:rPr>
                <w:sz w:val="24"/>
                <w:lang w:val="ga-IE" w:eastAsia="en-GB"/>
              </w:rPr>
            </w:pPr>
            <w:r w:rsidRPr="000E07C7">
              <w:rPr>
                <w:sz w:val="24"/>
                <w:lang w:val="ga-IE" w:eastAsia="en-GB"/>
              </w:rPr>
              <w:t xml:space="preserve">0 </w:t>
            </w:r>
          </w:p>
        </w:tc>
        <w:tc>
          <w:tcPr>
            <w:tcW w:w="1276" w:type="dxa"/>
            <w:vAlign w:val="bottom"/>
          </w:tcPr>
          <w:p w14:paraId="73C6846C" w14:textId="77777777" w:rsidR="000E07C7" w:rsidRPr="000E07C7" w:rsidRDefault="000E07C7" w:rsidP="000E07C7">
            <w:pPr>
              <w:pStyle w:val="TableCell"/>
              <w:rPr>
                <w:sz w:val="24"/>
                <w:lang w:val="ga-IE" w:eastAsia="en-GB"/>
              </w:rPr>
            </w:pPr>
            <w:r w:rsidRPr="000E07C7">
              <w:rPr>
                <w:sz w:val="24"/>
                <w:lang w:val="ga-IE" w:eastAsia="en-GB"/>
              </w:rPr>
              <w:t xml:space="preserve">0 </w:t>
            </w:r>
          </w:p>
        </w:tc>
        <w:tc>
          <w:tcPr>
            <w:tcW w:w="1348" w:type="dxa"/>
            <w:vAlign w:val="bottom"/>
          </w:tcPr>
          <w:p w14:paraId="21D31833" w14:textId="77777777" w:rsidR="000E07C7" w:rsidRPr="000E07C7" w:rsidRDefault="000E07C7" w:rsidP="000E07C7">
            <w:pPr>
              <w:pStyle w:val="TableCell"/>
              <w:rPr>
                <w:sz w:val="24"/>
                <w:lang w:val="ga-IE" w:eastAsia="en-GB"/>
              </w:rPr>
            </w:pPr>
            <w:r w:rsidRPr="000E07C7">
              <w:rPr>
                <w:sz w:val="24"/>
                <w:lang w:val="ga-IE" w:eastAsia="en-GB"/>
              </w:rPr>
              <w:t>5,179</w:t>
            </w:r>
          </w:p>
        </w:tc>
      </w:tr>
      <w:tr w:rsidR="000E07C7" w:rsidRPr="000E07C7" w14:paraId="7019F326" w14:textId="77777777" w:rsidTr="004167E2">
        <w:tc>
          <w:tcPr>
            <w:tcW w:w="2411" w:type="dxa"/>
            <w:shd w:val="clear" w:color="auto" w:fill="auto"/>
            <w:vAlign w:val="bottom"/>
          </w:tcPr>
          <w:p w14:paraId="4915E415"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Caipitliú Sócmhainní a ceannaíodh i mblianta roimhe seo</w:t>
            </w:r>
          </w:p>
        </w:tc>
        <w:tc>
          <w:tcPr>
            <w:tcW w:w="1559" w:type="dxa"/>
            <w:vAlign w:val="bottom"/>
          </w:tcPr>
          <w:p w14:paraId="67DBD843" w14:textId="77777777" w:rsidR="000E07C7" w:rsidRPr="000E07C7" w:rsidRDefault="000E07C7" w:rsidP="000E07C7">
            <w:pPr>
              <w:pStyle w:val="TableCell"/>
              <w:rPr>
                <w:sz w:val="24"/>
                <w:lang w:val="ga-IE" w:eastAsia="en-GB"/>
              </w:rPr>
            </w:pPr>
            <w:r w:rsidRPr="000E07C7">
              <w:rPr>
                <w:sz w:val="24"/>
                <w:lang w:val="ga-IE" w:eastAsia="en-GB"/>
              </w:rPr>
              <w:t>6,571</w:t>
            </w:r>
          </w:p>
        </w:tc>
        <w:tc>
          <w:tcPr>
            <w:tcW w:w="1559" w:type="dxa"/>
            <w:vAlign w:val="bottom"/>
          </w:tcPr>
          <w:p w14:paraId="78046BFC" w14:textId="77777777" w:rsidR="000E07C7" w:rsidRPr="000E07C7" w:rsidRDefault="000E07C7" w:rsidP="000E07C7">
            <w:pPr>
              <w:pStyle w:val="TableCell"/>
              <w:rPr>
                <w:sz w:val="24"/>
                <w:lang w:val="ga-IE" w:eastAsia="en-GB"/>
              </w:rPr>
            </w:pPr>
            <w:r w:rsidRPr="000E07C7">
              <w:rPr>
                <w:sz w:val="24"/>
                <w:lang w:val="ga-IE" w:eastAsia="en-GB"/>
              </w:rPr>
              <w:t>34,591</w:t>
            </w:r>
          </w:p>
        </w:tc>
        <w:tc>
          <w:tcPr>
            <w:tcW w:w="1276" w:type="dxa"/>
            <w:vAlign w:val="bottom"/>
          </w:tcPr>
          <w:p w14:paraId="5CAFA718" w14:textId="77777777" w:rsidR="000E07C7" w:rsidRPr="000E07C7" w:rsidRDefault="000E07C7" w:rsidP="000E07C7">
            <w:pPr>
              <w:pStyle w:val="TableCell"/>
              <w:rPr>
                <w:sz w:val="24"/>
                <w:lang w:val="ga-IE" w:eastAsia="en-GB"/>
              </w:rPr>
            </w:pPr>
            <w:r w:rsidRPr="000E07C7">
              <w:rPr>
                <w:sz w:val="24"/>
                <w:lang w:val="ga-IE" w:eastAsia="en-GB"/>
              </w:rPr>
              <w:t>0</w:t>
            </w:r>
          </w:p>
        </w:tc>
        <w:tc>
          <w:tcPr>
            <w:tcW w:w="1348" w:type="dxa"/>
            <w:vAlign w:val="bottom"/>
          </w:tcPr>
          <w:p w14:paraId="59AA29FF" w14:textId="77777777" w:rsidR="000E07C7" w:rsidRPr="000E07C7" w:rsidRDefault="000E07C7" w:rsidP="000E07C7">
            <w:pPr>
              <w:pStyle w:val="TableCell"/>
              <w:rPr>
                <w:sz w:val="24"/>
                <w:lang w:val="ga-IE" w:eastAsia="en-GB"/>
              </w:rPr>
            </w:pPr>
            <w:r w:rsidRPr="000E07C7">
              <w:rPr>
                <w:sz w:val="24"/>
                <w:lang w:val="ga-IE" w:eastAsia="en-GB"/>
              </w:rPr>
              <w:t>41,162</w:t>
            </w:r>
          </w:p>
        </w:tc>
      </w:tr>
      <w:tr w:rsidR="000E07C7" w:rsidRPr="000E07C7" w14:paraId="1551939D" w14:textId="77777777" w:rsidTr="004167E2">
        <w:tc>
          <w:tcPr>
            <w:tcW w:w="2411" w:type="dxa"/>
            <w:shd w:val="clear" w:color="auto" w:fill="auto"/>
            <w:vAlign w:val="bottom"/>
          </w:tcPr>
          <w:p w14:paraId="2E91FF01"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Diúscairtí</w:t>
            </w:r>
          </w:p>
        </w:tc>
        <w:tc>
          <w:tcPr>
            <w:tcW w:w="1559" w:type="dxa"/>
            <w:vAlign w:val="bottom"/>
          </w:tcPr>
          <w:p w14:paraId="31F08921" w14:textId="77777777" w:rsidR="000E07C7" w:rsidRPr="000E07C7" w:rsidRDefault="000E07C7" w:rsidP="000E07C7">
            <w:pPr>
              <w:pStyle w:val="TableCell"/>
              <w:rPr>
                <w:sz w:val="24"/>
                <w:lang w:val="ga-IE" w:eastAsia="en-GB"/>
              </w:rPr>
            </w:pPr>
            <w:r w:rsidRPr="000E07C7">
              <w:rPr>
                <w:sz w:val="24"/>
                <w:lang w:val="ga-IE" w:eastAsia="en-GB"/>
              </w:rPr>
              <w:t>(241,456)</w:t>
            </w:r>
          </w:p>
        </w:tc>
        <w:tc>
          <w:tcPr>
            <w:tcW w:w="1559" w:type="dxa"/>
            <w:vAlign w:val="bottom"/>
          </w:tcPr>
          <w:p w14:paraId="73C98091" w14:textId="77777777" w:rsidR="000E07C7" w:rsidRPr="000E07C7" w:rsidRDefault="000E07C7" w:rsidP="000E07C7">
            <w:pPr>
              <w:pStyle w:val="TableCell"/>
              <w:rPr>
                <w:sz w:val="24"/>
                <w:lang w:val="ga-IE" w:eastAsia="en-GB"/>
              </w:rPr>
            </w:pPr>
            <w:r w:rsidRPr="000E07C7">
              <w:rPr>
                <w:sz w:val="24"/>
                <w:lang w:val="ga-IE" w:eastAsia="en-GB"/>
              </w:rPr>
              <w:t>(26,577)</w:t>
            </w:r>
          </w:p>
        </w:tc>
        <w:tc>
          <w:tcPr>
            <w:tcW w:w="1276" w:type="dxa"/>
            <w:vAlign w:val="bottom"/>
          </w:tcPr>
          <w:p w14:paraId="145622C1" w14:textId="77777777" w:rsidR="000E07C7" w:rsidRPr="000E07C7" w:rsidRDefault="000E07C7" w:rsidP="000E07C7">
            <w:pPr>
              <w:pStyle w:val="TableCell"/>
              <w:rPr>
                <w:sz w:val="24"/>
                <w:lang w:val="ga-IE" w:eastAsia="en-GB"/>
              </w:rPr>
            </w:pPr>
            <w:r w:rsidRPr="000E07C7">
              <w:rPr>
                <w:sz w:val="24"/>
                <w:lang w:val="ga-IE" w:eastAsia="en-GB"/>
              </w:rPr>
              <w:t>0</w:t>
            </w:r>
          </w:p>
        </w:tc>
        <w:tc>
          <w:tcPr>
            <w:tcW w:w="1348" w:type="dxa"/>
            <w:vAlign w:val="bottom"/>
          </w:tcPr>
          <w:p w14:paraId="47800521" w14:textId="77777777" w:rsidR="000E07C7" w:rsidRPr="000E07C7" w:rsidRDefault="000E07C7" w:rsidP="000E07C7">
            <w:pPr>
              <w:pStyle w:val="TableCell"/>
              <w:rPr>
                <w:sz w:val="24"/>
                <w:lang w:val="ga-IE" w:eastAsia="en-GB"/>
              </w:rPr>
            </w:pPr>
            <w:r w:rsidRPr="000E07C7">
              <w:rPr>
                <w:sz w:val="24"/>
                <w:lang w:val="ga-IE" w:eastAsia="en-GB"/>
              </w:rPr>
              <w:t>(268,033)</w:t>
            </w:r>
          </w:p>
        </w:tc>
      </w:tr>
      <w:tr w:rsidR="000E07C7" w:rsidRPr="000E07C7" w14:paraId="4C42503F" w14:textId="77777777" w:rsidTr="004167E2">
        <w:tc>
          <w:tcPr>
            <w:tcW w:w="2411" w:type="dxa"/>
            <w:shd w:val="clear" w:color="auto" w:fill="auto"/>
            <w:vAlign w:val="bottom"/>
          </w:tcPr>
          <w:p w14:paraId="7598B29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Iarmhéid amhail an 31 Nollaig 2014</w:t>
            </w:r>
          </w:p>
        </w:tc>
        <w:tc>
          <w:tcPr>
            <w:tcW w:w="1559" w:type="dxa"/>
            <w:vAlign w:val="bottom"/>
          </w:tcPr>
          <w:p w14:paraId="7E0852C6" w14:textId="77777777" w:rsidR="000E07C7" w:rsidRPr="000E07C7" w:rsidRDefault="000E07C7" w:rsidP="000E07C7">
            <w:pPr>
              <w:pStyle w:val="TableCell"/>
              <w:rPr>
                <w:b/>
                <w:sz w:val="24"/>
                <w:lang w:val="ga-IE" w:eastAsia="en-GB"/>
              </w:rPr>
            </w:pPr>
            <w:r w:rsidRPr="000E07C7">
              <w:rPr>
                <w:b/>
                <w:sz w:val="24"/>
                <w:lang w:val="ga-IE" w:eastAsia="en-GB"/>
              </w:rPr>
              <w:t>182,072</w:t>
            </w:r>
          </w:p>
        </w:tc>
        <w:tc>
          <w:tcPr>
            <w:tcW w:w="1559" w:type="dxa"/>
            <w:vAlign w:val="bottom"/>
          </w:tcPr>
          <w:p w14:paraId="205C62F4" w14:textId="77777777" w:rsidR="000E07C7" w:rsidRPr="000E07C7" w:rsidRDefault="000E07C7" w:rsidP="000E07C7">
            <w:pPr>
              <w:pStyle w:val="TableCell"/>
              <w:rPr>
                <w:b/>
                <w:sz w:val="24"/>
                <w:lang w:val="ga-IE" w:eastAsia="en-GB"/>
              </w:rPr>
            </w:pPr>
            <w:r w:rsidRPr="000E07C7">
              <w:rPr>
                <w:b/>
                <w:sz w:val="24"/>
                <w:lang w:val="ga-IE" w:eastAsia="en-GB"/>
              </w:rPr>
              <w:t>117,143</w:t>
            </w:r>
          </w:p>
        </w:tc>
        <w:tc>
          <w:tcPr>
            <w:tcW w:w="1276" w:type="dxa"/>
            <w:vAlign w:val="bottom"/>
          </w:tcPr>
          <w:p w14:paraId="134CE935" w14:textId="77777777" w:rsidR="000E07C7" w:rsidRPr="000E07C7" w:rsidRDefault="000E07C7" w:rsidP="000E07C7">
            <w:pPr>
              <w:pStyle w:val="TableCell"/>
              <w:rPr>
                <w:b/>
                <w:sz w:val="24"/>
                <w:lang w:val="ga-IE" w:eastAsia="en-GB"/>
              </w:rPr>
            </w:pPr>
            <w:r w:rsidRPr="000E07C7">
              <w:rPr>
                <w:b/>
                <w:sz w:val="24"/>
                <w:lang w:val="ga-IE" w:eastAsia="en-GB"/>
              </w:rPr>
              <w:t xml:space="preserve">3,988,604 </w:t>
            </w:r>
          </w:p>
        </w:tc>
        <w:tc>
          <w:tcPr>
            <w:tcW w:w="1348" w:type="dxa"/>
            <w:vAlign w:val="bottom"/>
          </w:tcPr>
          <w:p w14:paraId="089B636F" w14:textId="77777777" w:rsidR="000E07C7" w:rsidRPr="000E07C7" w:rsidRDefault="000E07C7" w:rsidP="000E07C7">
            <w:pPr>
              <w:pStyle w:val="TableCell"/>
              <w:rPr>
                <w:b/>
                <w:sz w:val="24"/>
                <w:lang w:val="ga-IE" w:eastAsia="en-GB"/>
              </w:rPr>
            </w:pPr>
            <w:r w:rsidRPr="000E07C7">
              <w:rPr>
                <w:b/>
                <w:sz w:val="24"/>
                <w:lang w:val="ga-IE" w:eastAsia="en-GB"/>
              </w:rPr>
              <w:t xml:space="preserve">4,287,819 </w:t>
            </w:r>
          </w:p>
        </w:tc>
      </w:tr>
      <w:tr w:rsidR="000E07C7" w:rsidRPr="000E07C7" w14:paraId="473039CD" w14:textId="77777777" w:rsidTr="000E07C7">
        <w:tc>
          <w:tcPr>
            <w:tcW w:w="8153" w:type="dxa"/>
            <w:gridSpan w:val="5"/>
            <w:shd w:val="clear" w:color="auto" w:fill="auto"/>
            <w:vAlign w:val="bottom"/>
          </w:tcPr>
          <w:p w14:paraId="270D6033" w14:textId="77777777" w:rsidR="000E07C7" w:rsidRPr="000E07C7" w:rsidRDefault="000E07C7" w:rsidP="000E07C7">
            <w:pPr>
              <w:pStyle w:val="TableHead"/>
              <w:jc w:val="center"/>
              <w:rPr>
                <w:sz w:val="24"/>
                <w:lang w:val="ga-IE" w:eastAsia="en-GB"/>
              </w:rPr>
            </w:pPr>
          </w:p>
        </w:tc>
      </w:tr>
      <w:tr w:rsidR="000E07C7" w:rsidRPr="000E07C7" w14:paraId="78623008" w14:textId="77777777" w:rsidTr="000E07C7">
        <w:tc>
          <w:tcPr>
            <w:tcW w:w="8153" w:type="dxa"/>
            <w:gridSpan w:val="5"/>
            <w:shd w:val="clear" w:color="auto" w:fill="auto"/>
            <w:vAlign w:val="bottom"/>
          </w:tcPr>
          <w:p w14:paraId="20264CEF" w14:textId="77777777" w:rsidR="000E07C7" w:rsidRPr="000E07C7" w:rsidRDefault="000E07C7" w:rsidP="000E07C7">
            <w:pPr>
              <w:pStyle w:val="TableHead"/>
              <w:jc w:val="center"/>
              <w:rPr>
                <w:sz w:val="24"/>
                <w:lang w:val="ga-IE" w:eastAsia="en-GB"/>
              </w:rPr>
            </w:pPr>
            <w:r w:rsidRPr="000E07C7">
              <w:rPr>
                <w:sz w:val="24"/>
                <w:lang w:val="ga-IE" w:eastAsia="en-GB"/>
              </w:rPr>
              <w:t>Dímheas Carnach</w:t>
            </w:r>
          </w:p>
        </w:tc>
      </w:tr>
      <w:tr w:rsidR="000E07C7" w:rsidRPr="000E07C7" w14:paraId="42AD6034" w14:textId="77777777" w:rsidTr="004167E2">
        <w:tc>
          <w:tcPr>
            <w:tcW w:w="2411" w:type="dxa"/>
            <w:shd w:val="clear" w:color="auto" w:fill="auto"/>
            <w:vAlign w:val="bottom"/>
          </w:tcPr>
          <w:p w14:paraId="69D9A07C"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lastRenderedPageBreak/>
              <w:t>Iarmhéid amhail an 1 Eanáir 2014</w:t>
            </w:r>
          </w:p>
        </w:tc>
        <w:tc>
          <w:tcPr>
            <w:tcW w:w="1559" w:type="dxa"/>
            <w:vAlign w:val="bottom"/>
          </w:tcPr>
          <w:p w14:paraId="5CEE9F5E" w14:textId="77777777" w:rsidR="000E07C7" w:rsidRPr="000E07C7" w:rsidRDefault="000E07C7" w:rsidP="000E07C7">
            <w:pPr>
              <w:pStyle w:val="TableCell"/>
              <w:rPr>
                <w:b/>
                <w:sz w:val="24"/>
                <w:lang w:val="ga-IE" w:eastAsia="en-GB"/>
              </w:rPr>
            </w:pPr>
            <w:r w:rsidRPr="000E07C7">
              <w:rPr>
                <w:b/>
                <w:sz w:val="24"/>
                <w:lang w:val="ga-IE" w:eastAsia="en-GB"/>
              </w:rPr>
              <w:t xml:space="preserve">409,770 </w:t>
            </w:r>
          </w:p>
        </w:tc>
        <w:tc>
          <w:tcPr>
            <w:tcW w:w="1559" w:type="dxa"/>
            <w:vAlign w:val="bottom"/>
          </w:tcPr>
          <w:p w14:paraId="4964CFAF" w14:textId="77777777" w:rsidR="000E07C7" w:rsidRPr="000E07C7" w:rsidRDefault="000E07C7" w:rsidP="000E07C7">
            <w:pPr>
              <w:pStyle w:val="TableCell"/>
              <w:rPr>
                <w:b/>
                <w:sz w:val="24"/>
                <w:lang w:val="ga-IE" w:eastAsia="en-GB"/>
              </w:rPr>
            </w:pPr>
            <w:r w:rsidRPr="000E07C7">
              <w:rPr>
                <w:b/>
                <w:sz w:val="24"/>
                <w:lang w:val="ga-IE" w:eastAsia="en-GB"/>
              </w:rPr>
              <w:t xml:space="preserve">108,225 </w:t>
            </w:r>
          </w:p>
        </w:tc>
        <w:tc>
          <w:tcPr>
            <w:tcW w:w="1276" w:type="dxa"/>
            <w:vAlign w:val="bottom"/>
          </w:tcPr>
          <w:p w14:paraId="3B80540D" w14:textId="77777777" w:rsidR="000E07C7" w:rsidRPr="000E07C7" w:rsidRDefault="000E07C7" w:rsidP="000E07C7">
            <w:pPr>
              <w:pStyle w:val="TableCell"/>
              <w:rPr>
                <w:b/>
                <w:sz w:val="24"/>
                <w:lang w:val="ga-IE" w:eastAsia="en-GB"/>
              </w:rPr>
            </w:pPr>
            <w:r w:rsidRPr="000E07C7">
              <w:rPr>
                <w:b/>
                <w:sz w:val="24"/>
                <w:lang w:val="ga-IE" w:eastAsia="en-GB"/>
              </w:rPr>
              <w:t xml:space="preserve">1,122,049 </w:t>
            </w:r>
          </w:p>
        </w:tc>
        <w:tc>
          <w:tcPr>
            <w:tcW w:w="1348" w:type="dxa"/>
            <w:vAlign w:val="bottom"/>
          </w:tcPr>
          <w:p w14:paraId="45254AA4" w14:textId="77777777" w:rsidR="000E07C7" w:rsidRPr="000E07C7" w:rsidRDefault="000E07C7" w:rsidP="000E07C7">
            <w:pPr>
              <w:pStyle w:val="TableCell"/>
              <w:rPr>
                <w:b/>
                <w:sz w:val="24"/>
                <w:lang w:val="ga-IE" w:eastAsia="en-GB"/>
              </w:rPr>
            </w:pPr>
            <w:r w:rsidRPr="000E07C7">
              <w:rPr>
                <w:b/>
                <w:sz w:val="24"/>
                <w:lang w:val="ga-IE" w:eastAsia="en-GB"/>
              </w:rPr>
              <w:t xml:space="preserve">1,640,044 </w:t>
            </w:r>
          </w:p>
        </w:tc>
      </w:tr>
      <w:tr w:rsidR="000E07C7" w:rsidRPr="000E07C7" w14:paraId="3805DC4B" w14:textId="77777777" w:rsidTr="004167E2">
        <w:tc>
          <w:tcPr>
            <w:tcW w:w="2411" w:type="dxa"/>
            <w:shd w:val="clear" w:color="auto" w:fill="auto"/>
            <w:vAlign w:val="bottom"/>
          </w:tcPr>
          <w:p w14:paraId="10507094"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Gearrtha sa bhliain</w:t>
            </w:r>
          </w:p>
        </w:tc>
        <w:tc>
          <w:tcPr>
            <w:tcW w:w="1559" w:type="dxa"/>
            <w:vAlign w:val="bottom"/>
          </w:tcPr>
          <w:p w14:paraId="78FB8E64" w14:textId="77777777" w:rsidR="000E07C7" w:rsidRPr="000E07C7" w:rsidRDefault="000E07C7" w:rsidP="000E07C7">
            <w:pPr>
              <w:pStyle w:val="TableCell"/>
              <w:rPr>
                <w:sz w:val="24"/>
                <w:lang w:val="ga-IE" w:eastAsia="en-GB"/>
              </w:rPr>
            </w:pPr>
            <w:r w:rsidRPr="000E07C7">
              <w:rPr>
                <w:sz w:val="24"/>
                <w:lang w:val="ga-IE" w:eastAsia="en-GB"/>
              </w:rPr>
              <w:t>1,157</w:t>
            </w:r>
          </w:p>
        </w:tc>
        <w:tc>
          <w:tcPr>
            <w:tcW w:w="1559" w:type="dxa"/>
            <w:vAlign w:val="bottom"/>
          </w:tcPr>
          <w:p w14:paraId="65928E1C" w14:textId="77777777" w:rsidR="000E07C7" w:rsidRPr="000E07C7" w:rsidRDefault="000E07C7" w:rsidP="000E07C7">
            <w:pPr>
              <w:pStyle w:val="TableCell"/>
              <w:rPr>
                <w:sz w:val="24"/>
                <w:lang w:val="ga-IE" w:eastAsia="en-GB"/>
              </w:rPr>
            </w:pPr>
            <w:r w:rsidRPr="000E07C7">
              <w:rPr>
                <w:sz w:val="24"/>
                <w:lang w:val="ga-IE" w:eastAsia="en-GB"/>
              </w:rPr>
              <w:t>1,142</w:t>
            </w:r>
          </w:p>
        </w:tc>
        <w:tc>
          <w:tcPr>
            <w:tcW w:w="1276" w:type="dxa"/>
            <w:vAlign w:val="bottom"/>
          </w:tcPr>
          <w:p w14:paraId="4262A4B5" w14:textId="77777777" w:rsidR="000E07C7" w:rsidRPr="000E07C7" w:rsidRDefault="000E07C7" w:rsidP="000E07C7">
            <w:pPr>
              <w:pStyle w:val="TableCell"/>
              <w:rPr>
                <w:sz w:val="24"/>
                <w:lang w:val="ga-IE" w:eastAsia="en-GB"/>
              </w:rPr>
            </w:pPr>
            <w:r w:rsidRPr="000E07C7">
              <w:rPr>
                <w:sz w:val="24"/>
                <w:lang w:val="ga-IE" w:eastAsia="en-GB"/>
              </w:rPr>
              <w:t>71,664</w:t>
            </w:r>
          </w:p>
        </w:tc>
        <w:tc>
          <w:tcPr>
            <w:tcW w:w="1348" w:type="dxa"/>
            <w:vAlign w:val="bottom"/>
          </w:tcPr>
          <w:p w14:paraId="5D559A1B" w14:textId="77777777" w:rsidR="000E07C7" w:rsidRPr="000E07C7" w:rsidRDefault="000E07C7" w:rsidP="000E07C7">
            <w:pPr>
              <w:pStyle w:val="TableCell"/>
              <w:rPr>
                <w:sz w:val="24"/>
                <w:lang w:val="ga-IE" w:eastAsia="en-GB"/>
              </w:rPr>
            </w:pPr>
            <w:r w:rsidRPr="000E07C7">
              <w:rPr>
                <w:sz w:val="24"/>
                <w:lang w:val="ga-IE" w:eastAsia="en-GB"/>
              </w:rPr>
              <w:t>73,963</w:t>
            </w:r>
          </w:p>
        </w:tc>
      </w:tr>
      <w:tr w:rsidR="000E07C7" w:rsidRPr="000E07C7" w14:paraId="606D54D0" w14:textId="77777777" w:rsidTr="004167E2">
        <w:tc>
          <w:tcPr>
            <w:tcW w:w="2411" w:type="dxa"/>
            <w:shd w:val="clear" w:color="auto" w:fill="auto"/>
            <w:vAlign w:val="bottom"/>
          </w:tcPr>
          <w:p w14:paraId="53E104F5"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Dímheas</w:t>
            </w:r>
            <w:r w:rsidR="00D00624">
              <w:rPr>
                <w:rFonts w:ascii="Gill Sans" w:hAnsi="Gill Sans"/>
                <w:sz w:val="24"/>
                <w:lang w:val="ga-IE" w:eastAsia="en-GB"/>
              </w:rPr>
              <w:t xml:space="preserve"> </w:t>
            </w:r>
            <w:r w:rsidRPr="000E07C7">
              <w:rPr>
                <w:rFonts w:ascii="Gill Sans" w:hAnsi="Gill Sans"/>
                <w:sz w:val="24"/>
                <w:lang w:val="ga-IE" w:eastAsia="en-GB"/>
              </w:rPr>
              <w:t>Carnach ar Shócmhainní a ceannaíodh i mblianta roimhe seo</w:t>
            </w:r>
          </w:p>
        </w:tc>
        <w:tc>
          <w:tcPr>
            <w:tcW w:w="1559" w:type="dxa"/>
            <w:vAlign w:val="bottom"/>
          </w:tcPr>
          <w:p w14:paraId="7A88116D" w14:textId="77777777" w:rsidR="000E07C7" w:rsidRPr="000E07C7" w:rsidRDefault="000E07C7" w:rsidP="000E07C7">
            <w:pPr>
              <w:pStyle w:val="TableCell"/>
              <w:rPr>
                <w:sz w:val="24"/>
                <w:lang w:val="ga-IE" w:eastAsia="en-GB"/>
              </w:rPr>
            </w:pPr>
            <w:r w:rsidRPr="000E07C7">
              <w:rPr>
                <w:sz w:val="24"/>
                <w:lang w:val="ga-IE" w:eastAsia="en-GB"/>
              </w:rPr>
              <w:t>4,771</w:t>
            </w:r>
          </w:p>
        </w:tc>
        <w:tc>
          <w:tcPr>
            <w:tcW w:w="1559" w:type="dxa"/>
            <w:vAlign w:val="bottom"/>
          </w:tcPr>
          <w:p w14:paraId="51118E6A" w14:textId="77777777" w:rsidR="000E07C7" w:rsidRPr="000E07C7" w:rsidRDefault="000E07C7" w:rsidP="000E07C7">
            <w:pPr>
              <w:pStyle w:val="TableCell"/>
              <w:rPr>
                <w:sz w:val="24"/>
                <w:lang w:val="ga-IE" w:eastAsia="en-GB"/>
              </w:rPr>
            </w:pPr>
            <w:r w:rsidRPr="000E07C7">
              <w:rPr>
                <w:sz w:val="24"/>
                <w:lang w:val="ga-IE" w:eastAsia="en-GB"/>
              </w:rPr>
              <w:t>29,365</w:t>
            </w:r>
          </w:p>
        </w:tc>
        <w:tc>
          <w:tcPr>
            <w:tcW w:w="1276" w:type="dxa"/>
            <w:vAlign w:val="bottom"/>
          </w:tcPr>
          <w:p w14:paraId="29915040" w14:textId="77777777" w:rsidR="000E07C7" w:rsidRPr="000E07C7" w:rsidRDefault="000E07C7" w:rsidP="000E07C7">
            <w:pPr>
              <w:pStyle w:val="TableCell"/>
              <w:rPr>
                <w:sz w:val="24"/>
                <w:lang w:val="ga-IE" w:eastAsia="en-GB"/>
              </w:rPr>
            </w:pPr>
          </w:p>
        </w:tc>
        <w:tc>
          <w:tcPr>
            <w:tcW w:w="1348" w:type="dxa"/>
            <w:vAlign w:val="bottom"/>
          </w:tcPr>
          <w:p w14:paraId="46C075A0" w14:textId="77777777" w:rsidR="000E07C7" w:rsidRPr="000E07C7" w:rsidRDefault="000E07C7" w:rsidP="000E07C7">
            <w:pPr>
              <w:pStyle w:val="TableCell"/>
              <w:rPr>
                <w:sz w:val="24"/>
                <w:lang w:val="ga-IE" w:eastAsia="en-GB"/>
              </w:rPr>
            </w:pPr>
            <w:r w:rsidRPr="000E07C7">
              <w:rPr>
                <w:sz w:val="24"/>
                <w:lang w:val="ga-IE" w:eastAsia="en-GB"/>
              </w:rPr>
              <w:t>34,136</w:t>
            </w:r>
          </w:p>
        </w:tc>
      </w:tr>
      <w:tr w:rsidR="000E07C7" w:rsidRPr="000E07C7" w14:paraId="6DB2840E" w14:textId="77777777" w:rsidTr="004167E2">
        <w:tc>
          <w:tcPr>
            <w:tcW w:w="2411" w:type="dxa"/>
            <w:shd w:val="clear" w:color="auto" w:fill="auto"/>
            <w:vAlign w:val="bottom"/>
          </w:tcPr>
          <w:p w14:paraId="5D5B99A9"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Diúscairtí</w:t>
            </w:r>
          </w:p>
        </w:tc>
        <w:tc>
          <w:tcPr>
            <w:tcW w:w="1559" w:type="dxa"/>
            <w:vAlign w:val="bottom"/>
          </w:tcPr>
          <w:p w14:paraId="1E22CA07" w14:textId="77777777" w:rsidR="000E07C7" w:rsidRPr="000E07C7" w:rsidRDefault="000E07C7" w:rsidP="000E07C7">
            <w:pPr>
              <w:pStyle w:val="TableCell"/>
              <w:rPr>
                <w:sz w:val="24"/>
                <w:lang w:val="ga-IE" w:eastAsia="en-GB"/>
              </w:rPr>
            </w:pPr>
            <w:r w:rsidRPr="000E07C7">
              <w:rPr>
                <w:sz w:val="24"/>
                <w:lang w:val="ga-IE" w:eastAsia="en-GB"/>
              </w:rPr>
              <w:t>(241,456)</w:t>
            </w:r>
          </w:p>
        </w:tc>
        <w:tc>
          <w:tcPr>
            <w:tcW w:w="1559" w:type="dxa"/>
            <w:vAlign w:val="bottom"/>
          </w:tcPr>
          <w:p w14:paraId="37AD3C05" w14:textId="77777777" w:rsidR="000E07C7" w:rsidRPr="000E07C7" w:rsidRDefault="000E07C7" w:rsidP="000E07C7">
            <w:pPr>
              <w:pStyle w:val="TableCell"/>
              <w:rPr>
                <w:sz w:val="24"/>
                <w:lang w:val="ga-IE" w:eastAsia="en-GB"/>
              </w:rPr>
            </w:pPr>
            <w:r w:rsidRPr="000E07C7">
              <w:rPr>
                <w:sz w:val="24"/>
                <w:lang w:val="ga-IE" w:eastAsia="en-GB"/>
              </w:rPr>
              <w:t>(26,577)</w:t>
            </w:r>
          </w:p>
        </w:tc>
        <w:tc>
          <w:tcPr>
            <w:tcW w:w="1276" w:type="dxa"/>
            <w:vAlign w:val="bottom"/>
          </w:tcPr>
          <w:p w14:paraId="0BE45E9E" w14:textId="77777777" w:rsidR="000E07C7" w:rsidRPr="000E07C7" w:rsidRDefault="000E07C7" w:rsidP="000E07C7">
            <w:pPr>
              <w:pStyle w:val="TableCell"/>
              <w:rPr>
                <w:sz w:val="24"/>
                <w:lang w:val="ga-IE" w:eastAsia="en-GB"/>
              </w:rPr>
            </w:pPr>
          </w:p>
        </w:tc>
        <w:tc>
          <w:tcPr>
            <w:tcW w:w="1348" w:type="dxa"/>
            <w:vAlign w:val="bottom"/>
          </w:tcPr>
          <w:p w14:paraId="530E7BDC" w14:textId="77777777" w:rsidR="000E07C7" w:rsidRPr="000E07C7" w:rsidRDefault="000E07C7" w:rsidP="000E07C7">
            <w:pPr>
              <w:pStyle w:val="TableCell"/>
              <w:rPr>
                <w:sz w:val="24"/>
                <w:lang w:val="ga-IE" w:eastAsia="en-GB"/>
              </w:rPr>
            </w:pPr>
            <w:r w:rsidRPr="000E07C7">
              <w:rPr>
                <w:sz w:val="24"/>
                <w:lang w:val="ga-IE" w:eastAsia="en-GB"/>
              </w:rPr>
              <w:t>(268,033)</w:t>
            </w:r>
          </w:p>
        </w:tc>
      </w:tr>
      <w:tr w:rsidR="000E07C7" w:rsidRPr="000E07C7" w14:paraId="6C4E1106" w14:textId="77777777" w:rsidTr="004167E2">
        <w:tc>
          <w:tcPr>
            <w:tcW w:w="2411" w:type="dxa"/>
            <w:shd w:val="clear" w:color="auto" w:fill="auto"/>
            <w:vAlign w:val="bottom"/>
          </w:tcPr>
          <w:p w14:paraId="748104D2"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Iarmhéid amhail an 31 Nollaig 2014</w:t>
            </w:r>
          </w:p>
        </w:tc>
        <w:tc>
          <w:tcPr>
            <w:tcW w:w="1559" w:type="dxa"/>
            <w:vAlign w:val="bottom"/>
          </w:tcPr>
          <w:p w14:paraId="14A2D052" w14:textId="77777777" w:rsidR="000E07C7" w:rsidRPr="000E07C7" w:rsidRDefault="000E07C7" w:rsidP="000E07C7">
            <w:pPr>
              <w:pStyle w:val="TableCell"/>
              <w:rPr>
                <w:b/>
                <w:sz w:val="24"/>
                <w:lang w:val="ga-IE" w:eastAsia="en-GB"/>
              </w:rPr>
            </w:pPr>
            <w:r w:rsidRPr="000E07C7">
              <w:rPr>
                <w:b/>
                <w:sz w:val="24"/>
                <w:lang w:val="ga-IE" w:eastAsia="en-GB"/>
              </w:rPr>
              <w:t>174,242</w:t>
            </w:r>
          </w:p>
        </w:tc>
        <w:tc>
          <w:tcPr>
            <w:tcW w:w="1559" w:type="dxa"/>
            <w:vAlign w:val="bottom"/>
          </w:tcPr>
          <w:p w14:paraId="451EA026" w14:textId="77777777" w:rsidR="000E07C7" w:rsidRPr="000E07C7" w:rsidRDefault="000E07C7" w:rsidP="000E07C7">
            <w:pPr>
              <w:pStyle w:val="TableCell"/>
              <w:rPr>
                <w:b/>
                <w:sz w:val="24"/>
                <w:lang w:val="ga-IE" w:eastAsia="en-GB"/>
              </w:rPr>
            </w:pPr>
            <w:r w:rsidRPr="000E07C7">
              <w:rPr>
                <w:b/>
                <w:sz w:val="24"/>
                <w:lang w:val="ga-IE" w:eastAsia="en-GB"/>
              </w:rPr>
              <w:t>112,155</w:t>
            </w:r>
          </w:p>
        </w:tc>
        <w:tc>
          <w:tcPr>
            <w:tcW w:w="1276" w:type="dxa"/>
            <w:vAlign w:val="bottom"/>
          </w:tcPr>
          <w:p w14:paraId="42F29AC9" w14:textId="77777777" w:rsidR="000E07C7" w:rsidRPr="000E07C7" w:rsidRDefault="000E07C7" w:rsidP="000E07C7">
            <w:pPr>
              <w:pStyle w:val="TableCell"/>
              <w:rPr>
                <w:b/>
                <w:sz w:val="24"/>
                <w:lang w:val="ga-IE" w:eastAsia="en-GB"/>
              </w:rPr>
            </w:pPr>
            <w:r w:rsidRPr="000E07C7">
              <w:rPr>
                <w:b/>
                <w:sz w:val="24"/>
                <w:lang w:val="ga-IE" w:eastAsia="en-GB"/>
              </w:rPr>
              <w:t>1,193,713</w:t>
            </w:r>
          </w:p>
        </w:tc>
        <w:tc>
          <w:tcPr>
            <w:tcW w:w="1348" w:type="dxa"/>
            <w:vAlign w:val="bottom"/>
          </w:tcPr>
          <w:p w14:paraId="7028E7B5" w14:textId="77777777" w:rsidR="000E07C7" w:rsidRPr="000E07C7" w:rsidRDefault="000E07C7" w:rsidP="000E07C7">
            <w:pPr>
              <w:pStyle w:val="TableCell"/>
              <w:rPr>
                <w:b/>
                <w:sz w:val="24"/>
                <w:lang w:val="ga-IE" w:eastAsia="en-GB"/>
              </w:rPr>
            </w:pPr>
            <w:r w:rsidRPr="000E07C7">
              <w:rPr>
                <w:b/>
                <w:sz w:val="24"/>
                <w:lang w:val="ga-IE" w:eastAsia="en-GB"/>
              </w:rPr>
              <w:t>1,480,110</w:t>
            </w:r>
          </w:p>
        </w:tc>
      </w:tr>
      <w:tr w:rsidR="000E07C7" w:rsidRPr="000E07C7" w14:paraId="0DD6ADED" w14:textId="77777777" w:rsidTr="004167E2">
        <w:tc>
          <w:tcPr>
            <w:tcW w:w="2411" w:type="dxa"/>
            <w:shd w:val="clear" w:color="auto" w:fill="auto"/>
            <w:vAlign w:val="bottom"/>
          </w:tcPr>
          <w:p w14:paraId="09F00034" w14:textId="77777777" w:rsidR="000E07C7" w:rsidRPr="000E07C7" w:rsidRDefault="000E07C7" w:rsidP="000E07C7">
            <w:pPr>
              <w:pStyle w:val="TableRowHead"/>
              <w:rPr>
                <w:rFonts w:ascii="Gill Sans" w:hAnsi="Gill Sans"/>
                <w:bCs/>
                <w:sz w:val="24"/>
                <w:lang w:val="ga-IE" w:eastAsia="en-GB"/>
              </w:rPr>
            </w:pPr>
          </w:p>
        </w:tc>
        <w:tc>
          <w:tcPr>
            <w:tcW w:w="1559" w:type="dxa"/>
            <w:vAlign w:val="bottom"/>
          </w:tcPr>
          <w:p w14:paraId="57448974" w14:textId="77777777" w:rsidR="000E07C7" w:rsidRPr="000E07C7" w:rsidRDefault="000E07C7" w:rsidP="000E07C7">
            <w:pPr>
              <w:pStyle w:val="TableCell"/>
              <w:rPr>
                <w:sz w:val="24"/>
                <w:lang w:val="ga-IE" w:eastAsia="en-GB"/>
              </w:rPr>
            </w:pPr>
          </w:p>
        </w:tc>
        <w:tc>
          <w:tcPr>
            <w:tcW w:w="1559" w:type="dxa"/>
            <w:vAlign w:val="bottom"/>
          </w:tcPr>
          <w:p w14:paraId="7B5A1AAD" w14:textId="77777777" w:rsidR="000E07C7" w:rsidRPr="000E07C7" w:rsidRDefault="000E07C7" w:rsidP="000E07C7">
            <w:pPr>
              <w:pStyle w:val="TableCell"/>
              <w:rPr>
                <w:sz w:val="24"/>
                <w:lang w:val="ga-IE" w:eastAsia="en-GB"/>
              </w:rPr>
            </w:pPr>
          </w:p>
        </w:tc>
        <w:tc>
          <w:tcPr>
            <w:tcW w:w="1276" w:type="dxa"/>
            <w:vAlign w:val="bottom"/>
          </w:tcPr>
          <w:p w14:paraId="4ABE627F" w14:textId="77777777" w:rsidR="000E07C7" w:rsidRPr="000E07C7" w:rsidRDefault="000E07C7" w:rsidP="000E07C7">
            <w:pPr>
              <w:pStyle w:val="TableCell"/>
              <w:rPr>
                <w:sz w:val="24"/>
                <w:lang w:val="ga-IE" w:eastAsia="en-GB"/>
              </w:rPr>
            </w:pPr>
          </w:p>
        </w:tc>
        <w:tc>
          <w:tcPr>
            <w:tcW w:w="1348" w:type="dxa"/>
            <w:vAlign w:val="bottom"/>
          </w:tcPr>
          <w:p w14:paraId="04D58186" w14:textId="77777777" w:rsidR="000E07C7" w:rsidRPr="000E07C7" w:rsidRDefault="000E07C7" w:rsidP="000E07C7">
            <w:pPr>
              <w:pStyle w:val="TableCell"/>
              <w:rPr>
                <w:sz w:val="24"/>
                <w:lang w:val="ga-IE" w:eastAsia="en-GB"/>
              </w:rPr>
            </w:pPr>
          </w:p>
        </w:tc>
      </w:tr>
      <w:tr w:rsidR="000E07C7" w:rsidRPr="000E07C7" w14:paraId="60D61BA1" w14:textId="77777777" w:rsidTr="004167E2">
        <w:tc>
          <w:tcPr>
            <w:tcW w:w="2411" w:type="dxa"/>
            <w:shd w:val="clear" w:color="auto" w:fill="auto"/>
            <w:vAlign w:val="bottom"/>
          </w:tcPr>
          <w:p w14:paraId="7FDB1212" w14:textId="77777777" w:rsidR="000E07C7" w:rsidRPr="000E07C7" w:rsidRDefault="000E07C7" w:rsidP="000E07C7">
            <w:pPr>
              <w:pStyle w:val="TableRowHead"/>
              <w:rPr>
                <w:rFonts w:ascii="Gill Sans" w:hAnsi="Gill Sans"/>
                <w:bCs/>
                <w:sz w:val="24"/>
                <w:lang w:val="ga-IE" w:eastAsia="en-GB"/>
              </w:rPr>
            </w:pPr>
          </w:p>
        </w:tc>
        <w:tc>
          <w:tcPr>
            <w:tcW w:w="1559" w:type="dxa"/>
            <w:vAlign w:val="bottom"/>
          </w:tcPr>
          <w:p w14:paraId="1251267E" w14:textId="77777777" w:rsidR="000E07C7" w:rsidRPr="000E07C7" w:rsidRDefault="000E07C7" w:rsidP="000E07C7">
            <w:pPr>
              <w:pStyle w:val="TableCell"/>
              <w:rPr>
                <w:sz w:val="24"/>
                <w:lang w:val="ga-IE" w:eastAsia="en-GB"/>
              </w:rPr>
            </w:pPr>
          </w:p>
        </w:tc>
        <w:tc>
          <w:tcPr>
            <w:tcW w:w="1559" w:type="dxa"/>
            <w:vAlign w:val="bottom"/>
          </w:tcPr>
          <w:p w14:paraId="4E3E5D41" w14:textId="77777777" w:rsidR="000E07C7" w:rsidRPr="000E07C7" w:rsidRDefault="000E07C7" w:rsidP="000E07C7">
            <w:pPr>
              <w:pStyle w:val="TableCell"/>
              <w:rPr>
                <w:sz w:val="24"/>
                <w:lang w:val="ga-IE" w:eastAsia="en-GB"/>
              </w:rPr>
            </w:pPr>
          </w:p>
        </w:tc>
        <w:tc>
          <w:tcPr>
            <w:tcW w:w="1276" w:type="dxa"/>
            <w:vAlign w:val="bottom"/>
          </w:tcPr>
          <w:p w14:paraId="498C6A45" w14:textId="77777777" w:rsidR="000E07C7" w:rsidRPr="000E07C7" w:rsidRDefault="000E07C7" w:rsidP="000E07C7">
            <w:pPr>
              <w:pStyle w:val="TableCell"/>
              <w:rPr>
                <w:sz w:val="24"/>
                <w:lang w:val="ga-IE" w:eastAsia="en-GB"/>
              </w:rPr>
            </w:pPr>
          </w:p>
        </w:tc>
        <w:tc>
          <w:tcPr>
            <w:tcW w:w="1348" w:type="dxa"/>
            <w:vAlign w:val="bottom"/>
          </w:tcPr>
          <w:p w14:paraId="2AD5A2DF" w14:textId="77777777" w:rsidR="000E07C7" w:rsidRPr="000E07C7" w:rsidRDefault="000E07C7" w:rsidP="000E07C7">
            <w:pPr>
              <w:pStyle w:val="TableCell"/>
              <w:rPr>
                <w:sz w:val="24"/>
                <w:lang w:val="ga-IE" w:eastAsia="en-GB"/>
              </w:rPr>
            </w:pPr>
          </w:p>
        </w:tc>
      </w:tr>
      <w:tr w:rsidR="000E07C7" w:rsidRPr="000E07C7" w14:paraId="2C92E4F8" w14:textId="77777777" w:rsidTr="004167E2">
        <w:tc>
          <w:tcPr>
            <w:tcW w:w="2411" w:type="dxa"/>
            <w:shd w:val="clear" w:color="auto" w:fill="auto"/>
            <w:vAlign w:val="bottom"/>
          </w:tcPr>
          <w:p w14:paraId="10EEC86E" w14:textId="77777777" w:rsidR="000E07C7" w:rsidRPr="000E07C7" w:rsidRDefault="000E07C7" w:rsidP="000E07C7">
            <w:pPr>
              <w:pStyle w:val="TableRowHead"/>
              <w:rPr>
                <w:rFonts w:ascii="Gill Sans" w:hAnsi="Gill Sans"/>
                <w:bCs/>
                <w:sz w:val="24"/>
                <w:lang w:val="ga-IE" w:eastAsia="en-GB"/>
              </w:rPr>
            </w:pPr>
            <w:r w:rsidRPr="000E07C7">
              <w:rPr>
                <w:rFonts w:ascii="Gill Sans" w:hAnsi="Gill Sans"/>
                <w:bCs/>
                <w:sz w:val="24"/>
                <w:lang w:val="ga-IE" w:eastAsia="en-GB"/>
              </w:rPr>
              <w:t>Glanluach Leabhar amhail an 31 Nollaig 2014</w:t>
            </w:r>
          </w:p>
        </w:tc>
        <w:tc>
          <w:tcPr>
            <w:tcW w:w="1559" w:type="dxa"/>
            <w:vAlign w:val="bottom"/>
          </w:tcPr>
          <w:p w14:paraId="338BEEBE" w14:textId="77777777" w:rsidR="000E07C7" w:rsidRPr="000E07C7" w:rsidRDefault="000E07C7" w:rsidP="000E07C7">
            <w:pPr>
              <w:pStyle w:val="TableCell"/>
              <w:rPr>
                <w:sz w:val="24"/>
                <w:lang w:val="ga-IE" w:eastAsia="en-GB"/>
              </w:rPr>
            </w:pPr>
            <w:r w:rsidRPr="000E07C7">
              <w:rPr>
                <w:sz w:val="24"/>
                <w:lang w:val="ga-IE" w:eastAsia="en-GB"/>
              </w:rPr>
              <w:t>7,830</w:t>
            </w:r>
          </w:p>
        </w:tc>
        <w:tc>
          <w:tcPr>
            <w:tcW w:w="1559" w:type="dxa"/>
            <w:vAlign w:val="bottom"/>
          </w:tcPr>
          <w:p w14:paraId="1A52AD24" w14:textId="77777777" w:rsidR="000E07C7" w:rsidRPr="000E07C7" w:rsidRDefault="000E07C7" w:rsidP="000E07C7">
            <w:pPr>
              <w:pStyle w:val="TableCell"/>
              <w:rPr>
                <w:sz w:val="24"/>
                <w:lang w:val="ga-IE" w:eastAsia="en-GB"/>
              </w:rPr>
            </w:pPr>
            <w:r w:rsidRPr="000E07C7">
              <w:rPr>
                <w:sz w:val="24"/>
                <w:lang w:val="ga-IE" w:eastAsia="en-GB"/>
              </w:rPr>
              <w:t>4,988</w:t>
            </w:r>
          </w:p>
        </w:tc>
        <w:tc>
          <w:tcPr>
            <w:tcW w:w="1276" w:type="dxa"/>
            <w:vAlign w:val="bottom"/>
          </w:tcPr>
          <w:p w14:paraId="70C907CE" w14:textId="77777777" w:rsidR="000E07C7" w:rsidRPr="000E07C7" w:rsidRDefault="000E07C7" w:rsidP="000E07C7">
            <w:pPr>
              <w:pStyle w:val="TableCell"/>
              <w:rPr>
                <w:sz w:val="24"/>
                <w:lang w:val="ga-IE" w:eastAsia="en-GB"/>
              </w:rPr>
            </w:pPr>
            <w:r w:rsidRPr="000E07C7">
              <w:rPr>
                <w:sz w:val="24"/>
                <w:lang w:val="ga-IE" w:eastAsia="en-GB"/>
              </w:rPr>
              <w:t>2,794,891</w:t>
            </w:r>
          </w:p>
        </w:tc>
        <w:tc>
          <w:tcPr>
            <w:tcW w:w="1348" w:type="dxa"/>
            <w:vAlign w:val="bottom"/>
          </w:tcPr>
          <w:p w14:paraId="6B3D5FD8" w14:textId="77777777" w:rsidR="000E07C7" w:rsidRPr="000E07C7" w:rsidRDefault="000E07C7" w:rsidP="000E07C7">
            <w:pPr>
              <w:pStyle w:val="TableCell"/>
              <w:rPr>
                <w:sz w:val="24"/>
                <w:lang w:val="ga-IE" w:eastAsia="en-GB"/>
              </w:rPr>
            </w:pPr>
            <w:r w:rsidRPr="000E07C7">
              <w:rPr>
                <w:sz w:val="24"/>
                <w:lang w:val="ga-IE" w:eastAsia="en-GB"/>
              </w:rPr>
              <w:t>2,807,709</w:t>
            </w:r>
          </w:p>
        </w:tc>
      </w:tr>
      <w:tr w:rsidR="000E07C7" w:rsidRPr="000E07C7" w14:paraId="0A2085A4" w14:textId="77777777" w:rsidTr="004167E2">
        <w:tc>
          <w:tcPr>
            <w:tcW w:w="2411" w:type="dxa"/>
            <w:shd w:val="clear" w:color="auto" w:fill="auto"/>
            <w:vAlign w:val="bottom"/>
          </w:tcPr>
          <w:p w14:paraId="1A66CF8B" w14:textId="77777777" w:rsidR="000E07C7" w:rsidRPr="000E07C7" w:rsidRDefault="000E07C7" w:rsidP="000E07C7">
            <w:pPr>
              <w:pStyle w:val="TableRowHead"/>
              <w:rPr>
                <w:rFonts w:ascii="Gill Sans" w:hAnsi="Gill Sans"/>
                <w:bCs/>
                <w:sz w:val="24"/>
                <w:lang w:val="ga-IE" w:eastAsia="en-GB"/>
              </w:rPr>
            </w:pPr>
          </w:p>
        </w:tc>
        <w:tc>
          <w:tcPr>
            <w:tcW w:w="1559" w:type="dxa"/>
            <w:vAlign w:val="bottom"/>
          </w:tcPr>
          <w:p w14:paraId="7534CBFA" w14:textId="77777777" w:rsidR="000E07C7" w:rsidRPr="000E07C7" w:rsidRDefault="000E07C7" w:rsidP="000E07C7">
            <w:pPr>
              <w:pStyle w:val="TableCell"/>
              <w:rPr>
                <w:sz w:val="24"/>
                <w:lang w:val="ga-IE" w:eastAsia="en-GB"/>
              </w:rPr>
            </w:pPr>
          </w:p>
        </w:tc>
        <w:tc>
          <w:tcPr>
            <w:tcW w:w="1559" w:type="dxa"/>
            <w:vAlign w:val="bottom"/>
          </w:tcPr>
          <w:p w14:paraId="058236C7" w14:textId="77777777" w:rsidR="000E07C7" w:rsidRPr="000E07C7" w:rsidRDefault="000E07C7" w:rsidP="000E07C7">
            <w:pPr>
              <w:pStyle w:val="TableCell"/>
              <w:rPr>
                <w:sz w:val="24"/>
                <w:lang w:val="ga-IE" w:eastAsia="en-GB"/>
              </w:rPr>
            </w:pPr>
          </w:p>
        </w:tc>
        <w:tc>
          <w:tcPr>
            <w:tcW w:w="1276" w:type="dxa"/>
            <w:vAlign w:val="bottom"/>
          </w:tcPr>
          <w:p w14:paraId="6F7C14A1" w14:textId="77777777" w:rsidR="000E07C7" w:rsidRPr="000E07C7" w:rsidRDefault="000E07C7" w:rsidP="000E07C7">
            <w:pPr>
              <w:pStyle w:val="TableCell"/>
              <w:rPr>
                <w:sz w:val="24"/>
                <w:lang w:val="ga-IE" w:eastAsia="en-GB"/>
              </w:rPr>
            </w:pPr>
          </w:p>
        </w:tc>
        <w:tc>
          <w:tcPr>
            <w:tcW w:w="1348" w:type="dxa"/>
            <w:vAlign w:val="bottom"/>
          </w:tcPr>
          <w:p w14:paraId="0630685E" w14:textId="77777777" w:rsidR="000E07C7" w:rsidRPr="000E07C7" w:rsidRDefault="000E07C7" w:rsidP="000E07C7">
            <w:pPr>
              <w:pStyle w:val="TableCell"/>
              <w:rPr>
                <w:sz w:val="24"/>
                <w:lang w:val="ga-IE" w:eastAsia="en-GB"/>
              </w:rPr>
            </w:pPr>
          </w:p>
        </w:tc>
      </w:tr>
      <w:tr w:rsidR="000E07C7" w:rsidRPr="000E07C7" w14:paraId="5A7E0807" w14:textId="77777777" w:rsidTr="004167E2">
        <w:tc>
          <w:tcPr>
            <w:tcW w:w="2411" w:type="dxa"/>
            <w:shd w:val="clear" w:color="auto" w:fill="auto"/>
            <w:vAlign w:val="bottom"/>
          </w:tcPr>
          <w:p w14:paraId="1CB38D7E" w14:textId="77777777" w:rsidR="000E07C7" w:rsidRPr="000E07C7" w:rsidRDefault="000E07C7" w:rsidP="000E07C7">
            <w:pPr>
              <w:pStyle w:val="TableRowHead"/>
              <w:rPr>
                <w:rFonts w:ascii="Gill Sans" w:hAnsi="Gill Sans"/>
                <w:bCs/>
                <w:sz w:val="24"/>
                <w:lang w:val="ga-IE" w:eastAsia="en-GB"/>
              </w:rPr>
            </w:pPr>
            <w:r w:rsidRPr="000E07C7">
              <w:rPr>
                <w:rFonts w:ascii="Gill Sans" w:hAnsi="Gill Sans"/>
                <w:bCs/>
                <w:sz w:val="24"/>
                <w:lang w:val="ga-IE" w:eastAsia="en-GB"/>
              </w:rPr>
              <w:t>Glanluach Leabhar amhail an 31 Nollaig 2013</w:t>
            </w:r>
          </w:p>
        </w:tc>
        <w:tc>
          <w:tcPr>
            <w:tcW w:w="1559" w:type="dxa"/>
            <w:vAlign w:val="bottom"/>
          </w:tcPr>
          <w:p w14:paraId="2F47D4FE" w14:textId="77777777" w:rsidR="000E07C7" w:rsidRPr="000E07C7" w:rsidRDefault="000E07C7" w:rsidP="000E07C7">
            <w:pPr>
              <w:pStyle w:val="TableCell"/>
              <w:rPr>
                <w:sz w:val="24"/>
                <w:lang w:val="ga-IE" w:eastAsia="en-GB"/>
              </w:rPr>
            </w:pPr>
            <w:r w:rsidRPr="000E07C7">
              <w:rPr>
                <w:sz w:val="24"/>
                <w:lang w:val="ga-IE" w:eastAsia="en-GB"/>
              </w:rPr>
              <w:t xml:space="preserve">2,008 </w:t>
            </w:r>
          </w:p>
        </w:tc>
        <w:tc>
          <w:tcPr>
            <w:tcW w:w="1559" w:type="dxa"/>
            <w:vAlign w:val="bottom"/>
          </w:tcPr>
          <w:p w14:paraId="71C2F348" w14:textId="77777777" w:rsidR="000E07C7" w:rsidRPr="000E07C7" w:rsidRDefault="000E07C7" w:rsidP="000E07C7">
            <w:pPr>
              <w:pStyle w:val="TableCell"/>
              <w:rPr>
                <w:sz w:val="24"/>
                <w:lang w:val="ga-IE" w:eastAsia="en-GB"/>
              </w:rPr>
            </w:pPr>
            <w:r w:rsidRPr="000E07C7">
              <w:rPr>
                <w:sz w:val="24"/>
                <w:lang w:val="ga-IE" w:eastAsia="en-GB"/>
              </w:rPr>
              <w:t xml:space="preserve">904 </w:t>
            </w:r>
          </w:p>
        </w:tc>
        <w:tc>
          <w:tcPr>
            <w:tcW w:w="1276" w:type="dxa"/>
            <w:vAlign w:val="bottom"/>
          </w:tcPr>
          <w:p w14:paraId="5EFBF748" w14:textId="77777777" w:rsidR="000E07C7" w:rsidRPr="000E07C7" w:rsidRDefault="000E07C7" w:rsidP="000E07C7">
            <w:pPr>
              <w:pStyle w:val="TableCell"/>
              <w:rPr>
                <w:sz w:val="24"/>
                <w:lang w:val="ga-IE" w:eastAsia="en-GB"/>
              </w:rPr>
            </w:pPr>
            <w:r w:rsidRPr="000E07C7">
              <w:rPr>
                <w:sz w:val="24"/>
                <w:lang w:val="ga-IE" w:eastAsia="en-GB"/>
              </w:rPr>
              <w:t xml:space="preserve">2,866,555 </w:t>
            </w:r>
          </w:p>
        </w:tc>
        <w:tc>
          <w:tcPr>
            <w:tcW w:w="1348" w:type="dxa"/>
            <w:vAlign w:val="bottom"/>
          </w:tcPr>
          <w:p w14:paraId="034A752E" w14:textId="77777777" w:rsidR="000E07C7" w:rsidRPr="000E07C7" w:rsidRDefault="000E07C7" w:rsidP="000E07C7">
            <w:pPr>
              <w:pStyle w:val="TableCell"/>
              <w:rPr>
                <w:sz w:val="24"/>
                <w:lang w:val="ga-IE" w:eastAsia="en-GB"/>
              </w:rPr>
            </w:pPr>
            <w:r w:rsidRPr="000E07C7">
              <w:rPr>
                <w:sz w:val="24"/>
                <w:lang w:val="ga-IE" w:eastAsia="en-GB"/>
              </w:rPr>
              <w:t xml:space="preserve">2,869,467 </w:t>
            </w:r>
          </w:p>
        </w:tc>
      </w:tr>
    </w:tbl>
    <w:p w14:paraId="3006D5BB" w14:textId="77777777" w:rsidR="000E07C7" w:rsidRPr="000E07C7" w:rsidRDefault="000E07C7" w:rsidP="000E07C7">
      <w:pPr>
        <w:rPr>
          <w:lang w:val="ga-IE"/>
        </w:rPr>
      </w:pPr>
      <w:r w:rsidRPr="000E07C7">
        <w:rPr>
          <w:lang w:val="ga-IE"/>
        </w:rPr>
        <w:br/>
        <w:t xml:space="preserve">Oibríonn an tÚdarás a ngnó óna n-áitreabh ag 25 Bóthar </w:t>
      </w:r>
      <w:proofErr w:type="spellStart"/>
      <w:r w:rsidRPr="000E07C7">
        <w:rPr>
          <w:lang w:val="ga-IE"/>
        </w:rPr>
        <w:t>Chluaidh</w:t>
      </w:r>
      <w:proofErr w:type="spellEnd"/>
      <w:r w:rsidRPr="000E07C7">
        <w:rPr>
          <w:lang w:val="ga-IE"/>
        </w:rPr>
        <w:t>, Droichead na Dothra, Baile Átha Cliath 4, a bhfuil siad ina n-úinéir air.</w:t>
      </w:r>
      <w:r w:rsidR="00D00624">
        <w:rPr>
          <w:lang w:val="ga-IE"/>
        </w:rPr>
        <w:t xml:space="preserve"> </w:t>
      </w:r>
      <w:r w:rsidRPr="000E07C7">
        <w:rPr>
          <w:lang w:val="ga-IE"/>
        </w:rPr>
        <w:t xml:space="preserve">Níl aon </w:t>
      </w:r>
      <w:proofErr w:type="spellStart"/>
      <w:r w:rsidRPr="000E07C7">
        <w:rPr>
          <w:lang w:val="ga-IE"/>
        </w:rPr>
        <w:t>réadmhaoin</w:t>
      </w:r>
      <w:proofErr w:type="spellEnd"/>
      <w:r w:rsidRPr="000E07C7">
        <w:rPr>
          <w:lang w:val="ga-IE"/>
        </w:rPr>
        <w:t xml:space="preserve"> eile ag an Údarás agus ní léasaíonn siad aon </w:t>
      </w:r>
      <w:proofErr w:type="spellStart"/>
      <w:r w:rsidRPr="000E07C7">
        <w:rPr>
          <w:lang w:val="ga-IE"/>
        </w:rPr>
        <w:t>réadmhaoin</w:t>
      </w:r>
      <w:proofErr w:type="spellEnd"/>
      <w:r w:rsidRPr="000E07C7">
        <w:rPr>
          <w:lang w:val="ga-IE"/>
        </w:rPr>
        <w:t xml:space="preserve"> eile.</w:t>
      </w:r>
    </w:p>
    <w:p w14:paraId="1142219B" w14:textId="77777777" w:rsidR="000E07C7" w:rsidRPr="000E07C7" w:rsidRDefault="000E07C7" w:rsidP="000E07C7">
      <w:pPr>
        <w:pStyle w:val="Heading3"/>
        <w:rPr>
          <w:lang w:val="ga-IE" w:eastAsia="en-GB"/>
        </w:rPr>
      </w:pPr>
      <w:r w:rsidRPr="000E07C7">
        <w:rPr>
          <w:lang w:val="ga-IE" w:eastAsia="en-GB"/>
        </w:rPr>
        <w:t>8. An Cuntas Caipitil</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775"/>
        <w:gridCol w:w="980"/>
        <w:gridCol w:w="1583"/>
        <w:gridCol w:w="1583"/>
      </w:tblGrid>
      <w:tr w:rsidR="000E07C7" w:rsidRPr="000E07C7" w14:paraId="25AA9B3B" w14:textId="77777777" w:rsidTr="000E07C7">
        <w:trPr>
          <w:tblHeader/>
        </w:trPr>
        <w:tc>
          <w:tcPr>
            <w:tcW w:w="3892" w:type="dxa"/>
            <w:vAlign w:val="bottom"/>
          </w:tcPr>
          <w:p w14:paraId="310FF367" w14:textId="77777777" w:rsidR="000E07C7" w:rsidRPr="000E07C7" w:rsidRDefault="000E07C7" w:rsidP="000E07C7">
            <w:pPr>
              <w:spacing w:after="0"/>
              <w:rPr>
                <w:rFonts w:cs="Arial"/>
                <w:lang w:val="ga-IE" w:eastAsia="en-GB"/>
              </w:rPr>
            </w:pPr>
          </w:p>
        </w:tc>
        <w:tc>
          <w:tcPr>
            <w:tcW w:w="1005" w:type="dxa"/>
            <w:vAlign w:val="bottom"/>
          </w:tcPr>
          <w:p w14:paraId="4BF983D2" w14:textId="77777777" w:rsidR="000E07C7" w:rsidRPr="000E07C7" w:rsidRDefault="000E07C7" w:rsidP="000E07C7">
            <w:pPr>
              <w:pStyle w:val="TableHead"/>
              <w:rPr>
                <w:lang w:val="ga-IE" w:eastAsia="en-GB"/>
              </w:rPr>
            </w:pPr>
            <w:r w:rsidRPr="000E07C7">
              <w:rPr>
                <w:lang w:val="ga-IE" w:eastAsia="en-GB"/>
              </w:rPr>
              <w:t>Nótaí</w:t>
            </w:r>
          </w:p>
        </w:tc>
        <w:tc>
          <w:tcPr>
            <w:tcW w:w="1628" w:type="dxa"/>
            <w:vAlign w:val="bottom"/>
          </w:tcPr>
          <w:p w14:paraId="3E42DB1E" w14:textId="77777777" w:rsidR="000E07C7" w:rsidRPr="000E07C7" w:rsidRDefault="000E07C7" w:rsidP="000E07C7">
            <w:pPr>
              <w:pStyle w:val="TableHead"/>
              <w:jc w:val="center"/>
              <w:rPr>
                <w:bCs/>
                <w:lang w:val="ga-IE" w:eastAsia="en-GB"/>
              </w:rPr>
            </w:pPr>
            <w:r w:rsidRPr="000E07C7">
              <w:rPr>
                <w:bCs/>
                <w:lang w:val="ga-IE" w:eastAsia="en-GB"/>
              </w:rPr>
              <w:t>2014</w:t>
            </w:r>
          </w:p>
        </w:tc>
        <w:tc>
          <w:tcPr>
            <w:tcW w:w="1628" w:type="dxa"/>
            <w:vAlign w:val="bottom"/>
          </w:tcPr>
          <w:p w14:paraId="25DCE0D9" w14:textId="77777777" w:rsidR="000E07C7" w:rsidRPr="000E07C7" w:rsidRDefault="000E07C7" w:rsidP="000E07C7">
            <w:pPr>
              <w:pStyle w:val="TableHead"/>
              <w:jc w:val="center"/>
              <w:rPr>
                <w:bCs/>
                <w:lang w:val="ga-IE" w:eastAsia="en-GB"/>
              </w:rPr>
            </w:pPr>
            <w:r w:rsidRPr="000E07C7">
              <w:rPr>
                <w:bCs/>
                <w:lang w:val="ga-IE" w:eastAsia="en-GB"/>
              </w:rPr>
              <w:t>2013</w:t>
            </w:r>
          </w:p>
        </w:tc>
      </w:tr>
      <w:tr w:rsidR="000E07C7" w:rsidRPr="000E07C7" w14:paraId="206B2B7F" w14:textId="77777777" w:rsidTr="000E07C7">
        <w:tc>
          <w:tcPr>
            <w:tcW w:w="3892" w:type="dxa"/>
            <w:vAlign w:val="bottom"/>
          </w:tcPr>
          <w:p w14:paraId="1D11FB54" w14:textId="77777777" w:rsidR="000E07C7" w:rsidRPr="000E07C7" w:rsidRDefault="000E07C7" w:rsidP="000E07C7">
            <w:pPr>
              <w:spacing w:after="0"/>
              <w:rPr>
                <w:rFonts w:cs="Arial"/>
                <w:lang w:val="ga-IE" w:eastAsia="en-GB"/>
              </w:rPr>
            </w:pPr>
          </w:p>
        </w:tc>
        <w:tc>
          <w:tcPr>
            <w:tcW w:w="1005" w:type="dxa"/>
            <w:vAlign w:val="bottom"/>
          </w:tcPr>
          <w:p w14:paraId="55E397A3" w14:textId="77777777" w:rsidR="000E07C7" w:rsidRPr="000E07C7" w:rsidRDefault="000E07C7" w:rsidP="000E07C7">
            <w:pPr>
              <w:spacing w:after="0"/>
              <w:rPr>
                <w:rFonts w:cs="Arial"/>
                <w:lang w:val="ga-IE" w:eastAsia="en-GB"/>
              </w:rPr>
            </w:pPr>
          </w:p>
        </w:tc>
        <w:tc>
          <w:tcPr>
            <w:tcW w:w="1628" w:type="dxa"/>
            <w:vAlign w:val="bottom"/>
          </w:tcPr>
          <w:p w14:paraId="173D250E"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1628" w:type="dxa"/>
            <w:vAlign w:val="bottom"/>
          </w:tcPr>
          <w:p w14:paraId="1FC33F96"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1EE94F7B" w14:textId="77777777" w:rsidTr="000E07C7">
        <w:tc>
          <w:tcPr>
            <w:tcW w:w="3892" w:type="dxa"/>
            <w:vAlign w:val="bottom"/>
          </w:tcPr>
          <w:p w14:paraId="4A705DFC"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lastRenderedPageBreak/>
              <w:t>Iarmhéid amhail an 1 Eanáir</w:t>
            </w:r>
          </w:p>
        </w:tc>
        <w:tc>
          <w:tcPr>
            <w:tcW w:w="1005" w:type="dxa"/>
            <w:vAlign w:val="bottom"/>
          </w:tcPr>
          <w:p w14:paraId="53D264E3" w14:textId="77777777" w:rsidR="000E07C7" w:rsidRPr="000E07C7" w:rsidRDefault="000E07C7" w:rsidP="000E07C7">
            <w:pPr>
              <w:spacing w:after="0"/>
              <w:rPr>
                <w:rFonts w:cs="Arial"/>
                <w:lang w:val="ga-IE" w:eastAsia="en-GB"/>
              </w:rPr>
            </w:pPr>
          </w:p>
        </w:tc>
        <w:tc>
          <w:tcPr>
            <w:tcW w:w="1628" w:type="dxa"/>
            <w:vAlign w:val="bottom"/>
          </w:tcPr>
          <w:p w14:paraId="49753839" w14:textId="77777777" w:rsidR="000E07C7" w:rsidRPr="000E07C7" w:rsidRDefault="000E07C7" w:rsidP="000E07C7">
            <w:pPr>
              <w:spacing w:after="0"/>
              <w:jc w:val="right"/>
              <w:rPr>
                <w:rFonts w:cs="Arial"/>
                <w:lang w:val="ga-IE" w:eastAsia="en-GB"/>
              </w:rPr>
            </w:pPr>
            <w:r w:rsidRPr="000E07C7">
              <w:rPr>
                <w:rFonts w:cs="Arial"/>
                <w:lang w:val="ga-IE" w:eastAsia="en-GB"/>
              </w:rPr>
              <w:t>2,869,467</w:t>
            </w:r>
          </w:p>
        </w:tc>
        <w:tc>
          <w:tcPr>
            <w:tcW w:w="1628" w:type="dxa"/>
            <w:vAlign w:val="bottom"/>
          </w:tcPr>
          <w:p w14:paraId="30FAC1CB" w14:textId="77777777" w:rsidR="000E07C7" w:rsidRPr="000E07C7" w:rsidRDefault="000E07C7" w:rsidP="000E07C7">
            <w:pPr>
              <w:spacing w:after="0"/>
              <w:jc w:val="right"/>
              <w:rPr>
                <w:rFonts w:cs="Arial"/>
                <w:lang w:val="ga-IE" w:eastAsia="en-GB"/>
              </w:rPr>
            </w:pPr>
            <w:r w:rsidRPr="000E07C7">
              <w:rPr>
                <w:rFonts w:cs="Arial"/>
                <w:lang w:val="ga-IE" w:eastAsia="en-GB"/>
              </w:rPr>
              <w:t>2,943,942</w:t>
            </w:r>
          </w:p>
        </w:tc>
      </w:tr>
      <w:tr w:rsidR="000E07C7" w:rsidRPr="000E07C7" w14:paraId="36769083" w14:textId="77777777" w:rsidTr="000E07C7">
        <w:tc>
          <w:tcPr>
            <w:tcW w:w="3892" w:type="dxa"/>
            <w:vAlign w:val="bottom"/>
          </w:tcPr>
          <w:p w14:paraId="779AE724"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Ioncam a úsáideadh chun sócmhainní seasta a cheannach</w:t>
            </w:r>
          </w:p>
        </w:tc>
        <w:tc>
          <w:tcPr>
            <w:tcW w:w="1005" w:type="dxa"/>
            <w:vAlign w:val="bottom"/>
          </w:tcPr>
          <w:p w14:paraId="0CA23888"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7 </w:t>
            </w:r>
          </w:p>
        </w:tc>
        <w:tc>
          <w:tcPr>
            <w:tcW w:w="1628" w:type="dxa"/>
            <w:vAlign w:val="bottom"/>
          </w:tcPr>
          <w:p w14:paraId="465F74F9"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5,179 </w:t>
            </w:r>
          </w:p>
        </w:tc>
        <w:tc>
          <w:tcPr>
            <w:tcW w:w="1628" w:type="dxa"/>
            <w:vAlign w:val="bottom"/>
          </w:tcPr>
          <w:p w14:paraId="57175DCE"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0 </w:t>
            </w:r>
          </w:p>
        </w:tc>
      </w:tr>
      <w:tr w:rsidR="000E07C7" w:rsidRPr="000E07C7" w14:paraId="4E414E86" w14:textId="77777777" w:rsidTr="000E07C7">
        <w:tc>
          <w:tcPr>
            <w:tcW w:w="3892" w:type="dxa"/>
            <w:vAlign w:val="bottom"/>
          </w:tcPr>
          <w:p w14:paraId="7D92C1E9"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Ioncam a amúchadh sa bhliain ar aon dul le dímheas sócmhainní</w:t>
            </w:r>
          </w:p>
        </w:tc>
        <w:tc>
          <w:tcPr>
            <w:tcW w:w="1005" w:type="dxa"/>
            <w:vAlign w:val="bottom"/>
          </w:tcPr>
          <w:p w14:paraId="0225FD10"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7 </w:t>
            </w:r>
          </w:p>
        </w:tc>
        <w:tc>
          <w:tcPr>
            <w:tcW w:w="1628" w:type="dxa"/>
            <w:vAlign w:val="bottom"/>
          </w:tcPr>
          <w:p w14:paraId="0669F435" w14:textId="77777777" w:rsidR="000E07C7" w:rsidRPr="000E07C7" w:rsidRDefault="000E07C7" w:rsidP="000E07C7">
            <w:pPr>
              <w:spacing w:after="0"/>
              <w:jc w:val="right"/>
              <w:rPr>
                <w:rFonts w:cs="Arial"/>
                <w:lang w:val="ga-IE" w:eastAsia="en-GB"/>
              </w:rPr>
            </w:pPr>
            <w:r w:rsidRPr="000E07C7">
              <w:rPr>
                <w:rFonts w:cs="Arial"/>
                <w:lang w:val="ga-IE" w:eastAsia="en-GB"/>
              </w:rPr>
              <w:t>(73,963)</w:t>
            </w:r>
          </w:p>
        </w:tc>
        <w:tc>
          <w:tcPr>
            <w:tcW w:w="1628" w:type="dxa"/>
            <w:vAlign w:val="bottom"/>
          </w:tcPr>
          <w:p w14:paraId="29CA3ADF" w14:textId="77777777" w:rsidR="000E07C7" w:rsidRPr="000E07C7" w:rsidRDefault="000E07C7" w:rsidP="000E07C7">
            <w:pPr>
              <w:spacing w:after="0"/>
              <w:jc w:val="right"/>
              <w:rPr>
                <w:rFonts w:cs="Arial"/>
                <w:lang w:val="ga-IE" w:eastAsia="en-GB"/>
              </w:rPr>
            </w:pPr>
            <w:r w:rsidRPr="000E07C7">
              <w:rPr>
                <w:rFonts w:cs="Arial"/>
                <w:lang w:val="ga-IE" w:eastAsia="en-GB"/>
              </w:rPr>
              <w:t>(74,475)</w:t>
            </w:r>
          </w:p>
        </w:tc>
      </w:tr>
      <w:tr w:rsidR="000E07C7" w:rsidRPr="000E07C7" w14:paraId="3F979CAB" w14:textId="77777777" w:rsidTr="000E07C7">
        <w:tc>
          <w:tcPr>
            <w:tcW w:w="3892" w:type="dxa"/>
            <w:vAlign w:val="bottom"/>
          </w:tcPr>
          <w:p w14:paraId="3A6E4D40"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Aistriú (chuig) / ón gCuntas Ioncaim agus Caiteachais:</w:t>
            </w:r>
          </w:p>
        </w:tc>
        <w:tc>
          <w:tcPr>
            <w:tcW w:w="1005" w:type="dxa"/>
            <w:vAlign w:val="bottom"/>
          </w:tcPr>
          <w:p w14:paraId="349654E3" w14:textId="77777777" w:rsidR="000E07C7" w:rsidRPr="000E07C7" w:rsidRDefault="000E07C7" w:rsidP="000E07C7">
            <w:pPr>
              <w:spacing w:after="0"/>
              <w:jc w:val="right"/>
              <w:rPr>
                <w:rFonts w:cs="Arial"/>
                <w:lang w:val="ga-IE" w:eastAsia="en-GB"/>
              </w:rPr>
            </w:pPr>
          </w:p>
        </w:tc>
        <w:tc>
          <w:tcPr>
            <w:tcW w:w="1628" w:type="dxa"/>
            <w:vAlign w:val="bottom"/>
          </w:tcPr>
          <w:p w14:paraId="06434AA1" w14:textId="77777777" w:rsidR="000E07C7" w:rsidRPr="000E07C7" w:rsidRDefault="000E07C7" w:rsidP="000E07C7">
            <w:pPr>
              <w:spacing w:after="0"/>
              <w:jc w:val="right"/>
              <w:rPr>
                <w:rFonts w:cs="Arial"/>
                <w:lang w:val="ga-IE" w:eastAsia="en-GB"/>
              </w:rPr>
            </w:pPr>
            <w:r w:rsidRPr="000E07C7">
              <w:rPr>
                <w:rFonts w:cs="Arial"/>
                <w:lang w:val="ga-IE" w:eastAsia="en-GB"/>
              </w:rPr>
              <w:t>(68,784)</w:t>
            </w:r>
          </w:p>
        </w:tc>
        <w:tc>
          <w:tcPr>
            <w:tcW w:w="1628" w:type="dxa"/>
            <w:vAlign w:val="bottom"/>
          </w:tcPr>
          <w:p w14:paraId="5E92C4E0" w14:textId="77777777" w:rsidR="000E07C7" w:rsidRPr="000E07C7" w:rsidRDefault="000E07C7" w:rsidP="000E07C7">
            <w:pPr>
              <w:spacing w:after="0"/>
              <w:jc w:val="right"/>
              <w:rPr>
                <w:rFonts w:cs="Arial"/>
                <w:lang w:val="ga-IE" w:eastAsia="en-GB"/>
              </w:rPr>
            </w:pPr>
            <w:r w:rsidRPr="000E07C7">
              <w:rPr>
                <w:rFonts w:cs="Arial"/>
                <w:lang w:val="ga-IE" w:eastAsia="en-GB"/>
              </w:rPr>
              <w:t>(74,475)</w:t>
            </w:r>
          </w:p>
        </w:tc>
      </w:tr>
      <w:tr w:rsidR="000E07C7" w:rsidRPr="000E07C7" w14:paraId="26799BD9" w14:textId="77777777" w:rsidTr="000E07C7">
        <w:tc>
          <w:tcPr>
            <w:tcW w:w="3892" w:type="dxa"/>
            <w:vAlign w:val="bottom"/>
          </w:tcPr>
          <w:p w14:paraId="3662170D" w14:textId="77777777" w:rsidR="000E07C7" w:rsidRPr="000E07C7" w:rsidRDefault="000E07C7" w:rsidP="000E07C7">
            <w:pPr>
              <w:pStyle w:val="TableRowHead"/>
              <w:rPr>
                <w:rFonts w:ascii="Gill Sans" w:hAnsi="Gill Sans"/>
                <w:sz w:val="24"/>
                <w:lang w:val="ga-IE" w:eastAsia="en-GB"/>
              </w:rPr>
            </w:pPr>
          </w:p>
        </w:tc>
        <w:tc>
          <w:tcPr>
            <w:tcW w:w="1005" w:type="dxa"/>
            <w:vAlign w:val="bottom"/>
          </w:tcPr>
          <w:p w14:paraId="6C1B19C6" w14:textId="77777777" w:rsidR="000E07C7" w:rsidRPr="000E07C7" w:rsidRDefault="000E07C7" w:rsidP="000E07C7">
            <w:pPr>
              <w:spacing w:after="0"/>
              <w:jc w:val="right"/>
              <w:rPr>
                <w:rFonts w:cs="Arial"/>
                <w:lang w:val="ga-IE" w:eastAsia="en-GB"/>
              </w:rPr>
            </w:pPr>
          </w:p>
        </w:tc>
        <w:tc>
          <w:tcPr>
            <w:tcW w:w="1628" w:type="dxa"/>
            <w:vAlign w:val="bottom"/>
          </w:tcPr>
          <w:p w14:paraId="66B8A8C7" w14:textId="77777777" w:rsidR="000E07C7" w:rsidRPr="000E07C7" w:rsidRDefault="000E07C7" w:rsidP="000E07C7">
            <w:pPr>
              <w:spacing w:after="0"/>
              <w:jc w:val="right"/>
              <w:rPr>
                <w:rFonts w:cs="Arial"/>
                <w:lang w:val="ga-IE" w:eastAsia="en-GB"/>
              </w:rPr>
            </w:pPr>
          </w:p>
        </w:tc>
        <w:tc>
          <w:tcPr>
            <w:tcW w:w="1628" w:type="dxa"/>
            <w:vAlign w:val="bottom"/>
          </w:tcPr>
          <w:p w14:paraId="552FD134" w14:textId="77777777" w:rsidR="000E07C7" w:rsidRPr="000E07C7" w:rsidRDefault="000E07C7" w:rsidP="000E07C7">
            <w:pPr>
              <w:spacing w:after="0"/>
              <w:jc w:val="right"/>
              <w:rPr>
                <w:rFonts w:cs="Arial"/>
                <w:lang w:val="ga-IE" w:eastAsia="en-GB"/>
              </w:rPr>
            </w:pPr>
          </w:p>
        </w:tc>
      </w:tr>
      <w:tr w:rsidR="000E07C7" w:rsidRPr="000E07C7" w14:paraId="78F47B7E" w14:textId="77777777" w:rsidTr="000E07C7">
        <w:tc>
          <w:tcPr>
            <w:tcW w:w="3892" w:type="dxa"/>
            <w:vAlign w:val="bottom"/>
          </w:tcPr>
          <w:p w14:paraId="225C9326"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Athrangú Sócmhainní Seasta </w:t>
            </w:r>
          </w:p>
        </w:tc>
        <w:tc>
          <w:tcPr>
            <w:tcW w:w="1005" w:type="dxa"/>
            <w:vAlign w:val="bottom"/>
          </w:tcPr>
          <w:p w14:paraId="5485DEF0"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7 </w:t>
            </w:r>
          </w:p>
        </w:tc>
        <w:tc>
          <w:tcPr>
            <w:tcW w:w="1628" w:type="dxa"/>
            <w:vAlign w:val="bottom"/>
          </w:tcPr>
          <w:p w14:paraId="2EC677A1" w14:textId="77777777" w:rsidR="000E07C7" w:rsidRPr="000E07C7" w:rsidRDefault="000E07C7" w:rsidP="000E07C7">
            <w:pPr>
              <w:spacing w:after="0"/>
              <w:jc w:val="right"/>
              <w:rPr>
                <w:rFonts w:cs="Arial"/>
                <w:lang w:val="ga-IE" w:eastAsia="en-GB"/>
              </w:rPr>
            </w:pPr>
            <w:r w:rsidRPr="000E07C7">
              <w:rPr>
                <w:rFonts w:cs="Arial"/>
                <w:lang w:val="ga-IE" w:eastAsia="en-GB"/>
              </w:rPr>
              <w:t>7,026</w:t>
            </w:r>
          </w:p>
        </w:tc>
        <w:tc>
          <w:tcPr>
            <w:tcW w:w="1628" w:type="dxa"/>
            <w:vAlign w:val="bottom"/>
          </w:tcPr>
          <w:p w14:paraId="0EE8182F"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0 </w:t>
            </w:r>
          </w:p>
        </w:tc>
      </w:tr>
      <w:tr w:rsidR="000E07C7" w:rsidRPr="000E07C7" w14:paraId="69F6411B" w14:textId="77777777" w:rsidTr="000E07C7">
        <w:tc>
          <w:tcPr>
            <w:tcW w:w="3892" w:type="dxa"/>
            <w:vAlign w:val="bottom"/>
          </w:tcPr>
          <w:p w14:paraId="5632885C" w14:textId="77777777" w:rsidR="000E07C7" w:rsidRPr="000E07C7" w:rsidRDefault="000E07C7" w:rsidP="000E07C7">
            <w:pPr>
              <w:pStyle w:val="TableRowHead"/>
              <w:rPr>
                <w:rFonts w:ascii="Gill Sans" w:hAnsi="Gill Sans"/>
                <w:sz w:val="24"/>
                <w:lang w:val="ga-IE" w:eastAsia="en-GB"/>
              </w:rPr>
            </w:pPr>
          </w:p>
        </w:tc>
        <w:tc>
          <w:tcPr>
            <w:tcW w:w="1005" w:type="dxa"/>
            <w:vAlign w:val="bottom"/>
          </w:tcPr>
          <w:p w14:paraId="6BA6075D" w14:textId="77777777" w:rsidR="000E07C7" w:rsidRPr="000E07C7" w:rsidRDefault="000E07C7" w:rsidP="000E07C7">
            <w:pPr>
              <w:spacing w:after="0"/>
              <w:rPr>
                <w:rFonts w:cs="Arial"/>
                <w:lang w:val="ga-IE" w:eastAsia="en-GB"/>
              </w:rPr>
            </w:pPr>
          </w:p>
        </w:tc>
        <w:tc>
          <w:tcPr>
            <w:tcW w:w="1628" w:type="dxa"/>
            <w:vAlign w:val="bottom"/>
          </w:tcPr>
          <w:p w14:paraId="5B7561BC" w14:textId="77777777" w:rsidR="000E07C7" w:rsidRPr="000E07C7" w:rsidRDefault="000E07C7" w:rsidP="000E07C7">
            <w:pPr>
              <w:spacing w:after="0"/>
              <w:jc w:val="right"/>
              <w:rPr>
                <w:rFonts w:cs="Arial"/>
                <w:lang w:val="ga-IE" w:eastAsia="en-GB"/>
              </w:rPr>
            </w:pPr>
          </w:p>
        </w:tc>
        <w:tc>
          <w:tcPr>
            <w:tcW w:w="1628" w:type="dxa"/>
            <w:vAlign w:val="bottom"/>
          </w:tcPr>
          <w:p w14:paraId="41335951" w14:textId="77777777" w:rsidR="000E07C7" w:rsidRPr="000E07C7" w:rsidRDefault="000E07C7" w:rsidP="000E07C7">
            <w:pPr>
              <w:spacing w:after="0"/>
              <w:jc w:val="right"/>
              <w:rPr>
                <w:rFonts w:cs="Arial"/>
                <w:lang w:val="ga-IE" w:eastAsia="en-GB"/>
              </w:rPr>
            </w:pPr>
          </w:p>
        </w:tc>
      </w:tr>
      <w:tr w:rsidR="000E07C7" w:rsidRPr="000E07C7" w14:paraId="45911441" w14:textId="77777777" w:rsidTr="000E07C7">
        <w:tc>
          <w:tcPr>
            <w:tcW w:w="3892" w:type="dxa"/>
            <w:vAlign w:val="bottom"/>
          </w:tcPr>
          <w:p w14:paraId="272C89FE"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Gluaiseacht iomlán</w:t>
            </w:r>
          </w:p>
        </w:tc>
        <w:tc>
          <w:tcPr>
            <w:tcW w:w="1005" w:type="dxa"/>
            <w:vAlign w:val="bottom"/>
          </w:tcPr>
          <w:p w14:paraId="72B69F4D" w14:textId="77777777" w:rsidR="000E07C7" w:rsidRPr="000E07C7" w:rsidRDefault="000E07C7" w:rsidP="000E07C7">
            <w:pPr>
              <w:spacing w:after="0"/>
              <w:rPr>
                <w:rFonts w:cs="Arial"/>
                <w:lang w:val="ga-IE" w:eastAsia="en-GB"/>
              </w:rPr>
            </w:pPr>
          </w:p>
        </w:tc>
        <w:tc>
          <w:tcPr>
            <w:tcW w:w="1628" w:type="dxa"/>
            <w:vAlign w:val="bottom"/>
          </w:tcPr>
          <w:p w14:paraId="630A387E" w14:textId="77777777" w:rsidR="000E07C7" w:rsidRPr="000E07C7" w:rsidRDefault="000E07C7" w:rsidP="000E07C7">
            <w:pPr>
              <w:spacing w:after="0"/>
              <w:jc w:val="right"/>
              <w:rPr>
                <w:rFonts w:cs="Arial"/>
                <w:lang w:val="ga-IE" w:eastAsia="en-GB"/>
              </w:rPr>
            </w:pPr>
            <w:r w:rsidRPr="000E07C7">
              <w:rPr>
                <w:rFonts w:cs="Arial"/>
                <w:lang w:val="ga-IE" w:eastAsia="en-GB"/>
              </w:rPr>
              <w:t>(61,758)</w:t>
            </w:r>
          </w:p>
        </w:tc>
        <w:tc>
          <w:tcPr>
            <w:tcW w:w="1628" w:type="dxa"/>
            <w:vAlign w:val="bottom"/>
          </w:tcPr>
          <w:p w14:paraId="1A262CCA" w14:textId="77777777" w:rsidR="000E07C7" w:rsidRPr="000E07C7" w:rsidRDefault="000E07C7" w:rsidP="000E07C7">
            <w:pPr>
              <w:spacing w:after="0"/>
              <w:jc w:val="right"/>
              <w:rPr>
                <w:rFonts w:cs="Arial"/>
                <w:lang w:val="ga-IE" w:eastAsia="en-GB"/>
              </w:rPr>
            </w:pPr>
            <w:r w:rsidRPr="000E07C7">
              <w:rPr>
                <w:rFonts w:cs="Arial"/>
                <w:lang w:val="ga-IE" w:eastAsia="en-GB"/>
              </w:rPr>
              <w:t>(74,475)</w:t>
            </w:r>
          </w:p>
        </w:tc>
      </w:tr>
      <w:tr w:rsidR="000E07C7" w:rsidRPr="000E07C7" w14:paraId="014A966D" w14:textId="77777777" w:rsidTr="000E07C7">
        <w:tc>
          <w:tcPr>
            <w:tcW w:w="3892" w:type="dxa"/>
            <w:vAlign w:val="bottom"/>
          </w:tcPr>
          <w:p w14:paraId="69C2D76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Iarmhéid amhail an 31 Nollaig </w:t>
            </w:r>
          </w:p>
        </w:tc>
        <w:tc>
          <w:tcPr>
            <w:tcW w:w="1005" w:type="dxa"/>
            <w:vAlign w:val="bottom"/>
          </w:tcPr>
          <w:p w14:paraId="72CE89CB" w14:textId="77777777" w:rsidR="000E07C7" w:rsidRPr="000E07C7" w:rsidRDefault="000E07C7" w:rsidP="000E07C7">
            <w:pPr>
              <w:spacing w:after="0"/>
              <w:rPr>
                <w:rFonts w:cs="Arial"/>
                <w:lang w:val="ga-IE" w:eastAsia="en-GB"/>
              </w:rPr>
            </w:pPr>
          </w:p>
        </w:tc>
        <w:tc>
          <w:tcPr>
            <w:tcW w:w="1628" w:type="dxa"/>
            <w:vAlign w:val="bottom"/>
          </w:tcPr>
          <w:p w14:paraId="788928DA" w14:textId="77777777" w:rsidR="000E07C7" w:rsidRPr="000E07C7" w:rsidRDefault="000E07C7" w:rsidP="000E07C7">
            <w:pPr>
              <w:spacing w:after="0"/>
              <w:jc w:val="right"/>
              <w:rPr>
                <w:rFonts w:cs="Arial"/>
                <w:lang w:val="ga-IE" w:eastAsia="en-GB"/>
              </w:rPr>
            </w:pPr>
            <w:r w:rsidRPr="000E07C7">
              <w:rPr>
                <w:lang w:val="ga-IE" w:eastAsia="en-GB"/>
              </w:rPr>
              <w:t>2,807,709</w:t>
            </w:r>
          </w:p>
        </w:tc>
        <w:tc>
          <w:tcPr>
            <w:tcW w:w="1628" w:type="dxa"/>
            <w:vAlign w:val="bottom"/>
          </w:tcPr>
          <w:p w14:paraId="40F139FE" w14:textId="77777777" w:rsidR="000E07C7" w:rsidRPr="000E07C7" w:rsidRDefault="000E07C7" w:rsidP="000E07C7">
            <w:pPr>
              <w:spacing w:after="0"/>
              <w:jc w:val="right"/>
              <w:rPr>
                <w:rFonts w:cs="Arial"/>
                <w:lang w:val="ga-IE" w:eastAsia="en-GB"/>
              </w:rPr>
            </w:pPr>
            <w:r w:rsidRPr="000E07C7">
              <w:rPr>
                <w:rFonts w:cs="Arial"/>
                <w:lang w:val="ga-IE" w:eastAsia="en-GB"/>
              </w:rPr>
              <w:t xml:space="preserve">2,869,467 </w:t>
            </w:r>
          </w:p>
        </w:tc>
      </w:tr>
    </w:tbl>
    <w:p w14:paraId="25797C36" w14:textId="77777777" w:rsidR="000E07C7" w:rsidRPr="000E07C7" w:rsidRDefault="000E07C7" w:rsidP="000E07C7">
      <w:pPr>
        <w:rPr>
          <w:lang w:val="ga-IE"/>
        </w:rPr>
      </w:pPr>
    </w:p>
    <w:p w14:paraId="409EE854" w14:textId="77777777" w:rsidR="000E07C7" w:rsidRPr="000E07C7" w:rsidRDefault="000E07C7" w:rsidP="000E07C7">
      <w:pPr>
        <w:pStyle w:val="Heading3"/>
        <w:rPr>
          <w:lang w:val="ga-IE"/>
        </w:rPr>
      </w:pPr>
      <w:r w:rsidRPr="000E07C7">
        <w:rPr>
          <w:lang w:val="ga-IE"/>
        </w:rPr>
        <w:t xml:space="preserve">9. Réiteach Sreabhadh Airgid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265"/>
        <w:gridCol w:w="1828"/>
        <w:gridCol w:w="1828"/>
      </w:tblGrid>
      <w:tr w:rsidR="000E07C7" w:rsidRPr="000E07C7" w14:paraId="712CF256" w14:textId="77777777" w:rsidTr="000E07C7">
        <w:trPr>
          <w:tblHeader/>
        </w:trPr>
        <w:tc>
          <w:tcPr>
            <w:tcW w:w="4395" w:type="dxa"/>
            <w:shd w:val="clear" w:color="auto" w:fill="auto"/>
          </w:tcPr>
          <w:p w14:paraId="2B43B326" w14:textId="77777777" w:rsidR="000E07C7" w:rsidRPr="000E07C7" w:rsidRDefault="000E07C7" w:rsidP="000E07C7">
            <w:pPr>
              <w:pStyle w:val="TableHead"/>
              <w:jc w:val="right"/>
              <w:rPr>
                <w:lang w:val="ga-IE"/>
              </w:rPr>
            </w:pPr>
          </w:p>
        </w:tc>
        <w:tc>
          <w:tcPr>
            <w:tcW w:w="1879" w:type="dxa"/>
            <w:shd w:val="clear" w:color="auto" w:fill="auto"/>
            <w:vAlign w:val="bottom"/>
          </w:tcPr>
          <w:p w14:paraId="5F3C85AE" w14:textId="77777777" w:rsidR="000E07C7" w:rsidRPr="000E07C7" w:rsidRDefault="000E07C7" w:rsidP="000E07C7">
            <w:pPr>
              <w:pStyle w:val="TableHead"/>
              <w:jc w:val="center"/>
              <w:rPr>
                <w:bCs/>
                <w:lang w:val="ga-IE" w:eastAsia="en-GB"/>
              </w:rPr>
            </w:pPr>
            <w:r w:rsidRPr="000E07C7">
              <w:rPr>
                <w:bCs/>
                <w:lang w:val="ga-IE" w:eastAsia="en-GB"/>
              </w:rPr>
              <w:t>2014</w:t>
            </w:r>
          </w:p>
        </w:tc>
        <w:tc>
          <w:tcPr>
            <w:tcW w:w="1879" w:type="dxa"/>
            <w:shd w:val="clear" w:color="auto" w:fill="auto"/>
            <w:vAlign w:val="bottom"/>
          </w:tcPr>
          <w:p w14:paraId="2FE14BFD" w14:textId="77777777" w:rsidR="000E07C7" w:rsidRPr="000E07C7" w:rsidRDefault="000E07C7" w:rsidP="000E07C7">
            <w:pPr>
              <w:pStyle w:val="TableHead"/>
              <w:jc w:val="center"/>
              <w:rPr>
                <w:bCs/>
                <w:lang w:val="ga-IE" w:eastAsia="en-GB"/>
              </w:rPr>
            </w:pPr>
            <w:r w:rsidRPr="000E07C7">
              <w:rPr>
                <w:bCs/>
                <w:lang w:val="ga-IE" w:eastAsia="en-GB"/>
              </w:rPr>
              <w:t>2013</w:t>
            </w:r>
          </w:p>
        </w:tc>
      </w:tr>
      <w:tr w:rsidR="000E07C7" w:rsidRPr="000E07C7" w14:paraId="1CDCF988" w14:textId="77777777" w:rsidTr="000E07C7">
        <w:tc>
          <w:tcPr>
            <w:tcW w:w="4395" w:type="dxa"/>
            <w:shd w:val="clear" w:color="auto" w:fill="auto"/>
          </w:tcPr>
          <w:p w14:paraId="6459CDBE" w14:textId="77777777" w:rsidR="000E07C7" w:rsidRPr="000E07C7" w:rsidRDefault="000E07C7" w:rsidP="000E07C7">
            <w:pPr>
              <w:pStyle w:val="TableRowHead"/>
              <w:rPr>
                <w:lang w:val="ga-IE"/>
              </w:rPr>
            </w:pPr>
          </w:p>
        </w:tc>
        <w:tc>
          <w:tcPr>
            <w:tcW w:w="1879" w:type="dxa"/>
            <w:shd w:val="clear" w:color="auto" w:fill="auto"/>
            <w:vAlign w:val="bottom"/>
          </w:tcPr>
          <w:p w14:paraId="6436DFA4"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1879" w:type="dxa"/>
            <w:shd w:val="clear" w:color="auto" w:fill="auto"/>
            <w:vAlign w:val="bottom"/>
          </w:tcPr>
          <w:p w14:paraId="282E8CD1"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7514C289" w14:textId="77777777" w:rsidTr="000E07C7">
        <w:tc>
          <w:tcPr>
            <w:tcW w:w="8153" w:type="dxa"/>
            <w:gridSpan w:val="3"/>
            <w:shd w:val="clear" w:color="auto" w:fill="auto"/>
          </w:tcPr>
          <w:p w14:paraId="645D9472" w14:textId="77777777" w:rsidR="000E07C7" w:rsidRPr="000E07C7" w:rsidRDefault="000E07C7" w:rsidP="000E07C7">
            <w:pPr>
              <w:pStyle w:val="TableHead"/>
              <w:jc w:val="center"/>
              <w:rPr>
                <w:lang w:val="ga-IE"/>
              </w:rPr>
            </w:pPr>
            <w:r w:rsidRPr="000E07C7">
              <w:rPr>
                <w:lang w:val="ga-IE"/>
              </w:rPr>
              <w:t>9 (a) Réiteach an Bharrachais don Bhliain go dtí Airgead ó Ghníomhaíochtaí Oibriúcháin</w:t>
            </w:r>
          </w:p>
        </w:tc>
      </w:tr>
      <w:tr w:rsidR="000E07C7" w:rsidRPr="000E07C7" w14:paraId="4FB240F8" w14:textId="77777777" w:rsidTr="000E07C7">
        <w:tc>
          <w:tcPr>
            <w:tcW w:w="4395" w:type="dxa"/>
            <w:shd w:val="clear" w:color="auto" w:fill="auto"/>
            <w:vAlign w:val="bottom"/>
          </w:tcPr>
          <w:p w14:paraId="3877FBE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Barrachas don tréimhse</w:t>
            </w:r>
          </w:p>
        </w:tc>
        <w:tc>
          <w:tcPr>
            <w:tcW w:w="1879" w:type="dxa"/>
            <w:shd w:val="clear" w:color="auto" w:fill="auto"/>
            <w:vAlign w:val="bottom"/>
          </w:tcPr>
          <w:p w14:paraId="6E07A9C0" w14:textId="77777777" w:rsidR="000E07C7" w:rsidRPr="000E07C7" w:rsidRDefault="000E07C7" w:rsidP="000E07C7">
            <w:pPr>
              <w:pStyle w:val="TableCell"/>
              <w:rPr>
                <w:sz w:val="24"/>
                <w:lang w:val="ga-IE" w:eastAsia="en-GB"/>
              </w:rPr>
            </w:pPr>
            <w:r w:rsidRPr="000E07C7">
              <w:rPr>
                <w:sz w:val="24"/>
                <w:lang w:val="ga-IE" w:eastAsia="en-GB"/>
              </w:rPr>
              <w:t>71,178</w:t>
            </w:r>
          </w:p>
        </w:tc>
        <w:tc>
          <w:tcPr>
            <w:tcW w:w="1879" w:type="dxa"/>
            <w:shd w:val="clear" w:color="auto" w:fill="auto"/>
            <w:vAlign w:val="bottom"/>
          </w:tcPr>
          <w:p w14:paraId="37082CFA" w14:textId="77777777" w:rsidR="000E07C7" w:rsidRPr="000E07C7" w:rsidRDefault="000E07C7" w:rsidP="000E07C7">
            <w:pPr>
              <w:pStyle w:val="TableCell"/>
              <w:rPr>
                <w:sz w:val="24"/>
                <w:lang w:val="ga-IE" w:eastAsia="en-GB"/>
              </w:rPr>
            </w:pPr>
            <w:r w:rsidRPr="000E07C7">
              <w:rPr>
                <w:sz w:val="24"/>
                <w:lang w:val="ga-IE" w:eastAsia="en-GB"/>
              </w:rPr>
              <w:t>24,020</w:t>
            </w:r>
          </w:p>
        </w:tc>
      </w:tr>
      <w:tr w:rsidR="000E07C7" w:rsidRPr="000E07C7" w14:paraId="2559A61C" w14:textId="77777777" w:rsidTr="000E07C7">
        <w:tc>
          <w:tcPr>
            <w:tcW w:w="4395" w:type="dxa"/>
            <w:shd w:val="clear" w:color="auto" w:fill="auto"/>
            <w:vAlign w:val="bottom"/>
          </w:tcPr>
          <w:p w14:paraId="0473553F"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Coigeartú le haghaidh earraí </w:t>
            </w:r>
            <w:proofErr w:type="spellStart"/>
            <w:r w:rsidRPr="000E07C7">
              <w:rPr>
                <w:rFonts w:ascii="Gill Sans" w:hAnsi="Gill Sans"/>
                <w:sz w:val="24"/>
                <w:lang w:val="ga-IE" w:eastAsia="en-GB"/>
              </w:rPr>
              <w:t>neamhoibriúcháin</w:t>
            </w:r>
            <w:proofErr w:type="spellEnd"/>
          </w:p>
        </w:tc>
        <w:tc>
          <w:tcPr>
            <w:tcW w:w="1879" w:type="dxa"/>
            <w:shd w:val="clear" w:color="auto" w:fill="auto"/>
            <w:vAlign w:val="bottom"/>
          </w:tcPr>
          <w:p w14:paraId="5799FB9F" w14:textId="77777777" w:rsidR="000E07C7" w:rsidRPr="000E07C7" w:rsidRDefault="000E07C7" w:rsidP="000E07C7">
            <w:pPr>
              <w:pStyle w:val="TableCell"/>
              <w:rPr>
                <w:sz w:val="24"/>
                <w:lang w:val="ga-IE" w:eastAsia="en-GB"/>
              </w:rPr>
            </w:pPr>
          </w:p>
        </w:tc>
        <w:tc>
          <w:tcPr>
            <w:tcW w:w="1879" w:type="dxa"/>
            <w:shd w:val="clear" w:color="auto" w:fill="auto"/>
            <w:vAlign w:val="bottom"/>
          </w:tcPr>
          <w:p w14:paraId="4956E345" w14:textId="77777777" w:rsidR="000E07C7" w:rsidRPr="000E07C7" w:rsidRDefault="000E07C7" w:rsidP="000E07C7">
            <w:pPr>
              <w:pStyle w:val="TableCell"/>
              <w:rPr>
                <w:sz w:val="24"/>
                <w:lang w:val="ga-IE" w:eastAsia="en-GB"/>
              </w:rPr>
            </w:pPr>
          </w:p>
        </w:tc>
      </w:tr>
      <w:tr w:rsidR="000E07C7" w:rsidRPr="000E07C7" w14:paraId="43036A1E" w14:textId="77777777" w:rsidTr="000E07C7">
        <w:tc>
          <w:tcPr>
            <w:tcW w:w="4395" w:type="dxa"/>
            <w:shd w:val="clear" w:color="auto" w:fill="auto"/>
            <w:vAlign w:val="bottom"/>
          </w:tcPr>
          <w:p w14:paraId="7B46440E"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Ús Infhaighte</w:t>
            </w:r>
          </w:p>
        </w:tc>
        <w:tc>
          <w:tcPr>
            <w:tcW w:w="1879" w:type="dxa"/>
            <w:shd w:val="clear" w:color="auto" w:fill="auto"/>
            <w:vAlign w:val="bottom"/>
          </w:tcPr>
          <w:p w14:paraId="51ADBCA7" w14:textId="77777777" w:rsidR="000E07C7" w:rsidRPr="000E07C7" w:rsidRDefault="000E07C7" w:rsidP="000E07C7">
            <w:pPr>
              <w:pStyle w:val="TableCell"/>
              <w:rPr>
                <w:sz w:val="24"/>
                <w:lang w:val="ga-IE" w:eastAsia="en-GB"/>
              </w:rPr>
            </w:pPr>
            <w:r w:rsidRPr="000E07C7">
              <w:rPr>
                <w:sz w:val="24"/>
                <w:lang w:val="ga-IE" w:eastAsia="en-GB"/>
              </w:rPr>
              <w:t>0</w:t>
            </w:r>
          </w:p>
        </w:tc>
        <w:tc>
          <w:tcPr>
            <w:tcW w:w="1879" w:type="dxa"/>
            <w:shd w:val="clear" w:color="auto" w:fill="auto"/>
            <w:vAlign w:val="bottom"/>
          </w:tcPr>
          <w:p w14:paraId="112B3E58" w14:textId="77777777" w:rsidR="000E07C7" w:rsidRPr="000E07C7" w:rsidRDefault="000E07C7" w:rsidP="000E07C7">
            <w:pPr>
              <w:pStyle w:val="TableCell"/>
              <w:rPr>
                <w:sz w:val="24"/>
                <w:lang w:val="ga-IE" w:eastAsia="en-GB"/>
              </w:rPr>
            </w:pPr>
            <w:r w:rsidRPr="000E07C7">
              <w:rPr>
                <w:sz w:val="24"/>
                <w:lang w:val="ga-IE" w:eastAsia="en-GB"/>
              </w:rPr>
              <w:t xml:space="preserve">(1) </w:t>
            </w:r>
          </w:p>
        </w:tc>
      </w:tr>
      <w:tr w:rsidR="000E07C7" w:rsidRPr="000E07C7" w14:paraId="087794D6" w14:textId="77777777" w:rsidTr="000E07C7">
        <w:tc>
          <w:tcPr>
            <w:tcW w:w="4395" w:type="dxa"/>
            <w:shd w:val="clear" w:color="auto" w:fill="auto"/>
            <w:vAlign w:val="bottom"/>
          </w:tcPr>
          <w:p w14:paraId="750AEAEB"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Gluaiseacht ar an gCuntas Caipitiúil</w:t>
            </w:r>
          </w:p>
        </w:tc>
        <w:tc>
          <w:tcPr>
            <w:tcW w:w="1879" w:type="dxa"/>
            <w:shd w:val="clear" w:color="auto" w:fill="auto"/>
            <w:vAlign w:val="bottom"/>
          </w:tcPr>
          <w:p w14:paraId="3EE33A66" w14:textId="77777777" w:rsidR="000E07C7" w:rsidRPr="000E07C7" w:rsidRDefault="000E07C7" w:rsidP="000E07C7">
            <w:pPr>
              <w:pStyle w:val="TableCell"/>
              <w:rPr>
                <w:sz w:val="24"/>
                <w:lang w:val="ga-IE" w:eastAsia="en-GB"/>
              </w:rPr>
            </w:pPr>
            <w:r w:rsidRPr="000E07C7">
              <w:rPr>
                <w:sz w:val="24"/>
                <w:lang w:val="ga-IE" w:eastAsia="en-GB"/>
              </w:rPr>
              <w:t>(61,758)</w:t>
            </w:r>
          </w:p>
        </w:tc>
        <w:tc>
          <w:tcPr>
            <w:tcW w:w="1879" w:type="dxa"/>
            <w:shd w:val="clear" w:color="auto" w:fill="auto"/>
            <w:vAlign w:val="bottom"/>
          </w:tcPr>
          <w:p w14:paraId="2E442CCE" w14:textId="77777777" w:rsidR="000E07C7" w:rsidRPr="000E07C7" w:rsidRDefault="000E07C7" w:rsidP="000E07C7">
            <w:pPr>
              <w:pStyle w:val="TableCell"/>
              <w:rPr>
                <w:sz w:val="24"/>
                <w:lang w:val="ga-IE" w:eastAsia="en-GB"/>
              </w:rPr>
            </w:pPr>
            <w:r w:rsidRPr="000E07C7">
              <w:rPr>
                <w:sz w:val="24"/>
                <w:lang w:val="ga-IE" w:eastAsia="en-GB"/>
              </w:rPr>
              <w:t>(74,475)</w:t>
            </w:r>
          </w:p>
        </w:tc>
      </w:tr>
      <w:tr w:rsidR="000E07C7" w:rsidRPr="000E07C7" w14:paraId="56DADF30" w14:textId="77777777" w:rsidTr="000E07C7">
        <w:tc>
          <w:tcPr>
            <w:tcW w:w="4395" w:type="dxa"/>
            <w:shd w:val="clear" w:color="auto" w:fill="auto"/>
            <w:vAlign w:val="bottom"/>
          </w:tcPr>
          <w:p w14:paraId="6E95797B"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Coigeartú le haghaidh earraí neamhairgid</w:t>
            </w:r>
          </w:p>
        </w:tc>
        <w:tc>
          <w:tcPr>
            <w:tcW w:w="1879" w:type="dxa"/>
            <w:shd w:val="clear" w:color="auto" w:fill="auto"/>
            <w:vAlign w:val="bottom"/>
          </w:tcPr>
          <w:p w14:paraId="7762562C" w14:textId="77777777" w:rsidR="000E07C7" w:rsidRPr="000E07C7" w:rsidRDefault="000E07C7" w:rsidP="000E07C7">
            <w:pPr>
              <w:pStyle w:val="TableCell"/>
              <w:rPr>
                <w:sz w:val="24"/>
                <w:lang w:val="ga-IE" w:eastAsia="en-GB"/>
              </w:rPr>
            </w:pPr>
          </w:p>
        </w:tc>
        <w:tc>
          <w:tcPr>
            <w:tcW w:w="1879" w:type="dxa"/>
            <w:shd w:val="clear" w:color="auto" w:fill="auto"/>
            <w:vAlign w:val="bottom"/>
          </w:tcPr>
          <w:p w14:paraId="1290C4CE" w14:textId="77777777" w:rsidR="000E07C7" w:rsidRPr="000E07C7" w:rsidRDefault="000E07C7" w:rsidP="000E07C7">
            <w:pPr>
              <w:pStyle w:val="TableCell"/>
              <w:rPr>
                <w:sz w:val="24"/>
                <w:lang w:val="ga-IE" w:eastAsia="en-GB"/>
              </w:rPr>
            </w:pPr>
          </w:p>
        </w:tc>
      </w:tr>
      <w:tr w:rsidR="000E07C7" w:rsidRPr="000E07C7" w14:paraId="1951B485" w14:textId="77777777" w:rsidTr="000E07C7">
        <w:tc>
          <w:tcPr>
            <w:tcW w:w="4395" w:type="dxa"/>
            <w:shd w:val="clear" w:color="auto" w:fill="auto"/>
            <w:vAlign w:val="bottom"/>
          </w:tcPr>
          <w:p w14:paraId="25B111CD"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Dímheas</w:t>
            </w:r>
          </w:p>
        </w:tc>
        <w:tc>
          <w:tcPr>
            <w:tcW w:w="1879" w:type="dxa"/>
            <w:shd w:val="clear" w:color="auto" w:fill="auto"/>
            <w:vAlign w:val="bottom"/>
          </w:tcPr>
          <w:p w14:paraId="1504A564" w14:textId="77777777" w:rsidR="000E07C7" w:rsidRPr="000E07C7" w:rsidRDefault="000E07C7" w:rsidP="000E07C7">
            <w:pPr>
              <w:pStyle w:val="TableCell"/>
              <w:rPr>
                <w:sz w:val="24"/>
                <w:lang w:val="ga-IE" w:eastAsia="en-GB"/>
              </w:rPr>
            </w:pPr>
            <w:r w:rsidRPr="000E07C7">
              <w:rPr>
                <w:sz w:val="24"/>
                <w:lang w:val="ga-IE" w:eastAsia="en-GB"/>
              </w:rPr>
              <w:t>73,963</w:t>
            </w:r>
          </w:p>
        </w:tc>
        <w:tc>
          <w:tcPr>
            <w:tcW w:w="1879" w:type="dxa"/>
            <w:shd w:val="clear" w:color="auto" w:fill="auto"/>
            <w:vAlign w:val="bottom"/>
          </w:tcPr>
          <w:p w14:paraId="6E499E7B" w14:textId="77777777" w:rsidR="000E07C7" w:rsidRPr="000E07C7" w:rsidRDefault="000E07C7" w:rsidP="000E07C7">
            <w:pPr>
              <w:pStyle w:val="TableCell"/>
              <w:rPr>
                <w:sz w:val="24"/>
                <w:lang w:val="ga-IE" w:eastAsia="en-GB"/>
              </w:rPr>
            </w:pPr>
            <w:r w:rsidRPr="000E07C7">
              <w:rPr>
                <w:sz w:val="24"/>
                <w:lang w:val="ga-IE" w:eastAsia="en-GB"/>
              </w:rPr>
              <w:t xml:space="preserve">74,475 </w:t>
            </w:r>
          </w:p>
        </w:tc>
      </w:tr>
      <w:tr w:rsidR="000E07C7" w:rsidRPr="000E07C7" w14:paraId="6291118F" w14:textId="77777777" w:rsidTr="000E07C7">
        <w:tc>
          <w:tcPr>
            <w:tcW w:w="4395" w:type="dxa"/>
            <w:shd w:val="clear" w:color="auto" w:fill="auto"/>
            <w:vAlign w:val="bottom"/>
          </w:tcPr>
          <w:p w14:paraId="6E871214"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 xml:space="preserve">Athrangú Sócmhainní Seasta </w:t>
            </w:r>
          </w:p>
        </w:tc>
        <w:tc>
          <w:tcPr>
            <w:tcW w:w="1879" w:type="dxa"/>
            <w:shd w:val="clear" w:color="auto" w:fill="auto"/>
            <w:vAlign w:val="bottom"/>
          </w:tcPr>
          <w:p w14:paraId="4ECD7935" w14:textId="77777777" w:rsidR="000E07C7" w:rsidRPr="000E07C7" w:rsidRDefault="000E07C7" w:rsidP="000E07C7">
            <w:pPr>
              <w:pStyle w:val="TableCell"/>
              <w:rPr>
                <w:sz w:val="24"/>
                <w:lang w:val="ga-IE" w:eastAsia="en-GB"/>
              </w:rPr>
            </w:pPr>
            <w:r w:rsidRPr="000E07C7">
              <w:rPr>
                <w:sz w:val="24"/>
                <w:lang w:val="ga-IE" w:eastAsia="en-GB"/>
              </w:rPr>
              <w:t>(7,026)</w:t>
            </w:r>
          </w:p>
        </w:tc>
        <w:tc>
          <w:tcPr>
            <w:tcW w:w="1879" w:type="dxa"/>
            <w:shd w:val="clear" w:color="auto" w:fill="auto"/>
            <w:vAlign w:val="bottom"/>
          </w:tcPr>
          <w:p w14:paraId="3BAFCE7B" w14:textId="77777777" w:rsidR="000E07C7" w:rsidRPr="000E07C7" w:rsidRDefault="000E07C7" w:rsidP="000E07C7">
            <w:pPr>
              <w:pStyle w:val="TableCell"/>
              <w:rPr>
                <w:sz w:val="24"/>
                <w:lang w:val="ga-IE" w:eastAsia="en-GB"/>
              </w:rPr>
            </w:pPr>
            <w:r w:rsidRPr="000E07C7">
              <w:rPr>
                <w:sz w:val="24"/>
                <w:lang w:val="ga-IE" w:eastAsia="en-GB"/>
              </w:rPr>
              <w:t>0</w:t>
            </w:r>
          </w:p>
        </w:tc>
      </w:tr>
      <w:tr w:rsidR="000E07C7" w:rsidRPr="000E07C7" w14:paraId="25249943" w14:textId="77777777" w:rsidTr="000E07C7">
        <w:tc>
          <w:tcPr>
            <w:tcW w:w="4395" w:type="dxa"/>
            <w:shd w:val="clear" w:color="auto" w:fill="auto"/>
            <w:vAlign w:val="bottom"/>
          </w:tcPr>
          <w:p w14:paraId="725B82B9"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Athrú i bhFabhruithe</w:t>
            </w:r>
          </w:p>
        </w:tc>
        <w:tc>
          <w:tcPr>
            <w:tcW w:w="1879" w:type="dxa"/>
            <w:shd w:val="clear" w:color="auto" w:fill="auto"/>
            <w:vAlign w:val="bottom"/>
          </w:tcPr>
          <w:p w14:paraId="3BB2E300" w14:textId="77777777" w:rsidR="000E07C7" w:rsidRPr="000E07C7" w:rsidRDefault="000E07C7" w:rsidP="000E07C7">
            <w:pPr>
              <w:pStyle w:val="TableCell"/>
              <w:rPr>
                <w:sz w:val="24"/>
                <w:lang w:val="ga-IE" w:eastAsia="en-GB"/>
              </w:rPr>
            </w:pPr>
            <w:r w:rsidRPr="000E07C7">
              <w:rPr>
                <w:sz w:val="24"/>
                <w:lang w:val="ga-IE" w:eastAsia="en-GB"/>
              </w:rPr>
              <w:t>(45,924)</w:t>
            </w:r>
          </w:p>
        </w:tc>
        <w:tc>
          <w:tcPr>
            <w:tcW w:w="1879" w:type="dxa"/>
            <w:shd w:val="clear" w:color="auto" w:fill="auto"/>
            <w:vAlign w:val="bottom"/>
          </w:tcPr>
          <w:p w14:paraId="58BB5123" w14:textId="77777777" w:rsidR="000E07C7" w:rsidRPr="000E07C7" w:rsidRDefault="000E07C7" w:rsidP="000E07C7">
            <w:pPr>
              <w:pStyle w:val="TableCell"/>
              <w:rPr>
                <w:sz w:val="24"/>
                <w:lang w:val="ga-IE" w:eastAsia="en-GB"/>
              </w:rPr>
            </w:pPr>
            <w:r w:rsidRPr="000E07C7">
              <w:rPr>
                <w:sz w:val="24"/>
                <w:lang w:val="ga-IE" w:eastAsia="en-GB"/>
              </w:rPr>
              <w:t>(55,105)</w:t>
            </w:r>
          </w:p>
        </w:tc>
      </w:tr>
      <w:tr w:rsidR="000E07C7" w:rsidRPr="000E07C7" w14:paraId="3CDEBBAD" w14:textId="77777777" w:rsidTr="000E07C7">
        <w:tc>
          <w:tcPr>
            <w:tcW w:w="4395" w:type="dxa"/>
            <w:shd w:val="clear" w:color="auto" w:fill="auto"/>
            <w:vAlign w:val="bottom"/>
          </w:tcPr>
          <w:p w14:paraId="08186840" w14:textId="77777777" w:rsidR="000E07C7" w:rsidRPr="000E07C7" w:rsidRDefault="000E07C7" w:rsidP="000E07C7">
            <w:pPr>
              <w:pStyle w:val="TableRowHead"/>
              <w:rPr>
                <w:rFonts w:ascii="Gill Sans" w:hAnsi="Gill Sans"/>
                <w:b w:val="0"/>
                <w:sz w:val="24"/>
                <w:lang w:val="ga-IE" w:eastAsia="en-GB"/>
              </w:rPr>
            </w:pPr>
            <w:r w:rsidRPr="000E07C7">
              <w:rPr>
                <w:rFonts w:ascii="Gill Sans" w:hAnsi="Gill Sans"/>
                <w:b w:val="0"/>
                <w:sz w:val="24"/>
                <w:lang w:val="ga-IE" w:eastAsia="en-GB"/>
              </w:rPr>
              <w:t>Athrú i gCreidiúnaithe</w:t>
            </w:r>
          </w:p>
        </w:tc>
        <w:tc>
          <w:tcPr>
            <w:tcW w:w="1879" w:type="dxa"/>
            <w:shd w:val="clear" w:color="auto" w:fill="auto"/>
            <w:vAlign w:val="bottom"/>
          </w:tcPr>
          <w:p w14:paraId="2B64089D" w14:textId="77777777" w:rsidR="000E07C7" w:rsidRPr="000E07C7" w:rsidRDefault="000E07C7" w:rsidP="000E07C7">
            <w:pPr>
              <w:pStyle w:val="TableCell"/>
              <w:rPr>
                <w:sz w:val="24"/>
                <w:lang w:val="ga-IE" w:eastAsia="en-GB"/>
              </w:rPr>
            </w:pPr>
            <w:r w:rsidRPr="000E07C7">
              <w:rPr>
                <w:sz w:val="24"/>
                <w:lang w:val="ga-IE" w:eastAsia="en-GB"/>
              </w:rPr>
              <w:t>(25,593)</w:t>
            </w:r>
          </w:p>
        </w:tc>
        <w:tc>
          <w:tcPr>
            <w:tcW w:w="1879" w:type="dxa"/>
            <w:shd w:val="clear" w:color="auto" w:fill="auto"/>
            <w:vAlign w:val="bottom"/>
          </w:tcPr>
          <w:p w14:paraId="37AB2CB4" w14:textId="77777777" w:rsidR="000E07C7" w:rsidRPr="000E07C7" w:rsidRDefault="000E07C7" w:rsidP="000E07C7">
            <w:pPr>
              <w:pStyle w:val="TableCell"/>
              <w:rPr>
                <w:sz w:val="24"/>
                <w:lang w:val="ga-IE" w:eastAsia="en-GB"/>
              </w:rPr>
            </w:pPr>
            <w:r w:rsidRPr="000E07C7">
              <w:rPr>
                <w:sz w:val="24"/>
                <w:lang w:val="ga-IE" w:eastAsia="en-GB"/>
              </w:rPr>
              <w:t xml:space="preserve">25,048 </w:t>
            </w:r>
          </w:p>
        </w:tc>
      </w:tr>
      <w:tr w:rsidR="000E07C7" w:rsidRPr="000E07C7" w14:paraId="4280A7A2" w14:textId="77777777" w:rsidTr="000E07C7">
        <w:tc>
          <w:tcPr>
            <w:tcW w:w="4395" w:type="dxa"/>
            <w:shd w:val="clear" w:color="auto" w:fill="auto"/>
            <w:vAlign w:val="bottom"/>
          </w:tcPr>
          <w:p w14:paraId="47D29DDC"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Sreabhadh airgid ó Ghníomhaíochtaí Oibriúcháin</w:t>
            </w:r>
          </w:p>
        </w:tc>
        <w:tc>
          <w:tcPr>
            <w:tcW w:w="1879" w:type="dxa"/>
            <w:shd w:val="clear" w:color="auto" w:fill="auto"/>
            <w:vAlign w:val="bottom"/>
          </w:tcPr>
          <w:p w14:paraId="75FEDBBB" w14:textId="77777777" w:rsidR="000E07C7" w:rsidRPr="000E07C7" w:rsidRDefault="000E07C7" w:rsidP="000E07C7">
            <w:pPr>
              <w:pStyle w:val="TableCell"/>
              <w:rPr>
                <w:sz w:val="24"/>
                <w:lang w:val="ga-IE" w:eastAsia="en-GB"/>
              </w:rPr>
            </w:pPr>
            <w:r w:rsidRPr="000E07C7">
              <w:rPr>
                <w:sz w:val="24"/>
                <w:lang w:val="ga-IE" w:eastAsia="en-GB"/>
              </w:rPr>
              <w:t>4,840</w:t>
            </w:r>
          </w:p>
        </w:tc>
        <w:tc>
          <w:tcPr>
            <w:tcW w:w="1879" w:type="dxa"/>
            <w:shd w:val="clear" w:color="auto" w:fill="auto"/>
            <w:vAlign w:val="bottom"/>
          </w:tcPr>
          <w:p w14:paraId="4D409AD4" w14:textId="77777777" w:rsidR="000E07C7" w:rsidRPr="000E07C7" w:rsidRDefault="000E07C7" w:rsidP="000E07C7">
            <w:pPr>
              <w:pStyle w:val="TableCell"/>
              <w:rPr>
                <w:sz w:val="24"/>
                <w:lang w:val="ga-IE" w:eastAsia="en-GB"/>
              </w:rPr>
            </w:pPr>
            <w:r w:rsidRPr="000E07C7">
              <w:rPr>
                <w:sz w:val="24"/>
                <w:lang w:val="ga-IE" w:eastAsia="en-GB"/>
              </w:rPr>
              <w:t xml:space="preserve">(6,038) </w:t>
            </w:r>
          </w:p>
        </w:tc>
      </w:tr>
      <w:tr w:rsidR="000E07C7" w:rsidRPr="000E07C7" w14:paraId="45BAB696" w14:textId="77777777" w:rsidTr="000E07C7">
        <w:tc>
          <w:tcPr>
            <w:tcW w:w="8153" w:type="dxa"/>
            <w:gridSpan w:val="3"/>
            <w:shd w:val="clear" w:color="auto" w:fill="auto"/>
            <w:vAlign w:val="bottom"/>
          </w:tcPr>
          <w:p w14:paraId="5CABCBEA" w14:textId="77777777" w:rsidR="000E07C7" w:rsidRPr="000E07C7" w:rsidRDefault="000E07C7" w:rsidP="000E07C7">
            <w:pPr>
              <w:pStyle w:val="TableHead"/>
              <w:jc w:val="center"/>
              <w:rPr>
                <w:lang w:val="ga-IE" w:eastAsia="en-GB"/>
              </w:rPr>
            </w:pPr>
            <w:r w:rsidRPr="000E07C7">
              <w:rPr>
                <w:lang w:val="ga-IE" w:eastAsia="en-GB"/>
              </w:rPr>
              <w:t xml:space="preserve">9 (b) Réiteach an Sreafa airgid chuig Ghluaiseacht sna </w:t>
            </w:r>
            <w:proofErr w:type="spellStart"/>
            <w:r w:rsidRPr="000E07C7">
              <w:rPr>
                <w:lang w:val="ga-IE" w:eastAsia="en-GB"/>
              </w:rPr>
              <w:t>Glanchistí</w:t>
            </w:r>
            <w:proofErr w:type="spellEnd"/>
          </w:p>
        </w:tc>
      </w:tr>
      <w:tr w:rsidR="000E07C7" w:rsidRPr="000E07C7" w14:paraId="0E7E4C97" w14:textId="77777777" w:rsidTr="000E07C7">
        <w:tc>
          <w:tcPr>
            <w:tcW w:w="4395" w:type="dxa"/>
            <w:shd w:val="clear" w:color="auto" w:fill="auto"/>
            <w:vAlign w:val="bottom"/>
          </w:tcPr>
          <w:p w14:paraId="26FB6585" w14:textId="77777777" w:rsidR="000E07C7" w:rsidRPr="000E07C7" w:rsidRDefault="000E07C7" w:rsidP="000E07C7">
            <w:pPr>
              <w:pStyle w:val="TableRowHead"/>
              <w:rPr>
                <w:rFonts w:ascii="Gill Sans" w:hAnsi="Gill Sans"/>
                <w:sz w:val="24"/>
                <w:lang w:val="ga-IE" w:eastAsia="en-GB"/>
              </w:rPr>
            </w:pPr>
            <w:proofErr w:type="spellStart"/>
            <w:r w:rsidRPr="000E07C7">
              <w:rPr>
                <w:rFonts w:ascii="Gill Sans" w:hAnsi="Gill Sans"/>
                <w:sz w:val="24"/>
                <w:lang w:val="ga-IE" w:eastAsia="en-GB"/>
              </w:rPr>
              <w:t>Glanchistí</w:t>
            </w:r>
            <w:proofErr w:type="spellEnd"/>
            <w:r w:rsidRPr="000E07C7">
              <w:rPr>
                <w:rFonts w:ascii="Gill Sans" w:hAnsi="Gill Sans"/>
                <w:sz w:val="24"/>
                <w:lang w:val="ga-IE" w:eastAsia="en-GB"/>
              </w:rPr>
              <w:t xml:space="preserve"> amhail an 31 Nollaig 2013</w:t>
            </w:r>
          </w:p>
        </w:tc>
        <w:tc>
          <w:tcPr>
            <w:tcW w:w="1879" w:type="dxa"/>
            <w:shd w:val="clear" w:color="auto" w:fill="auto"/>
            <w:vAlign w:val="bottom"/>
          </w:tcPr>
          <w:p w14:paraId="15726EAB" w14:textId="77777777" w:rsidR="000E07C7" w:rsidRPr="000E07C7" w:rsidRDefault="000E07C7" w:rsidP="000E07C7">
            <w:pPr>
              <w:pStyle w:val="TableCell"/>
              <w:rPr>
                <w:sz w:val="24"/>
                <w:lang w:val="ga-IE" w:eastAsia="en-GB"/>
              </w:rPr>
            </w:pPr>
            <w:r w:rsidRPr="000E07C7">
              <w:rPr>
                <w:sz w:val="24"/>
                <w:lang w:val="ga-IE" w:eastAsia="en-GB"/>
              </w:rPr>
              <w:t xml:space="preserve">2,323 </w:t>
            </w:r>
          </w:p>
        </w:tc>
        <w:tc>
          <w:tcPr>
            <w:tcW w:w="1879" w:type="dxa"/>
            <w:shd w:val="clear" w:color="auto" w:fill="auto"/>
            <w:vAlign w:val="bottom"/>
          </w:tcPr>
          <w:p w14:paraId="620C574F" w14:textId="77777777" w:rsidR="000E07C7" w:rsidRPr="000E07C7" w:rsidRDefault="000E07C7" w:rsidP="000E07C7">
            <w:pPr>
              <w:pStyle w:val="TableCell"/>
              <w:rPr>
                <w:sz w:val="24"/>
                <w:lang w:val="ga-IE" w:eastAsia="en-GB"/>
              </w:rPr>
            </w:pPr>
            <w:r w:rsidRPr="000E07C7">
              <w:rPr>
                <w:sz w:val="24"/>
                <w:lang w:val="ga-IE" w:eastAsia="en-GB"/>
              </w:rPr>
              <w:t xml:space="preserve">8,360 </w:t>
            </w:r>
          </w:p>
        </w:tc>
      </w:tr>
      <w:tr w:rsidR="000E07C7" w:rsidRPr="000E07C7" w14:paraId="48E04787" w14:textId="77777777" w:rsidTr="000E07C7">
        <w:tc>
          <w:tcPr>
            <w:tcW w:w="4395" w:type="dxa"/>
            <w:shd w:val="clear" w:color="auto" w:fill="auto"/>
            <w:vAlign w:val="bottom"/>
          </w:tcPr>
          <w:p w14:paraId="1E4CFCFF"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Laghdú ar Airgead</w:t>
            </w:r>
          </w:p>
        </w:tc>
        <w:tc>
          <w:tcPr>
            <w:tcW w:w="1879" w:type="dxa"/>
            <w:shd w:val="clear" w:color="auto" w:fill="auto"/>
            <w:vAlign w:val="bottom"/>
          </w:tcPr>
          <w:p w14:paraId="0A9288B3" w14:textId="77777777" w:rsidR="000E07C7" w:rsidRPr="000E07C7" w:rsidRDefault="000E07C7" w:rsidP="000E07C7">
            <w:pPr>
              <w:pStyle w:val="TableCell"/>
              <w:rPr>
                <w:sz w:val="24"/>
                <w:lang w:val="ga-IE" w:eastAsia="en-GB"/>
              </w:rPr>
            </w:pPr>
            <w:r w:rsidRPr="000E07C7">
              <w:rPr>
                <w:sz w:val="24"/>
                <w:lang w:val="ga-IE" w:eastAsia="en-GB"/>
              </w:rPr>
              <w:t>(339)</w:t>
            </w:r>
          </w:p>
        </w:tc>
        <w:tc>
          <w:tcPr>
            <w:tcW w:w="1879" w:type="dxa"/>
            <w:shd w:val="clear" w:color="auto" w:fill="auto"/>
            <w:vAlign w:val="bottom"/>
          </w:tcPr>
          <w:p w14:paraId="3292E823" w14:textId="77777777" w:rsidR="000E07C7" w:rsidRPr="000E07C7" w:rsidRDefault="000E07C7" w:rsidP="000E07C7">
            <w:pPr>
              <w:pStyle w:val="TableCell"/>
              <w:rPr>
                <w:sz w:val="24"/>
                <w:lang w:val="ga-IE" w:eastAsia="en-GB"/>
              </w:rPr>
            </w:pPr>
            <w:r w:rsidRPr="000E07C7">
              <w:rPr>
                <w:sz w:val="24"/>
                <w:lang w:val="ga-IE" w:eastAsia="en-GB"/>
              </w:rPr>
              <w:t>(6,037)</w:t>
            </w:r>
          </w:p>
        </w:tc>
      </w:tr>
      <w:tr w:rsidR="000E07C7" w:rsidRPr="000E07C7" w14:paraId="69434761" w14:textId="77777777" w:rsidTr="000E07C7">
        <w:tc>
          <w:tcPr>
            <w:tcW w:w="4395" w:type="dxa"/>
            <w:shd w:val="clear" w:color="auto" w:fill="auto"/>
            <w:vAlign w:val="bottom"/>
          </w:tcPr>
          <w:p w14:paraId="5F24E473" w14:textId="77777777" w:rsidR="000E07C7" w:rsidRPr="000E07C7" w:rsidRDefault="000E07C7" w:rsidP="000E07C7">
            <w:pPr>
              <w:pStyle w:val="TableRowHead"/>
              <w:rPr>
                <w:rFonts w:ascii="Gill Sans" w:hAnsi="Gill Sans"/>
                <w:sz w:val="24"/>
                <w:lang w:val="ga-IE" w:eastAsia="en-GB"/>
              </w:rPr>
            </w:pPr>
            <w:proofErr w:type="spellStart"/>
            <w:r w:rsidRPr="000E07C7">
              <w:rPr>
                <w:rFonts w:ascii="Gill Sans" w:hAnsi="Gill Sans"/>
                <w:sz w:val="24"/>
                <w:lang w:val="ga-IE" w:eastAsia="en-GB"/>
              </w:rPr>
              <w:t>Glanchistí</w:t>
            </w:r>
            <w:proofErr w:type="spellEnd"/>
            <w:r w:rsidRPr="000E07C7">
              <w:rPr>
                <w:rFonts w:ascii="Gill Sans" w:hAnsi="Gill Sans"/>
                <w:sz w:val="24"/>
                <w:lang w:val="ga-IE" w:eastAsia="en-GB"/>
              </w:rPr>
              <w:t xml:space="preserve"> amhail an 31 Nollaig 2014</w:t>
            </w:r>
          </w:p>
        </w:tc>
        <w:tc>
          <w:tcPr>
            <w:tcW w:w="1879" w:type="dxa"/>
            <w:shd w:val="clear" w:color="auto" w:fill="auto"/>
            <w:vAlign w:val="bottom"/>
          </w:tcPr>
          <w:p w14:paraId="255D0AE3" w14:textId="77777777" w:rsidR="000E07C7" w:rsidRPr="000E07C7" w:rsidRDefault="000E07C7" w:rsidP="000E07C7">
            <w:pPr>
              <w:pStyle w:val="TableCell"/>
              <w:rPr>
                <w:sz w:val="24"/>
                <w:lang w:val="ga-IE" w:eastAsia="en-GB"/>
              </w:rPr>
            </w:pPr>
            <w:r w:rsidRPr="000E07C7">
              <w:rPr>
                <w:sz w:val="24"/>
                <w:lang w:val="ga-IE" w:eastAsia="en-GB"/>
              </w:rPr>
              <w:t>1,984</w:t>
            </w:r>
          </w:p>
        </w:tc>
        <w:tc>
          <w:tcPr>
            <w:tcW w:w="1879" w:type="dxa"/>
            <w:shd w:val="clear" w:color="auto" w:fill="auto"/>
            <w:vAlign w:val="bottom"/>
          </w:tcPr>
          <w:p w14:paraId="7D776AA5" w14:textId="77777777" w:rsidR="000E07C7" w:rsidRPr="000E07C7" w:rsidRDefault="000E07C7" w:rsidP="000E07C7">
            <w:pPr>
              <w:pStyle w:val="TableCell"/>
              <w:rPr>
                <w:sz w:val="24"/>
                <w:lang w:val="ga-IE" w:eastAsia="en-GB"/>
              </w:rPr>
            </w:pPr>
            <w:r w:rsidRPr="000E07C7">
              <w:rPr>
                <w:sz w:val="24"/>
                <w:lang w:val="ga-IE" w:eastAsia="en-GB"/>
              </w:rPr>
              <w:t xml:space="preserve">2,323 </w:t>
            </w:r>
          </w:p>
        </w:tc>
      </w:tr>
    </w:tbl>
    <w:p w14:paraId="551655CA" w14:textId="77777777" w:rsidR="000E07C7" w:rsidRPr="000E07C7" w:rsidRDefault="000E07C7" w:rsidP="000E07C7">
      <w:pPr>
        <w:rPr>
          <w:lang w:val="ga-IE" w:eastAsia="en-GB"/>
        </w:rPr>
      </w:pPr>
    </w:p>
    <w:p w14:paraId="54E60265" w14:textId="77777777" w:rsidR="000E07C7" w:rsidRPr="000E07C7" w:rsidRDefault="000E07C7" w:rsidP="000E07C7">
      <w:pPr>
        <w:pStyle w:val="Heading3"/>
        <w:rPr>
          <w:lang w:val="ga-IE" w:eastAsia="en-GB"/>
        </w:rPr>
      </w:pPr>
      <w:r w:rsidRPr="000E07C7">
        <w:rPr>
          <w:lang w:val="ga-IE" w:eastAsia="en-GB"/>
        </w:rPr>
        <w:lastRenderedPageBreak/>
        <w:t>10. Aoisliúntas</w:t>
      </w:r>
      <w:r w:rsidRPr="000E07C7">
        <w:rPr>
          <w:lang w:val="ga-IE" w:eastAsia="en-GB"/>
        </w:rPr>
        <w:tab/>
      </w:r>
      <w:r w:rsidRPr="000E07C7">
        <w:rPr>
          <w:lang w:val="ga-IE" w:eastAsia="en-GB"/>
        </w:rPr>
        <w:tab/>
      </w:r>
      <w:r w:rsidRPr="000E07C7">
        <w:rPr>
          <w:lang w:val="ga-IE" w:eastAsia="en-GB"/>
        </w:rPr>
        <w:tab/>
      </w:r>
      <w:r w:rsidRPr="000E07C7">
        <w:rPr>
          <w:lang w:val="ga-IE" w:eastAsia="en-GB"/>
        </w:rPr>
        <w:tab/>
      </w:r>
      <w:r w:rsidRPr="000E07C7">
        <w:rPr>
          <w:lang w:val="ga-IE" w:eastAsia="en-GB"/>
        </w:rPr>
        <w:tab/>
      </w:r>
      <w:r w:rsidRPr="000E07C7">
        <w:rPr>
          <w:lang w:val="ga-IE" w:eastAsia="en-GB"/>
        </w:rPr>
        <w:tab/>
      </w:r>
    </w:p>
    <w:p w14:paraId="16F6B8A2" w14:textId="77777777" w:rsidR="000E07C7" w:rsidRPr="000E07C7" w:rsidRDefault="000E07C7" w:rsidP="000E07C7">
      <w:pPr>
        <w:rPr>
          <w:lang w:val="ga-IE" w:eastAsia="en-GB"/>
        </w:rPr>
      </w:pPr>
      <w:r w:rsidRPr="000E07C7">
        <w:rPr>
          <w:lang w:val="ga-IE" w:eastAsia="en-GB"/>
        </w:rPr>
        <w:t>Faoin Acht um Údarás Náisiúnta Míchumais, 1999, déanfaidh an tÚdarás le faomhadh an Aire Dlí agus Cirt, Comhionannais agus Athchóirithe Dlí scéim nó scéimeanna chun sochair aoisliúntais a dheonú do chomhaltaí foirne, lena n-áirítear Stiúrthóir an Údaráis, nó i dtaobh na gcomhaltaí foirne sin.</w:t>
      </w:r>
    </w:p>
    <w:p w14:paraId="1215CD76" w14:textId="77777777" w:rsidR="000E07C7" w:rsidRPr="000E07C7" w:rsidRDefault="000E07C7" w:rsidP="000E07C7">
      <w:pPr>
        <w:rPr>
          <w:lang w:val="ga-IE" w:eastAsia="en-GB"/>
        </w:rPr>
      </w:pPr>
      <w:r w:rsidRPr="000E07C7">
        <w:rPr>
          <w:lang w:val="ga-IE" w:eastAsia="en-GB"/>
        </w:rPr>
        <w:t xml:space="preserve">Tá </w:t>
      </w:r>
      <w:proofErr w:type="spellStart"/>
      <w:r w:rsidRPr="000E07C7">
        <w:rPr>
          <w:lang w:val="ga-IE" w:eastAsia="en-GB"/>
        </w:rPr>
        <w:t>Samhailscéim</w:t>
      </w:r>
      <w:proofErr w:type="spellEnd"/>
      <w:r w:rsidRPr="000E07C7">
        <w:rPr>
          <w:lang w:val="ga-IE" w:eastAsia="en-GB"/>
        </w:rPr>
        <w:t xml:space="preserve"> dréachtaithe agus tá sí ar feitheamh faofa ón Roinn Dlí agus Cirt, Comhionannais agus Athchóirithe Dlí agus ón Roinn Caiteachais Phoiblí agus Athchóirithe. </w:t>
      </w:r>
    </w:p>
    <w:p w14:paraId="6977DA97" w14:textId="77777777" w:rsidR="000E07C7" w:rsidRPr="000E07C7" w:rsidRDefault="000E07C7" w:rsidP="000E07C7">
      <w:pPr>
        <w:rPr>
          <w:lang w:val="ga-IE" w:eastAsia="en-GB"/>
        </w:rPr>
      </w:pPr>
      <w:r w:rsidRPr="000E07C7">
        <w:rPr>
          <w:lang w:val="ga-IE" w:eastAsia="en-GB"/>
        </w:rPr>
        <w:t xml:space="preserve">Oibríonn an tÚdarás Náisiúnta Míchumais (ÚNM) scéimeanna neamhchistithe sochair shainithe aoisliúntais don fhoireann. Íoctar teidlíochtaí aoisliúntais a eascraíonn faoi na scéimeanna as ioncam reatha agus déantar iad a </w:t>
      </w:r>
      <w:proofErr w:type="spellStart"/>
      <w:r w:rsidRPr="000E07C7">
        <w:rPr>
          <w:lang w:val="ga-IE" w:eastAsia="en-GB"/>
        </w:rPr>
        <w:t>mhuirearú</w:t>
      </w:r>
      <w:proofErr w:type="spellEnd"/>
      <w:r w:rsidRPr="000E07C7">
        <w:rPr>
          <w:lang w:val="ga-IE" w:eastAsia="en-GB"/>
        </w:rPr>
        <w:t xml:space="preserve"> ar an gCuntas Ioncaim agus Caiteachais, glan ó ranníocaíochtaí aoisliúntais fostaí, sa bhliain ina mbíonn siad iníoctha.</w:t>
      </w:r>
    </w:p>
    <w:p w14:paraId="3609D1EF" w14:textId="77777777" w:rsidR="000E07C7" w:rsidRPr="000E07C7" w:rsidRDefault="000E07C7" w:rsidP="000E07C7">
      <w:pPr>
        <w:rPr>
          <w:lang w:val="ga-IE" w:eastAsia="en-GB"/>
        </w:rPr>
      </w:pPr>
      <w:r w:rsidRPr="000E07C7">
        <w:rPr>
          <w:lang w:val="ga-IE" w:eastAsia="en-GB"/>
        </w:rPr>
        <w:t>Faoi láthair, faigheann an fhoireann a bhí mar fhoireann an Bhoird Náisiúnta Athshlánúcháin a théann ar scor sochair aoisliúntais faoi théarmaí Scéim Aoisliúntas an Rialtais Áitiúil. Faigheann an fhoireann a bhí fostaithe ag an ÚNM tar éis a mbunaithe agus a théann ar scor, sochair scoir de réir théarmaí Scéim Aoisliúntais na nGníomhaireachtaí Sláinte Ainmnithe.</w:t>
      </w:r>
    </w:p>
    <w:p w14:paraId="31C79A10" w14:textId="77777777" w:rsidR="000E07C7" w:rsidRPr="000E07C7" w:rsidRDefault="000E07C7" w:rsidP="000E07C7">
      <w:pPr>
        <w:pStyle w:val="Heading4"/>
        <w:spacing w:line="320" w:lineRule="atLeast"/>
        <w:rPr>
          <w:lang w:val="ga-IE" w:eastAsia="en-GB"/>
        </w:rPr>
      </w:pPr>
      <w:r w:rsidRPr="000E07C7">
        <w:rPr>
          <w:lang w:val="ga-IE" w:eastAsia="en-GB"/>
        </w:rPr>
        <w:t>(a) Scéim Pinsin</w:t>
      </w:r>
    </w:p>
    <w:p w14:paraId="516E224A" w14:textId="77777777" w:rsidR="000E07C7" w:rsidRPr="000E07C7" w:rsidRDefault="000E07C7" w:rsidP="000E07C7">
      <w:pPr>
        <w:pStyle w:val="NormalBeforeList"/>
        <w:rPr>
          <w:lang w:val="ga-IE" w:eastAsia="en-GB"/>
        </w:rPr>
      </w:pPr>
      <w:r w:rsidRPr="000E07C7">
        <w:rPr>
          <w:lang w:val="ga-IE" w:eastAsia="en-GB"/>
        </w:rPr>
        <w:t xml:space="preserve">Bunaítear na torthaí a leagtar amach thíos ar luacháil </w:t>
      </w:r>
      <w:proofErr w:type="spellStart"/>
      <w:r w:rsidRPr="000E07C7">
        <w:rPr>
          <w:lang w:val="ga-IE" w:eastAsia="en-GB"/>
        </w:rPr>
        <w:t>achtúireach</w:t>
      </w:r>
      <w:proofErr w:type="spellEnd"/>
      <w:r w:rsidRPr="000E07C7">
        <w:rPr>
          <w:lang w:val="ga-IE" w:eastAsia="en-GB"/>
        </w:rPr>
        <w:t xml:space="preserve"> na ndliteanas pinsin maidir le foireann seirbheála ar scor agus foireann an ÚNM a fuair bás amhail an 31 Nollaig 2014. Thug achtúire neamhspleách cáilithe faoin luacháil ar mhaithe leis an gcaighdeán cuntasaíochta, Caighdeán Tuairiscithe Airgeadais Uimh. 17 – Sochair Scoir (FRS ).</w:t>
      </w:r>
    </w:p>
    <w:p w14:paraId="09265FDB" w14:textId="77777777" w:rsidR="000E07C7" w:rsidRPr="000E07C7" w:rsidRDefault="000E07C7" w:rsidP="000E07C7">
      <w:pPr>
        <w:pStyle w:val="NormalBeforeList"/>
        <w:rPr>
          <w:lang w:val="ga-IE" w:eastAsia="en-GB"/>
        </w:rPr>
      </w:pPr>
      <w:r w:rsidRPr="000E07C7">
        <w:rPr>
          <w:lang w:val="ga-IE" w:eastAsia="en-GB"/>
        </w:rPr>
        <w:t>Tugadh faoin luacháil seo agus úsáid á baint as modh na n-aonad réamh-mheasta.</w:t>
      </w:r>
      <w:r w:rsidR="00D00624">
        <w:rPr>
          <w:lang w:val="ga-IE" w:eastAsia="en-GB"/>
        </w:rPr>
        <w:t xml:space="preserve"> </w:t>
      </w:r>
      <w:r w:rsidRPr="000E07C7">
        <w:rPr>
          <w:lang w:val="ga-IE" w:eastAsia="en-GB"/>
        </w:rPr>
        <w:t>Ba iad seo a leanas na toimhdí airgeadais a úsáideadh chun dliteanais na scéime a ríomh: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835"/>
        <w:gridCol w:w="2043"/>
        <w:gridCol w:w="2043"/>
      </w:tblGrid>
      <w:tr w:rsidR="000E07C7" w:rsidRPr="000E07C7" w14:paraId="5974FCCA" w14:textId="77777777" w:rsidTr="000E07C7">
        <w:trPr>
          <w:tblHeader/>
        </w:trPr>
        <w:tc>
          <w:tcPr>
            <w:tcW w:w="3951" w:type="dxa"/>
            <w:vAlign w:val="bottom"/>
          </w:tcPr>
          <w:p w14:paraId="20380869" w14:textId="77777777" w:rsidR="000E07C7" w:rsidRPr="000E07C7" w:rsidRDefault="000E07C7" w:rsidP="000E07C7">
            <w:pPr>
              <w:spacing w:after="0"/>
              <w:rPr>
                <w:rFonts w:cs="Arial"/>
                <w:b/>
                <w:bCs/>
                <w:lang w:val="ga-IE" w:eastAsia="en-GB"/>
              </w:rPr>
            </w:pPr>
          </w:p>
        </w:tc>
        <w:tc>
          <w:tcPr>
            <w:tcW w:w="2101" w:type="dxa"/>
            <w:vAlign w:val="bottom"/>
          </w:tcPr>
          <w:p w14:paraId="20A7724C" w14:textId="77777777" w:rsidR="000E07C7" w:rsidRPr="000E07C7" w:rsidRDefault="000E07C7" w:rsidP="000E07C7">
            <w:pPr>
              <w:pStyle w:val="TableHead"/>
              <w:jc w:val="right"/>
              <w:rPr>
                <w:lang w:val="ga-IE" w:eastAsia="en-GB"/>
              </w:rPr>
            </w:pPr>
            <w:r w:rsidRPr="000E07C7">
              <w:rPr>
                <w:lang w:val="ga-IE" w:eastAsia="en-GB"/>
              </w:rPr>
              <w:t>2014</w:t>
            </w:r>
          </w:p>
        </w:tc>
        <w:tc>
          <w:tcPr>
            <w:tcW w:w="2101" w:type="dxa"/>
            <w:vAlign w:val="bottom"/>
          </w:tcPr>
          <w:p w14:paraId="52D89265" w14:textId="77777777" w:rsidR="000E07C7" w:rsidRPr="000E07C7" w:rsidRDefault="000E07C7" w:rsidP="000E07C7">
            <w:pPr>
              <w:pStyle w:val="TableHead"/>
              <w:jc w:val="right"/>
              <w:rPr>
                <w:lang w:val="ga-IE" w:eastAsia="en-GB"/>
              </w:rPr>
            </w:pPr>
            <w:r w:rsidRPr="000E07C7">
              <w:rPr>
                <w:lang w:val="ga-IE" w:eastAsia="en-GB"/>
              </w:rPr>
              <w:t>2013</w:t>
            </w:r>
          </w:p>
        </w:tc>
      </w:tr>
      <w:tr w:rsidR="000E07C7" w:rsidRPr="000E07C7" w14:paraId="35D4DDA2" w14:textId="77777777" w:rsidTr="000E07C7">
        <w:tc>
          <w:tcPr>
            <w:tcW w:w="3951" w:type="dxa"/>
            <w:vAlign w:val="bottom"/>
          </w:tcPr>
          <w:p w14:paraId="7812B1E3"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Ráta lascaine</w:t>
            </w:r>
          </w:p>
        </w:tc>
        <w:tc>
          <w:tcPr>
            <w:tcW w:w="2101" w:type="dxa"/>
            <w:vAlign w:val="bottom"/>
          </w:tcPr>
          <w:p w14:paraId="003F4FE0" w14:textId="77777777" w:rsidR="000E07C7" w:rsidRPr="000E07C7" w:rsidRDefault="000E07C7" w:rsidP="000E07C7">
            <w:pPr>
              <w:pStyle w:val="TableCell"/>
              <w:rPr>
                <w:sz w:val="24"/>
                <w:lang w:val="ga-IE" w:eastAsia="en-GB"/>
              </w:rPr>
            </w:pPr>
            <w:r w:rsidRPr="000E07C7">
              <w:rPr>
                <w:sz w:val="24"/>
                <w:lang w:val="ga-IE" w:eastAsia="en-GB"/>
              </w:rPr>
              <w:t>5.5%</w:t>
            </w:r>
          </w:p>
        </w:tc>
        <w:tc>
          <w:tcPr>
            <w:tcW w:w="2101" w:type="dxa"/>
            <w:vAlign w:val="bottom"/>
          </w:tcPr>
          <w:p w14:paraId="17E7E1F9" w14:textId="77777777" w:rsidR="000E07C7" w:rsidRPr="000E07C7" w:rsidRDefault="000E07C7" w:rsidP="000E07C7">
            <w:pPr>
              <w:pStyle w:val="TableCell"/>
              <w:rPr>
                <w:sz w:val="24"/>
                <w:lang w:val="ga-IE" w:eastAsia="en-GB"/>
              </w:rPr>
            </w:pPr>
            <w:r w:rsidRPr="000E07C7">
              <w:rPr>
                <w:sz w:val="24"/>
                <w:lang w:val="ga-IE" w:eastAsia="en-GB"/>
              </w:rPr>
              <w:t>5.5%</w:t>
            </w:r>
          </w:p>
        </w:tc>
      </w:tr>
      <w:tr w:rsidR="000E07C7" w:rsidRPr="000E07C7" w14:paraId="08A2DE80" w14:textId="77777777" w:rsidTr="000E07C7">
        <w:tc>
          <w:tcPr>
            <w:tcW w:w="3951" w:type="dxa"/>
            <w:vAlign w:val="bottom"/>
          </w:tcPr>
          <w:p w14:paraId="42475F55"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Toimhde faoi mhéadú ar thuarastal</w:t>
            </w:r>
          </w:p>
        </w:tc>
        <w:tc>
          <w:tcPr>
            <w:tcW w:w="2101" w:type="dxa"/>
            <w:vAlign w:val="bottom"/>
          </w:tcPr>
          <w:p w14:paraId="472116DF" w14:textId="77777777" w:rsidR="000E07C7" w:rsidRPr="000E07C7" w:rsidRDefault="000E07C7" w:rsidP="000E07C7">
            <w:pPr>
              <w:pStyle w:val="TableCell"/>
              <w:rPr>
                <w:sz w:val="24"/>
                <w:lang w:val="ga-IE" w:eastAsia="en-GB"/>
              </w:rPr>
            </w:pPr>
            <w:r w:rsidRPr="000E07C7">
              <w:rPr>
                <w:sz w:val="24"/>
                <w:lang w:val="ga-IE" w:eastAsia="en-GB"/>
              </w:rPr>
              <w:t>4%</w:t>
            </w:r>
          </w:p>
        </w:tc>
        <w:tc>
          <w:tcPr>
            <w:tcW w:w="2101" w:type="dxa"/>
            <w:vAlign w:val="bottom"/>
          </w:tcPr>
          <w:p w14:paraId="5B773E6E" w14:textId="77777777" w:rsidR="000E07C7" w:rsidRPr="000E07C7" w:rsidRDefault="000E07C7" w:rsidP="000E07C7">
            <w:pPr>
              <w:pStyle w:val="TableCell"/>
              <w:rPr>
                <w:sz w:val="24"/>
                <w:lang w:val="ga-IE" w:eastAsia="en-GB"/>
              </w:rPr>
            </w:pPr>
            <w:r w:rsidRPr="000E07C7">
              <w:rPr>
                <w:sz w:val="24"/>
                <w:lang w:val="ga-IE" w:eastAsia="en-GB"/>
              </w:rPr>
              <w:t>4%</w:t>
            </w:r>
          </w:p>
        </w:tc>
      </w:tr>
      <w:tr w:rsidR="000E07C7" w:rsidRPr="000E07C7" w14:paraId="3A7A6537" w14:textId="77777777" w:rsidTr="000E07C7">
        <w:tc>
          <w:tcPr>
            <w:tcW w:w="3951" w:type="dxa"/>
            <w:vAlign w:val="bottom"/>
          </w:tcPr>
          <w:p w14:paraId="6B3E947D"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Toimhde faoi mhéadú ar phinsean</w:t>
            </w:r>
          </w:p>
        </w:tc>
        <w:tc>
          <w:tcPr>
            <w:tcW w:w="2101" w:type="dxa"/>
            <w:vAlign w:val="bottom"/>
          </w:tcPr>
          <w:p w14:paraId="5AD35DE5" w14:textId="77777777" w:rsidR="000E07C7" w:rsidRPr="000E07C7" w:rsidRDefault="000E07C7" w:rsidP="000E07C7">
            <w:pPr>
              <w:pStyle w:val="TableCell"/>
              <w:rPr>
                <w:sz w:val="24"/>
                <w:lang w:val="ga-IE" w:eastAsia="en-GB"/>
              </w:rPr>
            </w:pPr>
            <w:r w:rsidRPr="000E07C7">
              <w:rPr>
                <w:sz w:val="24"/>
                <w:lang w:val="ga-IE" w:eastAsia="en-GB"/>
              </w:rPr>
              <w:t>4%</w:t>
            </w:r>
          </w:p>
        </w:tc>
        <w:tc>
          <w:tcPr>
            <w:tcW w:w="2101" w:type="dxa"/>
            <w:vAlign w:val="bottom"/>
          </w:tcPr>
          <w:p w14:paraId="79C5F5FA" w14:textId="77777777" w:rsidR="000E07C7" w:rsidRPr="000E07C7" w:rsidRDefault="000E07C7" w:rsidP="000E07C7">
            <w:pPr>
              <w:pStyle w:val="TableCell"/>
              <w:rPr>
                <w:sz w:val="24"/>
                <w:lang w:val="ga-IE" w:eastAsia="en-GB"/>
              </w:rPr>
            </w:pPr>
            <w:r w:rsidRPr="000E07C7">
              <w:rPr>
                <w:sz w:val="24"/>
                <w:lang w:val="ga-IE" w:eastAsia="en-GB"/>
              </w:rPr>
              <w:t>4%</w:t>
            </w:r>
          </w:p>
        </w:tc>
      </w:tr>
      <w:tr w:rsidR="000E07C7" w:rsidRPr="000E07C7" w14:paraId="38A78BFB" w14:textId="77777777" w:rsidTr="000E07C7">
        <w:tc>
          <w:tcPr>
            <w:tcW w:w="3951" w:type="dxa"/>
            <w:vAlign w:val="bottom"/>
          </w:tcPr>
          <w:p w14:paraId="0489D051"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Boilsciú praghais</w:t>
            </w:r>
          </w:p>
        </w:tc>
        <w:tc>
          <w:tcPr>
            <w:tcW w:w="2101" w:type="dxa"/>
            <w:vAlign w:val="bottom"/>
          </w:tcPr>
          <w:p w14:paraId="36096507" w14:textId="77777777" w:rsidR="000E07C7" w:rsidRPr="000E07C7" w:rsidRDefault="000E07C7" w:rsidP="000E07C7">
            <w:pPr>
              <w:pStyle w:val="TableCell"/>
              <w:rPr>
                <w:sz w:val="24"/>
                <w:lang w:val="ga-IE" w:eastAsia="en-GB"/>
              </w:rPr>
            </w:pPr>
            <w:r w:rsidRPr="000E07C7">
              <w:rPr>
                <w:sz w:val="24"/>
                <w:lang w:val="ga-IE" w:eastAsia="en-GB"/>
              </w:rPr>
              <w:t>2%</w:t>
            </w:r>
          </w:p>
        </w:tc>
        <w:tc>
          <w:tcPr>
            <w:tcW w:w="2101" w:type="dxa"/>
            <w:vAlign w:val="bottom"/>
          </w:tcPr>
          <w:p w14:paraId="2175A0D3" w14:textId="77777777" w:rsidR="000E07C7" w:rsidRPr="000E07C7" w:rsidRDefault="000E07C7" w:rsidP="000E07C7">
            <w:pPr>
              <w:pStyle w:val="TableCell"/>
              <w:rPr>
                <w:sz w:val="24"/>
                <w:lang w:val="ga-IE" w:eastAsia="en-GB"/>
              </w:rPr>
            </w:pPr>
            <w:r w:rsidRPr="000E07C7">
              <w:rPr>
                <w:sz w:val="24"/>
                <w:lang w:val="ga-IE" w:eastAsia="en-GB"/>
              </w:rPr>
              <w:t>2%</w:t>
            </w:r>
          </w:p>
        </w:tc>
      </w:tr>
    </w:tbl>
    <w:p w14:paraId="0EB1E10C" w14:textId="77777777" w:rsidR="000E07C7" w:rsidRPr="000E07C7" w:rsidRDefault="000E07C7" w:rsidP="000E07C7">
      <w:pPr>
        <w:rPr>
          <w:lang w:val="ga-IE"/>
        </w:rPr>
      </w:pPr>
      <w:r w:rsidRPr="000E07C7">
        <w:rPr>
          <w:lang w:val="ga-IE"/>
        </w:rPr>
        <w:br/>
        <w:t xml:space="preserve">Toisc go bhfuil scéimeanna an ÚNM neamhchistithe, ní choimeádtar aon </w:t>
      </w:r>
      <w:r w:rsidRPr="000E07C7">
        <w:rPr>
          <w:lang w:val="ga-IE"/>
        </w:rPr>
        <w:lastRenderedPageBreak/>
        <w:t xml:space="preserve">sócmhainní i dtaobh dliteanais phinsin </w:t>
      </w:r>
      <w:proofErr w:type="spellStart"/>
      <w:r w:rsidRPr="000E07C7">
        <w:rPr>
          <w:lang w:val="ga-IE"/>
        </w:rPr>
        <w:t>charnacha</w:t>
      </w:r>
      <w:proofErr w:type="spellEnd"/>
      <w:r w:rsidRPr="000E07C7">
        <w:rPr>
          <w:lang w:val="ga-IE"/>
        </w:rPr>
        <w:t xml:space="preserve"> de chuid chomhaltaí foirne an ÚNM.</w:t>
      </w:r>
    </w:p>
    <w:p w14:paraId="59133A10" w14:textId="77777777" w:rsidR="000E07C7" w:rsidRPr="000E07C7" w:rsidRDefault="000E07C7" w:rsidP="000E07C7">
      <w:pPr>
        <w:pStyle w:val="Heading4"/>
        <w:spacing w:line="320" w:lineRule="atLeast"/>
        <w:rPr>
          <w:lang w:val="ga-IE" w:eastAsia="en-GB"/>
        </w:rPr>
      </w:pPr>
      <w:r w:rsidRPr="000E07C7">
        <w:rPr>
          <w:lang w:val="ga-IE" w:eastAsia="en-GB"/>
        </w:rPr>
        <w:t xml:space="preserve">(b) </w:t>
      </w:r>
      <w:proofErr w:type="spellStart"/>
      <w:r w:rsidRPr="000E07C7">
        <w:rPr>
          <w:lang w:val="ga-IE" w:eastAsia="en-GB"/>
        </w:rPr>
        <w:t>Glanchistiú</w:t>
      </w:r>
      <w:proofErr w:type="spellEnd"/>
      <w:r w:rsidRPr="000E07C7">
        <w:rPr>
          <w:lang w:val="ga-IE" w:eastAsia="en-GB"/>
        </w:rPr>
        <w:t xml:space="preserve"> Iarchurtha le haghaidh Pinsean sa bhliain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223"/>
        <w:gridCol w:w="1349"/>
        <w:gridCol w:w="1349"/>
      </w:tblGrid>
      <w:tr w:rsidR="000E07C7" w:rsidRPr="000E07C7" w14:paraId="3703F2C2" w14:textId="77777777" w:rsidTr="000E07C7">
        <w:trPr>
          <w:tblHeader/>
        </w:trPr>
        <w:tc>
          <w:tcPr>
            <w:tcW w:w="5383" w:type="dxa"/>
            <w:shd w:val="clear" w:color="auto" w:fill="auto"/>
          </w:tcPr>
          <w:p w14:paraId="51A75433" w14:textId="77777777" w:rsidR="000E07C7" w:rsidRPr="000E07C7" w:rsidRDefault="000E07C7" w:rsidP="000E07C7">
            <w:pPr>
              <w:pStyle w:val="TableHead"/>
              <w:keepLines/>
              <w:jc w:val="right"/>
              <w:rPr>
                <w:lang w:val="ga-IE" w:eastAsia="en-GB"/>
              </w:rPr>
            </w:pPr>
          </w:p>
        </w:tc>
        <w:tc>
          <w:tcPr>
            <w:tcW w:w="1385" w:type="dxa"/>
            <w:shd w:val="clear" w:color="auto" w:fill="auto"/>
          </w:tcPr>
          <w:p w14:paraId="1B5600F2" w14:textId="77777777" w:rsidR="000E07C7" w:rsidRPr="000E07C7" w:rsidRDefault="000E07C7" w:rsidP="000E07C7">
            <w:pPr>
              <w:pStyle w:val="TableHead"/>
              <w:keepLines/>
              <w:jc w:val="center"/>
              <w:rPr>
                <w:sz w:val="24"/>
                <w:lang w:val="ga-IE"/>
              </w:rPr>
            </w:pPr>
            <w:r w:rsidRPr="000E07C7">
              <w:rPr>
                <w:sz w:val="24"/>
                <w:lang w:val="ga-IE"/>
              </w:rPr>
              <w:t>2014</w:t>
            </w:r>
          </w:p>
        </w:tc>
        <w:tc>
          <w:tcPr>
            <w:tcW w:w="1385" w:type="dxa"/>
            <w:shd w:val="clear" w:color="auto" w:fill="auto"/>
          </w:tcPr>
          <w:p w14:paraId="4D6F0447" w14:textId="77777777" w:rsidR="000E07C7" w:rsidRPr="000E07C7" w:rsidRDefault="000E07C7" w:rsidP="000E07C7">
            <w:pPr>
              <w:pStyle w:val="TableHead"/>
              <w:keepLines/>
              <w:jc w:val="center"/>
              <w:rPr>
                <w:sz w:val="24"/>
                <w:lang w:val="ga-IE"/>
              </w:rPr>
            </w:pPr>
            <w:r w:rsidRPr="000E07C7">
              <w:rPr>
                <w:sz w:val="24"/>
                <w:lang w:val="ga-IE"/>
              </w:rPr>
              <w:t>2013</w:t>
            </w:r>
          </w:p>
        </w:tc>
      </w:tr>
      <w:tr w:rsidR="000E07C7" w:rsidRPr="000E07C7" w14:paraId="3971607E" w14:textId="77777777" w:rsidTr="000E07C7">
        <w:tc>
          <w:tcPr>
            <w:tcW w:w="5383" w:type="dxa"/>
            <w:shd w:val="clear" w:color="auto" w:fill="auto"/>
          </w:tcPr>
          <w:p w14:paraId="2D84C396" w14:textId="77777777" w:rsidR="000E07C7" w:rsidRPr="000E07C7" w:rsidRDefault="000E07C7" w:rsidP="000E07C7">
            <w:pPr>
              <w:pStyle w:val="TableRowHead"/>
              <w:keepNext w:val="0"/>
              <w:keepLines/>
              <w:rPr>
                <w:lang w:val="ga-IE" w:eastAsia="en-GB"/>
              </w:rPr>
            </w:pPr>
          </w:p>
        </w:tc>
        <w:tc>
          <w:tcPr>
            <w:tcW w:w="1385" w:type="dxa"/>
            <w:shd w:val="clear" w:color="auto" w:fill="auto"/>
            <w:vAlign w:val="bottom"/>
          </w:tcPr>
          <w:p w14:paraId="5950136E" w14:textId="77777777" w:rsidR="000E07C7" w:rsidRPr="000E07C7" w:rsidRDefault="000E07C7" w:rsidP="000E07C7">
            <w:pPr>
              <w:keepLines/>
              <w:spacing w:after="0"/>
              <w:jc w:val="center"/>
              <w:rPr>
                <w:rFonts w:cs="Arial"/>
                <w:b/>
                <w:bCs/>
                <w:sz w:val="22"/>
                <w:szCs w:val="22"/>
                <w:lang w:val="ga-IE" w:eastAsia="en-GB"/>
              </w:rPr>
            </w:pPr>
            <w:r w:rsidRPr="000E07C7">
              <w:rPr>
                <w:rFonts w:cs="Arial"/>
                <w:b/>
                <w:bCs/>
                <w:sz w:val="22"/>
                <w:szCs w:val="22"/>
                <w:lang w:val="ga-IE" w:eastAsia="en-GB"/>
              </w:rPr>
              <w:t>€</w:t>
            </w:r>
          </w:p>
        </w:tc>
        <w:tc>
          <w:tcPr>
            <w:tcW w:w="1385" w:type="dxa"/>
            <w:shd w:val="clear" w:color="auto" w:fill="auto"/>
            <w:vAlign w:val="bottom"/>
          </w:tcPr>
          <w:p w14:paraId="700636CE" w14:textId="77777777" w:rsidR="000E07C7" w:rsidRPr="000E07C7" w:rsidRDefault="000E07C7" w:rsidP="000E07C7">
            <w:pPr>
              <w:keepLines/>
              <w:spacing w:after="0"/>
              <w:jc w:val="center"/>
              <w:rPr>
                <w:rFonts w:cs="Arial"/>
                <w:b/>
                <w:bCs/>
                <w:sz w:val="22"/>
                <w:szCs w:val="22"/>
                <w:lang w:val="ga-IE" w:eastAsia="en-GB"/>
              </w:rPr>
            </w:pPr>
            <w:r w:rsidRPr="000E07C7">
              <w:rPr>
                <w:rFonts w:cs="Arial"/>
                <w:b/>
                <w:bCs/>
                <w:sz w:val="22"/>
                <w:szCs w:val="22"/>
                <w:lang w:val="ga-IE" w:eastAsia="en-GB"/>
              </w:rPr>
              <w:t>€</w:t>
            </w:r>
          </w:p>
        </w:tc>
      </w:tr>
      <w:tr w:rsidR="000E07C7" w:rsidRPr="000E07C7" w14:paraId="6EC282AD" w14:textId="77777777" w:rsidTr="000E07C7">
        <w:tc>
          <w:tcPr>
            <w:tcW w:w="5383" w:type="dxa"/>
            <w:shd w:val="clear" w:color="auto" w:fill="auto"/>
            <w:vAlign w:val="bottom"/>
          </w:tcPr>
          <w:p w14:paraId="4D8F8BBA" w14:textId="77777777" w:rsidR="000E07C7" w:rsidRPr="000E07C7" w:rsidRDefault="000E07C7" w:rsidP="000E07C7">
            <w:pPr>
              <w:pStyle w:val="TableRowHead"/>
              <w:keepNext w:val="0"/>
              <w:keepLines/>
              <w:rPr>
                <w:rFonts w:ascii="Gill Sans" w:hAnsi="Gill Sans"/>
                <w:sz w:val="24"/>
                <w:lang w:val="ga-IE" w:eastAsia="en-GB"/>
              </w:rPr>
            </w:pPr>
            <w:r w:rsidRPr="000E07C7">
              <w:rPr>
                <w:rFonts w:ascii="Gill Sans" w:hAnsi="Gill Sans"/>
                <w:sz w:val="24"/>
                <w:lang w:val="ga-IE" w:eastAsia="en-GB"/>
              </w:rPr>
              <w:t>Cistiú atá in-</w:t>
            </w:r>
            <w:proofErr w:type="spellStart"/>
            <w:r w:rsidRPr="000E07C7">
              <w:rPr>
                <w:rFonts w:ascii="Gill Sans" w:hAnsi="Gill Sans"/>
                <w:sz w:val="24"/>
                <w:lang w:val="ga-IE" w:eastAsia="en-GB"/>
              </w:rPr>
              <w:t>aisghnóthaithe</w:t>
            </w:r>
            <w:proofErr w:type="spellEnd"/>
            <w:r w:rsidRPr="000E07C7">
              <w:rPr>
                <w:rFonts w:ascii="Gill Sans" w:hAnsi="Gill Sans"/>
                <w:sz w:val="24"/>
                <w:lang w:val="ga-IE" w:eastAsia="en-GB"/>
              </w:rPr>
              <w:t xml:space="preserve"> maidir le costais phinsin na bliana reatha</w:t>
            </w:r>
          </w:p>
        </w:tc>
        <w:tc>
          <w:tcPr>
            <w:tcW w:w="1385" w:type="dxa"/>
            <w:shd w:val="clear" w:color="auto" w:fill="auto"/>
            <w:vAlign w:val="bottom"/>
          </w:tcPr>
          <w:p w14:paraId="16F04320" w14:textId="77777777" w:rsidR="000E07C7" w:rsidRPr="000E07C7" w:rsidRDefault="000E07C7" w:rsidP="000E07C7">
            <w:pPr>
              <w:pStyle w:val="TableCell"/>
              <w:rPr>
                <w:sz w:val="24"/>
                <w:lang w:val="ga-IE" w:eastAsia="en-GB"/>
              </w:rPr>
            </w:pPr>
            <w:r w:rsidRPr="000E07C7">
              <w:rPr>
                <w:sz w:val="24"/>
                <w:lang w:val="ga-IE" w:eastAsia="en-GB"/>
              </w:rPr>
              <w:t>1,340,000</w:t>
            </w:r>
          </w:p>
        </w:tc>
        <w:tc>
          <w:tcPr>
            <w:tcW w:w="1385" w:type="dxa"/>
            <w:shd w:val="clear" w:color="auto" w:fill="auto"/>
            <w:vAlign w:val="bottom"/>
          </w:tcPr>
          <w:p w14:paraId="1A4BF353" w14:textId="77777777" w:rsidR="000E07C7" w:rsidRPr="000E07C7" w:rsidRDefault="000E07C7" w:rsidP="000E07C7">
            <w:pPr>
              <w:pStyle w:val="TableCell"/>
              <w:rPr>
                <w:sz w:val="24"/>
                <w:lang w:val="ga-IE" w:eastAsia="en-GB"/>
              </w:rPr>
            </w:pPr>
            <w:r w:rsidRPr="000E07C7">
              <w:rPr>
                <w:sz w:val="24"/>
                <w:lang w:val="ga-IE" w:eastAsia="en-GB"/>
              </w:rPr>
              <w:t xml:space="preserve">1,370,000 </w:t>
            </w:r>
          </w:p>
        </w:tc>
      </w:tr>
      <w:tr w:rsidR="000E07C7" w:rsidRPr="000E07C7" w14:paraId="40889A7A" w14:textId="77777777" w:rsidTr="000E07C7">
        <w:tc>
          <w:tcPr>
            <w:tcW w:w="5383" w:type="dxa"/>
            <w:shd w:val="clear" w:color="auto" w:fill="auto"/>
            <w:vAlign w:val="bottom"/>
          </w:tcPr>
          <w:p w14:paraId="371C2AA6" w14:textId="77777777" w:rsidR="000E07C7" w:rsidRPr="000E07C7" w:rsidRDefault="000E07C7" w:rsidP="000E07C7">
            <w:pPr>
              <w:pStyle w:val="TableRowHead"/>
              <w:keepNext w:val="0"/>
              <w:keepLines/>
              <w:rPr>
                <w:rFonts w:ascii="Gill Sans" w:hAnsi="Gill Sans"/>
                <w:sz w:val="24"/>
                <w:lang w:val="ga-IE" w:eastAsia="en-GB"/>
              </w:rPr>
            </w:pPr>
            <w:r w:rsidRPr="000E07C7">
              <w:rPr>
                <w:rFonts w:ascii="Gill Sans" w:hAnsi="Gill Sans"/>
                <w:sz w:val="24"/>
                <w:lang w:val="ga-IE" w:eastAsia="en-GB"/>
              </w:rPr>
              <w:t xml:space="preserve">Deontas Stáit a úsáideadh chun </w:t>
            </w:r>
            <w:proofErr w:type="spellStart"/>
            <w:r w:rsidRPr="000E07C7">
              <w:rPr>
                <w:rFonts w:ascii="Gill Sans" w:hAnsi="Gill Sans"/>
                <w:sz w:val="24"/>
                <w:lang w:val="ga-IE" w:eastAsia="en-GB"/>
              </w:rPr>
              <w:t>pinsinéirí</w:t>
            </w:r>
            <w:proofErr w:type="spellEnd"/>
            <w:r w:rsidRPr="000E07C7">
              <w:rPr>
                <w:rFonts w:ascii="Gill Sans" w:hAnsi="Gill Sans"/>
                <w:sz w:val="24"/>
                <w:lang w:val="ga-IE" w:eastAsia="en-GB"/>
              </w:rPr>
              <w:t xml:space="preserve"> a íoc</w:t>
            </w:r>
          </w:p>
        </w:tc>
        <w:tc>
          <w:tcPr>
            <w:tcW w:w="1385" w:type="dxa"/>
            <w:shd w:val="clear" w:color="auto" w:fill="auto"/>
            <w:vAlign w:val="bottom"/>
          </w:tcPr>
          <w:p w14:paraId="4E9CE943" w14:textId="77777777" w:rsidR="000E07C7" w:rsidRPr="000E07C7" w:rsidRDefault="000E07C7" w:rsidP="000E07C7">
            <w:pPr>
              <w:pStyle w:val="TableCell"/>
              <w:rPr>
                <w:sz w:val="24"/>
                <w:lang w:val="ga-IE" w:eastAsia="en-GB"/>
              </w:rPr>
            </w:pPr>
            <w:r w:rsidRPr="000E07C7">
              <w:rPr>
                <w:sz w:val="24"/>
                <w:lang w:val="ga-IE" w:eastAsia="en-GB"/>
              </w:rPr>
              <w:t>(562,000)</w:t>
            </w:r>
          </w:p>
        </w:tc>
        <w:tc>
          <w:tcPr>
            <w:tcW w:w="1385" w:type="dxa"/>
            <w:shd w:val="clear" w:color="auto" w:fill="auto"/>
            <w:vAlign w:val="bottom"/>
          </w:tcPr>
          <w:p w14:paraId="74AD89B3" w14:textId="77777777" w:rsidR="000E07C7" w:rsidRPr="000E07C7" w:rsidRDefault="000E07C7" w:rsidP="000E07C7">
            <w:pPr>
              <w:pStyle w:val="TableCell"/>
              <w:rPr>
                <w:sz w:val="24"/>
                <w:lang w:val="ga-IE" w:eastAsia="en-GB"/>
              </w:rPr>
            </w:pPr>
            <w:r w:rsidRPr="000E07C7">
              <w:rPr>
                <w:sz w:val="24"/>
                <w:lang w:val="ga-IE" w:eastAsia="en-GB"/>
              </w:rPr>
              <w:t>(555,000)</w:t>
            </w:r>
          </w:p>
        </w:tc>
      </w:tr>
      <w:tr w:rsidR="000E07C7" w:rsidRPr="000E07C7" w14:paraId="3C1DE124" w14:textId="77777777" w:rsidTr="000E07C7">
        <w:tc>
          <w:tcPr>
            <w:tcW w:w="5383" w:type="dxa"/>
            <w:shd w:val="clear" w:color="auto" w:fill="auto"/>
          </w:tcPr>
          <w:p w14:paraId="539B1D4D" w14:textId="77777777" w:rsidR="000E07C7" w:rsidRPr="000E07C7" w:rsidRDefault="000E07C7" w:rsidP="000E07C7">
            <w:pPr>
              <w:pStyle w:val="TableRowHead"/>
              <w:keepNext w:val="0"/>
              <w:keepLines/>
              <w:rPr>
                <w:rFonts w:ascii="Gill Sans" w:hAnsi="Gill Sans"/>
                <w:sz w:val="24"/>
                <w:lang w:val="ga-IE" w:eastAsia="en-GB"/>
              </w:rPr>
            </w:pPr>
          </w:p>
        </w:tc>
        <w:tc>
          <w:tcPr>
            <w:tcW w:w="1385" w:type="dxa"/>
            <w:shd w:val="clear" w:color="auto" w:fill="auto"/>
            <w:vAlign w:val="bottom"/>
          </w:tcPr>
          <w:p w14:paraId="00BFEACB" w14:textId="77777777" w:rsidR="000E07C7" w:rsidRPr="000E07C7" w:rsidRDefault="000E07C7" w:rsidP="000E07C7">
            <w:pPr>
              <w:pStyle w:val="TableCell"/>
              <w:rPr>
                <w:sz w:val="24"/>
                <w:lang w:val="ga-IE" w:eastAsia="en-GB"/>
              </w:rPr>
            </w:pPr>
            <w:r w:rsidRPr="000E07C7">
              <w:rPr>
                <w:sz w:val="24"/>
                <w:lang w:val="ga-IE" w:eastAsia="en-GB"/>
              </w:rPr>
              <w:t>778,000</w:t>
            </w:r>
          </w:p>
        </w:tc>
        <w:tc>
          <w:tcPr>
            <w:tcW w:w="1385" w:type="dxa"/>
            <w:shd w:val="clear" w:color="auto" w:fill="auto"/>
            <w:vAlign w:val="bottom"/>
          </w:tcPr>
          <w:p w14:paraId="5D9F1CBA" w14:textId="77777777" w:rsidR="000E07C7" w:rsidRPr="000E07C7" w:rsidRDefault="000E07C7" w:rsidP="000E07C7">
            <w:pPr>
              <w:pStyle w:val="TableCell"/>
              <w:rPr>
                <w:sz w:val="24"/>
                <w:lang w:val="ga-IE" w:eastAsia="en-GB"/>
              </w:rPr>
            </w:pPr>
            <w:r w:rsidRPr="000E07C7">
              <w:rPr>
                <w:sz w:val="24"/>
                <w:lang w:val="ga-IE" w:eastAsia="en-GB"/>
              </w:rPr>
              <w:t xml:space="preserve">815,000 </w:t>
            </w:r>
          </w:p>
        </w:tc>
      </w:tr>
    </w:tbl>
    <w:p w14:paraId="6152F1A6" w14:textId="77777777" w:rsidR="000E07C7" w:rsidRPr="000E07C7" w:rsidRDefault="000E07C7" w:rsidP="000E07C7">
      <w:pPr>
        <w:pStyle w:val="Heading4"/>
        <w:spacing w:line="320" w:lineRule="atLeast"/>
        <w:rPr>
          <w:lang w:val="ga-IE"/>
        </w:rPr>
      </w:pPr>
      <w:r w:rsidRPr="000E07C7">
        <w:rPr>
          <w:lang w:val="ga-IE" w:eastAsia="en-GB"/>
        </w:rPr>
        <w:t>(c) Anailís ar an méid a gearradh ar bhrabús oibriúcháin faoi FRS 17</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425"/>
        <w:gridCol w:w="1748"/>
        <w:gridCol w:w="1748"/>
      </w:tblGrid>
      <w:tr w:rsidR="000E07C7" w:rsidRPr="000E07C7" w14:paraId="673C4500" w14:textId="77777777" w:rsidTr="000E07C7">
        <w:tc>
          <w:tcPr>
            <w:tcW w:w="4559" w:type="dxa"/>
            <w:shd w:val="clear" w:color="auto" w:fill="auto"/>
          </w:tcPr>
          <w:p w14:paraId="460D69C3" w14:textId="77777777" w:rsidR="000E07C7" w:rsidRPr="000E07C7" w:rsidRDefault="000E07C7" w:rsidP="000E07C7">
            <w:pPr>
              <w:pStyle w:val="TableRowHead"/>
              <w:rPr>
                <w:sz w:val="22"/>
                <w:szCs w:val="22"/>
                <w:lang w:val="ga-IE" w:eastAsia="en-GB"/>
              </w:rPr>
            </w:pPr>
          </w:p>
        </w:tc>
        <w:tc>
          <w:tcPr>
            <w:tcW w:w="1797" w:type="dxa"/>
            <w:shd w:val="clear" w:color="auto" w:fill="auto"/>
          </w:tcPr>
          <w:p w14:paraId="0B9F2C5E" w14:textId="77777777" w:rsidR="000E07C7" w:rsidRPr="000E07C7" w:rsidRDefault="000E07C7" w:rsidP="000E07C7">
            <w:pPr>
              <w:pStyle w:val="TableHead"/>
              <w:keepLines/>
              <w:jc w:val="right"/>
              <w:rPr>
                <w:sz w:val="24"/>
                <w:lang w:val="ga-IE"/>
              </w:rPr>
            </w:pPr>
            <w:r w:rsidRPr="000E07C7">
              <w:rPr>
                <w:sz w:val="24"/>
                <w:lang w:val="ga-IE"/>
              </w:rPr>
              <w:t>2014</w:t>
            </w:r>
          </w:p>
        </w:tc>
        <w:tc>
          <w:tcPr>
            <w:tcW w:w="1797" w:type="dxa"/>
            <w:shd w:val="clear" w:color="auto" w:fill="auto"/>
          </w:tcPr>
          <w:p w14:paraId="7475D368" w14:textId="77777777" w:rsidR="000E07C7" w:rsidRPr="000E07C7" w:rsidRDefault="000E07C7" w:rsidP="000E07C7">
            <w:pPr>
              <w:pStyle w:val="TableHead"/>
              <w:keepLines/>
              <w:jc w:val="right"/>
              <w:rPr>
                <w:sz w:val="24"/>
                <w:lang w:val="ga-IE"/>
              </w:rPr>
            </w:pPr>
            <w:r w:rsidRPr="000E07C7">
              <w:rPr>
                <w:sz w:val="24"/>
                <w:lang w:val="ga-IE"/>
              </w:rPr>
              <w:t>2013</w:t>
            </w:r>
          </w:p>
        </w:tc>
      </w:tr>
      <w:tr w:rsidR="000E07C7" w:rsidRPr="000E07C7" w14:paraId="2E5E2152" w14:textId="77777777" w:rsidTr="000E07C7">
        <w:tc>
          <w:tcPr>
            <w:tcW w:w="4559" w:type="dxa"/>
            <w:shd w:val="clear" w:color="auto" w:fill="auto"/>
          </w:tcPr>
          <w:p w14:paraId="0E2FF389" w14:textId="77777777" w:rsidR="000E07C7" w:rsidRPr="000E07C7" w:rsidRDefault="000E07C7" w:rsidP="000E07C7">
            <w:pPr>
              <w:pStyle w:val="TableRowHead"/>
              <w:rPr>
                <w:sz w:val="22"/>
                <w:szCs w:val="22"/>
                <w:lang w:val="ga-IE" w:eastAsia="en-GB"/>
              </w:rPr>
            </w:pPr>
          </w:p>
        </w:tc>
        <w:tc>
          <w:tcPr>
            <w:tcW w:w="1797" w:type="dxa"/>
            <w:shd w:val="clear" w:color="auto" w:fill="auto"/>
            <w:vAlign w:val="bottom"/>
          </w:tcPr>
          <w:p w14:paraId="609E7CC6" w14:textId="77777777" w:rsidR="000E07C7" w:rsidRPr="000E07C7" w:rsidRDefault="000E07C7" w:rsidP="00D00624">
            <w:pPr>
              <w:spacing w:after="0"/>
              <w:jc w:val="right"/>
              <w:rPr>
                <w:rFonts w:cs="Arial"/>
                <w:b/>
                <w:bCs/>
                <w:sz w:val="22"/>
                <w:szCs w:val="22"/>
                <w:lang w:val="ga-IE" w:eastAsia="en-GB"/>
              </w:rPr>
            </w:pPr>
            <w:r w:rsidRPr="000E07C7">
              <w:rPr>
                <w:rFonts w:cs="Arial"/>
                <w:b/>
                <w:bCs/>
                <w:sz w:val="22"/>
                <w:szCs w:val="22"/>
                <w:lang w:val="ga-IE" w:eastAsia="en-GB"/>
              </w:rPr>
              <w:t>€</w:t>
            </w:r>
          </w:p>
        </w:tc>
        <w:tc>
          <w:tcPr>
            <w:tcW w:w="1797" w:type="dxa"/>
            <w:shd w:val="clear" w:color="auto" w:fill="auto"/>
            <w:vAlign w:val="bottom"/>
          </w:tcPr>
          <w:p w14:paraId="3B25A600" w14:textId="77777777" w:rsidR="000E07C7" w:rsidRPr="000E07C7" w:rsidRDefault="000E07C7" w:rsidP="000E07C7">
            <w:pPr>
              <w:spacing w:after="0"/>
              <w:jc w:val="right"/>
              <w:rPr>
                <w:rFonts w:cs="Arial"/>
                <w:b/>
                <w:bCs/>
                <w:sz w:val="22"/>
                <w:szCs w:val="22"/>
                <w:lang w:val="ga-IE" w:eastAsia="en-GB"/>
              </w:rPr>
            </w:pPr>
            <w:r w:rsidRPr="000E07C7">
              <w:rPr>
                <w:rFonts w:cs="Arial"/>
                <w:b/>
                <w:bCs/>
                <w:sz w:val="22"/>
                <w:szCs w:val="22"/>
                <w:lang w:val="ga-IE" w:eastAsia="en-GB"/>
              </w:rPr>
              <w:t>€</w:t>
            </w:r>
          </w:p>
        </w:tc>
      </w:tr>
      <w:tr w:rsidR="000E07C7" w:rsidRPr="000E07C7" w14:paraId="2AF6E4DE" w14:textId="77777777" w:rsidTr="000E07C7">
        <w:tc>
          <w:tcPr>
            <w:tcW w:w="4559" w:type="dxa"/>
            <w:shd w:val="clear" w:color="auto" w:fill="auto"/>
            <w:vAlign w:val="bottom"/>
          </w:tcPr>
          <w:p w14:paraId="6C31200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Costas reatha seirbhíse</w:t>
            </w:r>
          </w:p>
        </w:tc>
        <w:tc>
          <w:tcPr>
            <w:tcW w:w="1797" w:type="dxa"/>
            <w:shd w:val="clear" w:color="auto" w:fill="auto"/>
            <w:vAlign w:val="bottom"/>
          </w:tcPr>
          <w:p w14:paraId="33A69332" w14:textId="77777777" w:rsidR="000E07C7" w:rsidRPr="000E07C7" w:rsidRDefault="000E07C7" w:rsidP="000E07C7">
            <w:pPr>
              <w:pStyle w:val="TableCell"/>
              <w:rPr>
                <w:sz w:val="24"/>
                <w:lang w:val="ga-IE" w:eastAsia="en-GB"/>
              </w:rPr>
            </w:pPr>
            <w:r w:rsidRPr="000E07C7">
              <w:rPr>
                <w:sz w:val="24"/>
                <w:lang w:val="ga-IE" w:eastAsia="en-GB"/>
              </w:rPr>
              <w:t>420,000</w:t>
            </w:r>
          </w:p>
        </w:tc>
        <w:tc>
          <w:tcPr>
            <w:tcW w:w="1797" w:type="dxa"/>
            <w:shd w:val="clear" w:color="auto" w:fill="auto"/>
            <w:vAlign w:val="bottom"/>
          </w:tcPr>
          <w:p w14:paraId="1869B950" w14:textId="77777777" w:rsidR="000E07C7" w:rsidRPr="000E07C7" w:rsidRDefault="000E07C7" w:rsidP="000E07C7">
            <w:pPr>
              <w:pStyle w:val="TableCell"/>
              <w:rPr>
                <w:sz w:val="24"/>
                <w:lang w:val="ga-IE" w:eastAsia="en-GB"/>
              </w:rPr>
            </w:pPr>
            <w:r w:rsidRPr="000E07C7">
              <w:rPr>
                <w:sz w:val="24"/>
                <w:lang w:val="ga-IE" w:eastAsia="en-GB"/>
              </w:rPr>
              <w:t xml:space="preserve">460,000 </w:t>
            </w:r>
          </w:p>
        </w:tc>
      </w:tr>
      <w:tr w:rsidR="000E07C7" w:rsidRPr="000E07C7" w14:paraId="34D8A81E" w14:textId="77777777" w:rsidTr="000E07C7">
        <w:tc>
          <w:tcPr>
            <w:tcW w:w="4559" w:type="dxa"/>
            <w:shd w:val="clear" w:color="auto" w:fill="auto"/>
            <w:vAlign w:val="bottom"/>
          </w:tcPr>
          <w:p w14:paraId="5CB6D1F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Ús ar dhliteanais na scéime pinsin</w:t>
            </w:r>
          </w:p>
        </w:tc>
        <w:tc>
          <w:tcPr>
            <w:tcW w:w="1797" w:type="dxa"/>
            <w:shd w:val="clear" w:color="auto" w:fill="auto"/>
            <w:vAlign w:val="bottom"/>
          </w:tcPr>
          <w:p w14:paraId="6CA1EF35" w14:textId="77777777" w:rsidR="000E07C7" w:rsidRPr="000E07C7" w:rsidRDefault="000E07C7" w:rsidP="000E07C7">
            <w:pPr>
              <w:pStyle w:val="TableCell"/>
              <w:rPr>
                <w:sz w:val="24"/>
                <w:lang w:val="ga-IE" w:eastAsia="en-GB"/>
              </w:rPr>
            </w:pPr>
            <w:r w:rsidRPr="000E07C7">
              <w:rPr>
                <w:sz w:val="24"/>
                <w:lang w:val="ga-IE" w:eastAsia="en-GB"/>
              </w:rPr>
              <w:t>920,000</w:t>
            </w:r>
          </w:p>
        </w:tc>
        <w:tc>
          <w:tcPr>
            <w:tcW w:w="1797" w:type="dxa"/>
            <w:shd w:val="clear" w:color="auto" w:fill="auto"/>
            <w:vAlign w:val="bottom"/>
          </w:tcPr>
          <w:p w14:paraId="1B62B579" w14:textId="77777777" w:rsidR="000E07C7" w:rsidRPr="000E07C7" w:rsidRDefault="000E07C7" w:rsidP="000E07C7">
            <w:pPr>
              <w:pStyle w:val="TableCell"/>
              <w:rPr>
                <w:sz w:val="24"/>
                <w:lang w:val="ga-IE" w:eastAsia="en-GB"/>
              </w:rPr>
            </w:pPr>
            <w:r w:rsidRPr="000E07C7">
              <w:rPr>
                <w:sz w:val="24"/>
                <w:lang w:val="ga-IE" w:eastAsia="en-GB"/>
              </w:rPr>
              <w:t xml:space="preserve">910,000 </w:t>
            </w:r>
          </w:p>
        </w:tc>
      </w:tr>
      <w:tr w:rsidR="000E07C7" w:rsidRPr="000E07C7" w14:paraId="73573345" w14:textId="77777777" w:rsidTr="000E07C7">
        <w:tc>
          <w:tcPr>
            <w:tcW w:w="4559" w:type="dxa"/>
            <w:shd w:val="clear" w:color="auto" w:fill="auto"/>
            <w:vAlign w:val="bottom"/>
          </w:tcPr>
          <w:p w14:paraId="76B65379"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Ranníocaíocht fostaí</w:t>
            </w:r>
          </w:p>
        </w:tc>
        <w:tc>
          <w:tcPr>
            <w:tcW w:w="1797" w:type="dxa"/>
            <w:shd w:val="clear" w:color="auto" w:fill="auto"/>
            <w:vAlign w:val="bottom"/>
          </w:tcPr>
          <w:p w14:paraId="4BAD3B39" w14:textId="77777777" w:rsidR="000E07C7" w:rsidRPr="000E07C7" w:rsidRDefault="000E07C7" w:rsidP="000E07C7">
            <w:pPr>
              <w:pStyle w:val="TableCell"/>
              <w:rPr>
                <w:sz w:val="24"/>
                <w:lang w:val="ga-IE" w:eastAsia="en-GB"/>
              </w:rPr>
            </w:pPr>
            <w:r w:rsidRPr="000E07C7">
              <w:rPr>
                <w:sz w:val="24"/>
                <w:lang w:val="ga-IE" w:eastAsia="en-GB"/>
              </w:rPr>
              <w:t>(103,790)</w:t>
            </w:r>
          </w:p>
        </w:tc>
        <w:tc>
          <w:tcPr>
            <w:tcW w:w="1797" w:type="dxa"/>
            <w:shd w:val="clear" w:color="auto" w:fill="auto"/>
            <w:vAlign w:val="bottom"/>
          </w:tcPr>
          <w:p w14:paraId="4FC5D3B2" w14:textId="77777777" w:rsidR="000E07C7" w:rsidRPr="000E07C7" w:rsidRDefault="000E07C7" w:rsidP="000E07C7">
            <w:pPr>
              <w:pStyle w:val="TableCell"/>
              <w:rPr>
                <w:sz w:val="24"/>
                <w:lang w:val="ga-IE" w:eastAsia="en-GB"/>
              </w:rPr>
            </w:pPr>
            <w:r w:rsidRPr="000E07C7">
              <w:rPr>
                <w:sz w:val="24"/>
                <w:lang w:val="ga-IE" w:eastAsia="en-GB"/>
              </w:rPr>
              <w:t>(112,403)</w:t>
            </w:r>
          </w:p>
        </w:tc>
      </w:tr>
      <w:tr w:rsidR="000E07C7" w:rsidRPr="000E07C7" w14:paraId="53196D30" w14:textId="77777777" w:rsidTr="000E07C7">
        <w:tc>
          <w:tcPr>
            <w:tcW w:w="4559" w:type="dxa"/>
            <w:shd w:val="clear" w:color="auto" w:fill="auto"/>
            <w:vAlign w:val="bottom"/>
          </w:tcPr>
          <w:p w14:paraId="7356D593"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Costais seirbhíse roimhe seo</w:t>
            </w:r>
          </w:p>
        </w:tc>
        <w:tc>
          <w:tcPr>
            <w:tcW w:w="1797" w:type="dxa"/>
            <w:shd w:val="clear" w:color="auto" w:fill="auto"/>
            <w:vAlign w:val="bottom"/>
          </w:tcPr>
          <w:p w14:paraId="654C5DD0" w14:textId="77777777" w:rsidR="000E07C7" w:rsidRPr="000E07C7" w:rsidRDefault="000E07C7" w:rsidP="000E07C7">
            <w:pPr>
              <w:pStyle w:val="TableCell"/>
              <w:rPr>
                <w:sz w:val="24"/>
                <w:lang w:val="ga-IE" w:eastAsia="en-GB"/>
              </w:rPr>
            </w:pPr>
            <w:r w:rsidRPr="000E07C7">
              <w:rPr>
                <w:sz w:val="24"/>
                <w:lang w:val="ga-IE" w:eastAsia="en-GB"/>
              </w:rPr>
              <w:t>-</w:t>
            </w:r>
          </w:p>
        </w:tc>
        <w:tc>
          <w:tcPr>
            <w:tcW w:w="1797" w:type="dxa"/>
            <w:shd w:val="clear" w:color="auto" w:fill="auto"/>
            <w:vAlign w:val="bottom"/>
          </w:tcPr>
          <w:p w14:paraId="3DB7E6AE" w14:textId="77777777" w:rsidR="000E07C7" w:rsidRPr="000E07C7" w:rsidRDefault="000E07C7" w:rsidP="000E07C7">
            <w:pPr>
              <w:pStyle w:val="TableCell"/>
              <w:rPr>
                <w:sz w:val="24"/>
                <w:lang w:val="ga-IE" w:eastAsia="en-GB"/>
              </w:rPr>
            </w:pPr>
            <w:r w:rsidRPr="000E07C7">
              <w:rPr>
                <w:sz w:val="24"/>
                <w:lang w:val="ga-IE" w:eastAsia="en-GB"/>
              </w:rPr>
              <w:t>-</w:t>
            </w:r>
            <w:r w:rsidR="00D00624">
              <w:rPr>
                <w:sz w:val="24"/>
                <w:lang w:val="ga-IE" w:eastAsia="en-GB"/>
              </w:rPr>
              <w:t xml:space="preserve"> </w:t>
            </w:r>
          </w:p>
        </w:tc>
      </w:tr>
      <w:tr w:rsidR="000E07C7" w:rsidRPr="000E07C7" w14:paraId="0E885C0D" w14:textId="77777777" w:rsidTr="000E07C7">
        <w:tc>
          <w:tcPr>
            <w:tcW w:w="4559" w:type="dxa"/>
            <w:shd w:val="clear" w:color="auto" w:fill="auto"/>
            <w:vAlign w:val="bottom"/>
          </w:tcPr>
          <w:p w14:paraId="117EAB53"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Muirear iomlán oibriúcháin</w:t>
            </w:r>
          </w:p>
        </w:tc>
        <w:tc>
          <w:tcPr>
            <w:tcW w:w="1797" w:type="dxa"/>
            <w:shd w:val="clear" w:color="auto" w:fill="auto"/>
            <w:vAlign w:val="bottom"/>
          </w:tcPr>
          <w:p w14:paraId="437F3D4F" w14:textId="77777777" w:rsidR="000E07C7" w:rsidRPr="000E07C7" w:rsidRDefault="000E07C7" w:rsidP="000E07C7">
            <w:pPr>
              <w:pStyle w:val="TableCell"/>
              <w:rPr>
                <w:sz w:val="24"/>
                <w:lang w:val="ga-IE" w:eastAsia="en-GB"/>
              </w:rPr>
            </w:pPr>
            <w:r w:rsidRPr="000E07C7">
              <w:rPr>
                <w:sz w:val="24"/>
                <w:lang w:val="ga-IE" w:eastAsia="en-GB"/>
              </w:rPr>
              <w:t>1,236,210</w:t>
            </w:r>
          </w:p>
        </w:tc>
        <w:tc>
          <w:tcPr>
            <w:tcW w:w="1797" w:type="dxa"/>
            <w:shd w:val="clear" w:color="auto" w:fill="auto"/>
            <w:vAlign w:val="bottom"/>
          </w:tcPr>
          <w:p w14:paraId="035FD559" w14:textId="77777777" w:rsidR="000E07C7" w:rsidRPr="000E07C7" w:rsidRDefault="000E07C7" w:rsidP="000E07C7">
            <w:pPr>
              <w:pStyle w:val="TableCell"/>
              <w:rPr>
                <w:sz w:val="24"/>
                <w:lang w:val="ga-IE" w:eastAsia="en-GB"/>
              </w:rPr>
            </w:pPr>
            <w:r w:rsidRPr="000E07C7">
              <w:rPr>
                <w:sz w:val="24"/>
                <w:lang w:val="ga-IE" w:eastAsia="en-GB"/>
              </w:rPr>
              <w:t xml:space="preserve">1,257,597 </w:t>
            </w:r>
          </w:p>
        </w:tc>
      </w:tr>
    </w:tbl>
    <w:p w14:paraId="2040125A" w14:textId="77777777" w:rsidR="000E07C7" w:rsidRPr="000E07C7" w:rsidRDefault="000E07C7" w:rsidP="000E07C7">
      <w:pPr>
        <w:rPr>
          <w:lang w:val="ga-IE" w:eastAsia="en-GB"/>
        </w:rPr>
      </w:pPr>
    </w:p>
    <w:p w14:paraId="550CBFF1" w14:textId="77777777" w:rsidR="000E07C7" w:rsidRPr="000E07C7" w:rsidRDefault="000E07C7" w:rsidP="000E07C7">
      <w:pPr>
        <w:pStyle w:val="Heading4"/>
        <w:spacing w:line="320" w:lineRule="atLeast"/>
        <w:rPr>
          <w:lang w:val="ga-IE" w:eastAsia="en-GB"/>
        </w:rPr>
      </w:pPr>
      <w:r w:rsidRPr="000E07C7">
        <w:rPr>
          <w:lang w:val="ga-IE" w:eastAsia="en-GB"/>
        </w:rPr>
        <w:t xml:space="preserve">(d) Sócmhainn </w:t>
      </w:r>
      <w:proofErr w:type="spellStart"/>
      <w:r w:rsidRPr="000E07C7">
        <w:rPr>
          <w:lang w:val="ga-IE" w:eastAsia="en-GB"/>
        </w:rPr>
        <w:t>Chistithe</w:t>
      </w:r>
      <w:proofErr w:type="spellEnd"/>
      <w:r w:rsidRPr="000E07C7">
        <w:rPr>
          <w:lang w:val="ga-IE" w:eastAsia="en-GB"/>
        </w:rPr>
        <w:t xml:space="preserve"> Iarchurtha le haghaidh Pinsean</w:t>
      </w:r>
    </w:p>
    <w:p w14:paraId="652C51B2" w14:textId="77777777" w:rsidR="000E07C7" w:rsidRPr="000E07C7" w:rsidRDefault="000E07C7" w:rsidP="000E07C7">
      <w:pPr>
        <w:rPr>
          <w:lang w:val="ga-IE" w:eastAsia="en-GB"/>
        </w:rPr>
      </w:pPr>
      <w:r w:rsidRPr="000E07C7">
        <w:rPr>
          <w:lang w:val="ga-IE" w:eastAsia="en-GB"/>
        </w:rPr>
        <w:t>Aithníonn an tÚdarás Náisiúnta Míchumais na suimeanna seo amhail bheith ina sócmhainn a chomhfhreagraíonn don dliteanas neamhchistithe le haghaidh pinsean ar bhonn sraith toimhdí a ndéantar cur síos orthu thuas, mar aon le líon imeachtaí roimhe seo.</w:t>
      </w:r>
      <w:r w:rsidR="00D00624">
        <w:rPr>
          <w:lang w:val="ga-IE" w:eastAsia="en-GB"/>
        </w:rPr>
        <w:t xml:space="preserve"> </w:t>
      </w:r>
      <w:r w:rsidRPr="000E07C7">
        <w:rPr>
          <w:lang w:val="ga-IE" w:eastAsia="en-GB"/>
        </w:rPr>
        <w:t>Áirítear leis na himeachtaí seo, an bonn reachtúil le bunú na scéimeanna aoisliúntais, agus an beartas agus an cleachtas atá i bhfeidhm faoi láthair i dtaca le pinsin seirbhíse poiblí a chistiú, lena n-áirítear ranníocaíochtaí ag fostaithe agus an próiseas bliantúil meastachán.</w:t>
      </w:r>
      <w:r w:rsidR="00D00624">
        <w:rPr>
          <w:lang w:val="ga-IE" w:eastAsia="en-GB"/>
        </w:rPr>
        <w:t xml:space="preserve"> </w:t>
      </w:r>
      <w:r w:rsidRPr="000E07C7">
        <w:rPr>
          <w:lang w:val="ga-IE" w:eastAsia="en-GB"/>
        </w:rPr>
        <w:t>Cé nach bhfuil aon chomhaontú foirmiúil i bhfeidhm maidir leis na méideanna sonracha seo leis an Roinn Dlí agus Cirt agus Comhionannais, níl aon fhianaise ag an Údarás Náisiúnta Míchumais a thabharfadh le fios nach leanfaidh an beartas cistithe seo ar aghaidh leis na suimeanna sin a chumhdaigh de réir an chleachtais reatha.</w:t>
      </w:r>
      <w:r w:rsidR="00D00624">
        <w:rPr>
          <w:lang w:val="ga-IE" w:eastAsia="en-GB"/>
        </w:rPr>
        <w:t xml:space="preserve"> </w:t>
      </w:r>
      <w:r w:rsidRPr="000E07C7">
        <w:rPr>
          <w:lang w:val="ga-IE" w:eastAsia="en-GB"/>
        </w:rPr>
        <w:t xml:space="preserve">B’ionann an tsócmhainn </w:t>
      </w:r>
      <w:proofErr w:type="spellStart"/>
      <w:r w:rsidRPr="000E07C7">
        <w:rPr>
          <w:lang w:val="ga-IE" w:eastAsia="en-GB"/>
        </w:rPr>
        <w:t>chistithe</w:t>
      </w:r>
      <w:proofErr w:type="spellEnd"/>
      <w:r w:rsidRPr="000E07C7">
        <w:rPr>
          <w:lang w:val="ga-IE" w:eastAsia="en-GB"/>
        </w:rPr>
        <w:t xml:space="preserve"> iarchurtha le haghaidh pinsean amhail an 31 Nollaig 2014 agus €16.6 milliún (2013: €16.8 milliún).</w:t>
      </w:r>
    </w:p>
    <w:p w14:paraId="70470F00" w14:textId="77777777" w:rsidR="000E07C7" w:rsidRPr="000E07C7" w:rsidRDefault="000E07C7" w:rsidP="000E07C7">
      <w:pPr>
        <w:pStyle w:val="Heading4"/>
        <w:spacing w:line="320" w:lineRule="atLeast"/>
        <w:rPr>
          <w:lang w:val="ga-IE"/>
        </w:rPr>
      </w:pPr>
      <w:r w:rsidRPr="000E07C7">
        <w:rPr>
          <w:lang w:val="ga-IE" w:eastAsia="en-GB"/>
        </w:rPr>
        <w:t>(e) Gluaiseacht in easnamh i rith na bliana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469"/>
        <w:gridCol w:w="2226"/>
        <w:gridCol w:w="2226"/>
      </w:tblGrid>
      <w:tr w:rsidR="000E07C7" w:rsidRPr="000E07C7" w14:paraId="0DB80C33" w14:textId="77777777" w:rsidTr="000E07C7">
        <w:trPr>
          <w:tblHeader/>
        </w:trPr>
        <w:tc>
          <w:tcPr>
            <w:tcW w:w="3573" w:type="dxa"/>
            <w:shd w:val="clear" w:color="auto" w:fill="auto"/>
          </w:tcPr>
          <w:p w14:paraId="71175E12" w14:textId="77777777" w:rsidR="000E07C7" w:rsidRPr="000E07C7" w:rsidRDefault="000E07C7" w:rsidP="000E07C7">
            <w:pPr>
              <w:pStyle w:val="TableHead"/>
              <w:widowControl w:val="0"/>
              <w:jc w:val="right"/>
              <w:rPr>
                <w:lang w:val="ga-IE"/>
              </w:rPr>
            </w:pPr>
          </w:p>
        </w:tc>
        <w:tc>
          <w:tcPr>
            <w:tcW w:w="2290" w:type="dxa"/>
            <w:shd w:val="clear" w:color="auto" w:fill="auto"/>
            <w:vAlign w:val="bottom"/>
          </w:tcPr>
          <w:p w14:paraId="2880C81C" w14:textId="77777777" w:rsidR="000E07C7" w:rsidRPr="000E07C7" w:rsidRDefault="000E07C7" w:rsidP="000E07C7">
            <w:pPr>
              <w:spacing w:after="0"/>
              <w:jc w:val="center"/>
              <w:rPr>
                <w:rFonts w:cs="Arial"/>
                <w:b/>
                <w:bCs/>
                <w:lang w:val="ga-IE" w:eastAsia="en-GB"/>
              </w:rPr>
            </w:pPr>
            <w:r w:rsidRPr="000E07C7">
              <w:rPr>
                <w:rFonts w:cs="Arial"/>
                <w:b/>
                <w:bCs/>
                <w:lang w:val="ga-IE" w:eastAsia="en-GB"/>
              </w:rPr>
              <w:t>2014</w:t>
            </w:r>
          </w:p>
        </w:tc>
        <w:tc>
          <w:tcPr>
            <w:tcW w:w="2290" w:type="dxa"/>
            <w:shd w:val="clear" w:color="auto" w:fill="auto"/>
            <w:vAlign w:val="bottom"/>
          </w:tcPr>
          <w:p w14:paraId="6F899F7A" w14:textId="77777777" w:rsidR="000E07C7" w:rsidRPr="000E07C7" w:rsidRDefault="000E07C7" w:rsidP="000E07C7">
            <w:pPr>
              <w:spacing w:after="0"/>
              <w:jc w:val="center"/>
              <w:rPr>
                <w:rFonts w:cs="Arial"/>
                <w:b/>
                <w:bCs/>
                <w:lang w:val="ga-IE" w:eastAsia="en-GB"/>
              </w:rPr>
            </w:pPr>
            <w:r w:rsidRPr="000E07C7">
              <w:rPr>
                <w:rFonts w:cs="Arial"/>
                <w:b/>
                <w:bCs/>
                <w:lang w:val="ga-IE" w:eastAsia="en-GB"/>
              </w:rPr>
              <w:t>2013</w:t>
            </w:r>
          </w:p>
        </w:tc>
      </w:tr>
      <w:tr w:rsidR="000E07C7" w:rsidRPr="000E07C7" w14:paraId="5FA0336A" w14:textId="77777777" w:rsidTr="000E07C7">
        <w:tc>
          <w:tcPr>
            <w:tcW w:w="3573" w:type="dxa"/>
            <w:shd w:val="clear" w:color="auto" w:fill="auto"/>
          </w:tcPr>
          <w:p w14:paraId="68B8C42F" w14:textId="77777777" w:rsidR="000E07C7" w:rsidRPr="000E07C7" w:rsidRDefault="000E07C7" w:rsidP="000E07C7">
            <w:pPr>
              <w:pStyle w:val="TableRowHead"/>
              <w:keepNext w:val="0"/>
              <w:widowControl w:val="0"/>
              <w:rPr>
                <w:rFonts w:ascii="Gill Sans" w:hAnsi="Gill Sans"/>
                <w:lang w:val="ga-IE"/>
              </w:rPr>
            </w:pPr>
          </w:p>
        </w:tc>
        <w:tc>
          <w:tcPr>
            <w:tcW w:w="2290" w:type="dxa"/>
            <w:shd w:val="clear" w:color="auto" w:fill="auto"/>
            <w:vAlign w:val="bottom"/>
          </w:tcPr>
          <w:p w14:paraId="134B401B"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c>
          <w:tcPr>
            <w:tcW w:w="2290" w:type="dxa"/>
            <w:shd w:val="clear" w:color="auto" w:fill="auto"/>
            <w:vAlign w:val="bottom"/>
          </w:tcPr>
          <w:p w14:paraId="48E6F70B" w14:textId="77777777" w:rsidR="000E07C7" w:rsidRPr="000E07C7" w:rsidRDefault="000E07C7" w:rsidP="000E07C7">
            <w:pPr>
              <w:spacing w:after="0"/>
              <w:jc w:val="center"/>
              <w:rPr>
                <w:rFonts w:cs="Arial"/>
                <w:b/>
                <w:lang w:val="ga-IE" w:eastAsia="en-GB"/>
              </w:rPr>
            </w:pPr>
            <w:r w:rsidRPr="000E07C7">
              <w:rPr>
                <w:rFonts w:cs="Arial"/>
                <w:b/>
                <w:lang w:val="ga-IE" w:eastAsia="en-GB"/>
              </w:rPr>
              <w:t>€</w:t>
            </w:r>
          </w:p>
        </w:tc>
      </w:tr>
      <w:tr w:rsidR="000E07C7" w:rsidRPr="000E07C7" w14:paraId="6F5D27E0" w14:textId="77777777" w:rsidTr="000E07C7">
        <w:tc>
          <w:tcPr>
            <w:tcW w:w="3573" w:type="dxa"/>
            <w:shd w:val="clear" w:color="auto" w:fill="auto"/>
            <w:vAlign w:val="bottom"/>
          </w:tcPr>
          <w:p w14:paraId="1FE16238" w14:textId="77777777" w:rsidR="000E07C7" w:rsidRPr="000E07C7" w:rsidRDefault="000E07C7" w:rsidP="000E07C7">
            <w:pPr>
              <w:pStyle w:val="TableRowHead"/>
              <w:keepNext w:val="0"/>
              <w:widowControl w:val="0"/>
              <w:rPr>
                <w:rFonts w:ascii="Gill Sans" w:hAnsi="Gill Sans"/>
                <w:sz w:val="24"/>
                <w:lang w:val="ga-IE" w:eastAsia="en-GB"/>
              </w:rPr>
            </w:pPr>
            <w:r w:rsidRPr="000E07C7">
              <w:rPr>
                <w:rFonts w:ascii="Gill Sans" w:hAnsi="Gill Sans"/>
                <w:sz w:val="24"/>
                <w:lang w:val="ga-IE" w:eastAsia="en-GB"/>
              </w:rPr>
              <w:t xml:space="preserve">Dliteanas na Scéime amhail </w:t>
            </w:r>
            <w:r w:rsidRPr="000E07C7">
              <w:rPr>
                <w:rFonts w:ascii="Gill Sans" w:hAnsi="Gill Sans"/>
                <w:sz w:val="24"/>
                <w:lang w:val="ga-IE" w:eastAsia="en-GB"/>
              </w:rPr>
              <w:lastRenderedPageBreak/>
              <w:t>an 1 Eanáir</w:t>
            </w:r>
          </w:p>
        </w:tc>
        <w:tc>
          <w:tcPr>
            <w:tcW w:w="2290" w:type="dxa"/>
            <w:shd w:val="clear" w:color="auto" w:fill="auto"/>
            <w:vAlign w:val="bottom"/>
          </w:tcPr>
          <w:p w14:paraId="2481C9B9" w14:textId="77777777" w:rsidR="000E07C7" w:rsidRPr="000E07C7" w:rsidRDefault="000E07C7" w:rsidP="000E07C7">
            <w:pPr>
              <w:spacing w:after="0"/>
              <w:jc w:val="right"/>
              <w:rPr>
                <w:rFonts w:cs="Arial"/>
                <w:lang w:val="ga-IE" w:eastAsia="en-GB"/>
              </w:rPr>
            </w:pPr>
            <w:r w:rsidRPr="000E07C7">
              <w:rPr>
                <w:rFonts w:cs="Arial"/>
                <w:lang w:val="ga-IE" w:eastAsia="en-GB"/>
              </w:rPr>
              <w:lastRenderedPageBreak/>
              <w:t>€16,800,000</w:t>
            </w:r>
          </w:p>
        </w:tc>
        <w:tc>
          <w:tcPr>
            <w:tcW w:w="2290" w:type="dxa"/>
            <w:shd w:val="clear" w:color="auto" w:fill="auto"/>
            <w:vAlign w:val="bottom"/>
          </w:tcPr>
          <w:p w14:paraId="22248DB5" w14:textId="77777777" w:rsidR="000E07C7" w:rsidRPr="000E07C7" w:rsidRDefault="000E07C7" w:rsidP="000E07C7">
            <w:pPr>
              <w:spacing w:after="0"/>
              <w:jc w:val="right"/>
              <w:rPr>
                <w:rFonts w:cs="Arial"/>
                <w:lang w:val="ga-IE" w:eastAsia="en-GB"/>
              </w:rPr>
            </w:pPr>
            <w:r w:rsidRPr="000E07C7">
              <w:rPr>
                <w:rFonts w:cs="Arial"/>
                <w:lang w:val="ga-IE" w:eastAsia="en-GB"/>
              </w:rPr>
              <w:t>€</w:t>
            </w:r>
            <w:r w:rsidRPr="000E07C7">
              <w:rPr>
                <w:rFonts w:cs="Gill Sans"/>
                <w:lang w:val="ga-IE" w:eastAsia="en-GB"/>
              </w:rPr>
              <w:t xml:space="preserve">16,500,000 </w:t>
            </w:r>
          </w:p>
        </w:tc>
      </w:tr>
      <w:tr w:rsidR="000E07C7" w:rsidRPr="000E07C7" w14:paraId="2433E0EB" w14:textId="77777777" w:rsidTr="000E07C7">
        <w:tc>
          <w:tcPr>
            <w:tcW w:w="3573" w:type="dxa"/>
            <w:shd w:val="clear" w:color="auto" w:fill="auto"/>
            <w:vAlign w:val="bottom"/>
          </w:tcPr>
          <w:p w14:paraId="63CFB562" w14:textId="77777777" w:rsidR="000E07C7" w:rsidRPr="000E07C7" w:rsidRDefault="000E07C7" w:rsidP="000E07C7">
            <w:pPr>
              <w:pStyle w:val="TableRowHead"/>
              <w:keepNext w:val="0"/>
              <w:widowControl w:val="0"/>
              <w:rPr>
                <w:rFonts w:ascii="Gill Sans" w:hAnsi="Gill Sans"/>
                <w:sz w:val="24"/>
                <w:lang w:val="ga-IE" w:eastAsia="en-GB"/>
              </w:rPr>
            </w:pPr>
            <w:r w:rsidRPr="000E07C7">
              <w:rPr>
                <w:rFonts w:ascii="Gill Sans" w:hAnsi="Gill Sans"/>
                <w:sz w:val="24"/>
                <w:lang w:val="ga-IE" w:eastAsia="en-GB"/>
              </w:rPr>
              <w:t>Costas reatha seirbhíse</w:t>
            </w:r>
          </w:p>
        </w:tc>
        <w:tc>
          <w:tcPr>
            <w:tcW w:w="2290" w:type="dxa"/>
            <w:shd w:val="clear" w:color="auto" w:fill="auto"/>
            <w:vAlign w:val="bottom"/>
          </w:tcPr>
          <w:p w14:paraId="326E57EE" w14:textId="77777777" w:rsidR="000E07C7" w:rsidRPr="000E07C7" w:rsidRDefault="000E07C7" w:rsidP="000E07C7">
            <w:pPr>
              <w:spacing w:after="0"/>
              <w:jc w:val="right"/>
              <w:rPr>
                <w:rFonts w:cs="Arial"/>
                <w:lang w:val="ga-IE" w:eastAsia="en-GB"/>
              </w:rPr>
            </w:pPr>
            <w:r w:rsidRPr="000E07C7">
              <w:rPr>
                <w:rFonts w:cs="Arial"/>
                <w:lang w:val="ga-IE" w:eastAsia="en-GB"/>
              </w:rPr>
              <w:t>€420,000</w:t>
            </w:r>
          </w:p>
        </w:tc>
        <w:tc>
          <w:tcPr>
            <w:tcW w:w="2290" w:type="dxa"/>
            <w:shd w:val="clear" w:color="auto" w:fill="auto"/>
            <w:vAlign w:val="bottom"/>
          </w:tcPr>
          <w:p w14:paraId="4E300B72" w14:textId="77777777" w:rsidR="000E07C7" w:rsidRPr="000E07C7" w:rsidRDefault="000E07C7" w:rsidP="000E07C7">
            <w:pPr>
              <w:spacing w:after="0"/>
              <w:jc w:val="right"/>
              <w:rPr>
                <w:rFonts w:cs="Arial"/>
                <w:lang w:val="ga-IE" w:eastAsia="en-GB"/>
              </w:rPr>
            </w:pPr>
            <w:r w:rsidRPr="000E07C7">
              <w:rPr>
                <w:rFonts w:cs="Arial"/>
                <w:lang w:val="ga-IE" w:eastAsia="en-GB"/>
              </w:rPr>
              <w:t>€</w:t>
            </w:r>
            <w:r w:rsidRPr="000E07C7">
              <w:rPr>
                <w:rFonts w:cs="Gill Sans"/>
                <w:lang w:val="ga-IE" w:eastAsia="en-GB"/>
              </w:rPr>
              <w:t xml:space="preserve">460,000 </w:t>
            </w:r>
          </w:p>
        </w:tc>
      </w:tr>
      <w:tr w:rsidR="000E07C7" w:rsidRPr="000E07C7" w14:paraId="78631907" w14:textId="77777777" w:rsidTr="000E07C7">
        <w:tc>
          <w:tcPr>
            <w:tcW w:w="3573" w:type="dxa"/>
            <w:shd w:val="clear" w:color="auto" w:fill="auto"/>
            <w:vAlign w:val="bottom"/>
          </w:tcPr>
          <w:p w14:paraId="75485C4D" w14:textId="77777777" w:rsidR="000E07C7" w:rsidRPr="000E07C7" w:rsidRDefault="000E07C7" w:rsidP="000E07C7">
            <w:pPr>
              <w:pStyle w:val="TableRowHead"/>
              <w:keepNext w:val="0"/>
              <w:widowControl w:val="0"/>
              <w:rPr>
                <w:rFonts w:ascii="Gill Sans" w:hAnsi="Gill Sans"/>
                <w:sz w:val="24"/>
                <w:lang w:val="ga-IE" w:eastAsia="en-GB"/>
              </w:rPr>
            </w:pPr>
            <w:r w:rsidRPr="000E07C7">
              <w:rPr>
                <w:rFonts w:ascii="Gill Sans" w:hAnsi="Gill Sans"/>
                <w:sz w:val="24"/>
                <w:lang w:val="ga-IE" w:eastAsia="en-GB"/>
              </w:rPr>
              <w:t xml:space="preserve">Ús ar dhliteanais scéime </w:t>
            </w:r>
          </w:p>
        </w:tc>
        <w:tc>
          <w:tcPr>
            <w:tcW w:w="2290" w:type="dxa"/>
            <w:shd w:val="clear" w:color="auto" w:fill="auto"/>
            <w:vAlign w:val="bottom"/>
          </w:tcPr>
          <w:p w14:paraId="7409FA5E" w14:textId="77777777" w:rsidR="000E07C7" w:rsidRPr="000E07C7" w:rsidRDefault="000E07C7" w:rsidP="000E07C7">
            <w:pPr>
              <w:spacing w:after="0"/>
              <w:jc w:val="right"/>
              <w:rPr>
                <w:rFonts w:cs="Arial"/>
                <w:lang w:val="ga-IE" w:eastAsia="en-GB"/>
              </w:rPr>
            </w:pPr>
            <w:r w:rsidRPr="000E07C7">
              <w:rPr>
                <w:rFonts w:cs="Arial"/>
                <w:lang w:val="ga-IE" w:eastAsia="en-GB"/>
              </w:rPr>
              <w:t>€920,000</w:t>
            </w:r>
          </w:p>
        </w:tc>
        <w:tc>
          <w:tcPr>
            <w:tcW w:w="2290" w:type="dxa"/>
            <w:shd w:val="clear" w:color="auto" w:fill="auto"/>
            <w:vAlign w:val="bottom"/>
          </w:tcPr>
          <w:p w14:paraId="3DD6E6DA" w14:textId="77777777" w:rsidR="000E07C7" w:rsidRPr="000E07C7" w:rsidRDefault="000E07C7" w:rsidP="000E07C7">
            <w:pPr>
              <w:spacing w:after="0"/>
              <w:jc w:val="right"/>
              <w:rPr>
                <w:rFonts w:cs="Arial"/>
                <w:lang w:val="ga-IE" w:eastAsia="en-GB"/>
              </w:rPr>
            </w:pPr>
            <w:r w:rsidRPr="000E07C7">
              <w:rPr>
                <w:rFonts w:cs="Arial"/>
                <w:lang w:val="ga-IE" w:eastAsia="en-GB"/>
              </w:rPr>
              <w:t>€</w:t>
            </w:r>
            <w:r w:rsidRPr="000E07C7">
              <w:rPr>
                <w:rFonts w:cs="Gill Sans"/>
                <w:lang w:val="ga-IE" w:eastAsia="en-GB"/>
              </w:rPr>
              <w:t xml:space="preserve">910,000 </w:t>
            </w:r>
          </w:p>
        </w:tc>
      </w:tr>
      <w:tr w:rsidR="000E07C7" w:rsidRPr="000E07C7" w14:paraId="724F9958" w14:textId="77777777" w:rsidTr="000E07C7">
        <w:tc>
          <w:tcPr>
            <w:tcW w:w="3573" w:type="dxa"/>
            <w:shd w:val="clear" w:color="auto" w:fill="auto"/>
            <w:vAlign w:val="bottom"/>
          </w:tcPr>
          <w:p w14:paraId="0CC40799" w14:textId="77777777" w:rsidR="000E07C7" w:rsidRPr="000E07C7" w:rsidRDefault="000E07C7" w:rsidP="000E07C7">
            <w:pPr>
              <w:pStyle w:val="TableRowHead"/>
              <w:keepNext w:val="0"/>
              <w:widowControl w:val="0"/>
              <w:rPr>
                <w:rFonts w:ascii="Gill Sans" w:hAnsi="Gill Sans"/>
                <w:sz w:val="24"/>
                <w:lang w:val="ga-IE" w:eastAsia="en-GB"/>
              </w:rPr>
            </w:pPr>
            <w:r w:rsidRPr="000E07C7">
              <w:rPr>
                <w:rFonts w:ascii="Gill Sans" w:hAnsi="Gill Sans"/>
                <w:sz w:val="24"/>
                <w:lang w:val="ga-IE" w:eastAsia="en-GB"/>
              </w:rPr>
              <w:t>Sochair iníoctha</w:t>
            </w:r>
          </w:p>
        </w:tc>
        <w:tc>
          <w:tcPr>
            <w:tcW w:w="2290" w:type="dxa"/>
            <w:shd w:val="clear" w:color="auto" w:fill="auto"/>
            <w:vAlign w:val="bottom"/>
          </w:tcPr>
          <w:p w14:paraId="57643B58" w14:textId="77777777" w:rsidR="000E07C7" w:rsidRPr="000E07C7" w:rsidRDefault="000E07C7" w:rsidP="000E07C7">
            <w:pPr>
              <w:spacing w:after="0"/>
              <w:jc w:val="right"/>
              <w:rPr>
                <w:rFonts w:cs="Arial"/>
                <w:lang w:val="ga-IE" w:eastAsia="en-GB"/>
              </w:rPr>
            </w:pPr>
            <w:r w:rsidRPr="000E07C7">
              <w:rPr>
                <w:rFonts w:cs="Arial"/>
                <w:lang w:val="ga-IE" w:eastAsia="en-GB"/>
              </w:rPr>
              <w:t>(€562,000)</w:t>
            </w:r>
          </w:p>
        </w:tc>
        <w:tc>
          <w:tcPr>
            <w:tcW w:w="2290" w:type="dxa"/>
            <w:shd w:val="clear" w:color="auto" w:fill="auto"/>
            <w:vAlign w:val="bottom"/>
          </w:tcPr>
          <w:p w14:paraId="3B4572BD" w14:textId="77777777" w:rsidR="000E07C7" w:rsidRPr="000E07C7" w:rsidRDefault="000E07C7" w:rsidP="000E07C7">
            <w:pPr>
              <w:spacing w:after="0"/>
              <w:jc w:val="right"/>
              <w:rPr>
                <w:rFonts w:cs="Arial"/>
                <w:lang w:val="ga-IE" w:eastAsia="en-GB"/>
              </w:rPr>
            </w:pPr>
            <w:r w:rsidRPr="000E07C7">
              <w:rPr>
                <w:rFonts w:cs="Arial"/>
                <w:lang w:val="ga-IE" w:eastAsia="en-GB"/>
              </w:rPr>
              <w:t>(€</w:t>
            </w:r>
            <w:r w:rsidRPr="000E07C7">
              <w:rPr>
                <w:rFonts w:cs="Gill Sans"/>
                <w:lang w:val="ga-IE" w:eastAsia="en-GB"/>
              </w:rPr>
              <w:t>555,000)</w:t>
            </w:r>
          </w:p>
        </w:tc>
      </w:tr>
      <w:tr w:rsidR="000E07C7" w:rsidRPr="000E07C7" w14:paraId="04BE8519" w14:textId="77777777" w:rsidTr="000E07C7">
        <w:tc>
          <w:tcPr>
            <w:tcW w:w="3573" w:type="dxa"/>
            <w:shd w:val="clear" w:color="auto" w:fill="auto"/>
            <w:vAlign w:val="bottom"/>
          </w:tcPr>
          <w:p w14:paraId="72BAB941" w14:textId="77777777" w:rsidR="000E07C7" w:rsidRPr="000E07C7" w:rsidRDefault="000E07C7" w:rsidP="000E07C7">
            <w:pPr>
              <w:pStyle w:val="TableRowHead"/>
              <w:keepNext w:val="0"/>
              <w:widowControl w:val="0"/>
              <w:rPr>
                <w:rFonts w:ascii="Gill Sans" w:hAnsi="Gill Sans"/>
                <w:color w:val="0D0D0D"/>
                <w:sz w:val="24"/>
                <w:lang w:val="ga-IE" w:eastAsia="en-GB"/>
              </w:rPr>
            </w:pPr>
            <w:r w:rsidRPr="000E07C7">
              <w:rPr>
                <w:rFonts w:ascii="Gill Sans" w:hAnsi="Gill Sans"/>
                <w:color w:val="0D0D0D"/>
                <w:sz w:val="24"/>
                <w:lang w:val="ga-IE" w:eastAsia="en-GB"/>
              </w:rPr>
              <w:t xml:space="preserve">Gnóthachan </w:t>
            </w:r>
            <w:proofErr w:type="spellStart"/>
            <w:r w:rsidRPr="000E07C7">
              <w:rPr>
                <w:rFonts w:ascii="Gill Sans" w:hAnsi="Gill Sans"/>
                <w:color w:val="0D0D0D"/>
                <w:sz w:val="24"/>
                <w:lang w:val="ga-IE" w:eastAsia="en-GB"/>
              </w:rPr>
              <w:t>Achtúireach</w:t>
            </w:r>
            <w:proofErr w:type="spellEnd"/>
            <w:r w:rsidRPr="000E07C7">
              <w:rPr>
                <w:rFonts w:ascii="Gill Sans" w:hAnsi="Gill Sans"/>
                <w:color w:val="0D0D0D"/>
                <w:sz w:val="24"/>
                <w:lang w:val="ga-IE" w:eastAsia="en-GB"/>
              </w:rPr>
              <w:t xml:space="preserve"> a aithnítear i Ráiteas na </w:t>
            </w:r>
            <w:proofErr w:type="spellStart"/>
            <w:r w:rsidRPr="000E07C7">
              <w:rPr>
                <w:rFonts w:ascii="Gill Sans" w:hAnsi="Gill Sans"/>
                <w:color w:val="0D0D0D"/>
                <w:sz w:val="24"/>
                <w:lang w:val="ga-IE" w:eastAsia="en-GB"/>
              </w:rPr>
              <w:t>nGnóthachan</w:t>
            </w:r>
            <w:proofErr w:type="spellEnd"/>
            <w:r w:rsidRPr="000E07C7">
              <w:rPr>
                <w:rFonts w:ascii="Gill Sans" w:hAnsi="Gill Sans"/>
                <w:color w:val="0D0D0D"/>
                <w:sz w:val="24"/>
                <w:lang w:val="ga-IE" w:eastAsia="en-GB"/>
              </w:rPr>
              <w:t xml:space="preserve"> agus na gCaillteanas Aitheanta Iomlán (RGCAI)</w:t>
            </w:r>
          </w:p>
        </w:tc>
        <w:tc>
          <w:tcPr>
            <w:tcW w:w="2290" w:type="dxa"/>
            <w:shd w:val="clear" w:color="auto" w:fill="auto"/>
            <w:vAlign w:val="bottom"/>
          </w:tcPr>
          <w:p w14:paraId="0061EF39" w14:textId="77777777" w:rsidR="000E07C7" w:rsidRPr="000E07C7" w:rsidRDefault="000E07C7" w:rsidP="000E07C7">
            <w:pPr>
              <w:spacing w:after="0"/>
              <w:jc w:val="right"/>
              <w:rPr>
                <w:rFonts w:cs="Arial"/>
                <w:lang w:val="ga-IE" w:eastAsia="en-GB"/>
              </w:rPr>
            </w:pPr>
            <w:r w:rsidRPr="000E07C7">
              <w:rPr>
                <w:rFonts w:cs="Arial"/>
                <w:lang w:val="ga-IE" w:eastAsia="en-GB"/>
              </w:rPr>
              <w:t>(€978,000)</w:t>
            </w:r>
          </w:p>
        </w:tc>
        <w:tc>
          <w:tcPr>
            <w:tcW w:w="2290" w:type="dxa"/>
            <w:shd w:val="clear" w:color="auto" w:fill="auto"/>
            <w:vAlign w:val="bottom"/>
          </w:tcPr>
          <w:p w14:paraId="482313E1" w14:textId="77777777" w:rsidR="000E07C7" w:rsidRPr="000E07C7" w:rsidRDefault="000E07C7" w:rsidP="000E07C7">
            <w:pPr>
              <w:spacing w:after="0"/>
              <w:jc w:val="right"/>
              <w:rPr>
                <w:rFonts w:cs="Arial"/>
                <w:lang w:val="ga-IE" w:eastAsia="en-GB"/>
              </w:rPr>
            </w:pPr>
            <w:r w:rsidRPr="000E07C7">
              <w:rPr>
                <w:rFonts w:cs="Arial"/>
                <w:lang w:val="ga-IE" w:eastAsia="en-GB"/>
              </w:rPr>
              <w:t>(€</w:t>
            </w:r>
            <w:r w:rsidRPr="000E07C7">
              <w:rPr>
                <w:rFonts w:cs="Gill Sans"/>
                <w:lang w:val="ga-IE" w:eastAsia="en-GB"/>
              </w:rPr>
              <w:t>515,000)</w:t>
            </w:r>
          </w:p>
        </w:tc>
      </w:tr>
      <w:tr w:rsidR="000E07C7" w:rsidRPr="000E07C7" w14:paraId="2B00F128" w14:textId="77777777" w:rsidTr="000E07C7">
        <w:tc>
          <w:tcPr>
            <w:tcW w:w="3573" w:type="dxa"/>
            <w:shd w:val="clear" w:color="auto" w:fill="auto"/>
            <w:vAlign w:val="bottom"/>
          </w:tcPr>
          <w:p w14:paraId="1C04B03B" w14:textId="77777777" w:rsidR="000E07C7" w:rsidRPr="000E07C7" w:rsidRDefault="000E07C7" w:rsidP="000E07C7">
            <w:pPr>
              <w:pStyle w:val="TableRowHead"/>
              <w:keepNext w:val="0"/>
              <w:widowControl w:val="0"/>
              <w:rPr>
                <w:rFonts w:ascii="Gill Sans" w:hAnsi="Gill Sans"/>
                <w:sz w:val="24"/>
                <w:lang w:val="ga-IE" w:eastAsia="en-GB"/>
              </w:rPr>
            </w:pPr>
            <w:r w:rsidRPr="000E07C7">
              <w:rPr>
                <w:rFonts w:ascii="Gill Sans" w:hAnsi="Gill Sans"/>
                <w:sz w:val="24"/>
                <w:lang w:val="ga-IE" w:eastAsia="en-GB"/>
              </w:rPr>
              <w:t>Dliteanas Pinsin</w:t>
            </w:r>
          </w:p>
        </w:tc>
        <w:tc>
          <w:tcPr>
            <w:tcW w:w="2290" w:type="dxa"/>
            <w:shd w:val="clear" w:color="auto" w:fill="auto"/>
            <w:vAlign w:val="bottom"/>
          </w:tcPr>
          <w:p w14:paraId="7AE977FC" w14:textId="77777777" w:rsidR="000E07C7" w:rsidRPr="000E07C7" w:rsidRDefault="000E07C7" w:rsidP="000E07C7">
            <w:pPr>
              <w:spacing w:after="0"/>
              <w:jc w:val="right"/>
              <w:rPr>
                <w:rFonts w:cs="Arial"/>
                <w:b/>
                <w:lang w:val="ga-IE" w:eastAsia="en-GB"/>
              </w:rPr>
            </w:pPr>
            <w:r w:rsidRPr="000E07C7">
              <w:rPr>
                <w:rFonts w:cs="Arial"/>
                <w:b/>
                <w:lang w:val="ga-IE" w:eastAsia="en-GB"/>
              </w:rPr>
              <w:t>€16,600,000</w:t>
            </w:r>
          </w:p>
        </w:tc>
        <w:tc>
          <w:tcPr>
            <w:tcW w:w="2290" w:type="dxa"/>
            <w:shd w:val="clear" w:color="auto" w:fill="auto"/>
            <w:vAlign w:val="bottom"/>
          </w:tcPr>
          <w:p w14:paraId="69ACF35C" w14:textId="77777777" w:rsidR="000E07C7" w:rsidRPr="000E07C7" w:rsidRDefault="000E07C7" w:rsidP="000E07C7">
            <w:pPr>
              <w:spacing w:after="0"/>
              <w:jc w:val="right"/>
              <w:rPr>
                <w:rFonts w:cs="Arial"/>
                <w:b/>
                <w:lang w:val="ga-IE" w:eastAsia="en-GB"/>
              </w:rPr>
            </w:pPr>
            <w:r w:rsidRPr="000E07C7">
              <w:rPr>
                <w:rFonts w:cs="Arial"/>
                <w:b/>
                <w:lang w:val="ga-IE" w:eastAsia="en-GB"/>
              </w:rPr>
              <w:t>€</w:t>
            </w:r>
            <w:r w:rsidRPr="000E07C7">
              <w:rPr>
                <w:rFonts w:cs="Gill Sans"/>
                <w:b/>
                <w:lang w:val="ga-IE" w:eastAsia="en-GB"/>
              </w:rPr>
              <w:t xml:space="preserve">16,800,000 </w:t>
            </w:r>
          </w:p>
        </w:tc>
      </w:tr>
    </w:tbl>
    <w:p w14:paraId="5E30521D" w14:textId="77777777" w:rsidR="000E07C7" w:rsidRPr="000E07C7" w:rsidRDefault="000E07C7" w:rsidP="000E07C7">
      <w:pPr>
        <w:pStyle w:val="Heading4"/>
        <w:spacing w:line="320" w:lineRule="atLeast"/>
        <w:rPr>
          <w:lang w:val="ga-IE" w:eastAsia="en-GB"/>
        </w:rPr>
      </w:pPr>
      <w:r w:rsidRPr="000E07C7">
        <w:rPr>
          <w:lang w:val="ga-IE"/>
        </w:rPr>
        <w:br/>
      </w:r>
      <w:r w:rsidRPr="000E07C7">
        <w:rPr>
          <w:lang w:val="ga-IE" w:eastAsia="en-GB"/>
        </w:rPr>
        <w:t xml:space="preserve">Stair na </w:t>
      </w:r>
      <w:proofErr w:type="spellStart"/>
      <w:r w:rsidRPr="000E07C7">
        <w:rPr>
          <w:lang w:val="ga-IE" w:eastAsia="en-GB"/>
        </w:rPr>
        <w:t>ngnóthachan</w:t>
      </w:r>
      <w:proofErr w:type="spellEnd"/>
      <w:r w:rsidRPr="000E07C7">
        <w:rPr>
          <w:lang w:val="ga-IE" w:eastAsia="en-GB"/>
        </w:rPr>
        <w:t xml:space="preserve"> agus na gcaillteanas ó thaithí</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168"/>
        <w:gridCol w:w="1378"/>
        <w:gridCol w:w="1379"/>
        <w:gridCol w:w="1515"/>
        <w:gridCol w:w="1481"/>
      </w:tblGrid>
      <w:tr w:rsidR="000E07C7" w:rsidRPr="000E07C7" w14:paraId="7F7036D3" w14:textId="77777777" w:rsidTr="004167E2">
        <w:trPr>
          <w:tblHeader/>
        </w:trPr>
        <w:tc>
          <w:tcPr>
            <w:tcW w:w="2235" w:type="dxa"/>
            <w:shd w:val="clear" w:color="auto" w:fill="auto"/>
          </w:tcPr>
          <w:p w14:paraId="7ECB006B" w14:textId="77777777" w:rsidR="000E07C7" w:rsidRPr="000E07C7" w:rsidRDefault="000E07C7" w:rsidP="000E07C7">
            <w:pPr>
              <w:pStyle w:val="TableRowHead"/>
              <w:rPr>
                <w:rFonts w:ascii="Gill Sans" w:hAnsi="Gill Sans"/>
                <w:sz w:val="24"/>
                <w:lang w:val="ga-IE" w:eastAsia="en-GB"/>
              </w:rPr>
            </w:pPr>
          </w:p>
        </w:tc>
        <w:tc>
          <w:tcPr>
            <w:tcW w:w="1417" w:type="dxa"/>
            <w:shd w:val="clear" w:color="auto" w:fill="auto"/>
            <w:vAlign w:val="bottom"/>
          </w:tcPr>
          <w:p w14:paraId="4CDBF990" w14:textId="77777777" w:rsidR="000E07C7" w:rsidRPr="000E07C7" w:rsidRDefault="000E07C7" w:rsidP="000E07C7">
            <w:pPr>
              <w:pStyle w:val="TableHead"/>
              <w:jc w:val="right"/>
              <w:rPr>
                <w:sz w:val="24"/>
                <w:lang w:val="ga-IE" w:eastAsia="en-GB"/>
              </w:rPr>
            </w:pPr>
            <w:r w:rsidRPr="000E07C7">
              <w:rPr>
                <w:sz w:val="24"/>
                <w:lang w:val="ga-IE" w:eastAsia="en-GB"/>
              </w:rPr>
              <w:t>2014</w:t>
            </w:r>
          </w:p>
        </w:tc>
        <w:tc>
          <w:tcPr>
            <w:tcW w:w="1418" w:type="dxa"/>
            <w:shd w:val="clear" w:color="auto" w:fill="auto"/>
            <w:vAlign w:val="bottom"/>
          </w:tcPr>
          <w:p w14:paraId="2E01EA59" w14:textId="77777777" w:rsidR="000E07C7" w:rsidRPr="000E07C7" w:rsidRDefault="000E07C7" w:rsidP="000E07C7">
            <w:pPr>
              <w:pStyle w:val="TableHead"/>
              <w:jc w:val="right"/>
              <w:rPr>
                <w:sz w:val="24"/>
                <w:lang w:val="ga-IE" w:eastAsia="en-GB"/>
              </w:rPr>
            </w:pPr>
            <w:r w:rsidRPr="000E07C7">
              <w:rPr>
                <w:sz w:val="24"/>
                <w:lang w:val="ga-IE" w:eastAsia="en-GB"/>
              </w:rPr>
              <w:t>2013</w:t>
            </w:r>
          </w:p>
        </w:tc>
        <w:tc>
          <w:tcPr>
            <w:tcW w:w="1559" w:type="dxa"/>
            <w:shd w:val="clear" w:color="auto" w:fill="auto"/>
            <w:vAlign w:val="bottom"/>
          </w:tcPr>
          <w:p w14:paraId="1A88146D" w14:textId="77777777" w:rsidR="000E07C7" w:rsidRPr="000E07C7" w:rsidRDefault="000E07C7" w:rsidP="000E07C7">
            <w:pPr>
              <w:pStyle w:val="TableHead"/>
              <w:jc w:val="right"/>
              <w:rPr>
                <w:sz w:val="24"/>
                <w:lang w:val="ga-IE" w:eastAsia="en-GB"/>
              </w:rPr>
            </w:pPr>
            <w:r w:rsidRPr="000E07C7">
              <w:rPr>
                <w:sz w:val="24"/>
                <w:lang w:val="ga-IE" w:eastAsia="en-GB"/>
              </w:rPr>
              <w:t>2012</w:t>
            </w:r>
          </w:p>
        </w:tc>
        <w:tc>
          <w:tcPr>
            <w:tcW w:w="1524" w:type="dxa"/>
            <w:shd w:val="clear" w:color="auto" w:fill="auto"/>
            <w:vAlign w:val="bottom"/>
          </w:tcPr>
          <w:p w14:paraId="718466FF" w14:textId="77777777" w:rsidR="000E07C7" w:rsidRPr="000E07C7" w:rsidRDefault="000E07C7" w:rsidP="000E07C7">
            <w:pPr>
              <w:pStyle w:val="TableHead"/>
              <w:jc w:val="right"/>
              <w:rPr>
                <w:sz w:val="24"/>
                <w:lang w:val="ga-IE" w:eastAsia="en-GB"/>
              </w:rPr>
            </w:pPr>
            <w:r w:rsidRPr="000E07C7">
              <w:rPr>
                <w:sz w:val="24"/>
                <w:lang w:val="ga-IE" w:eastAsia="en-GB"/>
              </w:rPr>
              <w:t>2011</w:t>
            </w:r>
          </w:p>
        </w:tc>
      </w:tr>
      <w:tr w:rsidR="000E07C7" w:rsidRPr="000E07C7" w14:paraId="0BE6CB9A" w14:textId="77777777" w:rsidTr="004167E2">
        <w:tc>
          <w:tcPr>
            <w:tcW w:w="2235" w:type="dxa"/>
            <w:shd w:val="clear" w:color="auto" w:fill="auto"/>
            <w:vAlign w:val="bottom"/>
          </w:tcPr>
          <w:p w14:paraId="0EF435F7"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(Gnóthachain) / caillteanais ó thaithí ar dhliteanais na scéime </w:t>
            </w:r>
          </w:p>
        </w:tc>
        <w:tc>
          <w:tcPr>
            <w:tcW w:w="1417" w:type="dxa"/>
            <w:shd w:val="clear" w:color="auto" w:fill="auto"/>
            <w:vAlign w:val="bottom"/>
          </w:tcPr>
          <w:p w14:paraId="49C6FB34" w14:textId="77777777" w:rsidR="000E07C7" w:rsidRPr="000E07C7" w:rsidRDefault="000E07C7" w:rsidP="000E07C7">
            <w:pPr>
              <w:pStyle w:val="TableCell"/>
              <w:rPr>
                <w:sz w:val="24"/>
                <w:lang w:val="ga-IE" w:eastAsia="en-GB"/>
              </w:rPr>
            </w:pPr>
            <w:r w:rsidRPr="000E07C7">
              <w:rPr>
                <w:sz w:val="24"/>
                <w:lang w:val="ga-IE" w:eastAsia="en-GB"/>
              </w:rPr>
              <w:t>(€978,000)</w:t>
            </w:r>
          </w:p>
        </w:tc>
        <w:tc>
          <w:tcPr>
            <w:tcW w:w="1418" w:type="dxa"/>
            <w:shd w:val="clear" w:color="auto" w:fill="auto"/>
            <w:vAlign w:val="bottom"/>
          </w:tcPr>
          <w:p w14:paraId="719FD5C0" w14:textId="77777777" w:rsidR="000E07C7" w:rsidRPr="000E07C7" w:rsidRDefault="000E07C7" w:rsidP="000E07C7">
            <w:pPr>
              <w:pStyle w:val="TableCell"/>
              <w:rPr>
                <w:sz w:val="24"/>
                <w:lang w:val="ga-IE" w:eastAsia="en-GB"/>
              </w:rPr>
            </w:pPr>
            <w:r w:rsidRPr="000E07C7">
              <w:rPr>
                <w:sz w:val="24"/>
                <w:lang w:val="ga-IE" w:eastAsia="en-GB"/>
              </w:rPr>
              <w:t>(€515,000)</w:t>
            </w:r>
          </w:p>
        </w:tc>
        <w:tc>
          <w:tcPr>
            <w:tcW w:w="1559" w:type="dxa"/>
            <w:shd w:val="clear" w:color="auto" w:fill="auto"/>
            <w:vAlign w:val="bottom"/>
          </w:tcPr>
          <w:p w14:paraId="1BD81B1E" w14:textId="77777777" w:rsidR="000E07C7" w:rsidRPr="000E07C7" w:rsidRDefault="000E07C7" w:rsidP="000E07C7">
            <w:pPr>
              <w:pStyle w:val="TableCell"/>
              <w:rPr>
                <w:sz w:val="24"/>
                <w:lang w:val="ga-IE" w:eastAsia="en-GB"/>
              </w:rPr>
            </w:pPr>
            <w:r w:rsidRPr="000E07C7">
              <w:rPr>
                <w:sz w:val="24"/>
                <w:lang w:val="ga-IE" w:eastAsia="en-GB"/>
              </w:rPr>
              <w:t>(€1,030,000)</w:t>
            </w:r>
          </w:p>
        </w:tc>
        <w:tc>
          <w:tcPr>
            <w:tcW w:w="1524" w:type="dxa"/>
            <w:shd w:val="clear" w:color="auto" w:fill="auto"/>
            <w:vAlign w:val="bottom"/>
          </w:tcPr>
          <w:p w14:paraId="4C9504D2" w14:textId="77777777" w:rsidR="000E07C7" w:rsidRPr="000E07C7" w:rsidRDefault="000E07C7" w:rsidP="000E07C7">
            <w:pPr>
              <w:pStyle w:val="TableCell"/>
              <w:rPr>
                <w:sz w:val="24"/>
                <w:lang w:val="ga-IE" w:eastAsia="en-GB"/>
              </w:rPr>
            </w:pPr>
            <w:r w:rsidRPr="000E07C7">
              <w:rPr>
                <w:sz w:val="24"/>
                <w:lang w:val="ga-IE" w:eastAsia="en-GB"/>
              </w:rPr>
              <w:t>(€1,260,000)</w:t>
            </w:r>
          </w:p>
        </w:tc>
      </w:tr>
      <w:tr w:rsidR="000E07C7" w:rsidRPr="000E07C7" w14:paraId="18AD66A4" w14:textId="77777777" w:rsidTr="004167E2">
        <w:tc>
          <w:tcPr>
            <w:tcW w:w="2235" w:type="dxa"/>
            <w:shd w:val="clear" w:color="auto" w:fill="auto"/>
            <w:vAlign w:val="bottom"/>
          </w:tcPr>
          <w:p w14:paraId="301D883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Céatadán luach reatha na ndliteanas scéime</w:t>
            </w:r>
          </w:p>
        </w:tc>
        <w:tc>
          <w:tcPr>
            <w:tcW w:w="1417" w:type="dxa"/>
            <w:shd w:val="clear" w:color="auto" w:fill="auto"/>
            <w:vAlign w:val="bottom"/>
          </w:tcPr>
          <w:p w14:paraId="77FFABCD" w14:textId="77777777" w:rsidR="000E07C7" w:rsidRPr="000E07C7" w:rsidRDefault="000E07C7" w:rsidP="000E07C7">
            <w:pPr>
              <w:pStyle w:val="TableCell"/>
              <w:rPr>
                <w:sz w:val="24"/>
                <w:lang w:val="ga-IE" w:eastAsia="en-GB"/>
              </w:rPr>
            </w:pPr>
            <w:r w:rsidRPr="000E07C7">
              <w:rPr>
                <w:sz w:val="24"/>
                <w:lang w:val="ga-IE" w:eastAsia="en-GB"/>
              </w:rPr>
              <w:t>(6%)</w:t>
            </w:r>
          </w:p>
        </w:tc>
        <w:tc>
          <w:tcPr>
            <w:tcW w:w="1418" w:type="dxa"/>
            <w:shd w:val="clear" w:color="auto" w:fill="auto"/>
            <w:vAlign w:val="bottom"/>
          </w:tcPr>
          <w:p w14:paraId="266EC10C" w14:textId="77777777" w:rsidR="000E07C7" w:rsidRPr="000E07C7" w:rsidRDefault="000E07C7" w:rsidP="000E07C7">
            <w:pPr>
              <w:pStyle w:val="TableCell"/>
              <w:rPr>
                <w:sz w:val="24"/>
                <w:lang w:val="ga-IE" w:eastAsia="en-GB"/>
              </w:rPr>
            </w:pPr>
            <w:r w:rsidRPr="000E07C7">
              <w:rPr>
                <w:sz w:val="24"/>
                <w:lang w:val="ga-IE" w:eastAsia="en-GB"/>
              </w:rPr>
              <w:t>(3%)</w:t>
            </w:r>
          </w:p>
        </w:tc>
        <w:tc>
          <w:tcPr>
            <w:tcW w:w="1559" w:type="dxa"/>
            <w:shd w:val="clear" w:color="auto" w:fill="auto"/>
            <w:vAlign w:val="bottom"/>
          </w:tcPr>
          <w:p w14:paraId="01F0C0A8" w14:textId="77777777" w:rsidR="000E07C7" w:rsidRPr="000E07C7" w:rsidRDefault="000E07C7" w:rsidP="000E07C7">
            <w:pPr>
              <w:pStyle w:val="TableCell"/>
              <w:rPr>
                <w:sz w:val="24"/>
                <w:lang w:val="ga-IE" w:eastAsia="en-GB"/>
              </w:rPr>
            </w:pPr>
            <w:r w:rsidRPr="000E07C7">
              <w:rPr>
                <w:sz w:val="24"/>
                <w:lang w:val="ga-IE" w:eastAsia="en-GB"/>
              </w:rPr>
              <w:t>(6%)</w:t>
            </w:r>
          </w:p>
        </w:tc>
        <w:tc>
          <w:tcPr>
            <w:tcW w:w="1524" w:type="dxa"/>
            <w:shd w:val="clear" w:color="auto" w:fill="auto"/>
            <w:vAlign w:val="bottom"/>
          </w:tcPr>
          <w:p w14:paraId="0C1B919A" w14:textId="77777777" w:rsidR="000E07C7" w:rsidRPr="000E07C7" w:rsidRDefault="000E07C7" w:rsidP="000E07C7">
            <w:pPr>
              <w:pStyle w:val="TableCell"/>
              <w:rPr>
                <w:sz w:val="24"/>
                <w:lang w:val="ga-IE" w:eastAsia="en-GB"/>
              </w:rPr>
            </w:pPr>
            <w:r w:rsidRPr="000E07C7">
              <w:rPr>
                <w:sz w:val="24"/>
                <w:lang w:val="ga-IE" w:eastAsia="en-GB"/>
              </w:rPr>
              <w:t>(8%)</w:t>
            </w:r>
          </w:p>
        </w:tc>
      </w:tr>
    </w:tbl>
    <w:p w14:paraId="4F4753B2" w14:textId="77777777" w:rsidR="000E07C7" w:rsidRPr="000E07C7" w:rsidRDefault="000E07C7" w:rsidP="000E07C7">
      <w:pPr>
        <w:pStyle w:val="Heading4"/>
        <w:spacing w:line="320" w:lineRule="atLeast"/>
        <w:rPr>
          <w:lang w:val="ga-IE" w:eastAsia="en-GB"/>
        </w:rPr>
      </w:pPr>
      <w:r w:rsidRPr="000E07C7">
        <w:rPr>
          <w:lang w:val="ga-IE" w:eastAsia="en-GB"/>
        </w:rPr>
        <w:t>Ranníocaíochtaí an Tobhaigh Phinsin</w:t>
      </w:r>
    </w:p>
    <w:p w14:paraId="7E62B21C" w14:textId="77777777" w:rsidR="000E07C7" w:rsidRPr="000E07C7" w:rsidRDefault="000E07C7" w:rsidP="000E07C7">
      <w:pPr>
        <w:rPr>
          <w:lang w:val="ga-IE" w:eastAsia="en-GB"/>
        </w:rPr>
      </w:pPr>
      <w:proofErr w:type="spellStart"/>
      <w:r w:rsidRPr="000E07C7">
        <w:rPr>
          <w:rFonts w:cs="Arial"/>
          <w:lang w:val="ga-IE"/>
        </w:rPr>
        <w:t>Asbhaineadh</w:t>
      </w:r>
      <w:proofErr w:type="spellEnd"/>
      <w:r w:rsidRPr="000E07C7">
        <w:rPr>
          <w:rFonts w:cs="Arial"/>
          <w:lang w:val="ga-IE"/>
        </w:rPr>
        <w:t xml:space="preserve"> €</w:t>
      </w:r>
      <w:r w:rsidRPr="000E07C7">
        <w:rPr>
          <w:lang w:val="ga-IE" w:eastAsia="en-GB"/>
        </w:rPr>
        <w:t>109,695</w:t>
      </w:r>
      <w:r w:rsidRPr="000E07C7">
        <w:rPr>
          <w:lang w:val="ga-IE"/>
        </w:rPr>
        <w:t xml:space="preserve"> ó bhaill foirne mar thobhach pinsin agus choimeád an Roinn Dlí agus Cirt agus Comhionannais é.</w:t>
      </w:r>
    </w:p>
    <w:p w14:paraId="2B57C79F" w14:textId="77777777" w:rsidR="000E07C7" w:rsidRPr="000E07C7" w:rsidRDefault="000E07C7" w:rsidP="000E07C7">
      <w:pPr>
        <w:pStyle w:val="Heading3"/>
        <w:rPr>
          <w:lang w:val="ga-IE" w:eastAsia="en-GB"/>
        </w:rPr>
      </w:pPr>
      <w:r w:rsidRPr="000E07C7">
        <w:rPr>
          <w:lang w:val="ga-IE" w:eastAsia="en-GB"/>
        </w:rPr>
        <w:t>11. Creidiúnaithe agus Fabhruithe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265"/>
        <w:gridCol w:w="1828"/>
        <w:gridCol w:w="1828"/>
      </w:tblGrid>
      <w:tr w:rsidR="000E07C7" w:rsidRPr="000E07C7" w14:paraId="73497044" w14:textId="77777777" w:rsidTr="000E07C7">
        <w:trPr>
          <w:tblHeader/>
        </w:trPr>
        <w:tc>
          <w:tcPr>
            <w:tcW w:w="4395" w:type="dxa"/>
            <w:shd w:val="clear" w:color="auto" w:fill="auto"/>
          </w:tcPr>
          <w:p w14:paraId="6191E485" w14:textId="77777777" w:rsidR="000E07C7" w:rsidRPr="000E07C7" w:rsidRDefault="000E07C7" w:rsidP="000E07C7">
            <w:pPr>
              <w:pStyle w:val="TableHead"/>
              <w:jc w:val="right"/>
              <w:rPr>
                <w:lang w:val="ga-IE"/>
              </w:rPr>
            </w:pPr>
          </w:p>
        </w:tc>
        <w:tc>
          <w:tcPr>
            <w:tcW w:w="1879" w:type="dxa"/>
            <w:shd w:val="clear" w:color="auto" w:fill="auto"/>
            <w:vAlign w:val="bottom"/>
          </w:tcPr>
          <w:p w14:paraId="34F8A047" w14:textId="77777777" w:rsidR="000E07C7" w:rsidRPr="000E07C7" w:rsidRDefault="000E07C7" w:rsidP="000E07C7">
            <w:pPr>
              <w:pStyle w:val="TableHead"/>
              <w:jc w:val="center"/>
              <w:rPr>
                <w:sz w:val="24"/>
                <w:lang w:val="ga-IE" w:eastAsia="en-GB"/>
              </w:rPr>
            </w:pPr>
            <w:r w:rsidRPr="000E07C7">
              <w:rPr>
                <w:sz w:val="24"/>
                <w:lang w:val="ga-IE" w:eastAsia="en-GB"/>
              </w:rPr>
              <w:t>2014</w:t>
            </w:r>
          </w:p>
        </w:tc>
        <w:tc>
          <w:tcPr>
            <w:tcW w:w="1879" w:type="dxa"/>
            <w:shd w:val="clear" w:color="auto" w:fill="auto"/>
            <w:vAlign w:val="bottom"/>
          </w:tcPr>
          <w:p w14:paraId="41299517" w14:textId="77777777" w:rsidR="000E07C7" w:rsidRPr="000E07C7" w:rsidRDefault="000E07C7" w:rsidP="000E07C7">
            <w:pPr>
              <w:pStyle w:val="TableHead"/>
              <w:jc w:val="center"/>
              <w:rPr>
                <w:sz w:val="24"/>
                <w:lang w:val="ga-IE" w:eastAsia="en-GB"/>
              </w:rPr>
            </w:pPr>
            <w:r w:rsidRPr="000E07C7">
              <w:rPr>
                <w:sz w:val="24"/>
                <w:lang w:val="ga-IE" w:eastAsia="en-GB"/>
              </w:rPr>
              <w:t>2013</w:t>
            </w:r>
          </w:p>
        </w:tc>
      </w:tr>
      <w:tr w:rsidR="000E07C7" w:rsidRPr="000E07C7" w14:paraId="377E7A8A" w14:textId="77777777" w:rsidTr="000E07C7">
        <w:tc>
          <w:tcPr>
            <w:tcW w:w="4395" w:type="dxa"/>
            <w:shd w:val="clear" w:color="auto" w:fill="auto"/>
          </w:tcPr>
          <w:p w14:paraId="6364C388" w14:textId="77777777" w:rsidR="000E07C7" w:rsidRPr="000E07C7" w:rsidRDefault="000E07C7" w:rsidP="000E07C7">
            <w:pPr>
              <w:pStyle w:val="TableRowHead"/>
              <w:rPr>
                <w:lang w:val="ga-IE"/>
              </w:rPr>
            </w:pPr>
          </w:p>
        </w:tc>
        <w:tc>
          <w:tcPr>
            <w:tcW w:w="1879" w:type="dxa"/>
            <w:shd w:val="clear" w:color="auto" w:fill="auto"/>
            <w:vAlign w:val="bottom"/>
          </w:tcPr>
          <w:p w14:paraId="2BAE28BA" w14:textId="77777777" w:rsidR="000E07C7" w:rsidRPr="000E07C7" w:rsidRDefault="000E07C7" w:rsidP="000E07C7">
            <w:pPr>
              <w:spacing w:after="0"/>
              <w:jc w:val="center"/>
              <w:rPr>
                <w:rFonts w:cs="Arial"/>
                <w:b/>
                <w:bCs/>
                <w:sz w:val="22"/>
                <w:szCs w:val="22"/>
                <w:lang w:val="ga-IE" w:eastAsia="en-GB"/>
              </w:rPr>
            </w:pPr>
            <w:r w:rsidRPr="000E07C7">
              <w:rPr>
                <w:rFonts w:cs="Arial"/>
                <w:b/>
                <w:bCs/>
                <w:sz w:val="22"/>
                <w:szCs w:val="22"/>
                <w:lang w:val="ga-IE" w:eastAsia="en-GB"/>
              </w:rPr>
              <w:t>€</w:t>
            </w:r>
          </w:p>
        </w:tc>
        <w:tc>
          <w:tcPr>
            <w:tcW w:w="1879" w:type="dxa"/>
            <w:shd w:val="clear" w:color="auto" w:fill="auto"/>
            <w:vAlign w:val="bottom"/>
          </w:tcPr>
          <w:p w14:paraId="535D25C3" w14:textId="77777777" w:rsidR="000E07C7" w:rsidRPr="000E07C7" w:rsidRDefault="000E07C7" w:rsidP="000E07C7">
            <w:pPr>
              <w:spacing w:after="0"/>
              <w:jc w:val="center"/>
              <w:rPr>
                <w:rFonts w:cs="Arial"/>
                <w:b/>
                <w:bCs/>
                <w:sz w:val="22"/>
                <w:szCs w:val="22"/>
                <w:lang w:val="ga-IE" w:eastAsia="en-GB"/>
              </w:rPr>
            </w:pPr>
            <w:r w:rsidRPr="000E07C7">
              <w:rPr>
                <w:rFonts w:cs="Arial"/>
                <w:b/>
                <w:bCs/>
                <w:sz w:val="22"/>
                <w:szCs w:val="22"/>
                <w:lang w:val="ga-IE" w:eastAsia="en-GB"/>
              </w:rPr>
              <w:t>€</w:t>
            </w:r>
          </w:p>
        </w:tc>
      </w:tr>
      <w:tr w:rsidR="000E07C7" w:rsidRPr="000E07C7" w14:paraId="49B22EBC" w14:textId="77777777" w:rsidTr="000E07C7">
        <w:tc>
          <w:tcPr>
            <w:tcW w:w="4395" w:type="dxa"/>
            <w:shd w:val="clear" w:color="auto" w:fill="auto"/>
            <w:vAlign w:val="bottom"/>
          </w:tcPr>
          <w:p w14:paraId="0A2FCBAA"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Fabhruithe</w:t>
            </w:r>
          </w:p>
        </w:tc>
        <w:tc>
          <w:tcPr>
            <w:tcW w:w="1879" w:type="dxa"/>
            <w:shd w:val="clear" w:color="auto" w:fill="auto"/>
            <w:vAlign w:val="bottom"/>
          </w:tcPr>
          <w:p w14:paraId="66A4EFD4" w14:textId="77777777" w:rsidR="000E07C7" w:rsidRPr="000E07C7" w:rsidRDefault="000E07C7" w:rsidP="000E07C7">
            <w:pPr>
              <w:pStyle w:val="TableCell"/>
              <w:rPr>
                <w:rFonts w:cs="Arial"/>
                <w:sz w:val="24"/>
                <w:lang w:val="ga-IE" w:eastAsia="en-GB"/>
              </w:rPr>
            </w:pPr>
            <w:r w:rsidRPr="000E07C7">
              <w:rPr>
                <w:rFonts w:cs="Arial"/>
                <w:sz w:val="24"/>
                <w:lang w:val="ga-IE" w:eastAsia="en-GB"/>
              </w:rPr>
              <w:t>€38,537</w:t>
            </w:r>
          </w:p>
        </w:tc>
        <w:tc>
          <w:tcPr>
            <w:tcW w:w="1879" w:type="dxa"/>
            <w:shd w:val="clear" w:color="auto" w:fill="auto"/>
            <w:vAlign w:val="bottom"/>
          </w:tcPr>
          <w:p w14:paraId="60918542" w14:textId="77777777" w:rsidR="000E07C7" w:rsidRPr="000E07C7" w:rsidRDefault="000E07C7" w:rsidP="000E07C7">
            <w:pPr>
              <w:pStyle w:val="TableCell"/>
              <w:rPr>
                <w:rFonts w:cs="Arial"/>
                <w:sz w:val="24"/>
                <w:lang w:val="ga-IE" w:eastAsia="en-GB"/>
              </w:rPr>
            </w:pPr>
            <w:r w:rsidRPr="000E07C7">
              <w:rPr>
                <w:rFonts w:cs="Arial"/>
                <w:sz w:val="24"/>
                <w:lang w:val="ga-IE" w:eastAsia="en-GB"/>
              </w:rPr>
              <w:t>€64,130</w:t>
            </w:r>
          </w:p>
        </w:tc>
      </w:tr>
      <w:tr w:rsidR="000E07C7" w:rsidRPr="000E07C7" w14:paraId="50EEE185" w14:textId="77777777" w:rsidTr="000E07C7">
        <w:tc>
          <w:tcPr>
            <w:tcW w:w="4395" w:type="dxa"/>
            <w:shd w:val="clear" w:color="auto" w:fill="auto"/>
            <w:vAlign w:val="bottom"/>
          </w:tcPr>
          <w:p w14:paraId="53B7C281"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Creidiúnaithe Iomlána</w:t>
            </w:r>
          </w:p>
        </w:tc>
        <w:tc>
          <w:tcPr>
            <w:tcW w:w="1879" w:type="dxa"/>
            <w:shd w:val="clear" w:color="auto" w:fill="auto"/>
            <w:vAlign w:val="bottom"/>
          </w:tcPr>
          <w:p w14:paraId="4BADB165" w14:textId="77777777" w:rsidR="000E07C7" w:rsidRPr="000E07C7" w:rsidRDefault="000E07C7" w:rsidP="000E07C7">
            <w:pPr>
              <w:pStyle w:val="TableCell"/>
              <w:rPr>
                <w:rFonts w:ascii="GillSans" w:hAnsi="GillSans" w:cs="Arial"/>
                <w:b/>
                <w:sz w:val="24"/>
                <w:lang w:val="ga-IE" w:eastAsia="en-GB"/>
              </w:rPr>
            </w:pPr>
            <w:r w:rsidRPr="000E07C7">
              <w:rPr>
                <w:rFonts w:ascii="GillSans" w:hAnsi="GillSans" w:cs="Arial"/>
                <w:b/>
                <w:sz w:val="24"/>
                <w:lang w:val="ga-IE" w:eastAsia="en-GB"/>
              </w:rPr>
              <w:t>€38,537</w:t>
            </w:r>
          </w:p>
        </w:tc>
        <w:tc>
          <w:tcPr>
            <w:tcW w:w="1879" w:type="dxa"/>
            <w:shd w:val="clear" w:color="auto" w:fill="auto"/>
            <w:vAlign w:val="bottom"/>
          </w:tcPr>
          <w:p w14:paraId="617B440F" w14:textId="77777777" w:rsidR="000E07C7" w:rsidRPr="000E07C7" w:rsidRDefault="000E07C7" w:rsidP="000E07C7">
            <w:pPr>
              <w:pStyle w:val="TableCell"/>
              <w:rPr>
                <w:rFonts w:ascii="GillSans" w:hAnsi="GillSans" w:cs="Arial"/>
                <w:b/>
                <w:sz w:val="24"/>
                <w:lang w:val="ga-IE" w:eastAsia="en-GB"/>
              </w:rPr>
            </w:pPr>
            <w:r w:rsidRPr="000E07C7">
              <w:rPr>
                <w:rFonts w:cs="Arial"/>
                <w:b/>
                <w:sz w:val="24"/>
                <w:lang w:val="ga-IE" w:eastAsia="en-GB"/>
              </w:rPr>
              <w:t>€64,130</w:t>
            </w:r>
          </w:p>
        </w:tc>
      </w:tr>
    </w:tbl>
    <w:p w14:paraId="774E7EA2" w14:textId="77777777" w:rsidR="000E07C7" w:rsidRPr="000E07C7" w:rsidRDefault="000E07C7" w:rsidP="000E07C7">
      <w:pPr>
        <w:rPr>
          <w:lang w:val="ga-IE"/>
        </w:rPr>
      </w:pPr>
    </w:p>
    <w:p w14:paraId="195D0C75" w14:textId="77777777" w:rsidR="000E07C7" w:rsidRPr="000E07C7" w:rsidRDefault="000E07C7" w:rsidP="000E07C7">
      <w:pPr>
        <w:pStyle w:val="Heading3"/>
        <w:rPr>
          <w:lang w:val="ga-IE"/>
        </w:rPr>
      </w:pPr>
      <w:r w:rsidRPr="000E07C7">
        <w:rPr>
          <w:lang w:val="ga-IE"/>
        </w:rPr>
        <w:lastRenderedPageBreak/>
        <w:t>12. Féichiúnaithe agus Réamhíocaíochtaí</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265"/>
        <w:gridCol w:w="1828"/>
        <w:gridCol w:w="1828"/>
      </w:tblGrid>
      <w:tr w:rsidR="000E07C7" w:rsidRPr="000E07C7" w14:paraId="0C922E62" w14:textId="77777777" w:rsidTr="000E07C7">
        <w:trPr>
          <w:tblHeader/>
        </w:trPr>
        <w:tc>
          <w:tcPr>
            <w:tcW w:w="4395" w:type="dxa"/>
            <w:shd w:val="clear" w:color="auto" w:fill="auto"/>
          </w:tcPr>
          <w:p w14:paraId="21B3A4DF" w14:textId="77777777" w:rsidR="000E07C7" w:rsidRPr="000E07C7" w:rsidRDefault="000E07C7" w:rsidP="000E07C7">
            <w:pPr>
              <w:pStyle w:val="TableHead"/>
              <w:jc w:val="right"/>
              <w:rPr>
                <w:lang w:val="ga-IE"/>
              </w:rPr>
            </w:pPr>
          </w:p>
        </w:tc>
        <w:tc>
          <w:tcPr>
            <w:tcW w:w="1879" w:type="dxa"/>
            <w:shd w:val="clear" w:color="auto" w:fill="auto"/>
            <w:vAlign w:val="bottom"/>
          </w:tcPr>
          <w:p w14:paraId="03C8B39E" w14:textId="77777777" w:rsidR="000E07C7" w:rsidRPr="000E07C7" w:rsidRDefault="000E07C7" w:rsidP="000E07C7">
            <w:pPr>
              <w:pStyle w:val="TableHead"/>
              <w:jc w:val="center"/>
              <w:rPr>
                <w:sz w:val="24"/>
                <w:lang w:val="ga-IE" w:eastAsia="en-GB"/>
              </w:rPr>
            </w:pPr>
            <w:r w:rsidRPr="000E07C7">
              <w:rPr>
                <w:sz w:val="24"/>
                <w:lang w:val="ga-IE" w:eastAsia="en-GB"/>
              </w:rPr>
              <w:t>2014</w:t>
            </w:r>
          </w:p>
        </w:tc>
        <w:tc>
          <w:tcPr>
            <w:tcW w:w="1879" w:type="dxa"/>
            <w:shd w:val="clear" w:color="auto" w:fill="auto"/>
            <w:vAlign w:val="bottom"/>
          </w:tcPr>
          <w:p w14:paraId="459F5524" w14:textId="77777777" w:rsidR="000E07C7" w:rsidRPr="000E07C7" w:rsidRDefault="000E07C7" w:rsidP="000E07C7">
            <w:pPr>
              <w:pStyle w:val="TableHead"/>
              <w:jc w:val="center"/>
              <w:rPr>
                <w:sz w:val="24"/>
                <w:lang w:val="ga-IE" w:eastAsia="en-GB"/>
              </w:rPr>
            </w:pPr>
            <w:r w:rsidRPr="000E07C7">
              <w:rPr>
                <w:sz w:val="24"/>
                <w:lang w:val="ga-IE" w:eastAsia="en-GB"/>
              </w:rPr>
              <w:t>2013</w:t>
            </w:r>
          </w:p>
        </w:tc>
      </w:tr>
      <w:tr w:rsidR="000E07C7" w:rsidRPr="000E07C7" w14:paraId="289A48C5" w14:textId="77777777" w:rsidTr="000E07C7">
        <w:trPr>
          <w:tblHeader/>
        </w:trPr>
        <w:tc>
          <w:tcPr>
            <w:tcW w:w="4395" w:type="dxa"/>
            <w:shd w:val="clear" w:color="auto" w:fill="auto"/>
          </w:tcPr>
          <w:p w14:paraId="5F0A1315" w14:textId="77777777" w:rsidR="000E07C7" w:rsidRPr="000E07C7" w:rsidRDefault="000E07C7" w:rsidP="000E07C7">
            <w:pPr>
              <w:pStyle w:val="TableHead"/>
              <w:jc w:val="right"/>
              <w:rPr>
                <w:lang w:val="ga-IE"/>
              </w:rPr>
            </w:pPr>
          </w:p>
        </w:tc>
        <w:tc>
          <w:tcPr>
            <w:tcW w:w="1879" w:type="dxa"/>
            <w:shd w:val="clear" w:color="auto" w:fill="auto"/>
            <w:vAlign w:val="bottom"/>
          </w:tcPr>
          <w:p w14:paraId="208AF049" w14:textId="77777777" w:rsidR="000E07C7" w:rsidRPr="000E07C7" w:rsidRDefault="000E07C7" w:rsidP="000E07C7">
            <w:pPr>
              <w:spacing w:after="0"/>
              <w:jc w:val="center"/>
              <w:rPr>
                <w:rFonts w:cs="Arial"/>
                <w:b/>
                <w:bCs/>
                <w:sz w:val="22"/>
                <w:szCs w:val="22"/>
                <w:lang w:val="ga-IE" w:eastAsia="en-GB"/>
              </w:rPr>
            </w:pPr>
            <w:r w:rsidRPr="000E07C7">
              <w:rPr>
                <w:rFonts w:cs="Arial"/>
                <w:b/>
                <w:bCs/>
                <w:sz w:val="22"/>
                <w:szCs w:val="22"/>
                <w:lang w:val="ga-IE" w:eastAsia="en-GB"/>
              </w:rPr>
              <w:t>€</w:t>
            </w:r>
          </w:p>
        </w:tc>
        <w:tc>
          <w:tcPr>
            <w:tcW w:w="1879" w:type="dxa"/>
            <w:shd w:val="clear" w:color="auto" w:fill="auto"/>
            <w:vAlign w:val="bottom"/>
          </w:tcPr>
          <w:p w14:paraId="0D30EA54" w14:textId="77777777" w:rsidR="000E07C7" w:rsidRPr="000E07C7" w:rsidRDefault="000E07C7" w:rsidP="000E07C7">
            <w:pPr>
              <w:spacing w:after="0"/>
              <w:jc w:val="center"/>
              <w:rPr>
                <w:rFonts w:cs="Arial"/>
                <w:b/>
                <w:bCs/>
                <w:sz w:val="22"/>
                <w:szCs w:val="22"/>
                <w:lang w:val="ga-IE" w:eastAsia="en-GB"/>
              </w:rPr>
            </w:pPr>
            <w:r w:rsidRPr="000E07C7">
              <w:rPr>
                <w:rFonts w:cs="Arial"/>
                <w:b/>
                <w:bCs/>
                <w:sz w:val="22"/>
                <w:szCs w:val="22"/>
                <w:lang w:val="ga-IE" w:eastAsia="en-GB"/>
              </w:rPr>
              <w:t>€</w:t>
            </w:r>
          </w:p>
        </w:tc>
      </w:tr>
      <w:tr w:rsidR="000E07C7" w:rsidRPr="000E07C7" w14:paraId="0C9B5E34" w14:textId="77777777" w:rsidTr="000E07C7">
        <w:tc>
          <w:tcPr>
            <w:tcW w:w="4395" w:type="dxa"/>
            <w:shd w:val="clear" w:color="auto" w:fill="auto"/>
            <w:vAlign w:val="bottom"/>
          </w:tcPr>
          <w:p w14:paraId="41E68682" w14:textId="77777777" w:rsidR="000E07C7" w:rsidRPr="000E07C7" w:rsidRDefault="000E07C7" w:rsidP="000E07C7">
            <w:pPr>
              <w:pStyle w:val="TableRowHead"/>
              <w:rPr>
                <w:rFonts w:ascii="Gill Sans" w:hAnsi="Gill Sans"/>
                <w:color w:val="0D0D0D"/>
                <w:sz w:val="24"/>
                <w:lang w:val="ga-IE" w:eastAsia="en-GB"/>
              </w:rPr>
            </w:pPr>
            <w:r w:rsidRPr="000E07C7">
              <w:rPr>
                <w:rFonts w:ascii="Gill Sans" w:hAnsi="Gill Sans"/>
                <w:color w:val="0D0D0D"/>
                <w:sz w:val="24"/>
                <w:lang w:val="ga-IE" w:eastAsia="en-GB"/>
              </w:rPr>
              <w:t>An Roinn Dlí agus Cirt agus Comhionannais</w:t>
            </w:r>
          </w:p>
        </w:tc>
        <w:tc>
          <w:tcPr>
            <w:tcW w:w="1879" w:type="dxa"/>
            <w:shd w:val="clear" w:color="auto" w:fill="auto"/>
            <w:vAlign w:val="bottom"/>
          </w:tcPr>
          <w:p w14:paraId="43C2F401"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€294,092</w:t>
            </w:r>
          </w:p>
        </w:tc>
        <w:tc>
          <w:tcPr>
            <w:tcW w:w="1879" w:type="dxa"/>
            <w:shd w:val="clear" w:color="auto" w:fill="auto"/>
            <w:vAlign w:val="bottom"/>
          </w:tcPr>
          <w:p w14:paraId="2917AED8"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€230,531</w:t>
            </w:r>
          </w:p>
        </w:tc>
      </w:tr>
      <w:tr w:rsidR="000E07C7" w:rsidRPr="000E07C7" w14:paraId="3CE645DC" w14:textId="77777777" w:rsidTr="000E07C7">
        <w:tc>
          <w:tcPr>
            <w:tcW w:w="4395" w:type="dxa"/>
            <w:shd w:val="clear" w:color="auto" w:fill="auto"/>
            <w:vAlign w:val="bottom"/>
          </w:tcPr>
          <w:p w14:paraId="3F799A2D" w14:textId="77777777" w:rsidR="000E07C7" w:rsidRPr="000E07C7" w:rsidRDefault="000E07C7" w:rsidP="000E07C7">
            <w:pPr>
              <w:pStyle w:val="TableRowHead"/>
              <w:rPr>
                <w:rFonts w:ascii="Gill Sans" w:hAnsi="Gill Sans"/>
                <w:color w:val="0D0D0D"/>
                <w:sz w:val="24"/>
                <w:lang w:val="ga-IE" w:eastAsia="en-GB"/>
              </w:rPr>
            </w:pPr>
            <w:r w:rsidRPr="000E07C7">
              <w:rPr>
                <w:rFonts w:ascii="Gill Sans" w:hAnsi="Gill Sans"/>
                <w:color w:val="0D0D0D"/>
                <w:sz w:val="24"/>
                <w:lang w:val="ga-IE" w:eastAsia="en-GB"/>
              </w:rPr>
              <w:t>Réamhíocaíochtaí</w:t>
            </w:r>
          </w:p>
        </w:tc>
        <w:tc>
          <w:tcPr>
            <w:tcW w:w="1879" w:type="dxa"/>
            <w:shd w:val="clear" w:color="auto" w:fill="auto"/>
            <w:vAlign w:val="bottom"/>
          </w:tcPr>
          <w:p w14:paraId="371C8D69"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€10,993</w:t>
            </w:r>
          </w:p>
        </w:tc>
        <w:tc>
          <w:tcPr>
            <w:tcW w:w="1879" w:type="dxa"/>
            <w:shd w:val="clear" w:color="auto" w:fill="auto"/>
            <w:vAlign w:val="bottom"/>
          </w:tcPr>
          <w:p w14:paraId="5D69BF8C"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€13,144</w:t>
            </w:r>
          </w:p>
        </w:tc>
      </w:tr>
      <w:tr w:rsidR="000E07C7" w:rsidRPr="000E07C7" w14:paraId="754FCD92" w14:textId="77777777" w:rsidTr="000E07C7">
        <w:tc>
          <w:tcPr>
            <w:tcW w:w="4395" w:type="dxa"/>
            <w:shd w:val="clear" w:color="auto" w:fill="auto"/>
            <w:vAlign w:val="bottom"/>
          </w:tcPr>
          <w:p w14:paraId="6912E741" w14:textId="77777777" w:rsidR="000E07C7" w:rsidRPr="000E07C7" w:rsidRDefault="000E07C7" w:rsidP="000E07C7">
            <w:pPr>
              <w:pStyle w:val="TableRowHead"/>
              <w:rPr>
                <w:rFonts w:ascii="Gill Sans" w:hAnsi="Gill Sans"/>
                <w:color w:val="0D0D0D"/>
                <w:sz w:val="24"/>
                <w:lang w:val="ga-IE" w:eastAsia="en-GB"/>
              </w:rPr>
            </w:pPr>
            <w:r w:rsidRPr="000E07C7">
              <w:rPr>
                <w:rFonts w:ascii="Gill Sans" w:hAnsi="Gill Sans"/>
                <w:color w:val="0D0D0D"/>
                <w:sz w:val="24"/>
                <w:lang w:val="ga-IE" w:eastAsia="en-GB"/>
              </w:rPr>
              <w:t>Féichiúnaithe Eile</w:t>
            </w:r>
          </w:p>
        </w:tc>
        <w:tc>
          <w:tcPr>
            <w:tcW w:w="1879" w:type="dxa"/>
            <w:shd w:val="clear" w:color="auto" w:fill="auto"/>
            <w:vAlign w:val="bottom"/>
          </w:tcPr>
          <w:p w14:paraId="153E9CC1"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€314</w:t>
            </w:r>
          </w:p>
        </w:tc>
        <w:tc>
          <w:tcPr>
            <w:tcW w:w="1879" w:type="dxa"/>
            <w:shd w:val="clear" w:color="auto" w:fill="auto"/>
            <w:vAlign w:val="bottom"/>
          </w:tcPr>
          <w:p w14:paraId="1E10606C"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€15,800</w:t>
            </w:r>
          </w:p>
        </w:tc>
      </w:tr>
      <w:tr w:rsidR="000E07C7" w:rsidRPr="000E07C7" w14:paraId="6EE9E5AD" w14:textId="77777777" w:rsidTr="000E07C7">
        <w:tc>
          <w:tcPr>
            <w:tcW w:w="4395" w:type="dxa"/>
            <w:shd w:val="clear" w:color="auto" w:fill="auto"/>
            <w:vAlign w:val="bottom"/>
          </w:tcPr>
          <w:p w14:paraId="118E5F0A" w14:textId="77777777" w:rsidR="000E07C7" w:rsidRPr="000E07C7" w:rsidRDefault="000E07C7" w:rsidP="000E07C7">
            <w:pPr>
              <w:pStyle w:val="TableRowHead"/>
              <w:rPr>
                <w:rFonts w:ascii="Gill Sans" w:hAnsi="Gill Sans"/>
                <w:sz w:val="24"/>
                <w:lang w:val="ga-IE" w:eastAsia="en-GB"/>
              </w:rPr>
            </w:pPr>
          </w:p>
        </w:tc>
        <w:tc>
          <w:tcPr>
            <w:tcW w:w="1879" w:type="dxa"/>
            <w:shd w:val="clear" w:color="auto" w:fill="auto"/>
            <w:vAlign w:val="bottom"/>
          </w:tcPr>
          <w:p w14:paraId="1DE0C5FF" w14:textId="77777777" w:rsidR="000E07C7" w:rsidRPr="000E07C7" w:rsidRDefault="000E07C7" w:rsidP="000E07C7">
            <w:pPr>
              <w:pStyle w:val="TableCell"/>
              <w:rPr>
                <w:rFonts w:cs="Arial"/>
                <w:sz w:val="24"/>
                <w:lang w:val="ga-IE" w:eastAsia="en-GB"/>
              </w:rPr>
            </w:pPr>
          </w:p>
        </w:tc>
        <w:tc>
          <w:tcPr>
            <w:tcW w:w="1879" w:type="dxa"/>
            <w:shd w:val="clear" w:color="auto" w:fill="auto"/>
            <w:vAlign w:val="bottom"/>
          </w:tcPr>
          <w:p w14:paraId="5318866D" w14:textId="77777777" w:rsidR="000E07C7" w:rsidRPr="000E07C7" w:rsidRDefault="000E07C7" w:rsidP="000E07C7">
            <w:pPr>
              <w:pStyle w:val="TableCell"/>
              <w:rPr>
                <w:rFonts w:cs="Arial"/>
                <w:sz w:val="24"/>
                <w:lang w:val="ga-IE" w:eastAsia="en-GB"/>
              </w:rPr>
            </w:pPr>
          </w:p>
        </w:tc>
      </w:tr>
      <w:tr w:rsidR="000E07C7" w:rsidRPr="000E07C7" w14:paraId="0476B1BB" w14:textId="77777777" w:rsidTr="000E07C7">
        <w:tc>
          <w:tcPr>
            <w:tcW w:w="4395" w:type="dxa"/>
            <w:shd w:val="clear" w:color="auto" w:fill="auto"/>
            <w:vAlign w:val="bottom"/>
          </w:tcPr>
          <w:p w14:paraId="1E1D1523"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Féichiúnaithe Iomlána</w:t>
            </w:r>
          </w:p>
        </w:tc>
        <w:tc>
          <w:tcPr>
            <w:tcW w:w="1879" w:type="dxa"/>
            <w:shd w:val="clear" w:color="auto" w:fill="auto"/>
            <w:vAlign w:val="bottom"/>
          </w:tcPr>
          <w:p w14:paraId="5CC099C8" w14:textId="77777777" w:rsidR="000E07C7" w:rsidRPr="000E07C7" w:rsidRDefault="000E07C7" w:rsidP="000E07C7">
            <w:pPr>
              <w:pStyle w:val="TableCell"/>
              <w:rPr>
                <w:rFonts w:cs="Arial"/>
                <w:b/>
                <w:sz w:val="24"/>
                <w:lang w:val="ga-IE" w:eastAsia="en-GB"/>
              </w:rPr>
            </w:pPr>
            <w:r w:rsidRPr="000E07C7">
              <w:rPr>
                <w:rFonts w:cs="Arial"/>
                <w:b/>
                <w:sz w:val="24"/>
                <w:lang w:val="ga-IE" w:eastAsia="en-GB"/>
              </w:rPr>
              <w:t>€305,399</w:t>
            </w:r>
          </w:p>
        </w:tc>
        <w:tc>
          <w:tcPr>
            <w:tcW w:w="1879" w:type="dxa"/>
            <w:shd w:val="clear" w:color="auto" w:fill="auto"/>
            <w:vAlign w:val="bottom"/>
          </w:tcPr>
          <w:p w14:paraId="63D88517" w14:textId="77777777" w:rsidR="000E07C7" w:rsidRPr="000E07C7" w:rsidRDefault="000E07C7" w:rsidP="000E07C7">
            <w:pPr>
              <w:pStyle w:val="TableCell"/>
              <w:rPr>
                <w:rFonts w:cs="Arial"/>
                <w:b/>
                <w:sz w:val="24"/>
                <w:lang w:val="ga-IE" w:eastAsia="en-GB"/>
              </w:rPr>
            </w:pPr>
            <w:r w:rsidRPr="000E07C7">
              <w:rPr>
                <w:rFonts w:cs="Arial"/>
                <w:b/>
                <w:sz w:val="24"/>
                <w:lang w:val="ga-IE" w:eastAsia="en-GB"/>
              </w:rPr>
              <w:t>€259,475</w:t>
            </w:r>
          </w:p>
        </w:tc>
      </w:tr>
    </w:tbl>
    <w:p w14:paraId="588CF566" w14:textId="77777777" w:rsidR="000E07C7" w:rsidRPr="000E07C7" w:rsidRDefault="000E07C7" w:rsidP="000E07C7">
      <w:pPr>
        <w:rPr>
          <w:lang w:val="ga-IE" w:eastAsia="en-GB"/>
        </w:rPr>
      </w:pPr>
      <w:r w:rsidRPr="000E07C7">
        <w:rPr>
          <w:lang w:val="ga-IE" w:eastAsia="en-GB"/>
        </w:rPr>
        <w:br/>
        <w:t xml:space="preserve">Baineann féichiúnaithe eile leis an mbarrachas a eascraíonn ó ranníocaíochtaí carnacha aoisliúntais a </w:t>
      </w:r>
      <w:proofErr w:type="spellStart"/>
      <w:r w:rsidRPr="000E07C7">
        <w:rPr>
          <w:lang w:val="ga-IE" w:eastAsia="en-GB"/>
        </w:rPr>
        <w:t>asbhaineadh</w:t>
      </w:r>
      <w:proofErr w:type="spellEnd"/>
      <w:r w:rsidRPr="000E07C7">
        <w:rPr>
          <w:lang w:val="ga-IE" w:eastAsia="en-GB"/>
        </w:rPr>
        <w:t xml:space="preserve"> ó fhoireann an ÚNM lúide íocaíochtaí carnacha pinsin a rinneadh leis an bhfoireann ar dhul ar scor dóibh a </w:t>
      </w:r>
      <w:proofErr w:type="spellStart"/>
      <w:r w:rsidRPr="000E07C7">
        <w:rPr>
          <w:lang w:val="ga-IE" w:eastAsia="en-GB"/>
        </w:rPr>
        <w:t>cistíodh</w:t>
      </w:r>
      <w:proofErr w:type="spellEnd"/>
      <w:r w:rsidRPr="000E07C7">
        <w:rPr>
          <w:lang w:val="ga-IE" w:eastAsia="en-GB"/>
        </w:rPr>
        <w:t xml:space="preserve"> ón gciste seo.</w:t>
      </w:r>
    </w:p>
    <w:p w14:paraId="32AF392D" w14:textId="77777777" w:rsidR="000E07C7" w:rsidRPr="000E07C7" w:rsidRDefault="000E07C7" w:rsidP="000E07C7">
      <w:pPr>
        <w:pStyle w:val="Heading3"/>
        <w:rPr>
          <w:lang w:val="ga-IE" w:eastAsia="en-GB"/>
        </w:rPr>
      </w:pPr>
      <w:r w:rsidRPr="000E07C7">
        <w:rPr>
          <w:lang w:val="ga-IE"/>
        </w:rPr>
        <w:t>13. Gluaiseacht an Bharrachais a Coimeádadh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15"/>
        <w:gridCol w:w="1578"/>
        <w:gridCol w:w="1828"/>
      </w:tblGrid>
      <w:tr w:rsidR="000E07C7" w:rsidRPr="000E07C7" w14:paraId="3A50AC73" w14:textId="77777777" w:rsidTr="000E07C7">
        <w:trPr>
          <w:tblHeader/>
        </w:trPr>
        <w:tc>
          <w:tcPr>
            <w:tcW w:w="4653" w:type="dxa"/>
            <w:shd w:val="clear" w:color="auto" w:fill="auto"/>
          </w:tcPr>
          <w:p w14:paraId="07313523" w14:textId="77777777" w:rsidR="000E07C7" w:rsidRPr="000E07C7" w:rsidRDefault="000E07C7" w:rsidP="000E07C7">
            <w:pPr>
              <w:pStyle w:val="TableHead"/>
              <w:jc w:val="right"/>
              <w:rPr>
                <w:lang w:val="ga-IE"/>
              </w:rPr>
            </w:pPr>
          </w:p>
        </w:tc>
        <w:tc>
          <w:tcPr>
            <w:tcW w:w="1621" w:type="dxa"/>
            <w:shd w:val="clear" w:color="auto" w:fill="auto"/>
            <w:vAlign w:val="bottom"/>
          </w:tcPr>
          <w:p w14:paraId="05D045A0" w14:textId="77777777" w:rsidR="000E07C7" w:rsidRPr="000E07C7" w:rsidRDefault="000E07C7" w:rsidP="000E07C7">
            <w:pPr>
              <w:pStyle w:val="TableHead"/>
              <w:jc w:val="center"/>
              <w:rPr>
                <w:sz w:val="24"/>
                <w:lang w:val="ga-IE" w:eastAsia="en-GB"/>
              </w:rPr>
            </w:pPr>
            <w:r w:rsidRPr="000E07C7">
              <w:rPr>
                <w:sz w:val="24"/>
                <w:lang w:val="ga-IE" w:eastAsia="en-GB"/>
              </w:rPr>
              <w:t>2014</w:t>
            </w:r>
          </w:p>
        </w:tc>
        <w:tc>
          <w:tcPr>
            <w:tcW w:w="1879" w:type="dxa"/>
            <w:shd w:val="clear" w:color="auto" w:fill="auto"/>
            <w:vAlign w:val="bottom"/>
          </w:tcPr>
          <w:p w14:paraId="220BD0A9" w14:textId="77777777" w:rsidR="000E07C7" w:rsidRPr="000E07C7" w:rsidRDefault="000E07C7" w:rsidP="000E07C7">
            <w:pPr>
              <w:pStyle w:val="TableHead"/>
              <w:jc w:val="center"/>
              <w:rPr>
                <w:sz w:val="24"/>
                <w:lang w:val="ga-IE" w:eastAsia="en-GB"/>
              </w:rPr>
            </w:pPr>
            <w:r w:rsidRPr="000E07C7">
              <w:rPr>
                <w:sz w:val="24"/>
                <w:lang w:val="ga-IE" w:eastAsia="en-GB"/>
              </w:rPr>
              <w:t>2013</w:t>
            </w:r>
          </w:p>
        </w:tc>
      </w:tr>
      <w:tr w:rsidR="000E07C7" w:rsidRPr="000E07C7" w14:paraId="51257E07" w14:textId="77777777" w:rsidTr="000E07C7">
        <w:trPr>
          <w:tblHeader/>
        </w:trPr>
        <w:tc>
          <w:tcPr>
            <w:tcW w:w="4653" w:type="dxa"/>
            <w:shd w:val="clear" w:color="auto" w:fill="auto"/>
          </w:tcPr>
          <w:p w14:paraId="43F49570" w14:textId="77777777" w:rsidR="000E07C7" w:rsidRPr="000E07C7" w:rsidRDefault="000E07C7" w:rsidP="000E07C7">
            <w:pPr>
              <w:pStyle w:val="TableHead"/>
              <w:jc w:val="right"/>
              <w:rPr>
                <w:lang w:val="ga-IE"/>
              </w:rPr>
            </w:pPr>
          </w:p>
        </w:tc>
        <w:tc>
          <w:tcPr>
            <w:tcW w:w="1621" w:type="dxa"/>
            <w:shd w:val="clear" w:color="auto" w:fill="auto"/>
            <w:vAlign w:val="bottom"/>
          </w:tcPr>
          <w:p w14:paraId="1915C57A" w14:textId="77777777" w:rsidR="000E07C7" w:rsidRPr="000E07C7" w:rsidRDefault="000E07C7" w:rsidP="000E07C7">
            <w:pPr>
              <w:spacing w:after="0"/>
              <w:jc w:val="center"/>
              <w:rPr>
                <w:rFonts w:cs="Arial"/>
                <w:b/>
                <w:bCs/>
                <w:sz w:val="22"/>
                <w:szCs w:val="22"/>
                <w:lang w:val="ga-IE" w:eastAsia="en-GB"/>
              </w:rPr>
            </w:pPr>
            <w:r w:rsidRPr="000E07C7">
              <w:rPr>
                <w:rFonts w:cs="Arial"/>
                <w:b/>
                <w:bCs/>
                <w:sz w:val="22"/>
                <w:szCs w:val="22"/>
                <w:lang w:val="ga-IE" w:eastAsia="en-GB"/>
              </w:rPr>
              <w:t>€</w:t>
            </w:r>
          </w:p>
        </w:tc>
        <w:tc>
          <w:tcPr>
            <w:tcW w:w="1879" w:type="dxa"/>
            <w:shd w:val="clear" w:color="auto" w:fill="auto"/>
            <w:vAlign w:val="bottom"/>
          </w:tcPr>
          <w:p w14:paraId="7345A059" w14:textId="77777777" w:rsidR="000E07C7" w:rsidRPr="000E07C7" w:rsidRDefault="000E07C7" w:rsidP="000E07C7">
            <w:pPr>
              <w:spacing w:after="0"/>
              <w:jc w:val="center"/>
              <w:rPr>
                <w:rFonts w:cs="Arial"/>
                <w:b/>
                <w:bCs/>
                <w:sz w:val="22"/>
                <w:szCs w:val="22"/>
                <w:lang w:val="ga-IE" w:eastAsia="en-GB"/>
              </w:rPr>
            </w:pPr>
            <w:r w:rsidRPr="000E07C7">
              <w:rPr>
                <w:rFonts w:cs="Arial"/>
                <w:b/>
                <w:bCs/>
                <w:sz w:val="22"/>
                <w:szCs w:val="22"/>
                <w:lang w:val="ga-IE" w:eastAsia="en-GB"/>
              </w:rPr>
              <w:t>€</w:t>
            </w:r>
          </w:p>
        </w:tc>
      </w:tr>
      <w:tr w:rsidR="000E07C7" w:rsidRPr="000E07C7" w14:paraId="7A5BA4A5" w14:textId="77777777" w:rsidTr="000E07C7">
        <w:tc>
          <w:tcPr>
            <w:tcW w:w="4653" w:type="dxa"/>
            <w:shd w:val="clear" w:color="auto" w:fill="auto"/>
            <w:vAlign w:val="bottom"/>
          </w:tcPr>
          <w:p w14:paraId="2660AA96" w14:textId="77777777" w:rsidR="000E07C7" w:rsidRPr="000E07C7" w:rsidRDefault="000E07C7" w:rsidP="000E07C7">
            <w:pPr>
              <w:pStyle w:val="TableRowHead"/>
              <w:rPr>
                <w:rFonts w:ascii="Gill Sans" w:hAnsi="Gill Sans"/>
                <w:color w:val="0D0D0D"/>
                <w:sz w:val="24"/>
                <w:lang w:val="ga-IE" w:eastAsia="en-GB"/>
              </w:rPr>
            </w:pPr>
            <w:r w:rsidRPr="000E07C7">
              <w:rPr>
                <w:rFonts w:ascii="Gill Sans" w:hAnsi="Gill Sans"/>
                <w:color w:val="0D0D0D"/>
                <w:sz w:val="24"/>
                <w:lang w:val="ga-IE" w:eastAsia="en-GB"/>
              </w:rPr>
              <w:t>Barrachas a coimeádadh amhail an 1 Eanáir</w:t>
            </w:r>
          </w:p>
        </w:tc>
        <w:tc>
          <w:tcPr>
            <w:tcW w:w="1621" w:type="dxa"/>
            <w:shd w:val="clear" w:color="auto" w:fill="auto"/>
            <w:vAlign w:val="bottom"/>
          </w:tcPr>
          <w:p w14:paraId="657D0060"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€197,668</w:t>
            </w:r>
          </w:p>
        </w:tc>
        <w:tc>
          <w:tcPr>
            <w:tcW w:w="1879" w:type="dxa"/>
            <w:shd w:val="clear" w:color="auto" w:fill="auto"/>
            <w:vAlign w:val="bottom"/>
          </w:tcPr>
          <w:p w14:paraId="07845272"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€173,648</w:t>
            </w:r>
          </w:p>
        </w:tc>
      </w:tr>
      <w:tr w:rsidR="000E07C7" w:rsidRPr="000E07C7" w14:paraId="1CDEC32F" w14:textId="77777777" w:rsidTr="000E07C7">
        <w:tc>
          <w:tcPr>
            <w:tcW w:w="4653" w:type="dxa"/>
            <w:shd w:val="clear" w:color="auto" w:fill="auto"/>
            <w:vAlign w:val="bottom"/>
          </w:tcPr>
          <w:p w14:paraId="28C847DA" w14:textId="77777777" w:rsidR="000E07C7" w:rsidRPr="000E07C7" w:rsidRDefault="000E07C7" w:rsidP="000E07C7">
            <w:pPr>
              <w:pStyle w:val="TableRowHead"/>
              <w:rPr>
                <w:rFonts w:ascii="Gill Sans" w:hAnsi="Gill Sans"/>
                <w:color w:val="0D0D0D"/>
                <w:sz w:val="24"/>
                <w:lang w:val="ga-IE" w:eastAsia="en-GB"/>
              </w:rPr>
            </w:pPr>
            <w:r w:rsidRPr="000E07C7">
              <w:rPr>
                <w:rFonts w:ascii="Gill Sans" w:hAnsi="Gill Sans"/>
                <w:color w:val="0D0D0D"/>
                <w:sz w:val="24"/>
                <w:lang w:val="ga-IE" w:eastAsia="en-GB"/>
              </w:rPr>
              <w:t>Gluaiseacht sa Bhliain</w:t>
            </w:r>
          </w:p>
        </w:tc>
        <w:tc>
          <w:tcPr>
            <w:tcW w:w="1621" w:type="dxa"/>
            <w:shd w:val="clear" w:color="auto" w:fill="auto"/>
            <w:vAlign w:val="bottom"/>
          </w:tcPr>
          <w:p w14:paraId="26793E0E" w14:textId="77777777" w:rsidR="000E07C7" w:rsidRPr="000E07C7" w:rsidRDefault="000E07C7" w:rsidP="000E07C7">
            <w:pPr>
              <w:pStyle w:val="TableCell"/>
              <w:rPr>
                <w:rFonts w:cs="Arial"/>
                <w:color w:val="0D0D0D"/>
                <w:sz w:val="24"/>
                <w:lang w:val="ga-IE" w:eastAsia="en-GB"/>
              </w:rPr>
            </w:pPr>
          </w:p>
        </w:tc>
        <w:tc>
          <w:tcPr>
            <w:tcW w:w="1879" w:type="dxa"/>
            <w:shd w:val="clear" w:color="auto" w:fill="auto"/>
            <w:vAlign w:val="bottom"/>
          </w:tcPr>
          <w:p w14:paraId="144E59FC" w14:textId="77777777" w:rsidR="000E07C7" w:rsidRPr="000E07C7" w:rsidRDefault="000E07C7" w:rsidP="000E07C7">
            <w:pPr>
              <w:pStyle w:val="TableCell"/>
              <w:rPr>
                <w:rFonts w:cs="Arial"/>
                <w:color w:val="0D0D0D"/>
                <w:sz w:val="24"/>
                <w:lang w:val="ga-IE" w:eastAsia="en-GB"/>
              </w:rPr>
            </w:pPr>
          </w:p>
        </w:tc>
      </w:tr>
      <w:tr w:rsidR="000E07C7" w:rsidRPr="000E07C7" w14:paraId="5BEC0434" w14:textId="77777777" w:rsidTr="000E07C7">
        <w:tc>
          <w:tcPr>
            <w:tcW w:w="4653" w:type="dxa"/>
            <w:shd w:val="clear" w:color="auto" w:fill="auto"/>
            <w:vAlign w:val="bottom"/>
          </w:tcPr>
          <w:p w14:paraId="28F2A31D"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Réamhíocaíochtaí agus Féichiúnaithe Eile</w:t>
            </w:r>
          </w:p>
        </w:tc>
        <w:tc>
          <w:tcPr>
            <w:tcW w:w="1621" w:type="dxa"/>
            <w:shd w:val="clear" w:color="auto" w:fill="auto"/>
            <w:vAlign w:val="bottom"/>
          </w:tcPr>
          <w:p w14:paraId="7F685C7C"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(€17,637)</w:t>
            </w:r>
          </w:p>
        </w:tc>
        <w:tc>
          <w:tcPr>
            <w:tcW w:w="1879" w:type="dxa"/>
            <w:shd w:val="clear" w:color="auto" w:fill="auto"/>
            <w:vAlign w:val="bottom"/>
          </w:tcPr>
          <w:p w14:paraId="61B0EFCA" w14:textId="77777777" w:rsidR="000E07C7" w:rsidRPr="000E07C7" w:rsidRDefault="000E07C7" w:rsidP="000E07C7">
            <w:pPr>
              <w:pStyle w:val="TableCell"/>
              <w:rPr>
                <w:rFonts w:cs="Arial"/>
                <w:color w:val="0D0D0D"/>
                <w:sz w:val="24"/>
                <w:lang w:val="ga-IE" w:eastAsia="en-GB"/>
              </w:rPr>
            </w:pPr>
            <w:r w:rsidRPr="000E07C7">
              <w:rPr>
                <w:rFonts w:cs="Arial"/>
                <w:color w:val="0D0D0D"/>
                <w:sz w:val="24"/>
                <w:lang w:val="ga-IE" w:eastAsia="en-GB"/>
              </w:rPr>
              <w:t>(€2,654)</w:t>
            </w:r>
          </w:p>
        </w:tc>
      </w:tr>
      <w:tr w:rsidR="000E07C7" w:rsidRPr="000E07C7" w14:paraId="0CD3E6CC" w14:textId="77777777" w:rsidTr="000E07C7">
        <w:tc>
          <w:tcPr>
            <w:tcW w:w="4653" w:type="dxa"/>
            <w:shd w:val="clear" w:color="auto" w:fill="auto"/>
            <w:vAlign w:val="bottom"/>
          </w:tcPr>
          <w:p w14:paraId="086A2758"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Fabhruithe</w:t>
            </w:r>
          </w:p>
        </w:tc>
        <w:tc>
          <w:tcPr>
            <w:tcW w:w="1621" w:type="dxa"/>
            <w:shd w:val="clear" w:color="auto" w:fill="auto"/>
            <w:vAlign w:val="bottom"/>
          </w:tcPr>
          <w:p w14:paraId="6B741662" w14:textId="77777777" w:rsidR="000E07C7" w:rsidRPr="000E07C7" w:rsidRDefault="000E07C7" w:rsidP="000E07C7">
            <w:pPr>
              <w:pStyle w:val="TableCell"/>
              <w:rPr>
                <w:rFonts w:cs="Arial"/>
                <w:sz w:val="24"/>
                <w:lang w:val="ga-IE" w:eastAsia="en-GB"/>
              </w:rPr>
            </w:pPr>
            <w:r w:rsidRPr="000E07C7">
              <w:rPr>
                <w:rFonts w:cs="Arial"/>
                <w:sz w:val="24"/>
                <w:lang w:val="ga-IE" w:eastAsia="en-GB"/>
              </w:rPr>
              <w:t>€25,593</w:t>
            </w:r>
          </w:p>
        </w:tc>
        <w:tc>
          <w:tcPr>
            <w:tcW w:w="1879" w:type="dxa"/>
            <w:shd w:val="clear" w:color="auto" w:fill="auto"/>
            <w:vAlign w:val="bottom"/>
          </w:tcPr>
          <w:p w14:paraId="5F8BAF60" w14:textId="77777777" w:rsidR="000E07C7" w:rsidRPr="000E07C7" w:rsidRDefault="000E07C7" w:rsidP="000E07C7">
            <w:pPr>
              <w:pStyle w:val="TableCell"/>
              <w:rPr>
                <w:rFonts w:cs="Arial"/>
                <w:sz w:val="24"/>
                <w:lang w:val="ga-IE" w:eastAsia="en-GB"/>
              </w:rPr>
            </w:pPr>
            <w:r w:rsidRPr="000E07C7">
              <w:rPr>
                <w:rFonts w:cs="Arial"/>
                <w:sz w:val="24"/>
                <w:lang w:val="ga-IE" w:eastAsia="en-GB"/>
              </w:rPr>
              <w:t>(€25,048)</w:t>
            </w:r>
          </w:p>
        </w:tc>
      </w:tr>
      <w:tr w:rsidR="000E07C7" w:rsidRPr="000E07C7" w14:paraId="45B6A1C1" w14:textId="77777777" w:rsidTr="000E07C7">
        <w:tc>
          <w:tcPr>
            <w:tcW w:w="4653" w:type="dxa"/>
            <w:shd w:val="clear" w:color="auto" w:fill="auto"/>
            <w:vAlign w:val="bottom"/>
          </w:tcPr>
          <w:p w14:paraId="3849C952"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Fionraí Pinsin</w:t>
            </w:r>
          </w:p>
        </w:tc>
        <w:tc>
          <w:tcPr>
            <w:tcW w:w="1621" w:type="dxa"/>
            <w:shd w:val="clear" w:color="auto" w:fill="auto"/>
            <w:vAlign w:val="bottom"/>
          </w:tcPr>
          <w:p w14:paraId="01BD24E3" w14:textId="77777777" w:rsidR="000E07C7" w:rsidRPr="000E07C7" w:rsidRDefault="000E07C7" w:rsidP="000E07C7">
            <w:pPr>
              <w:pStyle w:val="TableCell"/>
              <w:rPr>
                <w:rFonts w:cs="Arial"/>
                <w:sz w:val="24"/>
                <w:lang w:val="ga-IE" w:eastAsia="en-GB"/>
              </w:rPr>
            </w:pPr>
            <w:r w:rsidRPr="000E07C7">
              <w:rPr>
                <w:rFonts w:cs="Arial"/>
                <w:sz w:val="24"/>
                <w:lang w:val="ga-IE" w:eastAsia="en-GB"/>
              </w:rPr>
              <w:t>€63,561</w:t>
            </w:r>
          </w:p>
        </w:tc>
        <w:tc>
          <w:tcPr>
            <w:tcW w:w="1879" w:type="dxa"/>
            <w:shd w:val="clear" w:color="auto" w:fill="auto"/>
            <w:vAlign w:val="bottom"/>
          </w:tcPr>
          <w:p w14:paraId="503CC0A0" w14:textId="77777777" w:rsidR="000E07C7" w:rsidRPr="000E07C7" w:rsidRDefault="000E07C7" w:rsidP="000E07C7">
            <w:pPr>
              <w:pStyle w:val="TableCell"/>
              <w:rPr>
                <w:rFonts w:cs="Arial"/>
                <w:sz w:val="24"/>
                <w:lang w:val="ga-IE" w:eastAsia="en-GB"/>
              </w:rPr>
            </w:pPr>
            <w:r w:rsidRPr="000E07C7">
              <w:rPr>
                <w:rFonts w:cs="Arial"/>
                <w:sz w:val="24"/>
                <w:lang w:val="ga-IE" w:eastAsia="en-GB"/>
              </w:rPr>
              <w:t>€57,759</w:t>
            </w:r>
          </w:p>
        </w:tc>
      </w:tr>
      <w:tr w:rsidR="000E07C7" w:rsidRPr="000E07C7" w14:paraId="5A6A767E" w14:textId="77777777" w:rsidTr="000E07C7">
        <w:tc>
          <w:tcPr>
            <w:tcW w:w="4653" w:type="dxa"/>
            <w:shd w:val="clear" w:color="auto" w:fill="auto"/>
            <w:vAlign w:val="bottom"/>
          </w:tcPr>
          <w:p w14:paraId="0A683B9D" w14:textId="77777777" w:rsidR="000E07C7" w:rsidRPr="000E07C7" w:rsidRDefault="000E07C7" w:rsidP="000E07C7">
            <w:pPr>
              <w:pStyle w:val="TableRowHead"/>
              <w:rPr>
                <w:rFonts w:ascii="Gill Sans" w:hAnsi="Gill Sans"/>
                <w:sz w:val="24"/>
                <w:lang w:val="ga-IE" w:eastAsia="en-GB"/>
              </w:rPr>
            </w:pPr>
            <w:r w:rsidRPr="000E07C7">
              <w:rPr>
                <w:rFonts w:ascii="Gill Sans" w:hAnsi="Gill Sans"/>
                <w:sz w:val="24"/>
                <w:lang w:val="ga-IE" w:eastAsia="en-GB"/>
              </w:rPr>
              <w:t xml:space="preserve">Laghdú sa chuntas bainc </w:t>
            </w:r>
          </w:p>
        </w:tc>
        <w:tc>
          <w:tcPr>
            <w:tcW w:w="1621" w:type="dxa"/>
            <w:shd w:val="clear" w:color="auto" w:fill="auto"/>
            <w:vAlign w:val="bottom"/>
          </w:tcPr>
          <w:p w14:paraId="5BC3A8FC" w14:textId="77777777" w:rsidR="000E07C7" w:rsidRPr="000E07C7" w:rsidRDefault="000E07C7" w:rsidP="000E07C7">
            <w:pPr>
              <w:pStyle w:val="TableCell"/>
              <w:rPr>
                <w:rFonts w:cs="Arial"/>
                <w:sz w:val="24"/>
                <w:lang w:val="ga-IE" w:eastAsia="en-GB"/>
              </w:rPr>
            </w:pPr>
            <w:r w:rsidRPr="000E07C7">
              <w:rPr>
                <w:rFonts w:cs="Arial"/>
                <w:sz w:val="24"/>
                <w:lang w:val="ga-IE" w:eastAsia="en-GB"/>
              </w:rPr>
              <w:t>(€339)</w:t>
            </w:r>
          </w:p>
        </w:tc>
        <w:tc>
          <w:tcPr>
            <w:tcW w:w="1879" w:type="dxa"/>
            <w:shd w:val="clear" w:color="auto" w:fill="auto"/>
            <w:vAlign w:val="bottom"/>
          </w:tcPr>
          <w:p w14:paraId="7C36B92A" w14:textId="77777777" w:rsidR="000E07C7" w:rsidRPr="000E07C7" w:rsidRDefault="000E07C7" w:rsidP="000E07C7">
            <w:pPr>
              <w:pStyle w:val="TableCell"/>
              <w:rPr>
                <w:rFonts w:cs="Arial"/>
                <w:sz w:val="24"/>
                <w:lang w:val="ga-IE" w:eastAsia="en-GB"/>
              </w:rPr>
            </w:pPr>
            <w:r w:rsidRPr="000E07C7">
              <w:rPr>
                <w:rFonts w:cs="Arial"/>
                <w:sz w:val="24"/>
                <w:lang w:val="ga-IE" w:eastAsia="en-GB"/>
              </w:rPr>
              <w:t>(€6,037)</w:t>
            </w:r>
          </w:p>
        </w:tc>
      </w:tr>
      <w:tr w:rsidR="000E07C7" w:rsidRPr="000E07C7" w14:paraId="39BF655D" w14:textId="77777777" w:rsidTr="000E07C7">
        <w:tc>
          <w:tcPr>
            <w:tcW w:w="4653" w:type="dxa"/>
            <w:shd w:val="clear" w:color="auto" w:fill="auto"/>
            <w:vAlign w:val="bottom"/>
          </w:tcPr>
          <w:p w14:paraId="4150B1E4" w14:textId="77777777" w:rsidR="000E07C7" w:rsidRPr="000E07C7" w:rsidRDefault="000E07C7" w:rsidP="000E07C7">
            <w:pPr>
              <w:pStyle w:val="TableRowHead"/>
              <w:rPr>
                <w:rFonts w:ascii="Gill Sans" w:hAnsi="Gill Sans"/>
                <w:color w:val="0D0D0D"/>
                <w:sz w:val="24"/>
                <w:lang w:val="ga-IE" w:eastAsia="en-GB"/>
              </w:rPr>
            </w:pPr>
            <w:r w:rsidRPr="000E07C7">
              <w:rPr>
                <w:rFonts w:ascii="Gill Sans" w:hAnsi="Gill Sans"/>
                <w:color w:val="0D0D0D"/>
                <w:sz w:val="24"/>
                <w:lang w:val="ga-IE" w:eastAsia="en-GB"/>
              </w:rPr>
              <w:t>Gnóthachan Aitheanta Iomlán don bhliain</w:t>
            </w:r>
          </w:p>
        </w:tc>
        <w:tc>
          <w:tcPr>
            <w:tcW w:w="1621" w:type="dxa"/>
            <w:shd w:val="clear" w:color="auto" w:fill="auto"/>
            <w:vAlign w:val="bottom"/>
          </w:tcPr>
          <w:p w14:paraId="4FC543CE" w14:textId="77777777" w:rsidR="000E07C7" w:rsidRPr="000E07C7" w:rsidRDefault="000E07C7" w:rsidP="000E07C7">
            <w:pPr>
              <w:pStyle w:val="TableCell"/>
              <w:rPr>
                <w:rFonts w:cs="Arial"/>
                <w:b/>
                <w:sz w:val="24"/>
                <w:lang w:val="ga-IE" w:eastAsia="en-GB"/>
              </w:rPr>
            </w:pPr>
            <w:r w:rsidRPr="000E07C7">
              <w:rPr>
                <w:rFonts w:cs="Arial"/>
                <w:b/>
                <w:sz w:val="24"/>
                <w:lang w:val="ga-IE" w:eastAsia="en-GB"/>
              </w:rPr>
              <w:t>€71,178</w:t>
            </w:r>
          </w:p>
        </w:tc>
        <w:tc>
          <w:tcPr>
            <w:tcW w:w="1879" w:type="dxa"/>
            <w:shd w:val="clear" w:color="auto" w:fill="auto"/>
            <w:vAlign w:val="bottom"/>
          </w:tcPr>
          <w:p w14:paraId="5DC716B7" w14:textId="77777777" w:rsidR="000E07C7" w:rsidRPr="000E07C7" w:rsidRDefault="000E07C7" w:rsidP="000E07C7">
            <w:pPr>
              <w:pStyle w:val="TableCell"/>
              <w:rPr>
                <w:rFonts w:cs="Arial"/>
                <w:b/>
                <w:sz w:val="24"/>
                <w:lang w:val="ga-IE" w:eastAsia="en-GB"/>
              </w:rPr>
            </w:pPr>
            <w:r w:rsidRPr="000E07C7">
              <w:rPr>
                <w:rFonts w:cs="Arial"/>
                <w:b/>
                <w:sz w:val="24"/>
                <w:lang w:val="ga-IE" w:eastAsia="en-GB"/>
              </w:rPr>
              <w:t>€24,020</w:t>
            </w:r>
          </w:p>
        </w:tc>
      </w:tr>
      <w:tr w:rsidR="000E07C7" w:rsidRPr="000E07C7" w14:paraId="0850D531" w14:textId="77777777" w:rsidTr="000E07C7">
        <w:tc>
          <w:tcPr>
            <w:tcW w:w="4653" w:type="dxa"/>
            <w:shd w:val="clear" w:color="auto" w:fill="auto"/>
            <w:vAlign w:val="bottom"/>
          </w:tcPr>
          <w:p w14:paraId="7EA0766D" w14:textId="77777777" w:rsidR="000E07C7" w:rsidRPr="000E07C7" w:rsidRDefault="000E07C7" w:rsidP="000E07C7">
            <w:pPr>
              <w:pStyle w:val="TableRowHead"/>
              <w:rPr>
                <w:rFonts w:ascii="Gill Sans" w:hAnsi="Gill Sans"/>
                <w:color w:val="0D0D0D"/>
                <w:sz w:val="24"/>
                <w:lang w:val="ga-IE" w:eastAsia="en-GB"/>
              </w:rPr>
            </w:pPr>
          </w:p>
        </w:tc>
        <w:tc>
          <w:tcPr>
            <w:tcW w:w="1621" w:type="dxa"/>
            <w:shd w:val="clear" w:color="auto" w:fill="auto"/>
            <w:vAlign w:val="bottom"/>
          </w:tcPr>
          <w:p w14:paraId="6CEC2509" w14:textId="77777777" w:rsidR="000E07C7" w:rsidRPr="000E07C7" w:rsidRDefault="000E07C7" w:rsidP="000E07C7">
            <w:pPr>
              <w:pStyle w:val="TableCell"/>
              <w:rPr>
                <w:rFonts w:cs="Arial"/>
                <w:b/>
                <w:sz w:val="24"/>
                <w:lang w:val="ga-IE" w:eastAsia="en-GB"/>
              </w:rPr>
            </w:pPr>
          </w:p>
        </w:tc>
        <w:tc>
          <w:tcPr>
            <w:tcW w:w="1879" w:type="dxa"/>
            <w:shd w:val="clear" w:color="auto" w:fill="auto"/>
            <w:vAlign w:val="bottom"/>
          </w:tcPr>
          <w:p w14:paraId="3A55CAC6" w14:textId="77777777" w:rsidR="000E07C7" w:rsidRPr="000E07C7" w:rsidRDefault="000E07C7" w:rsidP="000E07C7">
            <w:pPr>
              <w:pStyle w:val="TableCell"/>
              <w:rPr>
                <w:rFonts w:cs="Arial"/>
                <w:b/>
                <w:sz w:val="24"/>
                <w:lang w:val="ga-IE" w:eastAsia="en-GB"/>
              </w:rPr>
            </w:pPr>
          </w:p>
        </w:tc>
      </w:tr>
      <w:tr w:rsidR="000E07C7" w:rsidRPr="000E07C7" w14:paraId="5EF12604" w14:textId="77777777" w:rsidTr="000E07C7">
        <w:tc>
          <w:tcPr>
            <w:tcW w:w="4653" w:type="dxa"/>
            <w:shd w:val="clear" w:color="auto" w:fill="auto"/>
            <w:vAlign w:val="bottom"/>
          </w:tcPr>
          <w:p w14:paraId="200F6250" w14:textId="77777777" w:rsidR="000E07C7" w:rsidRPr="000E07C7" w:rsidRDefault="000E07C7" w:rsidP="000E07C7">
            <w:pPr>
              <w:pStyle w:val="TableRowHead"/>
              <w:rPr>
                <w:rFonts w:ascii="Gill Sans" w:hAnsi="Gill Sans"/>
                <w:sz w:val="24"/>
                <w:lang w:val="ga-IE" w:eastAsia="en-GB"/>
              </w:rPr>
            </w:pPr>
            <w:r w:rsidRPr="000E07C7">
              <w:rPr>
                <w:rFonts w:ascii="Gill Sans" w:hAnsi="Gill Sans"/>
                <w:color w:val="0D0D0D"/>
                <w:sz w:val="24"/>
                <w:lang w:val="ga-IE" w:eastAsia="en-GB"/>
              </w:rPr>
              <w:t>Barrachas a coimeádadh amhail an 31 Nollaig</w:t>
            </w:r>
          </w:p>
        </w:tc>
        <w:tc>
          <w:tcPr>
            <w:tcW w:w="1621" w:type="dxa"/>
            <w:shd w:val="clear" w:color="auto" w:fill="auto"/>
            <w:vAlign w:val="bottom"/>
          </w:tcPr>
          <w:p w14:paraId="093B62AB" w14:textId="77777777" w:rsidR="000E07C7" w:rsidRPr="000E07C7" w:rsidRDefault="000E07C7" w:rsidP="000E07C7">
            <w:pPr>
              <w:pStyle w:val="TableCell"/>
              <w:rPr>
                <w:rFonts w:cs="Arial"/>
                <w:b/>
                <w:sz w:val="24"/>
                <w:lang w:val="ga-IE" w:eastAsia="en-GB"/>
              </w:rPr>
            </w:pPr>
            <w:r w:rsidRPr="000E07C7">
              <w:rPr>
                <w:rFonts w:cs="Arial"/>
                <w:b/>
                <w:sz w:val="24"/>
                <w:lang w:val="ga-IE" w:eastAsia="en-GB"/>
              </w:rPr>
              <w:t>€268,846</w:t>
            </w:r>
          </w:p>
        </w:tc>
        <w:tc>
          <w:tcPr>
            <w:tcW w:w="1879" w:type="dxa"/>
            <w:shd w:val="clear" w:color="auto" w:fill="auto"/>
            <w:vAlign w:val="bottom"/>
          </w:tcPr>
          <w:p w14:paraId="4644F829" w14:textId="77777777" w:rsidR="000E07C7" w:rsidRPr="000E07C7" w:rsidRDefault="000E07C7" w:rsidP="000E07C7">
            <w:pPr>
              <w:pStyle w:val="TableCell"/>
              <w:rPr>
                <w:rFonts w:cs="Arial"/>
                <w:b/>
                <w:sz w:val="24"/>
                <w:lang w:val="ga-IE" w:eastAsia="en-GB"/>
              </w:rPr>
            </w:pPr>
            <w:r w:rsidRPr="000E07C7">
              <w:rPr>
                <w:rFonts w:cs="Arial"/>
                <w:b/>
                <w:sz w:val="24"/>
                <w:lang w:val="ga-IE" w:eastAsia="en-GB"/>
              </w:rPr>
              <w:t>€197,668</w:t>
            </w:r>
          </w:p>
        </w:tc>
      </w:tr>
    </w:tbl>
    <w:p w14:paraId="644C6196" w14:textId="77777777" w:rsidR="000E07C7" w:rsidRPr="000E07C7" w:rsidRDefault="000E07C7" w:rsidP="000E07C7">
      <w:pPr>
        <w:rPr>
          <w:lang w:val="ga-IE"/>
        </w:rPr>
      </w:pPr>
    </w:p>
    <w:p w14:paraId="6148942D" w14:textId="77777777" w:rsidR="000E07C7" w:rsidRPr="000E07C7" w:rsidRDefault="000E07C7" w:rsidP="000E07C7">
      <w:pPr>
        <w:pStyle w:val="Heading3"/>
        <w:rPr>
          <w:lang w:val="ga-IE" w:eastAsia="en-GB"/>
        </w:rPr>
      </w:pPr>
      <w:r w:rsidRPr="000E07C7">
        <w:rPr>
          <w:lang w:val="ga-IE" w:eastAsia="ar-SA"/>
        </w:rPr>
        <w:t>14. Dliteanais Theagmhasacha</w:t>
      </w:r>
    </w:p>
    <w:p w14:paraId="386976A3" w14:textId="77777777" w:rsidR="000E07C7" w:rsidRPr="000E07C7" w:rsidRDefault="000E07C7" w:rsidP="000E07C7">
      <w:pPr>
        <w:rPr>
          <w:lang w:val="ga-IE"/>
        </w:rPr>
      </w:pPr>
      <w:r w:rsidRPr="000E07C7">
        <w:rPr>
          <w:lang w:val="ga-IE"/>
        </w:rPr>
        <w:t xml:space="preserve"> </w:t>
      </w:r>
      <w:r w:rsidRPr="000E07C7">
        <w:rPr>
          <w:lang w:val="ga-IE" w:eastAsia="en-GB"/>
        </w:rPr>
        <w:t>Níl aon dliteanais theagmhasacha ann amhail an 31 Nollaig 2014.</w:t>
      </w:r>
    </w:p>
    <w:p w14:paraId="40F92175" w14:textId="77777777" w:rsidR="000E07C7" w:rsidRPr="000E07C7" w:rsidRDefault="000E07C7" w:rsidP="000E07C7">
      <w:pPr>
        <w:pStyle w:val="Heading3"/>
        <w:rPr>
          <w:lang w:val="ga-IE"/>
        </w:rPr>
      </w:pPr>
      <w:r w:rsidRPr="000E07C7">
        <w:rPr>
          <w:lang w:val="ga-IE" w:eastAsia="ar-SA"/>
        </w:rPr>
        <w:t>15. Ceangaltais Chaipitil</w:t>
      </w:r>
    </w:p>
    <w:p w14:paraId="308561F7" w14:textId="77777777" w:rsidR="000E07C7" w:rsidRPr="000E07C7" w:rsidRDefault="000E07C7" w:rsidP="000E07C7">
      <w:pPr>
        <w:rPr>
          <w:lang w:val="ga-IE" w:eastAsia="en-GB"/>
        </w:rPr>
      </w:pPr>
      <w:r w:rsidRPr="000E07C7">
        <w:rPr>
          <w:lang w:val="ga-IE" w:eastAsia="en-GB"/>
        </w:rPr>
        <w:t>Ní raibh aon cheangaltais chaipitil gan íoc ag an Údarás amhail an 31 Nollaig 2014.</w:t>
      </w:r>
    </w:p>
    <w:p w14:paraId="080C201E" w14:textId="77777777" w:rsidR="000E07C7" w:rsidRPr="000E07C7" w:rsidRDefault="000E07C7" w:rsidP="000E07C7">
      <w:pPr>
        <w:pStyle w:val="Heading3"/>
        <w:rPr>
          <w:lang w:val="ga-IE" w:eastAsia="ar-SA"/>
        </w:rPr>
      </w:pPr>
      <w:r w:rsidRPr="000E07C7">
        <w:rPr>
          <w:lang w:val="ga-IE" w:eastAsia="ar-SA"/>
        </w:rPr>
        <w:t>16. Faomhadh na Ráiteas Airgeadais</w:t>
      </w:r>
    </w:p>
    <w:p w14:paraId="5438DB24" w14:textId="77777777" w:rsidR="000E07C7" w:rsidRPr="000E07C7" w:rsidRDefault="000E07C7" w:rsidP="000E07C7">
      <w:pPr>
        <w:rPr>
          <w:b/>
          <w:lang w:val="ga-IE" w:eastAsia="en-GB"/>
        </w:rPr>
      </w:pPr>
      <w:r w:rsidRPr="000E07C7">
        <w:rPr>
          <w:lang w:val="ga-IE" w:eastAsia="en-GB"/>
        </w:rPr>
        <w:t xml:space="preserve">D’fhaomh an tÚdarás na Ráitis Airgeadais an </w:t>
      </w:r>
      <w:r w:rsidR="00C51290">
        <w:rPr>
          <w:lang w:val="ga-IE" w:eastAsia="en-GB"/>
        </w:rPr>
        <w:t>16</w:t>
      </w:r>
      <w:r w:rsidRPr="000E07C7">
        <w:rPr>
          <w:lang w:val="ga-IE" w:eastAsia="en-GB"/>
        </w:rPr>
        <w:t xml:space="preserve"> </w:t>
      </w:r>
      <w:r w:rsidR="00C51290" w:rsidRPr="000E07C7">
        <w:rPr>
          <w:lang w:val="ga-IE"/>
        </w:rPr>
        <w:t>Iúil</w:t>
      </w:r>
      <w:r w:rsidRPr="000E07C7">
        <w:rPr>
          <w:lang w:val="ga-IE" w:eastAsia="en-GB"/>
        </w:rPr>
        <w:t xml:space="preserve"> 2015.</w:t>
      </w:r>
    </w:p>
    <w:p w14:paraId="243BCF6B" w14:textId="77777777" w:rsidR="000E07C7" w:rsidRPr="000E07C7" w:rsidRDefault="000E07C7" w:rsidP="000E07C7">
      <w:pPr>
        <w:pStyle w:val="Heading1"/>
        <w:rPr>
          <w:lang w:val="ga-IE"/>
        </w:rPr>
      </w:pPr>
      <w:bookmarkStart w:id="107" w:name="_Toc429053924"/>
      <w:bookmarkStart w:id="108" w:name="_Toc429054134"/>
      <w:bookmarkStart w:id="109" w:name="_Toc431218811"/>
      <w:r w:rsidRPr="000E07C7">
        <w:rPr>
          <w:lang w:val="ga-IE"/>
        </w:rPr>
        <w:lastRenderedPageBreak/>
        <w:t>Aguisín 1: An tÚdarás agus coistí eile in 2014</w:t>
      </w:r>
      <w:bookmarkEnd w:id="107"/>
      <w:bookmarkEnd w:id="108"/>
      <w:bookmarkEnd w:id="109"/>
    </w:p>
    <w:p w14:paraId="2590FF75" w14:textId="77777777" w:rsidR="000E07C7" w:rsidRPr="000E07C7" w:rsidRDefault="000E07C7" w:rsidP="000E07C7">
      <w:pPr>
        <w:rPr>
          <w:lang w:val="ga-IE"/>
        </w:rPr>
      </w:pPr>
      <w:r w:rsidRPr="000E07C7">
        <w:rPr>
          <w:lang w:val="ga-IE"/>
        </w:rPr>
        <w:t>Ceapadh Údarás nua in Iúil 2014</w:t>
      </w:r>
      <w:r w:rsidR="00A138B0">
        <w:rPr>
          <w:lang w:val="ga-IE"/>
        </w:rPr>
        <w:t>.</w:t>
      </w:r>
    </w:p>
    <w:p w14:paraId="46A4FF33"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Helen </w:t>
      </w:r>
      <w:proofErr w:type="spellStart"/>
      <w:r w:rsidRPr="000E07C7">
        <w:rPr>
          <w:lang w:val="ga-IE"/>
        </w:rPr>
        <w:t>Guinan</w:t>
      </w:r>
      <w:proofErr w:type="spellEnd"/>
      <w:r w:rsidRPr="000E07C7">
        <w:rPr>
          <w:lang w:val="ga-IE"/>
        </w:rPr>
        <w:t xml:space="preserve"> (</w:t>
      </w:r>
      <w:r w:rsidR="00A138B0" w:rsidRPr="00A138B0">
        <w:rPr>
          <w:lang w:val="ga-IE"/>
        </w:rPr>
        <w:t>Cathaoirleach</w:t>
      </w:r>
      <w:r w:rsidRPr="000E07C7">
        <w:rPr>
          <w:lang w:val="ga-IE"/>
        </w:rPr>
        <w:t>)</w:t>
      </w:r>
    </w:p>
    <w:p w14:paraId="42DF1D3F"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Orla </w:t>
      </w:r>
      <w:proofErr w:type="spellStart"/>
      <w:r w:rsidRPr="000E07C7">
        <w:rPr>
          <w:lang w:val="ga-IE"/>
        </w:rPr>
        <w:t>Barry</w:t>
      </w:r>
      <w:proofErr w:type="spellEnd"/>
    </w:p>
    <w:p w14:paraId="0471CBF0"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Frank </w:t>
      </w:r>
      <w:proofErr w:type="spellStart"/>
      <w:r w:rsidRPr="000E07C7">
        <w:rPr>
          <w:lang w:val="ga-IE"/>
        </w:rPr>
        <w:t>Cunneen</w:t>
      </w:r>
      <w:proofErr w:type="spellEnd"/>
    </w:p>
    <w:p w14:paraId="1CA965B2"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Des</w:t>
      </w:r>
      <w:proofErr w:type="spellEnd"/>
      <w:r w:rsidRPr="000E07C7">
        <w:rPr>
          <w:lang w:val="ga-IE"/>
        </w:rPr>
        <w:t xml:space="preserve"> Kenny</w:t>
      </w:r>
    </w:p>
    <w:p w14:paraId="29AF1749"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Ruthann</w:t>
      </w:r>
      <w:proofErr w:type="spellEnd"/>
      <w:r w:rsidRPr="000E07C7">
        <w:rPr>
          <w:lang w:val="ga-IE"/>
        </w:rPr>
        <w:t xml:space="preserve"> </w:t>
      </w:r>
      <w:proofErr w:type="spellStart"/>
      <w:r w:rsidRPr="000E07C7">
        <w:rPr>
          <w:lang w:val="ga-IE"/>
        </w:rPr>
        <w:t>La</w:t>
      </w:r>
      <w:proofErr w:type="spellEnd"/>
      <w:r w:rsidRPr="000E07C7">
        <w:rPr>
          <w:lang w:val="ga-IE"/>
        </w:rPr>
        <w:t xml:space="preserve"> </w:t>
      </w:r>
      <w:proofErr w:type="spellStart"/>
      <w:r w:rsidRPr="000E07C7">
        <w:rPr>
          <w:lang w:val="ga-IE"/>
        </w:rPr>
        <w:t>Malfa</w:t>
      </w:r>
      <w:proofErr w:type="spellEnd"/>
    </w:p>
    <w:p w14:paraId="3D1D1925"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Mary </w:t>
      </w:r>
      <w:proofErr w:type="spellStart"/>
      <w:r w:rsidRPr="000E07C7">
        <w:rPr>
          <w:lang w:val="ga-IE"/>
        </w:rPr>
        <w:t>Lavelle</w:t>
      </w:r>
      <w:proofErr w:type="spellEnd"/>
    </w:p>
    <w:p w14:paraId="205A812D"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Teresa</w:t>
      </w:r>
      <w:proofErr w:type="spellEnd"/>
      <w:r w:rsidRPr="000E07C7">
        <w:rPr>
          <w:lang w:val="ga-IE"/>
        </w:rPr>
        <w:t xml:space="preserve"> </w:t>
      </w:r>
      <w:proofErr w:type="spellStart"/>
      <w:r w:rsidRPr="000E07C7">
        <w:rPr>
          <w:lang w:val="ga-IE"/>
        </w:rPr>
        <w:t>McDonnell</w:t>
      </w:r>
      <w:proofErr w:type="spellEnd"/>
    </w:p>
    <w:p w14:paraId="4B1A61EE"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Déaglán Ó Briain</w:t>
      </w:r>
    </w:p>
    <w:p w14:paraId="4E2BC558"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Deirdre O’Connor</w:t>
      </w:r>
    </w:p>
    <w:p w14:paraId="003EB1AA"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James O’Grady</w:t>
      </w:r>
    </w:p>
    <w:p w14:paraId="0032816E"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Donie O’Leary</w:t>
      </w:r>
    </w:p>
    <w:p w14:paraId="2C9C150E"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Dónal Rice</w:t>
      </w:r>
    </w:p>
    <w:p w14:paraId="7AE095DC" w14:textId="77777777" w:rsidR="000E07C7" w:rsidRPr="000E07C7" w:rsidRDefault="000E07C7" w:rsidP="000E07C7">
      <w:pPr>
        <w:pStyle w:val="ListBullet"/>
        <w:rPr>
          <w:lang w:val="ga-IE"/>
        </w:rPr>
      </w:pPr>
      <w:r w:rsidRPr="000E07C7">
        <w:rPr>
          <w:lang w:val="ga-IE"/>
        </w:rPr>
        <w:t xml:space="preserve">An </w:t>
      </w:r>
      <w:proofErr w:type="spellStart"/>
      <w:r w:rsidRPr="000E07C7">
        <w:rPr>
          <w:lang w:val="ga-IE"/>
        </w:rPr>
        <w:t>tUasal</w:t>
      </w:r>
      <w:proofErr w:type="spellEnd"/>
      <w:r w:rsidRPr="000E07C7">
        <w:rPr>
          <w:lang w:val="ga-IE"/>
        </w:rPr>
        <w:t xml:space="preserve"> </w:t>
      </w:r>
      <w:proofErr w:type="spellStart"/>
      <w:r w:rsidRPr="000E07C7">
        <w:rPr>
          <w:lang w:val="ga-IE"/>
        </w:rPr>
        <w:t>Alison</w:t>
      </w:r>
      <w:proofErr w:type="spellEnd"/>
      <w:r w:rsidRPr="000E07C7">
        <w:rPr>
          <w:lang w:val="ga-IE"/>
        </w:rPr>
        <w:t xml:space="preserve"> Ryan</w:t>
      </w:r>
    </w:p>
    <w:p w14:paraId="14E200AA" w14:textId="77777777" w:rsidR="000E07C7" w:rsidRPr="000E07C7" w:rsidRDefault="000E07C7" w:rsidP="000E07C7">
      <w:pPr>
        <w:pStyle w:val="Heading2"/>
        <w:rPr>
          <w:lang w:val="ga-IE"/>
        </w:rPr>
      </w:pPr>
      <w:r w:rsidRPr="000E07C7">
        <w:rPr>
          <w:lang w:val="ga-IE"/>
        </w:rPr>
        <w:t>An Coiste Iniúchta</w:t>
      </w:r>
    </w:p>
    <w:p w14:paraId="3D402CA2" w14:textId="77777777" w:rsidR="000E07C7" w:rsidRPr="000E07C7" w:rsidRDefault="000E07C7" w:rsidP="000E07C7">
      <w:pPr>
        <w:pStyle w:val="ListBullet"/>
        <w:rPr>
          <w:lang w:val="ga-IE"/>
        </w:rPr>
      </w:pPr>
      <w:r w:rsidRPr="000E07C7">
        <w:rPr>
          <w:lang w:val="ga-IE"/>
        </w:rPr>
        <w:t xml:space="preserve">Donal </w:t>
      </w:r>
      <w:proofErr w:type="spellStart"/>
      <w:r w:rsidRPr="000E07C7">
        <w:rPr>
          <w:lang w:val="ga-IE"/>
        </w:rPr>
        <w:t>Lawlor</w:t>
      </w:r>
      <w:proofErr w:type="spellEnd"/>
      <w:r w:rsidRPr="000E07C7">
        <w:rPr>
          <w:lang w:val="ga-IE"/>
        </w:rPr>
        <w:t xml:space="preserve"> (Cathaoirleach)</w:t>
      </w:r>
    </w:p>
    <w:p w14:paraId="61FD2980" w14:textId="77777777" w:rsidR="000E07C7" w:rsidRPr="000E07C7" w:rsidRDefault="000E07C7" w:rsidP="000E07C7">
      <w:pPr>
        <w:pStyle w:val="ListBullet"/>
        <w:rPr>
          <w:lang w:val="ga-IE"/>
        </w:rPr>
      </w:pPr>
      <w:proofErr w:type="spellStart"/>
      <w:r w:rsidRPr="000E07C7">
        <w:rPr>
          <w:lang w:val="ga-IE"/>
        </w:rPr>
        <w:t>Lawrence</w:t>
      </w:r>
      <w:proofErr w:type="spellEnd"/>
      <w:r w:rsidRPr="000E07C7">
        <w:rPr>
          <w:lang w:val="ga-IE"/>
        </w:rPr>
        <w:t xml:space="preserve"> Byrne </w:t>
      </w:r>
    </w:p>
    <w:p w14:paraId="482E0DDC" w14:textId="77777777" w:rsidR="000E07C7" w:rsidRPr="000E07C7" w:rsidRDefault="000E07C7" w:rsidP="000E07C7">
      <w:pPr>
        <w:pStyle w:val="ListBullet"/>
        <w:rPr>
          <w:lang w:val="ga-IE"/>
        </w:rPr>
      </w:pPr>
      <w:r w:rsidRPr="000E07C7">
        <w:rPr>
          <w:lang w:val="ga-IE"/>
        </w:rPr>
        <w:t xml:space="preserve">Robert </w:t>
      </w:r>
      <w:proofErr w:type="spellStart"/>
      <w:r w:rsidRPr="000E07C7">
        <w:rPr>
          <w:lang w:val="ga-IE"/>
        </w:rPr>
        <w:t>Cashell</w:t>
      </w:r>
      <w:proofErr w:type="spellEnd"/>
    </w:p>
    <w:p w14:paraId="29D67C27" w14:textId="77777777" w:rsidR="000E07C7" w:rsidRPr="000E07C7" w:rsidRDefault="000E07C7" w:rsidP="000E07C7">
      <w:pPr>
        <w:pStyle w:val="ListBullet"/>
        <w:rPr>
          <w:lang w:val="ga-IE"/>
        </w:rPr>
      </w:pPr>
      <w:r w:rsidRPr="000E07C7">
        <w:rPr>
          <w:lang w:val="ga-IE"/>
        </w:rPr>
        <w:t xml:space="preserve">Frank </w:t>
      </w:r>
      <w:proofErr w:type="spellStart"/>
      <w:r w:rsidRPr="000E07C7">
        <w:rPr>
          <w:lang w:val="ga-IE"/>
        </w:rPr>
        <w:t>Cunneen</w:t>
      </w:r>
      <w:proofErr w:type="spellEnd"/>
    </w:p>
    <w:p w14:paraId="2465A5BB" w14:textId="77777777" w:rsidR="000E07C7" w:rsidRPr="000E07C7" w:rsidRDefault="000E07C7" w:rsidP="000E07C7">
      <w:pPr>
        <w:pStyle w:val="ListBullet"/>
        <w:rPr>
          <w:lang w:val="ga-IE"/>
        </w:rPr>
      </w:pPr>
      <w:proofErr w:type="spellStart"/>
      <w:r w:rsidRPr="000E07C7">
        <w:rPr>
          <w:lang w:val="ga-IE"/>
        </w:rPr>
        <w:t>Des</w:t>
      </w:r>
      <w:proofErr w:type="spellEnd"/>
      <w:r w:rsidRPr="000E07C7">
        <w:rPr>
          <w:lang w:val="ga-IE"/>
        </w:rPr>
        <w:t xml:space="preserve"> Kenny</w:t>
      </w:r>
    </w:p>
    <w:p w14:paraId="6A93CE4C" w14:textId="77777777" w:rsidR="000E07C7" w:rsidRPr="000E07C7" w:rsidRDefault="000E07C7" w:rsidP="000E07C7">
      <w:pPr>
        <w:pStyle w:val="ListBullet"/>
        <w:rPr>
          <w:lang w:val="ga-IE"/>
        </w:rPr>
      </w:pPr>
      <w:proofErr w:type="spellStart"/>
      <w:r w:rsidRPr="000E07C7">
        <w:rPr>
          <w:lang w:val="ga-IE"/>
        </w:rPr>
        <w:t>Alison</w:t>
      </w:r>
      <w:proofErr w:type="spellEnd"/>
      <w:r w:rsidRPr="000E07C7">
        <w:rPr>
          <w:lang w:val="ga-IE"/>
        </w:rPr>
        <w:t xml:space="preserve"> Ryan</w:t>
      </w:r>
    </w:p>
    <w:p w14:paraId="435E31DF" w14:textId="77777777" w:rsidR="000E07C7" w:rsidRPr="000E07C7" w:rsidRDefault="000E07C7" w:rsidP="000E07C7">
      <w:pPr>
        <w:pStyle w:val="Heading2"/>
        <w:rPr>
          <w:lang w:val="ga-IE"/>
        </w:rPr>
      </w:pPr>
      <w:r w:rsidRPr="000E07C7">
        <w:rPr>
          <w:lang w:val="ga-IE"/>
        </w:rPr>
        <w:t>An Coiste Airgeadais</w:t>
      </w:r>
    </w:p>
    <w:p w14:paraId="0FABFFF2" w14:textId="77777777" w:rsidR="000E07C7" w:rsidRPr="000E07C7" w:rsidRDefault="000E07C7" w:rsidP="000E07C7">
      <w:pPr>
        <w:pStyle w:val="ListBullet"/>
        <w:rPr>
          <w:lang w:val="ga-IE"/>
        </w:rPr>
      </w:pPr>
      <w:r w:rsidRPr="000E07C7">
        <w:rPr>
          <w:lang w:val="ga-IE"/>
        </w:rPr>
        <w:t xml:space="preserve">Frank </w:t>
      </w:r>
      <w:proofErr w:type="spellStart"/>
      <w:r w:rsidRPr="000E07C7">
        <w:rPr>
          <w:lang w:val="ga-IE"/>
        </w:rPr>
        <w:t>Cunneen</w:t>
      </w:r>
      <w:proofErr w:type="spellEnd"/>
      <w:r w:rsidRPr="000E07C7">
        <w:rPr>
          <w:lang w:val="ga-IE"/>
        </w:rPr>
        <w:t xml:space="preserve"> (Cathaoirleach)</w:t>
      </w:r>
    </w:p>
    <w:p w14:paraId="5486A8C6" w14:textId="77777777" w:rsidR="000E07C7" w:rsidRPr="000E07C7" w:rsidRDefault="000E07C7" w:rsidP="000E07C7">
      <w:pPr>
        <w:pStyle w:val="ListBullet"/>
        <w:rPr>
          <w:lang w:val="ga-IE"/>
        </w:rPr>
      </w:pPr>
      <w:r w:rsidRPr="000E07C7">
        <w:rPr>
          <w:lang w:val="ga-IE"/>
        </w:rPr>
        <w:t xml:space="preserve">Pat </w:t>
      </w:r>
      <w:proofErr w:type="spellStart"/>
      <w:r w:rsidRPr="000E07C7">
        <w:rPr>
          <w:lang w:val="ga-IE"/>
        </w:rPr>
        <w:t>Fitzsimons</w:t>
      </w:r>
      <w:proofErr w:type="spellEnd"/>
    </w:p>
    <w:p w14:paraId="4D05A72B" w14:textId="77777777" w:rsidR="000E07C7" w:rsidRPr="000E07C7" w:rsidRDefault="000E07C7" w:rsidP="000E07C7">
      <w:pPr>
        <w:pStyle w:val="ListBullet"/>
        <w:rPr>
          <w:lang w:val="ga-IE"/>
        </w:rPr>
      </w:pPr>
      <w:proofErr w:type="spellStart"/>
      <w:r w:rsidRPr="000E07C7">
        <w:rPr>
          <w:lang w:val="ga-IE"/>
        </w:rPr>
        <w:t>Des</w:t>
      </w:r>
      <w:proofErr w:type="spellEnd"/>
      <w:r w:rsidRPr="000E07C7">
        <w:rPr>
          <w:lang w:val="ga-IE"/>
        </w:rPr>
        <w:t xml:space="preserve"> Kenny</w:t>
      </w:r>
    </w:p>
    <w:p w14:paraId="6CEB0465" w14:textId="77777777" w:rsidR="000E07C7" w:rsidRPr="000E07C7" w:rsidRDefault="000E07C7" w:rsidP="000E07C7">
      <w:pPr>
        <w:pStyle w:val="ListBullet"/>
        <w:rPr>
          <w:lang w:val="ga-IE"/>
        </w:rPr>
      </w:pPr>
      <w:proofErr w:type="spellStart"/>
      <w:r w:rsidRPr="000E07C7">
        <w:rPr>
          <w:lang w:val="ga-IE"/>
        </w:rPr>
        <w:t>Ruthann</w:t>
      </w:r>
      <w:proofErr w:type="spellEnd"/>
      <w:r w:rsidRPr="000E07C7">
        <w:rPr>
          <w:lang w:val="ga-IE"/>
        </w:rPr>
        <w:t xml:space="preserve"> </w:t>
      </w:r>
      <w:proofErr w:type="spellStart"/>
      <w:r w:rsidRPr="000E07C7">
        <w:rPr>
          <w:lang w:val="ga-IE"/>
        </w:rPr>
        <w:t>La</w:t>
      </w:r>
      <w:proofErr w:type="spellEnd"/>
      <w:r w:rsidRPr="000E07C7">
        <w:rPr>
          <w:lang w:val="ga-IE"/>
        </w:rPr>
        <w:t xml:space="preserve"> </w:t>
      </w:r>
      <w:proofErr w:type="spellStart"/>
      <w:r w:rsidRPr="000E07C7">
        <w:rPr>
          <w:lang w:val="ga-IE"/>
        </w:rPr>
        <w:t>Malfa</w:t>
      </w:r>
      <w:proofErr w:type="spellEnd"/>
    </w:p>
    <w:p w14:paraId="0F14867D" w14:textId="77777777" w:rsidR="000E07C7" w:rsidRPr="000E07C7" w:rsidRDefault="000E07C7" w:rsidP="000E07C7">
      <w:pPr>
        <w:pStyle w:val="ListBullet"/>
        <w:rPr>
          <w:lang w:val="ga-IE"/>
        </w:rPr>
      </w:pPr>
      <w:proofErr w:type="spellStart"/>
      <w:r w:rsidRPr="000E07C7">
        <w:rPr>
          <w:lang w:val="ga-IE"/>
        </w:rPr>
        <w:lastRenderedPageBreak/>
        <w:t>Teresa</w:t>
      </w:r>
      <w:proofErr w:type="spellEnd"/>
      <w:r w:rsidRPr="000E07C7">
        <w:rPr>
          <w:lang w:val="ga-IE"/>
        </w:rPr>
        <w:t xml:space="preserve"> </w:t>
      </w:r>
      <w:proofErr w:type="spellStart"/>
      <w:r w:rsidRPr="000E07C7">
        <w:rPr>
          <w:lang w:val="ga-IE"/>
        </w:rPr>
        <w:t>McDonnell</w:t>
      </w:r>
      <w:proofErr w:type="spellEnd"/>
    </w:p>
    <w:p w14:paraId="21781D30" w14:textId="77777777" w:rsidR="000E07C7" w:rsidRPr="000E07C7" w:rsidRDefault="000E07C7" w:rsidP="000E07C7">
      <w:pPr>
        <w:pStyle w:val="ListBullet"/>
        <w:rPr>
          <w:lang w:val="ga-IE"/>
        </w:rPr>
      </w:pPr>
      <w:r w:rsidRPr="000E07C7">
        <w:rPr>
          <w:lang w:val="ga-IE"/>
        </w:rPr>
        <w:t xml:space="preserve">David </w:t>
      </w:r>
      <w:proofErr w:type="spellStart"/>
      <w:r w:rsidRPr="000E07C7">
        <w:rPr>
          <w:lang w:val="ga-IE"/>
        </w:rPr>
        <w:t>Scott</w:t>
      </w:r>
      <w:proofErr w:type="spellEnd"/>
    </w:p>
    <w:p w14:paraId="1804819F" w14:textId="77777777" w:rsidR="000E07C7" w:rsidRPr="000E07C7" w:rsidRDefault="000E07C7" w:rsidP="000E07C7">
      <w:pPr>
        <w:pStyle w:val="Heading1"/>
        <w:rPr>
          <w:lang w:val="ga-IE"/>
        </w:rPr>
      </w:pPr>
      <w:bookmarkStart w:id="110" w:name="_Toc429053925"/>
      <w:bookmarkStart w:id="111" w:name="_Toc429054135"/>
      <w:bookmarkStart w:id="112" w:name="_Toc431218812"/>
      <w:r w:rsidRPr="000E07C7">
        <w:rPr>
          <w:lang w:val="ga-IE"/>
        </w:rPr>
        <w:lastRenderedPageBreak/>
        <w:t>Aguisín 2: Ionadaíocht ar chomhlachtaí seachtracha in 2014</w:t>
      </w:r>
      <w:bookmarkEnd w:id="110"/>
      <w:bookmarkEnd w:id="111"/>
      <w:bookmarkEnd w:id="112"/>
    </w:p>
    <w:p w14:paraId="7FED79AA" w14:textId="77777777" w:rsidR="000E07C7" w:rsidRPr="000E07C7" w:rsidRDefault="000E07C7" w:rsidP="000E07C7">
      <w:pPr>
        <w:pStyle w:val="Heading2"/>
        <w:rPr>
          <w:lang w:val="ga-IE"/>
        </w:rPr>
      </w:pPr>
      <w:r w:rsidRPr="000E07C7">
        <w:rPr>
          <w:lang w:val="ga-IE"/>
        </w:rPr>
        <w:t>An Earnáil Phoiblí:</w:t>
      </w:r>
    </w:p>
    <w:p w14:paraId="546164D8" w14:textId="77777777" w:rsidR="000E07C7" w:rsidRPr="000E07C7" w:rsidRDefault="000E07C7" w:rsidP="000E07C7">
      <w:pPr>
        <w:pStyle w:val="Heading3"/>
        <w:rPr>
          <w:lang w:val="ga-IE"/>
        </w:rPr>
      </w:pPr>
      <w:r w:rsidRPr="000E07C7">
        <w:rPr>
          <w:lang w:val="ga-IE"/>
        </w:rPr>
        <w:t xml:space="preserve">An Roinn Oideachais agus Scileanna </w:t>
      </w:r>
    </w:p>
    <w:p w14:paraId="37669680" w14:textId="77777777" w:rsidR="000E07C7" w:rsidRPr="000E07C7" w:rsidRDefault="000E07C7" w:rsidP="000E07C7">
      <w:pPr>
        <w:pStyle w:val="ListBullet"/>
        <w:rPr>
          <w:lang w:val="ga-IE"/>
        </w:rPr>
      </w:pPr>
      <w:r w:rsidRPr="000E07C7">
        <w:rPr>
          <w:lang w:val="ga-IE"/>
        </w:rPr>
        <w:t>Comhalta den Choiste Comhairleach Míchumais</w:t>
      </w:r>
    </w:p>
    <w:p w14:paraId="75A872C8" w14:textId="77777777" w:rsidR="000E07C7" w:rsidRPr="000E07C7" w:rsidRDefault="000E07C7" w:rsidP="000E07C7">
      <w:pPr>
        <w:pStyle w:val="ListBullet"/>
        <w:rPr>
          <w:lang w:val="ga-IE"/>
        </w:rPr>
      </w:pPr>
      <w:r w:rsidRPr="000E07C7">
        <w:rPr>
          <w:lang w:val="ga-IE"/>
        </w:rPr>
        <w:t>Ballraíocht den Chomhairle Náisiúnta um Oideachas Speisialta, agus dá bhFóram Comhairliúcháin</w:t>
      </w:r>
    </w:p>
    <w:p w14:paraId="5A484B08" w14:textId="77777777" w:rsidR="000E07C7" w:rsidRPr="000E07C7" w:rsidRDefault="000E07C7" w:rsidP="000E07C7">
      <w:pPr>
        <w:pStyle w:val="ListBullet"/>
        <w:rPr>
          <w:lang w:val="ga-IE"/>
        </w:rPr>
      </w:pPr>
      <w:r w:rsidRPr="000E07C7">
        <w:rPr>
          <w:lang w:val="ga-IE"/>
        </w:rPr>
        <w:t>Ballraíocht den Ghrúpa Oibre ar shamhail nua chun múinteoireacht acmhainní a leithdháileadh</w:t>
      </w:r>
    </w:p>
    <w:p w14:paraId="22734CCC" w14:textId="77777777" w:rsidR="000E07C7" w:rsidRPr="000E07C7" w:rsidRDefault="000E07C7" w:rsidP="000E07C7">
      <w:pPr>
        <w:pStyle w:val="Heading3"/>
        <w:rPr>
          <w:lang w:val="ga-IE"/>
        </w:rPr>
      </w:pPr>
      <w:r w:rsidRPr="000E07C7">
        <w:rPr>
          <w:lang w:val="ga-IE"/>
        </w:rPr>
        <w:t>An Roinn Cumarsáide, Fuinnimh agus Acmhainní Nádúrtha</w:t>
      </w:r>
    </w:p>
    <w:p w14:paraId="3C55EE40" w14:textId="77777777" w:rsidR="000E07C7" w:rsidRPr="000E07C7" w:rsidRDefault="000E07C7" w:rsidP="000E07C7">
      <w:pPr>
        <w:pStyle w:val="ListBullet"/>
        <w:rPr>
          <w:lang w:val="ga-IE"/>
        </w:rPr>
      </w:pPr>
      <w:r w:rsidRPr="000E07C7">
        <w:rPr>
          <w:lang w:val="ga-IE"/>
        </w:rPr>
        <w:t>Plean Earnála agus Coiste Monatóireachta Chuid 5</w:t>
      </w:r>
    </w:p>
    <w:p w14:paraId="47A1D34F" w14:textId="77777777" w:rsidR="000E07C7" w:rsidRPr="000E07C7" w:rsidRDefault="000E07C7" w:rsidP="000E07C7">
      <w:pPr>
        <w:pStyle w:val="ListBullet"/>
        <w:rPr>
          <w:lang w:val="ga-IE"/>
        </w:rPr>
      </w:pPr>
      <w:r w:rsidRPr="000E07C7">
        <w:rPr>
          <w:lang w:val="ga-IE"/>
        </w:rPr>
        <w:t>Údarás Craolacháin na hÉireann (Grúpa oibre ar Ionadaíocht Daoine atá faoi Mhíchumas sna Meáin Chraolacháin)</w:t>
      </w:r>
    </w:p>
    <w:p w14:paraId="2634512C" w14:textId="77777777" w:rsidR="000E07C7" w:rsidRPr="000E07C7" w:rsidRDefault="000E07C7" w:rsidP="000E07C7">
      <w:pPr>
        <w:pStyle w:val="ListBullet"/>
        <w:rPr>
          <w:lang w:val="ga-IE"/>
        </w:rPr>
      </w:pPr>
      <w:r w:rsidRPr="000E07C7">
        <w:rPr>
          <w:lang w:val="ga-IE"/>
        </w:rPr>
        <w:t>Painéal Comhairleach do Thomhaltóirí an Choimisiúin um Rialáil Cumarsáide agus a bhFóram Tionscail ar Sheirbhísí Cumarsáide Leictreonaí do Dhaoine faoi Mhíchumas</w:t>
      </w:r>
    </w:p>
    <w:p w14:paraId="401AC5CC" w14:textId="77777777" w:rsidR="000E07C7" w:rsidRPr="000E07C7" w:rsidRDefault="000E07C7" w:rsidP="000E07C7">
      <w:pPr>
        <w:pStyle w:val="ListBullet"/>
        <w:rPr>
          <w:lang w:val="ga-IE"/>
        </w:rPr>
      </w:pPr>
      <w:r w:rsidRPr="000E07C7">
        <w:rPr>
          <w:lang w:val="ga-IE"/>
        </w:rPr>
        <w:t>Grúpa Páirtithe Leasmhara Tomhaltóirí an Choimisiún um Rialáil Fuinnimh</w:t>
      </w:r>
    </w:p>
    <w:p w14:paraId="5E230184" w14:textId="77777777" w:rsidR="000E07C7" w:rsidRPr="000E07C7" w:rsidRDefault="000E07C7" w:rsidP="000E07C7">
      <w:pPr>
        <w:pStyle w:val="Heading3"/>
        <w:rPr>
          <w:lang w:val="ga-IE"/>
        </w:rPr>
      </w:pPr>
      <w:r w:rsidRPr="000E07C7">
        <w:rPr>
          <w:lang w:val="ga-IE"/>
        </w:rPr>
        <w:t>An Roinn Comhshaoil, Pobail agus Rialtais Áitiúil</w:t>
      </w:r>
    </w:p>
    <w:p w14:paraId="7FFE200F" w14:textId="77777777" w:rsidR="000E07C7" w:rsidRPr="000E07C7" w:rsidRDefault="000E07C7" w:rsidP="000E07C7">
      <w:pPr>
        <w:pStyle w:val="ListBullet"/>
        <w:rPr>
          <w:lang w:val="ga-IE"/>
        </w:rPr>
      </w:pPr>
      <w:r w:rsidRPr="000E07C7">
        <w:rPr>
          <w:lang w:val="ga-IE"/>
        </w:rPr>
        <w:t>Grúpa Monatóireachta le haghaidh na Straitéise Tithíochta do dhaoine atá faoi mhíchumas</w:t>
      </w:r>
    </w:p>
    <w:p w14:paraId="5320C9FF" w14:textId="77777777" w:rsidR="000E07C7" w:rsidRPr="000E07C7" w:rsidRDefault="000E07C7" w:rsidP="000E07C7">
      <w:pPr>
        <w:pStyle w:val="ListBullet"/>
        <w:rPr>
          <w:lang w:val="ga-IE"/>
        </w:rPr>
      </w:pPr>
      <w:r w:rsidRPr="000E07C7">
        <w:rPr>
          <w:lang w:val="ga-IE"/>
        </w:rPr>
        <w:t xml:space="preserve">Grúpa Monatóireachta um Fheidhmiú le haghaidh na Straitéise Náisiúnta Tithíochta do Dhaoine atá faoi Mhíchumas, agus fochoiste na Gníomhaireachta Tithíochta ar a cur i bhfeidhm </w:t>
      </w:r>
    </w:p>
    <w:p w14:paraId="2BF220DE" w14:textId="77777777" w:rsidR="000E07C7" w:rsidRPr="000E07C7" w:rsidRDefault="000E07C7" w:rsidP="000E07C7">
      <w:pPr>
        <w:pStyle w:val="ListBullet"/>
        <w:rPr>
          <w:lang w:val="ga-IE"/>
        </w:rPr>
      </w:pPr>
      <w:r w:rsidRPr="000E07C7">
        <w:rPr>
          <w:lang w:val="ga-IE"/>
        </w:rPr>
        <w:t>Fóram Páirtithe Leasmhara Uisce Éireann</w:t>
      </w:r>
    </w:p>
    <w:p w14:paraId="02E3A757" w14:textId="77777777" w:rsidR="000E07C7" w:rsidRPr="000E07C7" w:rsidRDefault="000E07C7" w:rsidP="000E07C7">
      <w:pPr>
        <w:pStyle w:val="Heading3"/>
        <w:rPr>
          <w:lang w:val="ga-IE"/>
        </w:rPr>
      </w:pPr>
      <w:r w:rsidRPr="000E07C7">
        <w:rPr>
          <w:lang w:val="ga-IE"/>
        </w:rPr>
        <w:t>An Roinn Sláinte</w:t>
      </w:r>
    </w:p>
    <w:p w14:paraId="72975B0A" w14:textId="77777777" w:rsidR="000E07C7" w:rsidRPr="000E07C7" w:rsidRDefault="000E07C7" w:rsidP="000E07C7">
      <w:pPr>
        <w:pStyle w:val="ListBullet"/>
        <w:rPr>
          <w:lang w:val="ga-IE"/>
        </w:rPr>
      </w:pPr>
      <w:r w:rsidRPr="000E07C7">
        <w:rPr>
          <w:lang w:val="ga-IE"/>
        </w:rPr>
        <w:t>Comhalta den Ghrúpa Stiúrtha um Fheidhmiú Athbhreithniú Beartais ar Luach ar Airgead ar Sheirbhísí Míchumais, agus de Ghrúpaí Oibre 1, 2, 4 agus 5 den phróiseas um chur i bhfeidhm</w:t>
      </w:r>
    </w:p>
    <w:p w14:paraId="338C95CF" w14:textId="77777777" w:rsidR="000E07C7" w:rsidRPr="000E07C7" w:rsidRDefault="000E07C7" w:rsidP="000E07C7">
      <w:pPr>
        <w:pStyle w:val="ListBullet"/>
        <w:rPr>
          <w:lang w:val="ga-IE"/>
        </w:rPr>
      </w:pPr>
      <w:r w:rsidRPr="000E07C7">
        <w:rPr>
          <w:lang w:val="ga-IE"/>
        </w:rPr>
        <w:t>Comhalta den Choiste Comhairleach Míchumais</w:t>
      </w:r>
    </w:p>
    <w:p w14:paraId="335BE477" w14:textId="77777777" w:rsidR="000E07C7" w:rsidRPr="000E07C7" w:rsidRDefault="000E07C7" w:rsidP="000E07C7">
      <w:pPr>
        <w:pStyle w:val="ListBullet"/>
        <w:rPr>
          <w:lang w:val="ga-IE"/>
        </w:rPr>
      </w:pPr>
      <w:r w:rsidRPr="000E07C7">
        <w:rPr>
          <w:lang w:val="ga-IE"/>
        </w:rPr>
        <w:t xml:space="preserve">Comhalta </w:t>
      </w:r>
      <w:proofErr w:type="spellStart"/>
      <w:r w:rsidRPr="000E07C7">
        <w:rPr>
          <w:lang w:val="ga-IE"/>
        </w:rPr>
        <w:t>d’Fhóram</w:t>
      </w:r>
      <w:proofErr w:type="spellEnd"/>
      <w:r w:rsidRPr="000E07C7">
        <w:rPr>
          <w:lang w:val="ga-IE"/>
        </w:rPr>
        <w:t xml:space="preserve"> Comhairleach Náisiúnta FSS</w:t>
      </w:r>
    </w:p>
    <w:p w14:paraId="675880E5" w14:textId="77777777" w:rsidR="000E07C7" w:rsidRPr="000E07C7" w:rsidRDefault="000E07C7" w:rsidP="000E07C7">
      <w:pPr>
        <w:pStyle w:val="ListBullet"/>
        <w:rPr>
          <w:lang w:val="ga-IE"/>
        </w:rPr>
      </w:pPr>
      <w:r w:rsidRPr="000E07C7">
        <w:rPr>
          <w:lang w:val="ga-IE"/>
        </w:rPr>
        <w:lastRenderedPageBreak/>
        <w:t>Comhalta de Ghrúpa Oibre FSS ar Thodhchaí an Altranais Mhíchumais Intleachtaigh in Éirinn a Mhúnlú</w:t>
      </w:r>
    </w:p>
    <w:p w14:paraId="4955BEF6" w14:textId="77777777" w:rsidR="000E07C7" w:rsidRPr="000E07C7" w:rsidRDefault="000E07C7" w:rsidP="000E07C7">
      <w:pPr>
        <w:pStyle w:val="ListBullet"/>
        <w:rPr>
          <w:lang w:val="ga-IE"/>
        </w:rPr>
      </w:pPr>
      <w:r w:rsidRPr="000E07C7">
        <w:rPr>
          <w:lang w:val="ga-IE"/>
        </w:rPr>
        <w:t xml:space="preserve">Comhalta de Choiste Rochtana </w:t>
      </w:r>
      <w:proofErr w:type="spellStart"/>
      <w:r w:rsidRPr="000E07C7">
        <w:rPr>
          <w:lang w:val="ga-IE"/>
        </w:rPr>
        <w:t>Uilíche</w:t>
      </w:r>
      <w:proofErr w:type="spellEnd"/>
      <w:r w:rsidRPr="000E07C7">
        <w:rPr>
          <w:lang w:val="ga-IE"/>
        </w:rPr>
        <w:t xml:space="preserve"> FSS</w:t>
      </w:r>
    </w:p>
    <w:p w14:paraId="798BC12D" w14:textId="77777777" w:rsidR="000E07C7" w:rsidRPr="000E07C7" w:rsidRDefault="000E07C7" w:rsidP="000E07C7">
      <w:pPr>
        <w:pStyle w:val="Heading3"/>
        <w:rPr>
          <w:lang w:val="ga-IE"/>
        </w:rPr>
      </w:pPr>
      <w:r w:rsidRPr="000E07C7">
        <w:rPr>
          <w:lang w:val="ga-IE"/>
        </w:rPr>
        <w:t>An Roinn Dlí agus Cirt agus Comhionannais</w:t>
      </w:r>
    </w:p>
    <w:p w14:paraId="017EC513" w14:textId="77777777" w:rsidR="000E07C7" w:rsidRPr="000E07C7" w:rsidRDefault="000E07C7" w:rsidP="000E07C7">
      <w:pPr>
        <w:pStyle w:val="ListBullet"/>
        <w:rPr>
          <w:lang w:val="ga-IE"/>
        </w:rPr>
      </w:pPr>
      <w:r w:rsidRPr="000E07C7">
        <w:rPr>
          <w:lang w:val="ga-IE"/>
        </w:rPr>
        <w:t>Coiste Monatóireachta Chuid 5</w:t>
      </w:r>
    </w:p>
    <w:p w14:paraId="775B28C4" w14:textId="77777777" w:rsidR="000E07C7" w:rsidRPr="000E07C7" w:rsidRDefault="000E07C7" w:rsidP="000E07C7">
      <w:pPr>
        <w:pStyle w:val="ListBullet"/>
        <w:rPr>
          <w:lang w:val="ga-IE"/>
        </w:rPr>
      </w:pPr>
      <w:r w:rsidRPr="000E07C7">
        <w:rPr>
          <w:lang w:val="ga-IE"/>
        </w:rPr>
        <w:t>An Coiste Stiúrtha Náisiúnta ar Fhoréigean i gcoinne Ban, agus a bhfochoiste Feasachta Poiblí</w:t>
      </w:r>
    </w:p>
    <w:p w14:paraId="7F37D040" w14:textId="77777777" w:rsidR="000E07C7" w:rsidRPr="000E07C7" w:rsidRDefault="000E07C7" w:rsidP="000E07C7">
      <w:pPr>
        <w:pStyle w:val="Heading3"/>
        <w:rPr>
          <w:lang w:val="ga-IE"/>
        </w:rPr>
      </w:pPr>
      <w:r w:rsidRPr="000E07C7">
        <w:rPr>
          <w:lang w:val="ga-IE"/>
        </w:rPr>
        <w:t>An Roinn Coimirce Sóisialaí</w:t>
      </w:r>
    </w:p>
    <w:p w14:paraId="1B3D25F5" w14:textId="77777777" w:rsidR="000E07C7" w:rsidRPr="000E07C7" w:rsidRDefault="000E07C7" w:rsidP="000E07C7">
      <w:pPr>
        <w:pStyle w:val="ListBullet"/>
        <w:rPr>
          <w:lang w:val="ga-IE"/>
        </w:rPr>
      </w:pPr>
      <w:r w:rsidRPr="000E07C7">
        <w:rPr>
          <w:lang w:val="ga-IE"/>
        </w:rPr>
        <w:t>Bord na Seirbhíse Náisiúnta Abhcóideachta do Dhaoine faoi Mhíchumas</w:t>
      </w:r>
    </w:p>
    <w:p w14:paraId="13E5E17A" w14:textId="77777777" w:rsidR="000E07C7" w:rsidRPr="000E07C7" w:rsidRDefault="000E07C7" w:rsidP="000E07C7">
      <w:pPr>
        <w:pStyle w:val="ListBullet"/>
        <w:rPr>
          <w:lang w:val="ga-IE"/>
        </w:rPr>
      </w:pPr>
      <w:r w:rsidRPr="000E07C7">
        <w:rPr>
          <w:lang w:val="ga-IE"/>
        </w:rPr>
        <w:t xml:space="preserve">An Fóram </w:t>
      </w:r>
      <w:proofErr w:type="spellStart"/>
      <w:r w:rsidRPr="000E07C7">
        <w:rPr>
          <w:lang w:val="ga-IE"/>
        </w:rPr>
        <w:t>Comhchomhairliúcháin</w:t>
      </w:r>
      <w:proofErr w:type="spellEnd"/>
      <w:r w:rsidRPr="000E07C7">
        <w:rPr>
          <w:lang w:val="ga-IE"/>
        </w:rPr>
        <w:t xml:space="preserve"> Mhíchumais</w:t>
      </w:r>
    </w:p>
    <w:p w14:paraId="7507C502" w14:textId="77777777" w:rsidR="000E07C7" w:rsidRPr="000E07C7" w:rsidRDefault="000E07C7" w:rsidP="000E07C7">
      <w:pPr>
        <w:pStyle w:val="ListBullet"/>
        <w:rPr>
          <w:lang w:val="ga-IE"/>
        </w:rPr>
      </w:pPr>
      <w:r w:rsidRPr="000E07C7">
        <w:rPr>
          <w:lang w:val="ga-IE"/>
        </w:rPr>
        <w:t>Grúpa um Fheidhmiú – Liúntas Cúram Baile</w:t>
      </w:r>
    </w:p>
    <w:p w14:paraId="461DC6B3" w14:textId="77777777" w:rsidR="000E07C7" w:rsidRPr="000E07C7" w:rsidRDefault="000E07C7" w:rsidP="000E07C7">
      <w:pPr>
        <w:pStyle w:val="Heading3"/>
        <w:rPr>
          <w:lang w:val="ga-IE"/>
        </w:rPr>
      </w:pPr>
      <w:r w:rsidRPr="000E07C7">
        <w:rPr>
          <w:lang w:val="ga-IE"/>
        </w:rPr>
        <w:t>An Roinn Iompair, Turasóireachta agus Spóirt</w:t>
      </w:r>
    </w:p>
    <w:p w14:paraId="7F5CAD4C" w14:textId="77777777" w:rsidR="000E07C7" w:rsidRPr="000E07C7" w:rsidRDefault="000E07C7" w:rsidP="000E07C7">
      <w:pPr>
        <w:pStyle w:val="ListBullet"/>
        <w:rPr>
          <w:lang w:val="ga-IE"/>
        </w:rPr>
      </w:pPr>
      <w:r w:rsidRPr="000E07C7">
        <w:rPr>
          <w:lang w:val="ga-IE"/>
        </w:rPr>
        <w:t xml:space="preserve">Coiste Comhairliúcháin </w:t>
      </w:r>
      <w:proofErr w:type="spellStart"/>
      <w:r w:rsidRPr="000E07C7">
        <w:rPr>
          <w:lang w:val="ga-IE"/>
        </w:rPr>
        <w:t>Inrochtaineachta</w:t>
      </w:r>
      <w:proofErr w:type="spellEnd"/>
      <w:r w:rsidRPr="000E07C7">
        <w:rPr>
          <w:lang w:val="ga-IE"/>
        </w:rPr>
        <w:t xml:space="preserve"> </w:t>
      </w:r>
    </w:p>
    <w:p w14:paraId="21712882" w14:textId="77777777" w:rsidR="000E07C7" w:rsidRPr="000E07C7" w:rsidRDefault="000E07C7" w:rsidP="000E07C7">
      <w:pPr>
        <w:pStyle w:val="ListBullet"/>
        <w:rPr>
          <w:lang w:val="ga-IE"/>
        </w:rPr>
      </w:pPr>
      <w:r w:rsidRPr="000E07C7">
        <w:rPr>
          <w:lang w:val="ga-IE"/>
        </w:rPr>
        <w:t xml:space="preserve">An tÚdarás Náisiúnta Iompair – an Coiste Comhairleach do </w:t>
      </w:r>
      <w:proofErr w:type="spellStart"/>
      <w:r w:rsidRPr="000E07C7">
        <w:rPr>
          <w:lang w:val="ga-IE"/>
        </w:rPr>
        <w:t>Thacsaithe</w:t>
      </w:r>
      <w:proofErr w:type="spellEnd"/>
    </w:p>
    <w:p w14:paraId="0D2BCC49" w14:textId="77777777" w:rsidR="000E07C7" w:rsidRPr="000E07C7" w:rsidRDefault="000E07C7" w:rsidP="000E07C7">
      <w:pPr>
        <w:pStyle w:val="Heading2"/>
        <w:rPr>
          <w:lang w:val="ga-IE"/>
        </w:rPr>
      </w:pPr>
      <w:r w:rsidRPr="000E07C7">
        <w:rPr>
          <w:lang w:val="ga-IE"/>
        </w:rPr>
        <w:t>Eile</w:t>
      </w:r>
    </w:p>
    <w:p w14:paraId="6448C3D1" w14:textId="77777777" w:rsidR="000E07C7" w:rsidRPr="000E07C7" w:rsidRDefault="000E07C7" w:rsidP="000E07C7">
      <w:pPr>
        <w:pStyle w:val="ListBullet"/>
        <w:rPr>
          <w:lang w:val="ga-IE"/>
        </w:rPr>
      </w:pPr>
      <w:r w:rsidRPr="000E07C7">
        <w:rPr>
          <w:lang w:val="ga-IE"/>
        </w:rPr>
        <w:t>Tascfhórsa Dearaidh Uilíoch Institiúid Ríoga Ailtirí na hÉireann (IRAÉ)</w:t>
      </w:r>
    </w:p>
    <w:p w14:paraId="568D04B6" w14:textId="77777777" w:rsidR="000E07C7" w:rsidRPr="000E07C7" w:rsidRDefault="000E07C7" w:rsidP="000E07C7">
      <w:pPr>
        <w:pStyle w:val="Heading1"/>
        <w:rPr>
          <w:lang w:val="ga-IE"/>
        </w:rPr>
      </w:pPr>
      <w:bookmarkStart w:id="113" w:name="_Toc429053926"/>
      <w:bookmarkStart w:id="114" w:name="_Toc429054136"/>
      <w:bookmarkStart w:id="115" w:name="_Toc431218813"/>
      <w:r w:rsidRPr="000E07C7">
        <w:rPr>
          <w:lang w:val="ga-IE"/>
        </w:rPr>
        <w:lastRenderedPageBreak/>
        <w:t>Aguisín 3: Foilseacháin in</w:t>
      </w:r>
      <w:r w:rsidR="00771CAA">
        <w:rPr>
          <w:lang w:val="ga-IE"/>
        </w:rPr>
        <w:t> </w:t>
      </w:r>
      <w:r w:rsidRPr="000E07C7">
        <w:rPr>
          <w:lang w:val="ga-IE"/>
        </w:rPr>
        <w:t>2014</w:t>
      </w:r>
      <w:bookmarkEnd w:id="113"/>
      <w:bookmarkEnd w:id="114"/>
      <w:bookmarkEnd w:id="115"/>
    </w:p>
    <w:p w14:paraId="7AFAA782" w14:textId="77777777" w:rsidR="000E07C7" w:rsidRPr="000E07C7" w:rsidRDefault="000E07C7" w:rsidP="000E07C7">
      <w:pPr>
        <w:pStyle w:val="ListBullet"/>
        <w:rPr>
          <w:lang w:val="ga-IE"/>
        </w:rPr>
      </w:pPr>
      <w:r w:rsidRPr="000E07C7">
        <w:rPr>
          <w:lang w:val="ga-IE"/>
        </w:rPr>
        <w:t>Tuarascáil Bhliantúil 2013</w:t>
      </w:r>
    </w:p>
    <w:p w14:paraId="7CF92DEB" w14:textId="77777777" w:rsidR="000E07C7" w:rsidRPr="000E07C7" w:rsidRDefault="000E07C7" w:rsidP="000E07C7">
      <w:pPr>
        <w:pStyle w:val="ListBullet"/>
        <w:rPr>
          <w:lang w:val="ga-IE"/>
        </w:rPr>
      </w:pPr>
      <w:r w:rsidRPr="000E07C7">
        <w:rPr>
          <w:lang w:val="ga-IE"/>
        </w:rPr>
        <w:t xml:space="preserve">Comhairliúchán le daoine atá faoi mhíchumas ar </w:t>
      </w:r>
      <w:proofErr w:type="spellStart"/>
      <w:r w:rsidRPr="000E07C7">
        <w:rPr>
          <w:lang w:val="ga-IE"/>
        </w:rPr>
        <w:t>mheonta</w:t>
      </w:r>
      <w:proofErr w:type="spellEnd"/>
      <w:r w:rsidRPr="000E07C7">
        <w:rPr>
          <w:lang w:val="ga-IE"/>
        </w:rPr>
        <w:t xml:space="preserve"> poiblí – Tuarascáil ‘Do Ghlór, Do Rogha’ 2013</w:t>
      </w:r>
    </w:p>
    <w:p w14:paraId="7E638EC6" w14:textId="77777777" w:rsidR="000E07C7" w:rsidRPr="000E07C7" w:rsidRDefault="000E07C7" w:rsidP="000E07C7">
      <w:pPr>
        <w:pStyle w:val="ListBullet"/>
        <w:rPr>
          <w:lang w:val="ga-IE"/>
        </w:rPr>
      </w:pPr>
      <w:r w:rsidRPr="000E07C7">
        <w:rPr>
          <w:lang w:val="ga-IE"/>
        </w:rPr>
        <w:t>Ag maireachtáil agus gortú faighte inchinne ort</w:t>
      </w:r>
    </w:p>
    <w:p w14:paraId="4C692C41" w14:textId="77777777" w:rsidR="000E07C7" w:rsidRPr="000E07C7" w:rsidRDefault="000E07C7" w:rsidP="000E07C7">
      <w:pPr>
        <w:pStyle w:val="ListBullet"/>
        <w:rPr>
          <w:lang w:val="ga-IE"/>
        </w:rPr>
      </w:pPr>
      <w:r w:rsidRPr="000E07C7">
        <w:rPr>
          <w:lang w:val="ga-IE"/>
        </w:rPr>
        <w:t>Céim 2 de Staidéar Indéantachta Leithdháileadh Acmhainní an Údaráis Náisiúnta Mhíchumais</w:t>
      </w:r>
    </w:p>
    <w:p w14:paraId="79D389DC" w14:textId="77777777" w:rsidR="000E07C7" w:rsidRPr="000E07C7" w:rsidRDefault="000E07C7" w:rsidP="000E07C7">
      <w:pPr>
        <w:pStyle w:val="ListBullet"/>
        <w:rPr>
          <w:lang w:val="ga-IE"/>
        </w:rPr>
      </w:pPr>
      <w:r w:rsidRPr="000E07C7">
        <w:rPr>
          <w:lang w:val="ga-IE"/>
        </w:rPr>
        <w:t>Ríomh-Nuachtlitreacha an Údaráis Náisiúnta Mhíchumais</w:t>
      </w:r>
    </w:p>
    <w:p w14:paraId="435CAB5E" w14:textId="77777777" w:rsidR="000E07C7" w:rsidRPr="000E07C7" w:rsidRDefault="000E07C7" w:rsidP="000E07C7">
      <w:pPr>
        <w:pStyle w:val="ListBullet"/>
        <w:rPr>
          <w:lang w:val="ga-IE"/>
        </w:rPr>
      </w:pPr>
      <w:r w:rsidRPr="000E07C7">
        <w:rPr>
          <w:lang w:val="ga-IE"/>
        </w:rPr>
        <w:t>Roghanna oideachais agus oiliúna iar-scoile do dhaoine atá faoi mhíchumas (</w:t>
      </w:r>
      <w:r w:rsidR="003330BF">
        <w:rPr>
          <w:lang w:val="ga-IE"/>
        </w:rPr>
        <w:t>“</w:t>
      </w:r>
      <w:r w:rsidRPr="003330BF">
        <w:t>Post school education and training options for people with disabilities</w:t>
      </w:r>
      <w:r w:rsidR="003330BF">
        <w:rPr>
          <w:lang w:val="ga-IE"/>
        </w:rPr>
        <w:t>”</w:t>
      </w:r>
      <w:r w:rsidRPr="000E07C7">
        <w:rPr>
          <w:lang w:val="ga-IE"/>
        </w:rPr>
        <w:t>) (i gcomhar leis an gComhairle Náisiúnta um Oideachas Speisialta)</w:t>
      </w:r>
    </w:p>
    <w:p w14:paraId="55270519" w14:textId="77777777" w:rsidR="000E07C7" w:rsidRPr="000E07C7" w:rsidRDefault="000E07C7" w:rsidP="000E07C7">
      <w:pPr>
        <w:pStyle w:val="ListBullet"/>
        <w:rPr>
          <w:lang w:val="ga-IE"/>
        </w:rPr>
      </w:pPr>
      <w:r w:rsidRPr="000E07C7">
        <w:rPr>
          <w:lang w:val="ga-IE"/>
        </w:rPr>
        <w:t>Freastal Réasúnta ar dhaoine a bhfuil Neamhord de chuid Speictream an Uathachais orthu (</w:t>
      </w:r>
      <w:r w:rsidR="003330BF">
        <w:rPr>
          <w:lang w:val="ga-IE"/>
        </w:rPr>
        <w:t>“</w:t>
      </w:r>
      <w:r w:rsidRPr="003330BF">
        <w:t>Reasonable Accommodation for people with Autism Spectrum</w:t>
      </w:r>
      <w:r w:rsidRPr="003330BF">
        <w:rPr>
          <w:rFonts w:ascii="Gill Sans MT" w:hAnsi="Gill Sans MT"/>
        </w:rPr>
        <w:t> </w:t>
      </w:r>
      <w:r w:rsidRPr="003330BF">
        <w:t>Disorder</w:t>
      </w:r>
      <w:r w:rsidR="003330BF">
        <w:rPr>
          <w:lang w:val="ga-IE"/>
        </w:rPr>
        <w:t>”</w:t>
      </w:r>
      <w:r w:rsidRPr="000E07C7">
        <w:rPr>
          <w:lang w:val="ga-IE"/>
        </w:rPr>
        <w:t>)</w:t>
      </w:r>
    </w:p>
    <w:p w14:paraId="54FB62A7" w14:textId="77777777" w:rsidR="000E07C7" w:rsidRPr="000E07C7" w:rsidRDefault="000E07C7" w:rsidP="000E07C7">
      <w:pPr>
        <w:pStyle w:val="ListBullet"/>
        <w:rPr>
          <w:lang w:val="ga-IE"/>
        </w:rPr>
      </w:pPr>
      <w:r w:rsidRPr="000E07C7">
        <w:rPr>
          <w:lang w:val="ga-IE"/>
        </w:rPr>
        <w:t>Suirbhé ar Tháscairí na Straitéise Náisiúnta Míchumais 2013</w:t>
      </w:r>
    </w:p>
    <w:p w14:paraId="4B0480F3" w14:textId="77777777" w:rsidR="000E07C7" w:rsidRPr="000E07C7" w:rsidRDefault="000E07C7" w:rsidP="000E07C7">
      <w:pPr>
        <w:pStyle w:val="ListBullet"/>
        <w:rPr>
          <w:lang w:val="ga-IE"/>
        </w:rPr>
      </w:pPr>
      <w:r w:rsidRPr="000E07C7">
        <w:rPr>
          <w:lang w:val="ga-IE"/>
        </w:rPr>
        <w:t xml:space="preserve">An tionchar a imríonn míchumas ar </w:t>
      </w:r>
      <w:proofErr w:type="spellStart"/>
      <w:r w:rsidRPr="000E07C7">
        <w:rPr>
          <w:lang w:val="ga-IE"/>
        </w:rPr>
        <w:t>shiblíní</w:t>
      </w:r>
      <w:proofErr w:type="spellEnd"/>
      <w:r w:rsidRPr="000E07C7">
        <w:rPr>
          <w:lang w:val="ga-IE"/>
        </w:rPr>
        <w:t xml:space="preserve"> (cur i láthair comhdhála)</w:t>
      </w:r>
    </w:p>
    <w:p w14:paraId="06D3D3C8" w14:textId="77777777" w:rsidR="000E07C7" w:rsidRPr="000E07C7" w:rsidRDefault="000E07C7" w:rsidP="000E07C7">
      <w:pPr>
        <w:pStyle w:val="ListBullet"/>
        <w:rPr>
          <w:lang w:val="ga-IE"/>
        </w:rPr>
      </w:pPr>
      <w:r w:rsidRPr="000E07C7">
        <w:rPr>
          <w:lang w:val="ga-IE"/>
        </w:rPr>
        <w:t>Míchumas Mothúchánach, Síceolaíoch agus Meabhairshláinte in Éirinn a thuiscint: Tosca a Éascaíonn Cuimsiú Sóisialta (i gcomhar leis an gComhairle Náisiúnta um Oideachas Speisialta) (</w:t>
      </w:r>
      <w:r w:rsidR="003330BF">
        <w:rPr>
          <w:lang w:val="ga-IE"/>
        </w:rPr>
        <w:t>“</w:t>
      </w:r>
      <w:r w:rsidRPr="003330BF">
        <w:t>Understanding Emotional, Psychological, and Mental Health disability in Ireland: Factors Facilitating Social Inclusion (Jointly with ESRI)</w:t>
      </w:r>
      <w:r w:rsidR="003330BF">
        <w:t>”</w:t>
      </w:r>
      <w:r w:rsidRPr="000E07C7">
        <w:rPr>
          <w:lang w:val="ga-IE"/>
        </w:rPr>
        <w:t>. Tuarascáil 2013 ar Chomhlíonadh Chuid 5 den Acht Míchumais</w:t>
      </w:r>
    </w:p>
    <w:p w14:paraId="0770498C" w14:textId="77777777" w:rsidR="000E07C7" w:rsidRPr="000E07C7" w:rsidRDefault="000E07C7" w:rsidP="000E07C7">
      <w:pPr>
        <w:pStyle w:val="Heading1"/>
        <w:rPr>
          <w:lang w:val="ga-IE"/>
        </w:rPr>
      </w:pPr>
      <w:bookmarkStart w:id="116" w:name="_Toc429053927"/>
      <w:bookmarkStart w:id="117" w:name="_Toc429054137"/>
      <w:bookmarkStart w:id="118" w:name="_Toc431218814"/>
      <w:r w:rsidRPr="000E07C7">
        <w:rPr>
          <w:lang w:val="ga-IE"/>
        </w:rPr>
        <w:lastRenderedPageBreak/>
        <w:t>Aguisín 4: Páipéir chomhairle beartais in 2014</w:t>
      </w:r>
      <w:bookmarkEnd w:id="116"/>
      <w:bookmarkEnd w:id="117"/>
      <w:bookmarkEnd w:id="118"/>
    </w:p>
    <w:p w14:paraId="79C22193" w14:textId="77777777" w:rsidR="000E07C7" w:rsidRPr="000E07C7" w:rsidRDefault="000E07C7" w:rsidP="000E07C7">
      <w:pPr>
        <w:pStyle w:val="ListBullet"/>
        <w:rPr>
          <w:lang w:val="ga-IE"/>
        </w:rPr>
      </w:pPr>
      <w:r w:rsidRPr="000E07C7">
        <w:rPr>
          <w:lang w:val="ga-IE"/>
        </w:rPr>
        <w:t xml:space="preserve">Comhairliúchán ar Rialacha Rochtana Údarás Craolacháin na hÉireann </w:t>
      </w:r>
    </w:p>
    <w:p w14:paraId="278EFA91" w14:textId="77777777" w:rsidR="000E07C7" w:rsidRPr="000E07C7" w:rsidRDefault="000E07C7" w:rsidP="000E07C7">
      <w:pPr>
        <w:pStyle w:val="ListBullet"/>
        <w:rPr>
          <w:lang w:val="ga-IE"/>
        </w:rPr>
      </w:pPr>
      <w:r w:rsidRPr="000E07C7">
        <w:rPr>
          <w:lang w:val="ga-IE"/>
        </w:rPr>
        <w:t>An Roinn Leanaí agus Gnóthaí Óige – Ráiteas Straitéise 2015-2017</w:t>
      </w:r>
    </w:p>
    <w:p w14:paraId="332F5163" w14:textId="77777777" w:rsidR="000E07C7" w:rsidRPr="000E07C7" w:rsidRDefault="000E07C7" w:rsidP="000E07C7">
      <w:pPr>
        <w:pStyle w:val="ListBullet"/>
        <w:rPr>
          <w:lang w:val="ga-IE"/>
        </w:rPr>
      </w:pPr>
      <w:r w:rsidRPr="000E07C7">
        <w:rPr>
          <w:lang w:val="ga-IE"/>
        </w:rPr>
        <w:t>An Roinn Oideachais agus Scileanna – Tuarascáil Ghrúpa Oibre na Comhairle Náisiúnta um Oideachas Speisialta ar shamhlacha nua d’acmhainní múinteoireachta a leithdháileadh</w:t>
      </w:r>
    </w:p>
    <w:p w14:paraId="39520C18" w14:textId="77777777" w:rsidR="000E07C7" w:rsidRPr="000E07C7" w:rsidRDefault="000E07C7" w:rsidP="000E07C7">
      <w:pPr>
        <w:pStyle w:val="ListBullet"/>
        <w:rPr>
          <w:lang w:val="ga-IE"/>
        </w:rPr>
      </w:pPr>
      <w:r w:rsidRPr="000E07C7">
        <w:rPr>
          <w:lang w:val="ga-IE"/>
        </w:rPr>
        <w:t>An Roinn Sláinte – Athbhreithniú ag painéal saineolaithe ar an scéim cártaí leighis</w:t>
      </w:r>
    </w:p>
    <w:p w14:paraId="1BA6D95A" w14:textId="77777777" w:rsidR="000E07C7" w:rsidRPr="000E07C7" w:rsidRDefault="000E07C7" w:rsidP="000E07C7">
      <w:pPr>
        <w:pStyle w:val="ListBullet"/>
        <w:rPr>
          <w:lang w:val="ga-IE"/>
        </w:rPr>
      </w:pPr>
      <w:r w:rsidRPr="000E07C7">
        <w:rPr>
          <w:lang w:val="ga-IE"/>
        </w:rPr>
        <w:t>An Roinn Sláinte – Ráiteas Straitéise 2015-2017</w:t>
      </w:r>
    </w:p>
    <w:p w14:paraId="6AED02FF" w14:textId="77777777" w:rsidR="000E07C7" w:rsidRPr="000E07C7" w:rsidRDefault="000E07C7" w:rsidP="000E07C7">
      <w:pPr>
        <w:pStyle w:val="ListBullet"/>
        <w:rPr>
          <w:lang w:val="ga-IE"/>
        </w:rPr>
      </w:pPr>
      <w:r w:rsidRPr="000E07C7">
        <w:rPr>
          <w:lang w:val="ga-IE"/>
        </w:rPr>
        <w:t>An Roinn Sláinte - Árachas Uilíoch Sláinte</w:t>
      </w:r>
    </w:p>
    <w:p w14:paraId="2198DE69" w14:textId="77777777" w:rsidR="000E07C7" w:rsidRPr="000E07C7" w:rsidRDefault="000E07C7" w:rsidP="000E07C7">
      <w:pPr>
        <w:pStyle w:val="ListBullet"/>
        <w:rPr>
          <w:lang w:val="ga-IE"/>
        </w:rPr>
      </w:pPr>
      <w:r w:rsidRPr="000E07C7">
        <w:rPr>
          <w:lang w:val="ga-IE"/>
        </w:rPr>
        <w:t>FSS – Todhchaí an Altranais Mhíchumais Intleachtaigh in Éirinn a Mhúnlú</w:t>
      </w:r>
    </w:p>
    <w:p w14:paraId="009919AC" w14:textId="77777777" w:rsidR="000E07C7" w:rsidRPr="000E07C7" w:rsidRDefault="000E07C7" w:rsidP="000E07C7">
      <w:pPr>
        <w:pStyle w:val="ListBullet"/>
        <w:rPr>
          <w:lang w:val="ga-IE"/>
        </w:rPr>
      </w:pPr>
      <w:r w:rsidRPr="000E07C7">
        <w:rPr>
          <w:lang w:val="ga-IE"/>
        </w:rPr>
        <w:t>Dréacht-Rialacháin an Údaráis Náisiúnta Iompair um Fheithiclí Beaga Seirbhíse Poiblí (Comhdhlúthú agus Leasú), 2014</w:t>
      </w:r>
    </w:p>
    <w:p w14:paraId="0C7A7F74" w14:textId="77777777" w:rsidR="000E07C7" w:rsidRPr="000E07C7" w:rsidRDefault="000E07C7" w:rsidP="000E07C7">
      <w:pPr>
        <w:pStyle w:val="ListBullet"/>
        <w:rPr>
          <w:lang w:val="ga-IE"/>
        </w:rPr>
      </w:pPr>
      <w:r w:rsidRPr="000E07C7">
        <w:rPr>
          <w:lang w:val="ga-IE"/>
        </w:rPr>
        <w:t xml:space="preserve">Aighneacht leis an Roinn Dlí agus Cirt agus Comhionannais ar an Straitéis Náisiúnta nua ar Fhoréigean Baile, Gnéasach agus </w:t>
      </w:r>
      <w:proofErr w:type="spellStart"/>
      <w:r w:rsidRPr="000E07C7">
        <w:rPr>
          <w:lang w:val="ga-IE"/>
        </w:rPr>
        <w:t>Inscnebhunaithe</w:t>
      </w:r>
      <w:proofErr w:type="spellEnd"/>
      <w:r w:rsidRPr="000E07C7">
        <w:rPr>
          <w:lang w:val="ga-IE"/>
        </w:rPr>
        <w:t>.</w:t>
      </w:r>
    </w:p>
    <w:p w14:paraId="52783FCF" w14:textId="77777777" w:rsidR="000E07C7" w:rsidRPr="000E07C7" w:rsidRDefault="000E07C7" w:rsidP="000E07C7">
      <w:pPr>
        <w:pStyle w:val="ListBullet"/>
        <w:rPr>
          <w:lang w:val="ga-IE"/>
        </w:rPr>
      </w:pPr>
      <w:r w:rsidRPr="000E07C7">
        <w:rPr>
          <w:lang w:val="ga-IE"/>
        </w:rPr>
        <w:t>Aighneacht leis an Roinn Dlí agus Cirt agus Comhionannais ar Fhoréigean Gnéasach i leith daoine Leochaileacha (i gcomhthéacs an Bhille um an Dlí Coiriúil (Cionta Gnéasacha), 2015</w:t>
      </w:r>
    </w:p>
    <w:p w14:paraId="6A34D627" w14:textId="77777777" w:rsidR="000E07C7" w:rsidRPr="000E07C7" w:rsidRDefault="000E07C7" w:rsidP="000E07C7">
      <w:pPr>
        <w:pStyle w:val="ListBullet"/>
        <w:rPr>
          <w:lang w:val="ga-IE"/>
        </w:rPr>
      </w:pPr>
      <w:r w:rsidRPr="000E07C7">
        <w:rPr>
          <w:lang w:val="ga-IE"/>
        </w:rPr>
        <w:t xml:space="preserve">Aighneacht ar </w:t>
      </w:r>
      <w:proofErr w:type="spellStart"/>
      <w:r w:rsidRPr="000E07C7">
        <w:rPr>
          <w:lang w:val="ga-IE"/>
        </w:rPr>
        <w:t>dhréacht</w:t>
      </w:r>
      <w:proofErr w:type="spellEnd"/>
      <w:r w:rsidRPr="000E07C7">
        <w:rPr>
          <w:lang w:val="ga-IE"/>
        </w:rPr>
        <w:t xml:space="preserve">-Scéim Ghinearálta na bhforálacha reachtaíochta le haghaidh </w:t>
      </w:r>
      <w:proofErr w:type="spellStart"/>
      <w:r w:rsidRPr="000E07C7">
        <w:rPr>
          <w:lang w:val="ga-IE"/>
        </w:rPr>
        <w:t>Réamhthreoracha</w:t>
      </w:r>
      <w:proofErr w:type="spellEnd"/>
      <w:r w:rsidRPr="000E07C7">
        <w:rPr>
          <w:lang w:val="ga-IE"/>
        </w:rPr>
        <w:t xml:space="preserve"> Cúram Sláinte a chuimsiú isteach sa Bhille um Chinnteoireacht Chuideachta (Cumas), 2013</w:t>
      </w:r>
    </w:p>
    <w:p w14:paraId="0808988C" w14:textId="77777777" w:rsidR="003330BF" w:rsidRPr="003330BF" w:rsidRDefault="000E07C7" w:rsidP="004B7CEB">
      <w:pPr>
        <w:pStyle w:val="ListBullet"/>
        <w:rPr>
          <w:b/>
          <w:lang w:val="ga-IE"/>
        </w:rPr>
      </w:pPr>
      <w:r w:rsidRPr="003330BF">
        <w:rPr>
          <w:lang w:val="ga-IE"/>
        </w:rPr>
        <w:t>Aighneacht chuig an Roinn Comhshaoil, Pobail agus Rialtais Áitiúil, agus chuig an Rialtas Áitiúil ar athbhreithniú a dhéanamh ar an Straitéis Tithíochta Sóisialta</w:t>
      </w:r>
    </w:p>
    <w:p w14:paraId="4CD0E86F" w14:textId="77777777" w:rsidR="00E54C88" w:rsidRPr="003330BF" w:rsidRDefault="000E07C7" w:rsidP="004B7CEB">
      <w:pPr>
        <w:pStyle w:val="ListBullet"/>
        <w:rPr>
          <w:b/>
          <w:lang w:val="ga-IE"/>
        </w:rPr>
      </w:pPr>
      <w:r w:rsidRPr="003330BF">
        <w:rPr>
          <w:lang w:val="ga-IE"/>
        </w:rPr>
        <w:t>Aighneacht chuig an Roinn Comhshaoil, Pobail agus Rialtais Áitiúil, agus chuig an Rialtas Áitiúil ar athbhreithniú a dhéanamh ar Ráiteas Straitéise na Roinne.</w:t>
      </w:r>
      <w:r w:rsidR="00E54C88" w:rsidRPr="003330BF">
        <w:rPr>
          <w:b/>
          <w:lang w:val="ga-IE"/>
        </w:rPr>
        <w:br w:type="page"/>
      </w:r>
      <w:r w:rsidR="00E54C88" w:rsidRPr="003330BF">
        <w:rPr>
          <w:b/>
          <w:lang w:val="ga-IE"/>
        </w:rPr>
        <w:lastRenderedPageBreak/>
        <w:t>An tÚdarás Náisiúnta Míchumais</w:t>
      </w:r>
    </w:p>
    <w:p w14:paraId="0571BF4C" w14:textId="77777777" w:rsidR="00E54C88" w:rsidRPr="000E07C7" w:rsidRDefault="00E54C88" w:rsidP="004B7CEB">
      <w:pPr>
        <w:rPr>
          <w:lang w:val="ga-IE"/>
        </w:rPr>
      </w:pPr>
      <w:r w:rsidRPr="000E07C7">
        <w:rPr>
          <w:lang w:val="ga-IE"/>
        </w:rPr>
        <w:t xml:space="preserve">25 Bóthar </w:t>
      </w:r>
      <w:proofErr w:type="spellStart"/>
      <w:r w:rsidRPr="000E07C7">
        <w:rPr>
          <w:lang w:val="ga-IE"/>
        </w:rPr>
        <w:t>Chluaidh</w:t>
      </w:r>
      <w:proofErr w:type="spellEnd"/>
      <w:r w:rsidRPr="000E07C7">
        <w:rPr>
          <w:lang w:val="ga-IE"/>
        </w:rPr>
        <w:t>, Baile Átha Cliath 4</w:t>
      </w:r>
      <w:r w:rsidRPr="000E07C7">
        <w:rPr>
          <w:lang w:val="ga-IE"/>
        </w:rPr>
        <w:br/>
        <w:t>Guthán: (01) 608 0400</w:t>
      </w:r>
      <w:r w:rsidRPr="000E07C7">
        <w:rPr>
          <w:lang w:val="ga-IE"/>
        </w:rPr>
        <w:br/>
        <w:t>Facs: (01) 660 9935</w:t>
      </w:r>
      <w:r w:rsidRPr="000E07C7">
        <w:rPr>
          <w:lang w:val="ga-IE"/>
        </w:rPr>
        <w:br/>
      </w:r>
      <w:r w:rsidRPr="000E07C7">
        <w:rPr>
          <w:b/>
          <w:lang w:val="ga-IE"/>
        </w:rPr>
        <w:t>www.nda.ie</w:t>
      </w:r>
    </w:p>
    <w:p w14:paraId="77C47955" w14:textId="77777777" w:rsidR="00E54C88" w:rsidRPr="000E07C7" w:rsidRDefault="009938C4" w:rsidP="009B7368">
      <w:pPr>
        <w:pStyle w:val="Blurb"/>
        <w:rPr>
          <w:lang w:val="ga-IE"/>
        </w:rPr>
      </w:pPr>
      <w:r w:rsidRPr="000E07C7">
        <w:rPr>
          <w:noProof/>
          <w:lang w:eastAsia="en-IE"/>
        </w:rPr>
        <w:drawing>
          <wp:inline distT="0" distB="0" distL="0" distR="0" wp14:anchorId="711E39FA" wp14:editId="592AE830">
            <wp:extent cx="845820" cy="356235"/>
            <wp:effectExtent l="0" t="0" r="0" b="5715"/>
            <wp:docPr id="3" name="Picture 3"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logo"/>
                    <pic:cNvPicPr>
                      <a:picLocks noChangeAspect="1" noChangeArrowheads="1"/>
                    </pic:cNvPicPr>
                  </pic:nvPicPr>
                  <pic:blipFill>
                    <a:blip r:embed="rId13"/>
                    <a:srcRect/>
                    <a:stretch>
                      <a:fillRect/>
                    </a:stretch>
                  </pic:blipFill>
                  <pic:spPr bwMode="auto">
                    <a:xfrm>
                      <a:off x="0" y="0"/>
                      <a:ext cx="845820" cy="356235"/>
                    </a:xfrm>
                    <a:prstGeom prst="rect">
                      <a:avLst/>
                    </a:prstGeom>
                    <a:noFill/>
                  </pic:spPr>
                </pic:pic>
              </a:graphicData>
            </a:graphic>
          </wp:inline>
        </w:drawing>
      </w:r>
      <w:r w:rsidR="00E54C88" w:rsidRPr="000E07C7">
        <w:rPr>
          <w:lang w:val="ga-IE"/>
        </w:rPr>
        <w:t xml:space="preserve">Is é an tÚdarás Náisiúnta Míchumais an comhlacht neamhspleách a thugann sainchomhairle ar bheartas agus chleachtas míchumais don Aire, agus a </w:t>
      </w:r>
      <w:r w:rsidR="00E54C88" w:rsidRPr="000E07C7">
        <w:rPr>
          <w:lang w:val="ga-IE"/>
        </w:rPr>
        <w:lastRenderedPageBreak/>
        <w:t>dhéanann Dearadh Uilíoch a chur chun cinn in Éirinn.</w:t>
      </w:r>
    </w:p>
    <w:sectPr w:rsidR="00E54C88" w:rsidRPr="000E07C7" w:rsidSect="005A3448">
      <w:footerReference w:type="default" r:id="rId22"/>
      <w:type w:val="continuous"/>
      <w:pgSz w:w="11907" w:h="16839" w:code="9"/>
      <w:pgMar w:top="1985" w:right="1985" w:bottom="1985" w:left="1985" w:header="709" w:footer="709" w:gutter="0"/>
      <w:pgNumType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FC18" w14:textId="77777777" w:rsidR="009633ED" w:rsidRDefault="009633ED">
      <w:r>
        <w:separator/>
      </w:r>
    </w:p>
  </w:endnote>
  <w:endnote w:type="continuationSeparator" w:id="0">
    <w:p w14:paraId="7307940C" w14:textId="77777777" w:rsidR="009633ED" w:rsidRDefault="009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3FE3" w14:textId="77777777" w:rsidR="009633ED" w:rsidRDefault="00753527">
    <w:pPr>
      <w:pStyle w:val="Footer"/>
    </w:pPr>
    <w:r>
      <w:fldChar w:fldCharType="begin"/>
    </w:r>
    <w:r>
      <w:instrText xml:space="preserve"> PAGE   \* MERGEFORMAT </w:instrText>
    </w:r>
    <w:r>
      <w:fldChar w:fldCharType="separate"/>
    </w:r>
    <w:r>
      <w:rPr>
        <w:noProof/>
      </w:rPr>
      <w:t>2</w:t>
    </w:r>
    <w:r>
      <w:rPr>
        <w:noProof/>
      </w:rPr>
      <w:fldChar w:fldCharType="end"/>
    </w:r>
  </w:p>
  <w:p w14:paraId="5ACACE1E" w14:textId="77777777" w:rsidR="009633ED" w:rsidRDefault="009633ED" w:rsidP="004217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6429" w14:textId="77777777" w:rsidR="009633ED" w:rsidRDefault="009633ED" w:rsidP="00094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527">
      <w:rPr>
        <w:rStyle w:val="PageNumber"/>
        <w:noProof/>
      </w:rPr>
      <w:t>41</w:t>
    </w:r>
    <w:r>
      <w:rPr>
        <w:rStyle w:val="PageNumber"/>
      </w:rPr>
      <w:fldChar w:fldCharType="end"/>
    </w:r>
  </w:p>
  <w:p w14:paraId="0EF85895" w14:textId="77777777" w:rsidR="009633ED" w:rsidRDefault="009633ED" w:rsidP="0009490F">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3C70" w14:textId="77777777" w:rsidR="009633ED" w:rsidRDefault="00753527">
    <w:pPr>
      <w:pStyle w:val="Footer"/>
    </w:pPr>
    <w:r>
      <w:fldChar w:fldCharType="begin"/>
    </w:r>
    <w:r>
      <w:instrText xml:space="preserve"> PAGE   \* MERGEFORMAT </w:instrText>
    </w:r>
    <w:r>
      <w:fldChar w:fldCharType="separate"/>
    </w:r>
    <w:r>
      <w:rPr>
        <w:noProof/>
      </w:rPr>
      <w:t>94</w:t>
    </w:r>
    <w:r>
      <w:rPr>
        <w:noProof/>
      </w:rPr>
      <w:fldChar w:fldCharType="end"/>
    </w:r>
  </w:p>
  <w:p w14:paraId="15364B3D" w14:textId="77777777" w:rsidR="009633ED" w:rsidRDefault="009633ED" w:rsidP="0042177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2D5E" w14:textId="77777777" w:rsidR="009633ED" w:rsidRDefault="009633ED" w:rsidP="00094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527">
      <w:rPr>
        <w:rStyle w:val="PageNumber"/>
        <w:noProof/>
      </w:rPr>
      <w:t>93</w:t>
    </w:r>
    <w:r>
      <w:rPr>
        <w:rStyle w:val="PageNumber"/>
      </w:rPr>
      <w:fldChar w:fldCharType="end"/>
    </w:r>
  </w:p>
  <w:p w14:paraId="22744CBC" w14:textId="77777777" w:rsidR="009633ED" w:rsidRDefault="009633ED" w:rsidP="0009490F">
    <w:pPr>
      <w:pStyle w:val="Head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C0B3" w14:textId="77777777" w:rsidR="009633ED" w:rsidRDefault="009633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40AE" w14:textId="77777777" w:rsidR="009633ED" w:rsidRPr="00EF6697" w:rsidRDefault="009633ED"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B06B43">
      <w:rPr>
        <w:noProof/>
        <w:szCs w:val="26"/>
      </w:rPr>
      <w:t>131</w:t>
    </w:r>
    <w:r w:rsidRPr="00EF6697">
      <w:rPr>
        <w:szCs w:val="26"/>
      </w:rPr>
      <w:fldChar w:fldCharType="end"/>
    </w:r>
    <w:r w:rsidRPr="00EF6697">
      <w:rPr>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04BE" w14:textId="77777777" w:rsidR="009633ED" w:rsidRDefault="009633ED">
      <w:r>
        <w:separator/>
      </w:r>
    </w:p>
  </w:footnote>
  <w:footnote w:type="continuationSeparator" w:id="0">
    <w:p w14:paraId="11397740" w14:textId="77777777" w:rsidR="009633ED" w:rsidRDefault="009633ED">
      <w:r>
        <w:continuationSeparator/>
      </w:r>
    </w:p>
  </w:footnote>
  <w:footnote w:id="1">
    <w:p w14:paraId="42C91FFB" w14:textId="77777777" w:rsidR="009633ED" w:rsidRDefault="009633ED" w:rsidP="00627E0D">
      <w:pPr>
        <w:pStyle w:val="FootnoteText"/>
      </w:pPr>
    </w:p>
  </w:footnote>
  <w:footnote w:id="2">
    <w:p w14:paraId="38DCC3EA" w14:textId="77777777" w:rsidR="009633ED" w:rsidRDefault="009633ED" w:rsidP="000E07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91F4" w14:textId="77777777" w:rsidR="009633ED" w:rsidRDefault="00963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1D1E" w14:textId="77777777" w:rsidR="009633ED" w:rsidRDefault="00963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530E" w14:textId="77777777" w:rsidR="009633ED" w:rsidRDefault="00963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BE8C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4AA0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9366C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CA3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6E3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DCE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01F8"/>
    <w:lvl w:ilvl="0">
      <w:start w:val="1"/>
      <w:numFmt w:val="bullet"/>
      <w:lvlText w:val=""/>
      <w:lvlJc w:val="left"/>
      <w:pPr>
        <w:tabs>
          <w:tab w:val="num" w:pos="717"/>
        </w:tabs>
        <w:ind w:left="717" w:hanging="360"/>
      </w:pPr>
      <w:rPr>
        <w:rFonts w:ascii="Symbol" w:hAnsi="Symbol" w:hint="default"/>
        <w:sz w:val="20"/>
      </w:rPr>
    </w:lvl>
  </w:abstractNum>
  <w:abstractNum w:abstractNumId="8" w15:restartNumberingAfterBreak="0">
    <w:nsid w:val="FFFFFF88"/>
    <w:multiLevelType w:val="singleLevel"/>
    <w:tmpl w:val="F4589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1A720E"/>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lvl w:ilvl="0">
      <w:start w:val="1"/>
      <w:numFmt w:val="decimal"/>
      <w:lvlText w:val="%1."/>
      <w:lvlJc w:val="left"/>
      <w:pPr>
        <w:tabs>
          <w:tab w:val="num" w:pos="926"/>
        </w:tabs>
        <w:ind w:left="926" w:hanging="360"/>
      </w:pPr>
    </w:lvl>
  </w:abstractNum>
  <w:abstractNum w:abstractNumId="12" w15:restartNumberingAfterBreak="0">
    <w:nsid w:val="00000003"/>
    <w:multiLevelType w:val="singleLevel"/>
    <w:tmpl w:val="00000003"/>
    <w:lvl w:ilvl="0">
      <w:start w:val="1"/>
      <w:numFmt w:val="decimal"/>
      <w:lvlText w:val="%1."/>
      <w:lvlJc w:val="left"/>
      <w:pPr>
        <w:tabs>
          <w:tab w:val="num" w:pos="641"/>
        </w:tabs>
        <w:ind w:left="641" w:hanging="357"/>
      </w:pPr>
    </w:lvl>
  </w:abstractNum>
  <w:abstractNum w:abstractNumId="13"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sz w:val="20"/>
        <w:szCs w:val="20"/>
      </w:rPr>
    </w:lvl>
  </w:abstractNum>
  <w:abstractNum w:abstractNumId="14" w15:restartNumberingAfterBreak="0">
    <w:nsid w:val="00000005"/>
    <w:multiLevelType w:val="singleLevel"/>
    <w:tmpl w:val="00000005"/>
    <w:lvl w:ilvl="0">
      <w:start w:val="1"/>
      <w:numFmt w:val="bullet"/>
      <w:lvlText w:val=""/>
      <w:lvlJc w:val="left"/>
      <w:pPr>
        <w:tabs>
          <w:tab w:val="num" w:pos="717"/>
        </w:tabs>
        <w:ind w:left="717" w:hanging="360"/>
      </w:pPr>
      <w:rPr>
        <w:rFonts w:ascii="Symbol" w:hAnsi="Symbol"/>
      </w:rPr>
    </w:lvl>
  </w:abstractNum>
  <w:abstractNum w:abstractNumId="15"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16" w15:restartNumberingAfterBreak="0">
    <w:nsid w:val="00000007"/>
    <w:multiLevelType w:val="singleLevel"/>
    <w:tmpl w:val="59989588"/>
    <w:lvl w:ilvl="0">
      <w:start w:val="1"/>
      <w:numFmt w:val="bullet"/>
      <w:lvlText w:val=""/>
      <w:lvlJc w:val="left"/>
      <w:pPr>
        <w:tabs>
          <w:tab w:val="num" w:pos="360"/>
        </w:tabs>
        <w:ind w:left="360" w:hanging="360"/>
      </w:pPr>
      <w:rPr>
        <w:rFonts w:ascii="Symbol" w:hAnsi="Symbol"/>
        <w:sz w:val="20"/>
        <w:szCs w:val="20"/>
      </w:rPr>
    </w:lvl>
  </w:abstractNum>
  <w:abstractNum w:abstractNumId="17" w15:restartNumberingAfterBreak="0">
    <w:nsid w:val="057329EE"/>
    <w:multiLevelType w:val="hybridMultilevel"/>
    <w:tmpl w:val="9084BC72"/>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84B4DD6"/>
    <w:multiLevelType w:val="hybridMultilevel"/>
    <w:tmpl w:val="49280E5A"/>
    <w:lvl w:ilvl="0" w:tplc="88EC6DA8">
      <w:start w:val="1"/>
      <w:numFmt w:val="bullet"/>
      <w:lvlText w:val=""/>
      <w:lvlJc w:val="left"/>
      <w:pPr>
        <w:tabs>
          <w:tab w:val="num" w:pos="567"/>
        </w:tabs>
        <w:ind w:left="567" w:hanging="56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320708"/>
    <w:multiLevelType w:val="hybridMultilevel"/>
    <w:tmpl w:val="C20E0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42D4961"/>
    <w:multiLevelType w:val="hybridMultilevel"/>
    <w:tmpl w:val="FCC24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FD27C14"/>
    <w:multiLevelType w:val="hybridMultilevel"/>
    <w:tmpl w:val="B3F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F4003"/>
    <w:multiLevelType w:val="hybridMultilevel"/>
    <w:tmpl w:val="0AC44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F1501A"/>
    <w:multiLevelType w:val="hybridMultilevel"/>
    <w:tmpl w:val="5ECAF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E57E2"/>
    <w:multiLevelType w:val="hybridMultilevel"/>
    <w:tmpl w:val="83526EA8"/>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25" w15:restartNumberingAfterBreak="0">
    <w:nsid w:val="33CF3D29"/>
    <w:multiLevelType w:val="hybridMultilevel"/>
    <w:tmpl w:val="40ECF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B916F46"/>
    <w:multiLevelType w:val="hybridMultilevel"/>
    <w:tmpl w:val="5ED6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C962CA"/>
    <w:multiLevelType w:val="hybridMultilevel"/>
    <w:tmpl w:val="90B4C2DE"/>
    <w:lvl w:ilvl="0" w:tplc="18090001">
      <w:start w:val="1"/>
      <w:numFmt w:val="bullet"/>
      <w:lvlText w:val=""/>
      <w:lvlJc w:val="left"/>
      <w:pPr>
        <w:tabs>
          <w:tab w:val="num" w:pos="1440"/>
        </w:tabs>
        <w:ind w:left="1440" w:hanging="360"/>
      </w:pPr>
      <w:rPr>
        <w:rFonts w:ascii="Symbol" w:hAnsi="Symbol" w:hint="default"/>
        <w:color w:val="auto"/>
      </w:rPr>
    </w:lvl>
    <w:lvl w:ilvl="1" w:tplc="18090003">
      <w:start w:val="1"/>
      <w:numFmt w:val="bullet"/>
      <w:lvlText w:val=""/>
      <w:lvlJc w:val="left"/>
      <w:pPr>
        <w:tabs>
          <w:tab w:val="num" w:pos="1440"/>
        </w:tabs>
        <w:ind w:left="1440" w:hanging="360"/>
      </w:pPr>
      <w:rPr>
        <w:rFonts w:ascii="Wingdings" w:hAnsi="Wingdings" w:hint="default"/>
        <w:color w:val="auto"/>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A00B9"/>
    <w:multiLevelType w:val="hybridMultilevel"/>
    <w:tmpl w:val="B2AC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86A26"/>
    <w:multiLevelType w:val="multilevel"/>
    <w:tmpl w:val="FC00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27DC2"/>
    <w:multiLevelType w:val="hybridMultilevel"/>
    <w:tmpl w:val="A2949C60"/>
    <w:lvl w:ilvl="0" w:tplc="FDA695EE">
      <w:start w:val="1"/>
      <w:numFmt w:val="bullet"/>
      <w:lvlText w:val=""/>
      <w:lvlJc w:val="left"/>
      <w:pPr>
        <w:ind w:left="720" w:hanging="360"/>
      </w:pPr>
      <w:rPr>
        <w:rFonts w:ascii="Symbol" w:hAnsi="Symbol" w:hint="default"/>
      </w:rPr>
    </w:lvl>
    <w:lvl w:ilvl="1" w:tplc="0809000B"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A2465"/>
    <w:multiLevelType w:val="hybridMultilevel"/>
    <w:tmpl w:val="F40C11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3275FD8"/>
    <w:multiLevelType w:val="hybridMultilevel"/>
    <w:tmpl w:val="5DFAD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69583127">
    <w:abstractNumId w:val="8"/>
  </w:num>
  <w:num w:numId="2" w16cid:durableId="1317488347">
    <w:abstractNumId w:val="7"/>
  </w:num>
  <w:num w:numId="3" w16cid:durableId="561019976">
    <w:abstractNumId w:val="6"/>
  </w:num>
  <w:num w:numId="4" w16cid:durableId="963536976">
    <w:abstractNumId w:val="3"/>
  </w:num>
  <w:num w:numId="5" w16cid:durableId="1562521712">
    <w:abstractNumId w:val="2"/>
  </w:num>
  <w:num w:numId="6" w16cid:durableId="1359163458">
    <w:abstractNumId w:val="8"/>
  </w:num>
  <w:num w:numId="7" w16cid:durableId="703361894">
    <w:abstractNumId w:val="7"/>
  </w:num>
  <w:num w:numId="8" w16cid:durableId="1785494422">
    <w:abstractNumId w:val="6"/>
  </w:num>
  <w:num w:numId="9" w16cid:durableId="1478762467">
    <w:abstractNumId w:val="3"/>
  </w:num>
  <w:num w:numId="10" w16cid:durableId="1344279487">
    <w:abstractNumId w:val="2"/>
  </w:num>
  <w:num w:numId="11" w16cid:durableId="441999556">
    <w:abstractNumId w:val="9"/>
  </w:num>
  <w:num w:numId="12" w16cid:durableId="16661920">
    <w:abstractNumId w:val="18"/>
  </w:num>
  <w:num w:numId="13" w16cid:durableId="870462866">
    <w:abstractNumId w:val="7"/>
  </w:num>
  <w:num w:numId="14" w16cid:durableId="2117944493">
    <w:abstractNumId w:val="22"/>
  </w:num>
  <w:num w:numId="15" w16cid:durableId="1463496825">
    <w:abstractNumId w:val="24"/>
  </w:num>
  <w:num w:numId="16" w16cid:durableId="2091729105">
    <w:abstractNumId w:val="20"/>
  </w:num>
  <w:num w:numId="17" w16cid:durableId="743188340">
    <w:abstractNumId w:val="0"/>
  </w:num>
  <w:num w:numId="18" w16cid:durableId="2066370893">
    <w:abstractNumId w:val="9"/>
  </w:num>
  <w:num w:numId="19" w16cid:durableId="688677558">
    <w:abstractNumId w:val="29"/>
  </w:num>
  <w:num w:numId="20" w16cid:durableId="1085612044">
    <w:abstractNumId w:val="10"/>
  </w:num>
  <w:num w:numId="21" w16cid:durableId="450437253">
    <w:abstractNumId w:val="11"/>
  </w:num>
  <w:num w:numId="22" w16cid:durableId="379984199">
    <w:abstractNumId w:val="12"/>
  </w:num>
  <w:num w:numId="23" w16cid:durableId="241451855">
    <w:abstractNumId w:val="13"/>
  </w:num>
  <w:num w:numId="24" w16cid:durableId="37360743">
    <w:abstractNumId w:val="14"/>
  </w:num>
  <w:num w:numId="25" w16cid:durableId="2047674480">
    <w:abstractNumId w:val="15"/>
  </w:num>
  <w:num w:numId="26" w16cid:durableId="1763718648">
    <w:abstractNumId w:val="16"/>
  </w:num>
  <w:num w:numId="27" w16cid:durableId="2063093578">
    <w:abstractNumId w:val="5"/>
  </w:num>
  <w:num w:numId="28" w16cid:durableId="1609200112">
    <w:abstractNumId w:val="4"/>
  </w:num>
  <w:num w:numId="29" w16cid:durableId="1270239824">
    <w:abstractNumId w:val="1"/>
  </w:num>
  <w:num w:numId="30" w16cid:durableId="672881357">
    <w:abstractNumId w:val="26"/>
  </w:num>
  <w:num w:numId="31" w16cid:durableId="1182550257">
    <w:abstractNumId w:val="27"/>
  </w:num>
  <w:num w:numId="32" w16cid:durableId="353503046">
    <w:abstractNumId w:val="32"/>
  </w:num>
  <w:num w:numId="33" w16cid:durableId="1956674227">
    <w:abstractNumId w:val="28"/>
  </w:num>
  <w:num w:numId="34" w16cid:durableId="180583953">
    <w:abstractNumId w:val="17"/>
  </w:num>
  <w:num w:numId="35" w16cid:durableId="1847670017">
    <w:abstractNumId w:val="21"/>
  </w:num>
  <w:num w:numId="36" w16cid:durableId="1724867778">
    <w:abstractNumId w:val="30"/>
  </w:num>
  <w:num w:numId="37" w16cid:durableId="665473508">
    <w:abstractNumId w:val="23"/>
  </w:num>
  <w:num w:numId="38" w16cid:durableId="266620849">
    <w:abstractNumId w:val="19"/>
  </w:num>
  <w:num w:numId="39" w16cid:durableId="513885902">
    <w:abstractNumId w:val="31"/>
  </w:num>
  <w:num w:numId="40" w16cid:durableId="460613162">
    <w:abstractNumId w:val="25"/>
  </w:num>
  <w:num w:numId="41" w16cid:durableId="1118254949">
    <w:abstractNumId w:val="9"/>
  </w:num>
  <w:num w:numId="42" w16cid:durableId="2008435372">
    <w:abstractNumId w:val="9"/>
  </w:num>
  <w:num w:numId="43" w16cid:durableId="307247831">
    <w:abstractNumId w:val="9"/>
  </w:num>
  <w:num w:numId="44" w16cid:durableId="425031941">
    <w:abstractNumId w:val="9"/>
  </w:num>
  <w:num w:numId="45" w16cid:durableId="901529261">
    <w:abstractNumId w:val="9"/>
  </w:num>
  <w:num w:numId="46" w16cid:durableId="1767187037">
    <w:abstractNumId w:val="9"/>
  </w:num>
  <w:num w:numId="47" w16cid:durableId="1089279414">
    <w:abstractNumId w:val="9"/>
  </w:num>
  <w:num w:numId="48" w16cid:durableId="1938825241">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B08" w:allStyles="0" w:customStyles="0" w:latentStyles="0" w:stylesInUse="1" w:headingStyles="0" w:numberingStyles="0" w:tableStyles="0" w:directFormattingOnRuns="1" w:directFormattingOnParagraphs="1" w:directFormattingOnNumbering="0" w:directFormattingOnTables="1" w:clearFormatting="1" w:top3HeadingStyles="0" w:visibleStyles="0" w:alternateStyleNames="0"/>
  <w:documentProtection w:formatting="1" w:enforcement="0"/>
  <w:defaultTabStop w:val="720"/>
  <w:evenAndOddHeaders/>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29"/>
    <w:rsid w:val="000018B8"/>
    <w:rsid w:val="00002A40"/>
    <w:rsid w:val="0001026F"/>
    <w:rsid w:val="00016B1E"/>
    <w:rsid w:val="00021DED"/>
    <w:rsid w:val="0002361F"/>
    <w:rsid w:val="0002424B"/>
    <w:rsid w:val="0002481D"/>
    <w:rsid w:val="00027ADC"/>
    <w:rsid w:val="00043813"/>
    <w:rsid w:val="00044AE5"/>
    <w:rsid w:val="0004718C"/>
    <w:rsid w:val="00054952"/>
    <w:rsid w:val="000614F3"/>
    <w:rsid w:val="000626A3"/>
    <w:rsid w:val="00070093"/>
    <w:rsid w:val="00071E0A"/>
    <w:rsid w:val="00073703"/>
    <w:rsid w:val="00075281"/>
    <w:rsid w:val="00076CBB"/>
    <w:rsid w:val="00077885"/>
    <w:rsid w:val="00077BF4"/>
    <w:rsid w:val="000817F0"/>
    <w:rsid w:val="00081AA4"/>
    <w:rsid w:val="000857FD"/>
    <w:rsid w:val="00092A32"/>
    <w:rsid w:val="0009490F"/>
    <w:rsid w:val="000958C1"/>
    <w:rsid w:val="000976F6"/>
    <w:rsid w:val="000A3758"/>
    <w:rsid w:val="000A53D0"/>
    <w:rsid w:val="000B0AD7"/>
    <w:rsid w:val="000B1A79"/>
    <w:rsid w:val="000B279D"/>
    <w:rsid w:val="000B4732"/>
    <w:rsid w:val="000B64B5"/>
    <w:rsid w:val="000B6CA6"/>
    <w:rsid w:val="000B7191"/>
    <w:rsid w:val="000C07B2"/>
    <w:rsid w:val="000C14BB"/>
    <w:rsid w:val="000C3F24"/>
    <w:rsid w:val="000C6562"/>
    <w:rsid w:val="000C6890"/>
    <w:rsid w:val="000C75C2"/>
    <w:rsid w:val="000D2FEA"/>
    <w:rsid w:val="000D5888"/>
    <w:rsid w:val="000D6D65"/>
    <w:rsid w:val="000E07C7"/>
    <w:rsid w:val="000E2845"/>
    <w:rsid w:val="000E2B34"/>
    <w:rsid w:val="000E3EC9"/>
    <w:rsid w:val="000E4C14"/>
    <w:rsid w:val="000F4724"/>
    <w:rsid w:val="000F4EB3"/>
    <w:rsid w:val="000F560B"/>
    <w:rsid w:val="000F56EB"/>
    <w:rsid w:val="00101691"/>
    <w:rsid w:val="00104B2C"/>
    <w:rsid w:val="0010624A"/>
    <w:rsid w:val="00115141"/>
    <w:rsid w:val="00117D54"/>
    <w:rsid w:val="00122BA9"/>
    <w:rsid w:val="0013007A"/>
    <w:rsid w:val="00133404"/>
    <w:rsid w:val="001354ED"/>
    <w:rsid w:val="00136AA9"/>
    <w:rsid w:val="00137FA7"/>
    <w:rsid w:val="00143543"/>
    <w:rsid w:val="0015170C"/>
    <w:rsid w:val="001548CE"/>
    <w:rsid w:val="00156F78"/>
    <w:rsid w:val="00157504"/>
    <w:rsid w:val="00163E7A"/>
    <w:rsid w:val="00166B48"/>
    <w:rsid w:val="00166FC3"/>
    <w:rsid w:val="001734DB"/>
    <w:rsid w:val="00181C21"/>
    <w:rsid w:val="00185A95"/>
    <w:rsid w:val="001864BA"/>
    <w:rsid w:val="00192C94"/>
    <w:rsid w:val="001942D3"/>
    <w:rsid w:val="00194394"/>
    <w:rsid w:val="00194648"/>
    <w:rsid w:val="00195A2E"/>
    <w:rsid w:val="00195AFB"/>
    <w:rsid w:val="00197BC1"/>
    <w:rsid w:val="001A4C63"/>
    <w:rsid w:val="001A58FE"/>
    <w:rsid w:val="001B1E02"/>
    <w:rsid w:val="001B6508"/>
    <w:rsid w:val="001C14C5"/>
    <w:rsid w:val="001C2266"/>
    <w:rsid w:val="001C2985"/>
    <w:rsid w:val="001C3B07"/>
    <w:rsid w:val="001D2596"/>
    <w:rsid w:val="001D746D"/>
    <w:rsid w:val="001E1D09"/>
    <w:rsid w:val="001E3B83"/>
    <w:rsid w:val="001F201F"/>
    <w:rsid w:val="001F30C2"/>
    <w:rsid w:val="001F6435"/>
    <w:rsid w:val="001F7123"/>
    <w:rsid w:val="00205BC3"/>
    <w:rsid w:val="0020686C"/>
    <w:rsid w:val="00212E3E"/>
    <w:rsid w:val="00213441"/>
    <w:rsid w:val="002134BA"/>
    <w:rsid w:val="00213552"/>
    <w:rsid w:val="002145CE"/>
    <w:rsid w:val="00224721"/>
    <w:rsid w:val="002248B9"/>
    <w:rsid w:val="00230E49"/>
    <w:rsid w:val="00231950"/>
    <w:rsid w:val="00236DBB"/>
    <w:rsid w:val="002415A4"/>
    <w:rsid w:val="002416C4"/>
    <w:rsid w:val="0024314E"/>
    <w:rsid w:val="00246162"/>
    <w:rsid w:val="00247E60"/>
    <w:rsid w:val="00253AA1"/>
    <w:rsid w:val="00263437"/>
    <w:rsid w:val="002635EB"/>
    <w:rsid w:val="00264737"/>
    <w:rsid w:val="00266A24"/>
    <w:rsid w:val="0027413C"/>
    <w:rsid w:val="00276ACF"/>
    <w:rsid w:val="00277432"/>
    <w:rsid w:val="0028102B"/>
    <w:rsid w:val="00284BE4"/>
    <w:rsid w:val="00296B9E"/>
    <w:rsid w:val="002A3A36"/>
    <w:rsid w:val="002A4FBF"/>
    <w:rsid w:val="002A5015"/>
    <w:rsid w:val="002A6B56"/>
    <w:rsid w:val="002B3FEF"/>
    <w:rsid w:val="002C3CFC"/>
    <w:rsid w:val="002C404A"/>
    <w:rsid w:val="002C53B0"/>
    <w:rsid w:val="002D2A56"/>
    <w:rsid w:val="002D5D14"/>
    <w:rsid w:val="002E1334"/>
    <w:rsid w:val="002E20E8"/>
    <w:rsid w:val="002E229D"/>
    <w:rsid w:val="002E4795"/>
    <w:rsid w:val="002E4C10"/>
    <w:rsid w:val="002E6561"/>
    <w:rsid w:val="002F2760"/>
    <w:rsid w:val="002F3DE3"/>
    <w:rsid w:val="002F6996"/>
    <w:rsid w:val="002F69F2"/>
    <w:rsid w:val="00300E3E"/>
    <w:rsid w:val="00313141"/>
    <w:rsid w:val="00313E38"/>
    <w:rsid w:val="003177E8"/>
    <w:rsid w:val="00317AF2"/>
    <w:rsid w:val="00317EC8"/>
    <w:rsid w:val="00320EA8"/>
    <w:rsid w:val="003215B1"/>
    <w:rsid w:val="0032510F"/>
    <w:rsid w:val="00326457"/>
    <w:rsid w:val="00333049"/>
    <w:rsid w:val="003330BF"/>
    <w:rsid w:val="003340BE"/>
    <w:rsid w:val="00342BFC"/>
    <w:rsid w:val="00345E4B"/>
    <w:rsid w:val="0034707E"/>
    <w:rsid w:val="00347127"/>
    <w:rsid w:val="00355451"/>
    <w:rsid w:val="00356E2F"/>
    <w:rsid w:val="003579CC"/>
    <w:rsid w:val="00360012"/>
    <w:rsid w:val="0036089F"/>
    <w:rsid w:val="003716E2"/>
    <w:rsid w:val="003776A7"/>
    <w:rsid w:val="0038150B"/>
    <w:rsid w:val="003836AF"/>
    <w:rsid w:val="00390653"/>
    <w:rsid w:val="003927C2"/>
    <w:rsid w:val="003942BD"/>
    <w:rsid w:val="0039617A"/>
    <w:rsid w:val="003966FB"/>
    <w:rsid w:val="003971A2"/>
    <w:rsid w:val="003975CF"/>
    <w:rsid w:val="003A15E1"/>
    <w:rsid w:val="003A2D9D"/>
    <w:rsid w:val="003A5D0E"/>
    <w:rsid w:val="003A6ACE"/>
    <w:rsid w:val="003A6CE1"/>
    <w:rsid w:val="003A7462"/>
    <w:rsid w:val="003B178C"/>
    <w:rsid w:val="003C04D3"/>
    <w:rsid w:val="003C46C4"/>
    <w:rsid w:val="003C62D1"/>
    <w:rsid w:val="003C6499"/>
    <w:rsid w:val="003C7F59"/>
    <w:rsid w:val="003D4702"/>
    <w:rsid w:val="003E6776"/>
    <w:rsid w:val="003E739F"/>
    <w:rsid w:val="003E7708"/>
    <w:rsid w:val="003F4546"/>
    <w:rsid w:val="003F57A3"/>
    <w:rsid w:val="003F5876"/>
    <w:rsid w:val="003F6889"/>
    <w:rsid w:val="003F6957"/>
    <w:rsid w:val="00401049"/>
    <w:rsid w:val="004013E7"/>
    <w:rsid w:val="0040456A"/>
    <w:rsid w:val="0041089E"/>
    <w:rsid w:val="00412A64"/>
    <w:rsid w:val="004167E2"/>
    <w:rsid w:val="00417005"/>
    <w:rsid w:val="00421776"/>
    <w:rsid w:val="00422DFF"/>
    <w:rsid w:val="00423DD2"/>
    <w:rsid w:val="004249CC"/>
    <w:rsid w:val="00425AB1"/>
    <w:rsid w:val="00431600"/>
    <w:rsid w:val="0043227E"/>
    <w:rsid w:val="00433761"/>
    <w:rsid w:val="00435E35"/>
    <w:rsid w:val="004404A8"/>
    <w:rsid w:val="00440A8B"/>
    <w:rsid w:val="00440DCF"/>
    <w:rsid w:val="0044187B"/>
    <w:rsid w:val="004422A9"/>
    <w:rsid w:val="004509EF"/>
    <w:rsid w:val="00451D34"/>
    <w:rsid w:val="00456BDE"/>
    <w:rsid w:val="0045766B"/>
    <w:rsid w:val="00460835"/>
    <w:rsid w:val="004627BA"/>
    <w:rsid w:val="00462CFD"/>
    <w:rsid w:val="00466967"/>
    <w:rsid w:val="004679EE"/>
    <w:rsid w:val="004712B7"/>
    <w:rsid w:val="004807BB"/>
    <w:rsid w:val="004837D0"/>
    <w:rsid w:val="0048437B"/>
    <w:rsid w:val="004853AE"/>
    <w:rsid w:val="0048667B"/>
    <w:rsid w:val="004867A6"/>
    <w:rsid w:val="00486FDD"/>
    <w:rsid w:val="00490730"/>
    <w:rsid w:val="004907C8"/>
    <w:rsid w:val="004918E0"/>
    <w:rsid w:val="00492809"/>
    <w:rsid w:val="0049464A"/>
    <w:rsid w:val="004961A0"/>
    <w:rsid w:val="004970B4"/>
    <w:rsid w:val="004A62CC"/>
    <w:rsid w:val="004A6651"/>
    <w:rsid w:val="004B3BF6"/>
    <w:rsid w:val="004B5DB7"/>
    <w:rsid w:val="004B7CEB"/>
    <w:rsid w:val="004C0394"/>
    <w:rsid w:val="004C272E"/>
    <w:rsid w:val="004C36B2"/>
    <w:rsid w:val="004C4826"/>
    <w:rsid w:val="004D605A"/>
    <w:rsid w:val="004D6DCD"/>
    <w:rsid w:val="004E0970"/>
    <w:rsid w:val="004E19EF"/>
    <w:rsid w:val="004F2BFF"/>
    <w:rsid w:val="00501638"/>
    <w:rsid w:val="00503B43"/>
    <w:rsid w:val="0050485E"/>
    <w:rsid w:val="00521E37"/>
    <w:rsid w:val="00523FA7"/>
    <w:rsid w:val="00525BB3"/>
    <w:rsid w:val="00530BFB"/>
    <w:rsid w:val="00532283"/>
    <w:rsid w:val="0053246B"/>
    <w:rsid w:val="00532D04"/>
    <w:rsid w:val="00533A81"/>
    <w:rsid w:val="00535D7D"/>
    <w:rsid w:val="0053638B"/>
    <w:rsid w:val="00536BFA"/>
    <w:rsid w:val="005402A0"/>
    <w:rsid w:val="00544FB5"/>
    <w:rsid w:val="005452EB"/>
    <w:rsid w:val="0055051C"/>
    <w:rsid w:val="005506AF"/>
    <w:rsid w:val="0055142F"/>
    <w:rsid w:val="00552718"/>
    <w:rsid w:val="00557D5B"/>
    <w:rsid w:val="005617E3"/>
    <w:rsid w:val="00563D8C"/>
    <w:rsid w:val="0056592C"/>
    <w:rsid w:val="00565BC2"/>
    <w:rsid w:val="00567CF6"/>
    <w:rsid w:val="00567E17"/>
    <w:rsid w:val="00572766"/>
    <w:rsid w:val="00573636"/>
    <w:rsid w:val="005770F7"/>
    <w:rsid w:val="005778DC"/>
    <w:rsid w:val="00580D5D"/>
    <w:rsid w:val="0058102A"/>
    <w:rsid w:val="0058243F"/>
    <w:rsid w:val="00582FAD"/>
    <w:rsid w:val="00584C5B"/>
    <w:rsid w:val="00586153"/>
    <w:rsid w:val="00587A5C"/>
    <w:rsid w:val="00591BB9"/>
    <w:rsid w:val="005942FE"/>
    <w:rsid w:val="00594883"/>
    <w:rsid w:val="005A056E"/>
    <w:rsid w:val="005A17CC"/>
    <w:rsid w:val="005A24BB"/>
    <w:rsid w:val="005A3448"/>
    <w:rsid w:val="005A4218"/>
    <w:rsid w:val="005A6123"/>
    <w:rsid w:val="005A7383"/>
    <w:rsid w:val="005B315D"/>
    <w:rsid w:val="005B5635"/>
    <w:rsid w:val="005B5FB7"/>
    <w:rsid w:val="005B6117"/>
    <w:rsid w:val="005B6AFF"/>
    <w:rsid w:val="005B7491"/>
    <w:rsid w:val="005C2FA7"/>
    <w:rsid w:val="005C52A3"/>
    <w:rsid w:val="005C758C"/>
    <w:rsid w:val="005D56F6"/>
    <w:rsid w:val="005E03F3"/>
    <w:rsid w:val="005E1388"/>
    <w:rsid w:val="005E62C6"/>
    <w:rsid w:val="005E7F9F"/>
    <w:rsid w:val="005F184F"/>
    <w:rsid w:val="005F59B0"/>
    <w:rsid w:val="005F7AB2"/>
    <w:rsid w:val="00600D0E"/>
    <w:rsid w:val="0060245A"/>
    <w:rsid w:val="0060245F"/>
    <w:rsid w:val="0060515F"/>
    <w:rsid w:val="006113B8"/>
    <w:rsid w:val="00617096"/>
    <w:rsid w:val="00617AB3"/>
    <w:rsid w:val="00620EC8"/>
    <w:rsid w:val="0062389E"/>
    <w:rsid w:val="006257D9"/>
    <w:rsid w:val="00627E0D"/>
    <w:rsid w:val="006309CB"/>
    <w:rsid w:val="0063792D"/>
    <w:rsid w:val="00637E0C"/>
    <w:rsid w:val="00640077"/>
    <w:rsid w:val="00643B4D"/>
    <w:rsid w:val="00662472"/>
    <w:rsid w:val="00672B55"/>
    <w:rsid w:val="0067793F"/>
    <w:rsid w:val="00681B3A"/>
    <w:rsid w:val="00682A71"/>
    <w:rsid w:val="006845E2"/>
    <w:rsid w:val="00684A06"/>
    <w:rsid w:val="00692895"/>
    <w:rsid w:val="00696BDF"/>
    <w:rsid w:val="0069716D"/>
    <w:rsid w:val="006A0A12"/>
    <w:rsid w:val="006A0E16"/>
    <w:rsid w:val="006A1C9B"/>
    <w:rsid w:val="006A65D8"/>
    <w:rsid w:val="006B0151"/>
    <w:rsid w:val="006B504B"/>
    <w:rsid w:val="006B750E"/>
    <w:rsid w:val="006B78BA"/>
    <w:rsid w:val="006D116F"/>
    <w:rsid w:val="006D516B"/>
    <w:rsid w:val="006D595B"/>
    <w:rsid w:val="006E32B3"/>
    <w:rsid w:val="006E57D3"/>
    <w:rsid w:val="006F012B"/>
    <w:rsid w:val="006F1289"/>
    <w:rsid w:val="00700DAF"/>
    <w:rsid w:val="00702916"/>
    <w:rsid w:val="00703062"/>
    <w:rsid w:val="007064BD"/>
    <w:rsid w:val="00713A7F"/>
    <w:rsid w:val="007166FD"/>
    <w:rsid w:val="00721075"/>
    <w:rsid w:val="007212C8"/>
    <w:rsid w:val="00722EE6"/>
    <w:rsid w:val="00727AE8"/>
    <w:rsid w:val="00730F66"/>
    <w:rsid w:val="00734858"/>
    <w:rsid w:val="00737725"/>
    <w:rsid w:val="007451F5"/>
    <w:rsid w:val="00753527"/>
    <w:rsid w:val="00754792"/>
    <w:rsid w:val="00754F2B"/>
    <w:rsid w:val="00755B9C"/>
    <w:rsid w:val="00760718"/>
    <w:rsid w:val="007623E1"/>
    <w:rsid w:val="00764AB1"/>
    <w:rsid w:val="007651F3"/>
    <w:rsid w:val="00771090"/>
    <w:rsid w:val="00771CAA"/>
    <w:rsid w:val="00772F8E"/>
    <w:rsid w:val="0077452C"/>
    <w:rsid w:val="00774993"/>
    <w:rsid w:val="00780CE4"/>
    <w:rsid w:val="00784790"/>
    <w:rsid w:val="00784D92"/>
    <w:rsid w:val="00784FB2"/>
    <w:rsid w:val="007876C8"/>
    <w:rsid w:val="00790086"/>
    <w:rsid w:val="00790853"/>
    <w:rsid w:val="00792546"/>
    <w:rsid w:val="007A3550"/>
    <w:rsid w:val="007A3B86"/>
    <w:rsid w:val="007A3C93"/>
    <w:rsid w:val="007A5B2E"/>
    <w:rsid w:val="007A75A8"/>
    <w:rsid w:val="007B07D5"/>
    <w:rsid w:val="007B50B3"/>
    <w:rsid w:val="007B6576"/>
    <w:rsid w:val="007B76BB"/>
    <w:rsid w:val="007C0848"/>
    <w:rsid w:val="007C09D2"/>
    <w:rsid w:val="007C1BEF"/>
    <w:rsid w:val="007C3955"/>
    <w:rsid w:val="007C5DD6"/>
    <w:rsid w:val="007C5EFF"/>
    <w:rsid w:val="007C75A4"/>
    <w:rsid w:val="007D0AF0"/>
    <w:rsid w:val="007D3430"/>
    <w:rsid w:val="007D6157"/>
    <w:rsid w:val="007D63EC"/>
    <w:rsid w:val="007E2498"/>
    <w:rsid w:val="007E4A0C"/>
    <w:rsid w:val="007E72AA"/>
    <w:rsid w:val="007E7F18"/>
    <w:rsid w:val="007F2710"/>
    <w:rsid w:val="007F2AF8"/>
    <w:rsid w:val="007F5D87"/>
    <w:rsid w:val="007F6D43"/>
    <w:rsid w:val="00800059"/>
    <w:rsid w:val="008047A3"/>
    <w:rsid w:val="00804BF1"/>
    <w:rsid w:val="0080534E"/>
    <w:rsid w:val="00806908"/>
    <w:rsid w:val="00815DA5"/>
    <w:rsid w:val="008175DF"/>
    <w:rsid w:val="00817A9C"/>
    <w:rsid w:val="00821780"/>
    <w:rsid w:val="00822AF1"/>
    <w:rsid w:val="00824712"/>
    <w:rsid w:val="00826690"/>
    <w:rsid w:val="00827FB8"/>
    <w:rsid w:val="00830CB3"/>
    <w:rsid w:val="008358AD"/>
    <w:rsid w:val="00841E1D"/>
    <w:rsid w:val="008442EC"/>
    <w:rsid w:val="0084505D"/>
    <w:rsid w:val="0085005D"/>
    <w:rsid w:val="00851AD0"/>
    <w:rsid w:val="008606DD"/>
    <w:rsid w:val="00860880"/>
    <w:rsid w:val="00865A19"/>
    <w:rsid w:val="00865DB4"/>
    <w:rsid w:val="00866EA8"/>
    <w:rsid w:val="00867A2F"/>
    <w:rsid w:val="0087110C"/>
    <w:rsid w:val="00872908"/>
    <w:rsid w:val="00884549"/>
    <w:rsid w:val="00884D16"/>
    <w:rsid w:val="00885A89"/>
    <w:rsid w:val="008870E4"/>
    <w:rsid w:val="0089080E"/>
    <w:rsid w:val="0089105A"/>
    <w:rsid w:val="00892DA2"/>
    <w:rsid w:val="00894A24"/>
    <w:rsid w:val="008A102D"/>
    <w:rsid w:val="008A50B7"/>
    <w:rsid w:val="008B0D08"/>
    <w:rsid w:val="008B2354"/>
    <w:rsid w:val="008B2D82"/>
    <w:rsid w:val="008B3CF3"/>
    <w:rsid w:val="008B4698"/>
    <w:rsid w:val="008B5BDA"/>
    <w:rsid w:val="008C451D"/>
    <w:rsid w:val="008C5C35"/>
    <w:rsid w:val="008D1D76"/>
    <w:rsid w:val="008D445E"/>
    <w:rsid w:val="008D6D1C"/>
    <w:rsid w:val="008E106B"/>
    <w:rsid w:val="008E14CD"/>
    <w:rsid w:val="008E15ED"/>
    <w:rsid w:val="008E6A3C"/>
    <w:rsid w:val="008F28C7"/>
    <w:rsid w:val="008F793D"/>
    <w:rsid w:val="00900829"/>
    <w:rsid w:val="00901A87"/>
    <w:rsid w:val="009079DB"/>
    <w:rsid w:val="0091260E"/>
    <w:rsid w:val="009135B0"/>
    <w:rsid w:val="00917D5E"/>
    <w:rsid w:val="00920A07"/>
    <w:rsid w:val="009264FC"/>
    <w:rsid w:val="00933472"/>
    <w:rsid w:val="00936BCD"/>
    <w:rsid w:val="009409F5"/>
    <w:rsid w:val="009433CF"/>
    <w:rsid w:val="00943EF6"/>
    <w:rsid w:val="00951096"/>
    <w:rsid w:val="0095216A"/>
    <w:rsid w:val="00952B1E"/>
    <w:rsid w:val="009563AF"/>
    <w:rsid w:val="0095764A"/>
    <w:rsid w:val="00957ECB"/>
    <w:rsid w:val="009627A9"/>
    <w:rsid w:val="009633ED"/>
    <w:rsid w:val="009652DB"/>
    <w:rsid w:val="009706EA"/>
    <w:rsid w:val="00971080"/>
    <w:rsid w:val="00972C96"/>
    <w:rsid w:val="00973CCA"/>
    <w:rsid w:val="009805D4"/>
    <w:rsid w:val="00981A0E"/>
    <w:rsid w:val="0098479B"/>
    <w:rsid w:val="00985D65"/>
    <w:rsid w:val="00987AF0"/>
    <w:rsid w:val="009938C4"/>
    <w:rsid w:val="00994305"/>
    <w:rsid w:val="009A0453"/>
    <w:rsid w:val="009A1AF7"/>
    <w:rsid w:val="009A3198"/>
    <w:rsid w:val="009B109F"/>
    <w:rsid w:val="009B319C"/>
    <w:rsid w:val="009B5477"/>
    <w:rsid w:val="009B7368"/>
    <w:rsid w:val="009C11DE"/>
    <w:rsid w:val="009C1DC1"/>
    <w:rsid w:val="009C64F2"/>
    <w:rsid w:val="009D1286"/>
    <w:rsid w:val="009D28FE"/>
    <w:rsid w:val="009D3F2F"/>
    <w:rsid w:val="009D72F3"/>
    <w:rsid w:val="009E0544"/>
    <w:rsid w:val="009E12F9"/>
    <w:rsid w:val="009E2B33"/>
    <w:rsid w:val="009E71CB"/>
    <w:rsid w:val="009F154F"/>
    <w:rsid w:val="009F2C3A"/>
    <w:rsid w:val="009F30B2"/>
    <w:rsid w:val="009F52C5"/>
    <w:rsid w:val="009F786B"/>
    <w:rsid w:val="009F7884"/>
    <w:rsid w:val="009F7B93"/>
    <w:rsid w:val="00A11208"/>
    <w:rsid w:val="00A12836"/>
    <w:rsid w:val="00A138B0"/>
    <w:rsid w:val="00A26FD1"/>
    <w:rsid w:val="00A308FA"/>
    <w:rsid w:val="00A3591B"/>
    <w:rsid w:val="00A409FA"/>
    <w:rsid w:val="00A4528E"/>
    <w:rsid w:val="00A5458A"/>
    <w:rsid w:val="00A60485"/>
    <w:rsid w:val="00A6166B"/>
    <w:rsid w:val="00A61BBF"/>
    <w:rsid w:val="00A666F5"/>
    <w:rsid w:val="00A7103D"/>
    <w:rsid w:val="00A7433D"/>
    <w:rsid w:val="00A75007"/>
    <w:rsid w:val="00A7534C"/>
    <w:rsid w:val="00A76C39"/>
    <w:rsid w:val="00A76FBC"/>
    <w:rsid w:val="00A8372F"/>
    <w:rsid w:val="00A85014"/>
    <w:rsid w:val="00A85CC0"/>
    <w:rsid w:val="00A879D0"/>
    <w:rsid w:val="00A90817"/>
    <w:rsid w:val="00AA0249"/>
    <w:rsid w:val="00AA09A5"/>
    <w:rsid w:val="00AA3DCB"/>
    <w:rsid w:val="00AA59A7"/>
    <w:rsid w:val="00AB07AB"/>
    <w:rsid w:val="00AB2C06"/>
    <w:rsid w:val="00AB2FA8"/>
    <w:rsid w:val="00AB37BB"/>
    <w:rsid w:val="00AB3942"/>
    <w:rsid w:val="00AC098C"/>
    <w:rsid w:val="00AC3331"/>
    <w:rsid w:val="00AC62E5"/>
    <w:rsid w:val="00AC70DA"/>
    <w:rsid w:val="00AD28EF"/>
    <w:rsid w:val="00AD4605"/>
    <w:rsid w:val="00AD57CB"/>
    <w:rsid w:val="00AD5835"/>
    <w:rsid w:val="00AE0ED5"/>
    <w:rsid w:val="00AE0F61"/>
    <w:rsid w:val="00AE5A73"/>
    <w:rsid w:val="00AF114C"/>
    <w:rsid w:val="00AF53E3"/>
    <w:rsid w:val="00B01B9A"/>
    <w:rsid w:val="00B04EA3"/>
    <w:rsid w:val="00B06B43"/>
    <w:rsid w:val="00B109BF"/>
    <w:rsid w:val="00B10AA7"/>
    <w:rsid w:val="00B12FCF"/>
    <w:rsid w:val="00B154C2"/>
    <w:rsid w:val="00B16BCE"/>
    <w:rsid w:val="00B175ED"/>
    <w:rsid w:val="00B20CE8"/>
    <w:rsid w:val="00B22053"/>
    <w:rsid w:val="00B22912"/>
    <w:rsid w:val="00B25DD9"/>
    <w:rsid w:val="00B26C1A"/>
    <w:rsid w:val="00B2730D"/>
    <w:rsid w:val="00B2744D"/>
    <w:rsid w:val="00B37253"/>
    <w:rsid w:val="00B40AA1"/>
    <w:rsid w:val="00B40EE9"/>
    <w:rsid w:val="00B42D0B"/>
    <w:rsid w:val="00B431E1"/>
    <w:rsid w:val="00B4690D"/>
    <w:rsid w:val="00B47D87"/>
    <w:rsid w:val="00B50322"/>
    <w:rsid w:val="00B523E7"/>
    <w:rsid w:val="00B576A5"/>
    <w:rsid w:val="00B62B8B"/>
    <w:rsid w:val="00B63D5C"/>
    <w:rsid w:val="00B66067"/>
    <w:rsid w:val="00B74E6A"/>
    <w:rsid w:val="00B76E94"/>
    <w:rsid w:val="00B82195"/>
    <w:rsid w:val="00B83781"/>
    <w:rsid w:val="00B83F64"/>
    <w:rsid w:val="00B842C8"/>
    <w:rsid w:val="00B861FA"/>
    <w:rsid w:val="00B87444"/>
    <w:rsid w:val="00BA586A"/>
    <w:rsid w:val="00BA7765"/>
    <w:rsid w:val="00BB02AB"/>
    <w:rsid w:val="00BB06BC"/>
    <w:rsid w:val="00BB36D6"/>
    <w:rsid w:val="00BB5C89"/>
    <w:rsid w:val="00BB6452"/>
    <w:rsid w:val="00BB76AF"/>
    <w:rsid w:val="00BB7B00"/>
    <w:rsid w:val="00BC4DDD"/>
    <w:rsid w:val="00BF6354"/>
    <w:rsid w:val="00C01D9A"/>
    <w:rsid w:val="00C02418"/>
    <w:rsid w:val="00C03D8B"/>
    <w:rsid w:val="00C079D0"/>
    <w:rsid w:val="00C1563F"/>
    <w:rsid w:val="00C15E57"/>
    <w:rsid w:val="00C16FC7"/>
    <w:rsid w:val="00C2329B"/>
    <w:rsid w:val="00C23737"/>
    <w:rsid w:val="00C24A49"/>
    <w:rsid w:val="00C25767"/>
    <w:rsid w:val="00C276F9"/>
    <w:rsid w:val="00C31B12"/>
    <w:rsid w:val="00C37D91"/>
    <w:rsid w:val="00C37FF7"/>
    <w:rsid w:val="00C40852"/>
    <w:rsid w:val="00C40CE1"/>
    <w:rsid w:val="00C44513"/>
    <w:rsid w:val="00C465CA"/>
    <w:rsid w:val="00C51290"/>
    <w:rsid w:val="00C54D8C"/>
    <w:rsid w:val="00C56FB4"/>
    <w:rsid w:val="00C5738B"/>
    <w:rsid w:val="00C641D8"/>
    <w:rsid w:val="00C664AF"/>
    <w:rsid w:val="00C7324C"/>
    <w:rsid w:val="00C7493E"/>
    <w:rsid w:val="00C75742"/>
    <w:rsid w:val="00C7590C"/>
    <w:rsid w:val="00C76552"/>
    <w:rsid w:val="00C827E0"/>
    <w:rsid w:val="00C83107"/>
    <w:rsid w:val="00C86D8A"/>
    <w:rsid w:val="00C949A3"/>
    <w:rsid w:val="00CA37E7"/>
    <w:rsid w:val="00CA4555"/>
    <w:rsid w:val="00CA7C1D"/>
    <w:rsid w:val="00CB3F88"/>
    <w:rsid w:val="00CB5BAD"/>
    <w:rsid w:val="00CB6E6B"/>
    <w:rsid w:val="00CB6FF6"/>
    <w:rsid w:val="00CB7197"/>
    <w:rsid w:val="00CB7B7A"/>
    <w:rsid w:val="00CC36B2"/>
    <w:rsid w:val="00CC4868"/>
    <w:rsid w:val="00CC65A1"/>
    <w:rsid w:val="00CD3571"/>
    <w:rsid w:val="00CD3F7E"/>
    <w:rsid w:val="00CD6452"/>
    <w:rsid w:val="00CD7510"/>
    <w:rsid w:val="00CE170D"/>
    <w:rsid w:val="00CE1D67"/>
    <w:rsid w:val="00CE25CB"/>
    <w:rsid w:val="00CE3055"/>
    <w:rsid w:val="00CE324A"/>
    <w:rsid w:val="00CE46E2"/>
    <w:rsid w:val="00CE54C7"/>
    <w:rsid w:val="00CF4CA9"/>
    <w:rsid w:val="00CF4CED"/>
    <w:rsid w:val="00D00624"/>
    <w:rsid w:val="00D0189B"/>
    <w:rsid w:val="00D0366B"/>
    <w:rsid w:val="00D03A9F"/>
    <w:rsid w:val="00D05812"/>
    <w:rsid w:val="00D05DC4"/>
    <w:rsid w:val="00D06254"/>
    <w:rsid w:val="00D066D3"/>
    <w:rsid w:val="00D1187E"/>
    <w:rsid w:val="00D12562"/>
    <w:rsid w:val="00D227D9"/>
    <w:rsid w:val="00D246E9"/>
    <w:rsid w:val="00D32BC3"/>
    <w:rsid w:val="00D359FA"/>
    <w:rsid w:val="00D362B5"/>
    <w:rsid w:val="00D436C6"/>
    <w:rsid w:val="00D436D7"/>
    <w:rsid w:val="00D4400D"/>
    <w:rsid w:val="00D61C5C"/>
    <w:rsid w:val="00D63B5A"/>
    <w:rsid w:val="00D65E3D"/>
    <w:rsid w:val="00D67418"/>
    <w:rsid w:val="00D71A67"/>
    <w:rsid w:val="00D7208E"/>
    <w:rsid w:val="00D73A58"/>
    <w:rsid w:val="00D77FF2"/>
    <w:rsid w:val="00D875F3"/>
    <w:rsid w:val="00D8791A"/>
    <w:rsid w:val="00D91B95"/>
    <w:rsid w:val="00DA5E8B"/>
    <w:rsid w:val="00DA764C"/>
    <w:rsid w:val="00DA789B"/>
    <w:rsid w:val="00DB26B8"/>
    <w:rsid w:val="00DB3580"/>
    <w:rsid w:val="00DC0EEE"/>
    <w:rsid w:val="00DC35FA"/>
    <w:rsid w:val="00DC5356"/>
    <w:rsid w:val="00DC621A"/>
    <w:rsid w:val="00DC735D"/>
    <w:rsid w:val="00DD1D6C"/>
    <w:rsid w:val="00DD4843"/>
    <w:rsid w:val="00DD61F9"/>
    <w:rsid w:val="00DD7803"/>
    <w:rsid w:val="00DE0186"/>
    <w:rsid w:val="00DE0766"/>
    <w:rsid w:val="00DE79E2"/>
    <w:rsid w:val="00DF4ED2"/>
    <w:rsid w:val="00E00EE7"/>
    <w:rsid w:val="00E017B0"/>
    <w:rsid w:val="00E10B6D"/>
    <w:rsid w:val="00E11FDD"/>
    <w:rsid w:val="00E24031"/>
    <w:rsid w:val="00E245FA"/>
    <w:rsid w:val="00E31B99"/>
    <w:rsid w:val="00E32BD7"/>
    <w:rsid w:val="00E34A61"/>
    <w:rsid w:val="00E35A90"/>
    <w:rsid w:val="00E41BEB"/>
    <w:rsid w:val="00E45A9C"/>
    <w:rsid w:val="00E47796"/>
    <w:rsid w:val="00E5058F"/>
    <w:rsid w:val="00E53955"/>
    <w:rsid w:val="00E54A0E"/>
    <w:rsid w:val="00E54C88"/>
    <w:rsid w:val="00E62652"/>
    <w:rsid w:val="00E6334A"/>
    <w:rsid w:val="00E63D89"/>
    <w:rsid w:val="00E6516E"/>
    <w:rsid w:val="00E66FB1"/>
    <w:rsid w:val="00E67E09"/>
    <w:rsid w:val="00E731E7"/>
    <w:rsid w:val="00E7414A"/>
    <w:rsid w:val="00E74A38"/>
    <w:rsid w:val="00E74C8A"/>
    <w:rsid w:val="00E74F83"/>
    <w:rsid w:val="00E774A1"/>
    <w:rsid w:val="00E8089D"/>
    <w:rsid w:val="00E8422D"/>
    <w:rsid w:val="00EA165C"/>
    <w:rsid w:val="00EA1A58"/>
    <w:rsid w:val="00EA4721"/>
    <w:rsid w:val="00EA47A6"/>
    <w:rsid w:val="00EA5679"/>
    <w:rsid w:val="00EA75B7"/>
    <w:rsid w:val="00EA7ECD"/>
    <w:rsid w:val="00EB04C6"/>
    <w:rsid w:val="00EB21FE"/>
    <w:rsid w:val="00EB3B0C"/>
    <w:rsid w:val="00EB5111"/>
    <w:rsid w:val="00EC0307"/>
    <w:rsid w:val="00EC0455"/>
    <w:rsid w:val="00EC1FC5"/>
    <w:rsid w:val="00EC2EAE"/>
    <w:rsid w:val="00EC475E"/>
    <w:rsid w:val="00EC501D"/>
    <w:rsid w:val="00ED077E"/>
    <w:rsid w:val="00ED08C9"/>
    <w:rsid w:val="00ED23CB"/>
    <w:rsid w:val="00EE14F4"/>
    <w:rsid w:val="00EF0A8F"/>
    <w:rsid w:val="00EF1852"/>
    <w:rsid w:val="00EF6697"/>
    <w:rsid w:val="00EF7632"/>
    <w:rsid w:val="00F01397"/>
    <w:rsid w:val="00F04891"/>
    <w:rsid w:val="00F0502B"/>
    <w:rsid w:val="00F0688B"/>
    <w:rsid w:val="00F07DD9"/>
    <w:rsid w:val="00F10412"/>
    <w:rsid w:val="00F14351"/>
    <w:rsid w:val="00F14533"/>
    <w:rsid w:val="00F154FD"/>
    <w:rsid w:val="00F20E82"/>
    <w:rsid w:val="00F2115C"/>
    <w:rsid w:val="00F21D92"/>
    <w:rsid w:val="00F2366C"/>
    <w:rsid w:val="00F2467C"/>
    <w:rsid w:val="00F24AF4"/>
    <w:rsid w:val="00F273E7"/>
    <w:rsid w:val="00F3277E"/>
    <w:rsid w:val="00F37605"/>
    <w:rsid w:val="00F40B7E"/>
    <w:rsid w:val="00F4219C"/>
    <w:rsid w:val="00F43A5D"/>
    <w:rsid w:val="00F47372"/>
    <w:rsid w:val="00F535AB"/>
    <w:rsid w:val="00F6036E"/>
    <w:rsid w:val="00F64F8C"/>
    <w:rsid w:val="00F71DCF"/>
    <w:rsid w:val="00F7313B"/>
    <w:rsid w:val="00F75719"/>
    <w:rsid w:val="00F75B1A"/>
    <w:rsid w:val="00F76A5E"/>
    <w:rsid w:val="00F81536"/>
    <w:rsid w:val="00F829A2"/>
    <w:rsid w:val="00F87AC0"/>
    <w:rsid w:val="00F91C60"/>
    <w:rsid w:val="00F951C3"/>
    <w:rsid w:val="00F95E16"/>
    <w:rsid w:val="00FA1606"/>
    <w:rsid w:val="00FA447E"/>
    <w:rsid w:val="00FB05FA"/>
    <w:rsid w:val="00FB2FF2"/>
    <w:rsid w:val="00FB6FAF"/>
    <w:rsid w:val="00FC2D36"/>
    <w:rsid w:val="00FD2DE8"/>
    <w:rsid w:val="00FD4446"/>
    <w:rsid w:val="00FD45AE"/>
    <w:rsid w:val="00FD46CB"/>
    <w:rsid w:val="00FE0C03"/>
    <w:rsid w:val="00FE4EB9"/>
    <w:rsid w:val="00FE57CD"/>
    <w:rsid w:val="00FF03FE"/>
    <w:rsid w:val="00FF5148"/>
    <w:rsid w:val="00FF5544"/>
    <w:rsid w:val="00FF7B9F"/>
    <w:rsid w:val="00FF7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CE87C"/>
  <w15:docId w15:val="{48597F68-D907-439F-9F36-573DBDBC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F6"/>
    <w:pPr>
      <w:spacing w:after="240"/>
    </w:pPr>
    <w:rPr>
      <w:rFonts w:ascii="Gill Sans" w:hAnsi="Gill Sans"/>
      <w:sz w:val="26"/>
      <w:szCs w:val="24"/>
      <w:lang w:eastAsia="en-US"/>
    </w:rPr>
  </w:style>
  <w:style w:type="paragraph" w:styleId="Heading1">
    <w:name w:val="heading 1"/>
    <w:aliases w:val=" Char3"/>
    <w:basedOn w:val="Normal"/>
    <w:next w:val="Normal"/>
    <w:link w:val="Heading1Char"/>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uiPriority w:val="99"/>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qFormat/>
    <w:rsid w:val="00FE57CD"/>
    <w:pPr>
      <w:spacing w:line="310" w:lineRule="atLeast"/>
      <w:outlineLvl w:val="3"/>
    </w:pPr>
    <w:rPr>
      <w:b w:val="0"/>
      <w:bCs w:val="0"/>
      <w:color w:val="000000"/>
    </w:rPr>
  </w:style>
  <w:style w:type="paragraph" w:styleId="Heading5">
    <w:name w:val="heading 5"/>
    <w:basedOn w:val="Normal"/>
    <w:next w:val="Normal"/>
    <w:link w:val="Heading5Char"/>
    <w:qFormat/>
    <w:rsid w:val="00867A2F"/>
    <w:pPr>
      <w:keepNext/>
      <w:keepLines/>
      <w:spacing w:after="0"/>
      <w:ind w:left="567"/>
      <w:outlineLvl w:val="4"/>
    </w:pPr>
    <w:rPr>
      <w:b/>
      <w:bCs/>
      <w:iCs/>
      <w:szCs w:val="26"/>
    </w:rPr>
  </w:style>
  <w:style w:type="paragraph" w:styleId="Heading6">
    <w:name w:val="heading 6"/>
    <w:basedOn w:val="Normal"/>
    <w:next w:val="Normal"/>
    <w:link w:val="Heading6Char"/>
    <w:qFormat/>
    <w:rsid w:val="00247E60"/>
    <w:pPr>
      <w:spacing w:after="0"/>
      <w:outlineLvl w:val="5"/>
    </w:pPr>
    <w:rPr>
      <w:b/>
      <w:bCs/>
      <w:sz w:val="22"/>
      <w:szCs w:val="22"/>
    </w:rPr>
  </w:style>
  <w:style w:type="paragraph" w:styleId="Heading7">
    <w:name w:val="heading 7"/>
    <w:basedOn w:val="Normal"/>
    <w:next w:val="Normal"/>
    <w:link w:val="Heading7Char"/>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qFormat/>
    <w:rsid w:val="00247E60"/>
    <w:pPr>
      <w:keepNext/>
      <w:spacing w:after="0"/>
      <w:outlineLvl w:val="7"/>
    </w:pPr>
    <w:rPr>
      <w:b/>
      <w:sz w:val="22"/>
    </w:rPr>
  </w:style>
  <w:style w:type="paragraph" w:styleId="Heading9">
    <w:name w:val="heading 9"/>
    <w:basedOn w:val="Normal"/>
    <w:next w:val="Normal"/>
    <w:link w:val="Heading9Char"/>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basedOn w:val="DefaultParagraphFont"/>
    <w:link w:val="Heading1"/>
    <w:locked/>
    <w:rsid w:val="00B87444"/>
    <w:rPr>
      <w:rFonts w:ascii="Rockwell" w:hAnsi="Rockwell" w:cs="Times New Roman"/>
      <w:b/>
      <w:color w:val="BF2296"/>
      <w:kern w:val="32"/>
      <w:sz w:val="32"/>
      <w:lang w:val="en-IE" w:eastAsia="en-US"/>
    </w:rPr>
  </w:style>
  <w:style w:type="character" w:customStyle="1" w:styleId="Heading2Char">
    <w:name w:val="Heading 2 Char"/>
    <w:basedOn w:val="DefaultParagraphFont"/>
    <w:link w:val="Heading2"/>
    <w:uiPriority w:val="99"/>
    <w:locked/>
    <w:rsid w:val="00E00EE7"/>
    <w:rPr>
      <w:rFonts w:ascii="Rockwell" w:hAnsi="Rockwell" w:cs="Arial Bold"/>
      <w:b/>
      <w:bCs/>
      <w:iCs/>
      <w:color w:val="BF2296"/>
      <w:sz w:val="28"/>
      <w:szCs w:val="28"/>
      <w:lang w:val="en-IE" w:eastAsia="en-US" w:bidi="ar-SA"/>
    </w:rPr>
  </w:style>
  <w:style w:type="character" w:customStyle="1" w:styleId="Heading3Char">
    <w:name w:val="Heading 3 Char"/>
    <w:basedOn w:val="DefaultParagraphFont"/>
    <w:link w:val="Heading3"/>
    <w:uiPriority w:val="99"/>
    <w:locked/>
    <w:rsid w:val="009B7368"/>
    <w:rPr>
      <w:rFonts w:ascii="Rockwell" w:hAnsi="Rockwell" w:cs="Arial Bold"/>
      <w:b/>
      <w:bCs/>
      <w:color w:val="BF2296"/>
      <w:sz w:val="24"/>
      <w:szCs w:val="24"/>
      <w:lang w:eastAsia="en-US"/>
    </w:rPr>
  </w:style>
  <w:style w:type="character" w:customStyle="1" w:styleId="Heading4Char">
    <w:name w:val="Heading 4 Char"/>
    <w:basedOn w:val="DefaultParagraphFont"/>
    <w:link w:val="Heading4"/>
    <w:uiPriority w:val="99"/>
    <w:locked/>
    <w:rsid w:val="009B7368"/>
    <w:rPr>
      <w:rFonts w:ascii="Rockwell" w:hAnsi="Rockwell" w:cs="Arial Bold"/>
      <w:color w:val="000000"/>
      <w:sz w:val="24"/>
      <w:szCs w:val="24"/>
      <w:lang w:eastAsia="en-US"/>
    </w:rPr>
  </w:style>
  <w:style w:type="character" w:customStyle="1" w:styleId="Heading5Char">
    <w:name w:val="Heading 5 Char"/>
    <w:basedOn w:val="DefaultParagraphFont"/>
    <w:link w:val="Heading5"/>
    <w:uiPriority w:val="99"/>
    <w:locked/>
    <w:rsid w:val="009B7368"/>
    <w:rPr>
      <w:rFonts w:ascii="Gill Sans" w:hAnsi="Gill Sans" w:cs="Times New Roman"/>
      <w:b/>
      <w:bCs/>
      <w:iCs/>
      <w:sz w:val="26"/>
      <w:szCs w:val="26"/>
      <w:lang w:eastAsia="en-US"/>
    </w:rPr>
  </w:style>
  <w:style w:type="character" w:customStyle="1" w:styleId="Heading6Char">
    <w:name w:val="Heading 6 Char"/>
    <w:basedOn w:val="DefaultParagraphFont"/>
    <w:link w:val="Heading6"/>
    <w:uiPriority w:val="99"/>
    <w:locked/>
    <w:rsid w:val="009B7368"/>
    <w:rPr>
      <w:rFonts w:ascii="Gill Sans" w:hAnsi="Gill Sans" w:cs="Times New Roman"/>
      <w:b/>
      <w:bCs/>
      <w:sz w:val="22"/>
      <w:szCs w:val="22"/>
      <w:lang w:eastAsia="en-US"/>
    </w:rPr>
  </w:style>
  <w:style w:type="character" w:customStyle="1" w:styleId="Heading7Char">
    <w:name w:val="Heading 7 Char"/>
    <w:basedOn w:val="DefaultParagraphFont"/>
    <w:link w:val="Heading7"/>
    <w:uiPriority w:val="99"/>
    <w:locked/>
    <w:rsid w:val="009B7368"/>
    <w:rPr>
      <w:rFonts w:ascii="Gill Sans" w:hAnsi="Gill Sans" w:cs="Arial"/>
      <w:b/>
      <w:sz w:val="40"/>
      <w:szCs w:val="40"/>
      <w:lang w:eastAsia="en-US"/>
    </w:rPr>
  </w:style>
  <w:style w:type="character" w:customStyle="1" w:styleId="Heading8Char">
    <w:name w:val="Heading 8 Char"/>
    <w:basedOn w:val="DefaultParagraphFont"/>
    <w:link w:val="Heading8"/>
    <w:uiPriority w:val="99"/>
    <w:locked/>
    <w:rsid w:val="009B7368"/>
    <w:rPr>
      <w:rFonts w:ascii="Gill Sans" w:hAnsi="Gill Sans" w:cs="Times New Roman"/>
      <w:b/>
      <w:sz w:val="24"/>
      <w:szCs w:val="24"/>
      <w:lang w:eastAsia="en-US"/>
    </w:rPr>
  </w:style>
  <w:style w:type="character" w:customStyle="1" w:styleId="Heading9Char">
    <w:name w:val="Heading 9 Char"/>
    <w:basedOn w:val="DefaultParagraphFont"/>
    <w:link w:val="Heading9"/>
    <w:uiPriority w:val="99"/>
    <w:locked/>
    <w:rsid w:val="009B7368"/>
    <w:rPr>
      <w:rFonts w:ascii="Gill Sans" w:hAnsi="Gill Sans" w:cs="Arial"/>
      <w:sz w:val="32"/>
      <w:szCs w:val="32"/>
      <w:lang w:eastAsia="en-US"/>
    </w:rPr>
  </w:style>
  <w:style w:type="character" w:styleId="Hyperlink">
    <w:name w:val="Hyperlink"/>
    <w:basedOn w:val="DefaultParagraphFont"/>
    <w:uiPriority w:val="99"/>
    <w:rsid w:val="00900829"/>
    <w:rPr>
      <w:rFonts w:cs="Times New Roman"/>
      <w:color w:val="0000FF"/>
      <w:u w:val="single"/>
    </w:rPr>
  </w:style>
  <w:style w:type="character" w:styleId="FollowedHyperlink">
    <w:name w:val="FollowedHyperlink"/>
    <w:basedOn w:val="DefaultParagraphFont"/>
    <w:rsid w:val="00900829"/>
    <w:rPr>
      <w:rFonts w:cs="Times New Roman"/>
      <w:color w:val="800080"/>
      <w:u w:val="single"/>
    </w:rPr>
  </w:style>
  <w:style w:type="paragraph" w:styleId="TOC1">
    <w:name w:val="toc 1"/>
    <w:basedOn w:val="Normal"/>
    <w:next w:val="Normal"/>
    <w:autoRedefine/>
    <w:uiPriority w:val="39"/>
    <w:rsid w:val="00900829"/>
    <w:pPr>
      <w:keepNext/>
      <w:keepLines/>
      <w:tabs>
        <w:tab w:val="right" w:leader="dot" w:pos="8630"/>
      </w:tabs>
      <w:spacing w:before="240" w:after="60"/>
    </w:pPr>
    <w:rPr>
      <w:b/>
    </w:rPr>
  </w:style>
  <w:style w:type="paragraph" w:styleId="TOC2">
    <w:name w:val="toc 2"/>
    <w:basedOn w:val="Normal"/>
    <w:next w:val="Normal"/>
    <w:autoRedefine/>
    <w:rsid w:val="00900829"/>
    <w:pPr>
      <w:keepLines/>
      <w:spacing w:after="60"/>
      <w:ind w:left="261"/>
    </w:pPr>
  </w:style>
  <w:style w:type="paragraph" w:styleId="TOC3">
    <w:name w:val="toc 3"/>
    <w:basedOn w:val="Normal"/>
    <w:next w:val="Normal"/>
    <w:autoRedefine/>
    <w:rsid w:val="00900829"/>
    <w:pPr>
      <w:ind w:left="480"/>
    </w:pPr>
  </w:style>
  <w:style w:type="paragraph" w:styleId="TOC4">
    <w:name w:val="toc 4"/>
    <w:basedOn w:val="Normal"/>
    <w:next w:val="Normal"/>
    <w:autoRedefine/>
    <w:rsid w:val="00900829"/>
    <w:pPr>
      <w:ind w:left="720"/>
    </w:pPr>
  </w:style>
  <w:style w:type="paragraph" w:styleId="TOC5">
    <w:name w:val="toc 5"/>
    <w:basedOn w:val="Normal"/>
    <w:next w:val="Normal"/>
    <w:autoRedefine/>
    <w:rsid w:val="00900829"/>
    <w:pPr>
      <w:spacing w:after="0"/>
      <w:ind w:left="960"/>
    </w:pPr>
    <w:rPr>
      <w:rFonts w:ascii="Times New Roman" w:hAnsi="Times New Roman"/>
      <w:lang w:eastAsia="en-IE"/>
    </w:rPr>
  </w:style>
  <w:style w:type="paragraph" w:styleId="TOC6">
    <w:name w:val="toc 6"/>
    <w:basedOn w:val="Normal"/>
    <w:next w:val="Normal"/>
    <w:autoRedefine/>
    <w:rsid w:val="00900829"/>
    <w:pPr>
      <w:spacing w:after="0"/>
      <w:ind w:left="1200"/>
    </w:pPr>
    <w:rPr>
      <w:rFonts w:ascii="Times New Roman" w:hAnsi="Times New Roman"/>
      <w:lang w:eastAsia="en-IE"/>
    </w:rPr>
  </w:style>
  <w:style w:type="paragraph" w:styleId="TOC7">
    <w:name w:val="toc 7"/>
    <w:basedOn w:val="Normal"/>
    <w:next w:val="Normal"/>
    <w:autoRedefine/>
    <w:rsid w:val="00900829"/>
    <w:pPr>
      <w:spacing w:after="0"/>
      <w:ind w:left="1440"/>
    </w:pPr>
    <w:rPr>
      <w:rFonts w:ascii="Times New Roman" w:hAnsi="Times New Roman"/>
      <w:lang w:eastAsia="en-IE"/>
    </w:rPr>
  </w:style>
  <w:style w:type="paragraph" w:styleId="TOC8">
    <w:name w:val="toc 8"/>
    <w:basedOn w:val="Normal"/>
    <w:next w:val="Normal"/>
    <w:autoRedefine/>
    <w:rsid w:val="00900829"/>
    <w:pPr>
      <w:spacing w:after="0"/>
      <w:ind w:left="1680"/>
    </w:pPr>
    <w:rPr>
      <w:rFonts w:ascii="Times New Roman" w:hAnsi="Times New Roman"/>
      <w:lang w:eastAsia="en-IE"/>
    </w:rPr>
  </w:style>
  <w:style w:type="paragraph" w:styleId="TOC9">
    <w:name w:val="toc 9"/>
    <w:basedOn w:val="Normal"/>
    <w:next w:val="Normal"/>
    <w:autoRedefine/>
    <w:rsid w:val="00900829"/>
    <w:pPr>
      <w:spacing w:after="0"/>
      <w:ind w:left="1920"/>
    </w:pPr>
    <w:rPr>
      <w:rFonts w:ascii="Times New Roman" w:hAnsi="Times New Roman"/>
      <w:lang w:eastAsia="en-IE"/>
    </w:rPr>
  </w:style>
  <w:style w:type="paragraph" w:styleId="NormalIndent">
    <w:name w:val="Normal Indent"/>
    <w:basedOn w:val="Normal"/>
    <w:rsid w:val="00900829"/>
    <w:pPr>
      <w:ind w:left="720"/>
    </w:pPr>
  </w:style>
  <w:style w:type="paragraph" w:styleId="FootnoteText">
    <w:name w:val="footnote text"/>
    <w:basedOn w:val="Normal"/>
    <w:link w:val="FootnoteTextChar"/>
    <w:rsid w:val="00900829"/>
    <w:pPr>
      <w:spacing w:after="80"/>
    </w:pPr>
    <w:rPr>
      <w:sz w:val="22"/>
      <w:szCs w:val="20"/>
    </w:rPr>
  </w:style>
  <w:style w:type="character" w:customStyle="1" w:styleId="FootnoteTextChar">
    <w:name w:val="Footnote Text Char"/>
    <w:basedOn w:val="DefaultParagraphFont"/>
    <w:link w:val="FootnoteText"/>
    <w:locked/>
    <w:rsid w:val="009B7368"/>
    <w:rPr>
      <w:rFonts w:ascii="Gill Sans" w:hAnsi="Gill Sans" w:cs="Times New Roman"/>
      <w:sz w:val="22"/>
      <w:lang w:eastAsia="en-US"/>
    </w:rPr>
  </w:style>
  <w:style w:type="character" w:customStyle="1" w:styleId="CommentTextChar2">
    <w:name w:val="Comment Text Char2"/>
    <w:semiHidden/>
    <w:locked/>
    <w:rsid w:val="00900829"/>
    <w:rPr>
      <w:rFonts w:ascii="Arial" w:hAnsi="Arial"/>
      <w:sz w:val="24"/>
      <w:lang w:eastAsia="en-US"/>
    </w:rPr>
  </w:style>
  <w:style w:type="paragraph" w:styleId="CommentText">
    <w:name w:val="annotation text"/>
    <w:basedOn w:val="Normal"/>
    <w:link w:val="CommentTextChar"/>
    <w:rsid w:val="00900829"/>
    <w:rPr>
      <w:rFonts w:ascii="Arial" w:hAnsi="Arial"/>
      <w:sz w:val="24"/>
      <w:szCs w:val="20"/>
    </w:rPr>
  </w:style>
  <w:style w:type="character" w:customStyle="1" w:styleId="CommentTextChar">
    <w:name w:val="Comment Text Char"/>
    <w:basedOn w:val="DefaultParagraphFont"/>
    <w:link w:val="CommentText"/>
    <w:locked/>
    <w:rsid w:val="00B87444"/>
    <w:rPr>
      <w:rFonts w:ascii="Arial" w:hAnsi="Arial" w:cs="Times New Roman"/>
      <w:sz w:val="24"/>
    </w:rPr>
  </w:style>
  <w:style w:type="paragraph" w:styleId="Header">
    <w:name w:val="header"/>
    <w:basedOn w:val="Normal"/>
    <w:link w:val="HeaderChar"/>
    <w:uiPriority w:val="99"/>
    <w:rsid w:val="004D6DCD"/>
    <w:pPr>
      <w:tabs>
        <w:tab w:val="center" w:pos="4320"/>
        <w:tab w:val="right" w:pos="8640"/>
      </w:tabs>
      <w:spacing w:after="0"/>
    </w:pPr>
    <w:rPr>
      <w:rFonts w:ascii="Rockwell" w:hAnsi="Rockwell"/>
      <w:color w:val="BF2296"/>
      <w:szCs w:val="20"/>
    </w:rPr>
  </w:style>
  <w:style w:type="character" w:customStyle="1" w:styleId="HeaderChar">
    <w:name w:val="Header Char"/>
    <w:basedOn w:val="DefaultParagraphFont"/>
    <w:link w:val="Header"/>
    <w:uiPriority w:val="99"/>
    <w:locked/>
    <w:rsid w:val="009B7368"/>
    <w:rPr>
      <w:rFonts w:ascii="Rockwell" w:hAnsi="Rockwell" w:cs="Times New Roman"/>
      <w:color w:val="BF2296"/>
      <w:sz w:val="26"/>
      <w:lang w:eastAsia="en-US"/>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character" w:customStyle="1" w:styleId="FooterChar">
    <w:name w:val="Footer Char"/>
    <w:basedOn w:val="DefaultParagraphFont"/>
    <w:link w:val="Footer"/>
    <w:uiPriority w:val="99"/>
    <w:locked/>
    <w:rsid w:val="009B7368"/>
    <w:rPr>
      <w:rFonts w:ascii="Rockwell" w:hAnsi="Rockwell" w:cs="Times New Roman"/>
      <w:color w:val="000000"/>
      <w:sz w:val="26"/>
      <w:lang w:eastAsia="en-US"/>
    </w:rPr>
  </w:style>
  <w:style w:type="paragraph" w:styleId="Caption">
    <w:name w:val="caption"/>
    <w:basedOn w:val="Normal"/>
    <w:next w:val="Normal"/>
    <w:qFormat/>
    <w:rsid w:val="00900829"/>
    <w:pPr>
      <w:spacing w:after="120"/>
      <w:jc w:val="center"/>
    </w:pPr>
    <w:rPr>
      <w:b/>
      <w:bCs/>
    </w:rPr>
  </w:style>
  <w:style w:type="paragraph" w:styleId="MacroText">
    <w:name w:val="macro"/>
    <w:link w:val="MacroTextChar"/>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character" w:customStyle="1" w:styleId="MacroTextChar">
    <w:name w:val="Macro Text Char"/>
    <w:basedOn w:val="DefaultParagraphFont"/>
    <w:link w:val="MacroText"/>
    <w:locked/>
    <w:rsid w:val="009B7368"/>
    <w:rPr>
      <w:rFonts w:ascii="Courier New" w:hAnsi="Courier New" w:cs="Courier New"/>
      <w:lang w:val="en-IE" w:eastAsia="en-US" w:bidi="ar-SA"/>
    </w:rPr>
  </w:style>
  <w:style w:type="paragraph" w:styleId="ListNumber">
    <w:name w:val="List Number"/>
    <w:basedOn w:val="Normal"/>
    <w:rsid w:val="00900829"/>
    <w:pPr>
      <w:tabs>
        <w:tab w:val="num" w:pos="360"/>
      </w:tabs>
      <w:spacing w:after="120"/>
      <w:ind w:left="360" w:hanging="360"/>
    </w:pPr>
  </w:style>
  <w:style w:type="paragraph" w:styleId="ListBullet2">
    <w:name w:val="List Bullet 2"/>
    <w:basedOn w:val="Normal"/>
    <w:rsid w:val="00900829"/>
    <w:pPr>
      <w:tabs>
        <w:tab w:val="left" w:pos="357"/>
        <w:tab w:val="num" w:pos="717"/>
      </w:tabs>
      <w:spacing w:before="60" w:after="60"/>
      <w:ind w:left="641" w:hanging="357"/>
    </w:pPr>
  </w:style>
  <w:style w:type="paragraph" w:styleId="ListBullet3">
    <w:name w:val="List Bullet 3"/>
    <w:basedOn w:val="Normal"/>
    <w:rsid w:val="00900829"/>
    <w:pPr>
      <w:tabs>
        <w:tab w:val="num" w:pos="360"/>
      </w:tabs>
      <w:spacing w:before="60" w:after="60"/>
      <w:ind w:left="925" w:hanging="284"/>
    </w:pPr>
  </w:style>
  <w:style w:type="paragraph" w:styleId="ListNumber2">
    <w:name w:val="List Number 2"/>
    <w:basedOn w:val="Normal"/>
    <w:rsid w:val="00900829"/>
    <w:pPr>
      <w:tabs>
        <w:tab w:val="num" w:pos="643"/>
      </w:tabs>
      <w:spacing w:before="60" w:after="60"/>
      <w:ind w:left="641" w:hanging="357"/>
    </w:pPr>
  </w:style>
  <w:style w:type="paragraph" w:styleId="ListNumber3">
    <w:name w:val="List Number 3"/>
    <w:basedOn w:val="Normal"/>
    <w:rsid w:val="00900829"/>
    <w:pPr>
      <w:tabs>
        <w:tab w:val="num" w:pos="360"/>
        <w:tab w:val="num" w:pos="926"/>
      </w:tabs>
      <w:spacing w:before="60" w:after="60"/>
      <w:ind w:left="924" w:hanging="357"/>
    </w:pPr>
  </w:style>
  <w:style w:type="paragraph" w:styleId="Title">
    <w:name w:val="Title"/>
    <w:basedOn w:val="Normal"/>
    <w:next w:val="Normal"/>
    <w:link w:val="TitleChar"/>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character" w:customStyle="1" w:styleId="TitleChar">
    <w:name w:val="Title Char"/>
    <w:basedOn w:val="DefaultParagraphFont"/>
    <w:link w:val="Title"/>
    <w:uiPriority w:val="99"/>
    <w:locked/>
    <w:rsid w:val="009B7368"/>
    <w:rPr>
      <w:rFonts w:ascii="Rockwell" w:hAnsi="Rockwell" w:cs="Arial"/>
      <w:b/>
      <w:bCs/>
      <w:color w:val="BF2296"/>
      <w:kern w:val="28"/>
      <w:sz w:val="32"/>
      <w:szCs w:val="32"/>
      <w:shd w:val="clear" w:color="auto" w:fill="FFFFFF"/>
      <w:lang w:eastAsia="en-US"/>
    </w:rPr>
  </w:style>
  <w:style w:type="paragraph" w:styleId="BodyText">
    <w:name w:val="Body Text"/>
    <w:basedOn w:val="Normal"/>
    <w:link w:val="BodyTextChar"/>
    <w:rsid w:val="00900829"/>
    <w:pPr>
      <w:spacing w:after="120"/>
    </w:pPr>
  </w:style>
  <w:style w:type="character" w:customStyle="1" w:styleId="BodyTextChar">
    <w:name w:val="Body Text Char"/>
    <w:basedOn w:val="DefaultParagraphFont"/>
    <w:link w:val="BodyText"/>
    <w:uiPriority w:val="99"/>
    <w:locked/>
    <w:rsid w:val="009B7368"/>
    <w:rPr>
      <w:rFonts w:ascii="Gill Sans" w:hAnsi="Gill Sans" w:cs="Times New Roman"/>
      <w:sz w:val="24"/>
      <w:szCs w:val="24"/>
      <w:lang w:eastAsia="en-US"/>
    </w:rPr>
  </w:style>
  <w:style w:type="character" w:customStyle="1" w:styleId="BodyTextIndentChar1">
    <w:name w:val="Body Text Indent Char1"/>
    <w:locked/>
    <w:rsid w:val="00900829"/>
    <w:rPr>
      <w:rFonts w:ascii="Arial" w:hAnsi="Arial"/>
      <w:sz w:val="24"/>
      <w:lang w:eastAsia="en-US"/>
    </w:rPr>
  </w:style>
  <w:style w:type="paragraph" w:styleId="BodyTextIndent">
    <w:name w:val="Body Text Indent"/>
    <w:basedOn w:val="Normal"/>
    <w:link w:val="BodyTextIndentChar"/>
    <w:rsid w:val="00900829"/>
    <w:pPr>
      <w:spacing w:after="120"/>
      <w:ind w:left="283"/>
    </w:pPr>
    <w:rPr>
      <w:rFonts w:ascii="Arial" w:hAnsi="Arial"/>
      <w:sz w:val="24"/>
      <w:szCs w:val="20"/>
    </w:rPr>
  </w:style>
  <w:style w:type="character" w:customStyle="1" w:styleId="BodyTextIndentChar">
    <w:name w:val="Body Text Indent Char"/>
    <w:basedOn w:val="DefaultParagraphFont"/>
    <w:link w:val="BodyTextIndent"/>
    <w:locked/>
    <w:rsid w:val="00B87444"/>
    <w:rPr>
      <w:rFonts w:ascii="Arial" w:hAnsi="Arial" w:cs="Times New Roman"/>
      <w:sz w:val="24"/>
    </w:rPr>
  </w:style>
  <w:style w:type="paragraph" w:styleId="ListContinue">
    <w:name w:val="List Continue"/>
    <w:basedOn w:val="Normal"/>
    <w:rsid w:val="00900829"/>
    <w:pPr>
      <w:spacing w:before="120" w:after="120"/>
      <w:ind w:left="357"/>
    </w:pPr>
  </w:style>
  <w:style w:type="paragraph" w:styleId="ListContinue2">
    <w:name w:val="List Continue 2"/>
    <w:basedOn w:val="Normal"/>
    <w:rsid w:val="00900829"/>
    <w:pPr>
      <w:spacing w:before="60" w:after="60"/>
      <w:ind w:left="641"/>
    </w:pPr>
  </w:style>
  <w:style w:type="paragraph" w:styleId="ListContinue3">
    <w:name w:val="List Continue 3"/>
    <w:basedOn w:val="Normal"/>
    <w:rsid w:val="00900829"/>
    <w:pPr>
      <w:spacing w:before="60" w:after="60"/>
      <w:ind w:left="924"/>
    </w:pPr>
  </w:style>
  <w:style w:type="paragraph" w:styleId="Subtitle">
    <w:name w:val="Subtitle"/>
    <w:basedOn w:val="Normal"/>
    <w:next w:val="Normal"/>
    <w:link w:val="SubtitleChar"/>
    <w:qFormat/>
    <w:rsid w:val="00900829"/>
    <w:pPr>
      <w:jc w:val="center"/>
      <w:outlineLvl w:val="1"/>
    </w:pPr>
    <w:rPr>
      <w:sz w:val="28"/>
    </w:rPr>
  </w:style>
  <w:style w:type="character" w:customStyle="1" w:styleId="SubtitleChar">
    <w:name w:val="Subtitle Char"/>
    <w:basedOn w:val="DefaultParagraphFont"/>
    <w:link w:val="Subtitle"/>
    <w:uiPriority w:val="99"/>
    <w:locked/>
    <w:rsid w:val="009B7368"/>
    <w:rPr>
      <w:rFonts w:ascii="Gill Sans" w:hAnsi="Gill Sans" w:cs="Times New Roman"/>
      <w:sz w:val="24"/>
      <w:szCs w:val="24"/>
      <w:lang w:eastAsia="en-US"/>
    </w:rPr>
  </w:style>
  <w:style w:type="paragraph" w:customStyle="1" w:styleId="NormalBeforeandafterlist">
    <w:name w:val="Normal (Before and after list)"/>
    <w:basedOn w:val="NormalBeforeList"/>
    <w:uiPriority w:val="99"/>
    <w:rsid w:val="008D445E"/>
  </w:style>
  <w:style w:type="paragraph" w:customStyle="1" w:styleId="NormalBeforeList">
    <w:name w:val="Normal (Before List)"/>
    <w:basedOn w:val="Normal"/>
    <w:next w:val="Normal"/>
    <w:uiPriority w:val="99"/>
    <w:rsid w:val="00D8791A"/>
    <w:pPr>
      <w:spacing w:after="120"/>
    </w:pPr>
  </w:style>
  <w:style w:type="paragraph" w:styleId="BlockText">
    <w:name w:val="Block Text"/>
    <w:basedOn w:val="Normal"/>
    <w:rsid w:val="00900829"/>
    <w:pPr>
      <w:spacing w:after="120"/>
      <w:ind w:left="1440" w:right="1440"/>
    </w:pPr>
  </w:style>
  <w:style w:type="paragraph" w:styleId="DocumentMap">
    <w:name w:val="Document Map"/>
    <w:basedOn w:val="Normal"/>
    <w:link w:val="DocumentMapChar"/>
    <w:rsid w:val="009008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B7368"/>
    <w:rPr>
      <w:rFonts w:ascii="Tahoma" w:hAnsi="Tahoma" w:cs="Tahoma"/>
      <w:sz w:val="24"/>
      <w:szCs w:val="24"/>
      <w:shd w:val="clear" w:color="auto" w:fill="000080"/>
      <w:lang w:eastAsia="en-US"/>
    </w:rPr>
  </w:style>
  <w:style w:type="paragraph" w:styleId="BalloonText">
    <w:name w:val="Balloon Text"/>
    <w:basedOn w:val="Normal"/>
    <w:link w:val="BalloonTextChar"/>
    <w:semiHidden/>
    <w:rsid w:val="00900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368"/>
    <w:rPr>
      <w:rFonts w:ascii="Tahoma" w:hAnsi="Tahoma" w:cs="Tahoma"/>
      <w:sz w:val="16"/>
      <w:szCs w:val="16"/>
      <w:lang w:eastAsia="en-US"/>
    </w:rPr>
  </w:style>
  <w:style w:type="paragraph" w:customStyle="1" w:styleId="BlockQuote">
    <w:name w:val="Block Quote"/>
    <w:basedOn w:val="Normal"/>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rsid w:val="00900829"/>
    <w:pPr>
      <w:ind w:left="1077"/>
    </w:pPr>
  </w:style>
  <w:style w:type="paragraph" w:customStyle="1" w:styleId="DefinitionTerm">
    <w:name w:val="Definition Term"/>
    <w:basedOn w:val="Normal"/>
    <w:next w:val="DefinitionDescription"/>
    <w:rsid w:val="00900829"/>
    <w:rPr>
      <w:b/>
    </w:rPr>
  </w:style>
  <w:style w:type="paragraph" w:customStyle="1" w:styleId="GraphCaption">
    <w:name w:val="GraphCaption"/>
    <w:basedOn w:val="Normal"/>
    <w:rsid w:val="00900829"/>
    <w:pPr>
      <w:keepNext/>
      <w:keepLines/>
      <w:spacing w:after="120"/>
      <w:jc w:val="center"/>
    </w:pPr>
    <w:rPr>
      <w:rFonts w:ascii="Gill Sans MT" w:hAnsi="Gill Sans MT"/>
      <w:b/>
    </w:rPr>
  </w:style>
  <w:style w:type="paragraph" w:customStyle="1" w:styleId="Note">
    <w:name w:val="Note"/>
    <w:basedOn w:val="Normal"/>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rsid w:val="00900829"/>
    <w:pPr>
      <w:spacing w:after="0"/>
      <w:jc w:val="right"/>
    </w:pPr>
  </w:style>
  <w:style w:type="paragraph" w:customStyle="1" w:styleId="TableHead">
    <w:name w:val="Table Head"/>
    <w:basedOn w:val="Normal"/>
    <w:next w:val="Normal"/>
    <w:rsid w:val="00900829"/>
    <w:pPr>
      <w:spacing w:after="0"/>
    </w:pPr>
    <w:rPr>
      <w:b/>
    </w:rPr>
  </w:style>
  <w:style w:type="paragraph" w:customStyle="1" w:styleId="TableNote">
    <w:name w:val="Table Note"/>
    <w:basedOn w:val="Normal"/>
    <w:next w:val="Normal"/>
    <w:rsid w:val="00900829"/>
    <w:pPr>
      <w:spacing w:before="120"/>
      <w:jc w:val="center"/>
    </w:pPr>
    <w:rPr>
      <w:sz w:val="20"/>
      <w:szCs w:val="20"/>
    </w:rPr>
  </w:style>
  <w:style w:type="paragraph" w:customStyle="1" w:styleId="TableRowHead">
    <w:name w:val="Table Row Head"/>
    <w:basedOn w:val="Normal"/>
    <w:rsid w:val="00900829"/>
    <w:pPr>
      <w:keepNext/>
      <w:spacing w:after="0"/>
    </w:pPr>
    <w:rPr>
      <w:rFonts w:ascii="Arial Bold" w:hAnsi="Arial Bold"/>
      <w:b/>
    </w:rPr>
  </w:style>
  <w:style w:type="paragraph" w:customStyle="1" w:styleId="TableSummary">
    <w:name w:val="Table Summary"/>
    <w:basedOn w:val="Normal"/>
    <w:next w:val="TableHead"/>
    <w:rsid w:val="00247E60"/>
    <w:pPr>
      <w:ind w:left="567" w:right="567"/>
      <w:jc w:val="center"/>
    </w:pPr>
  </w:style>
  <w:style w:type="paragraph" w:customStyle="1" w:styleId="TableTitle">
    <w:name w:val="Table Title"/>
    <w:basedOn w:val="Normal"/>
    <w:next w:val="TableSummary"/>
    <w:rsid w:val="00900829"/>
    <w:pPr>
      <w:keepNext/>
      <w:keepLines/>
      <w:spacing w:after="120"/>
      <w:jc w:val="center"/>
    </w:pPr>
    <w:rPr>
      <w:b/>
    </w:rPr>
  </w:style>
  <w:style w:type="paragraph" w:customStyle="1" w:styleId="TaggedText">
    <w:name w:val="Tagged Text"/>
    <w:basedOn w:val="Normal"/>
    <w:rsid w:val="00900829"/>
    <w:pPr>
      <w:suppressAutoHyphens/>
      <w:spacing w:after="0"/>
    </w:pPr>
    <w:rPr>
      <w:rFonts w:ascii="Courier New" w:hAnsi="Courier New"/>
      <w:color w:val="FF0000"/>
    </w:rPr>
  </w:style>
  <w:style w:type="paragraph" w:customStyle="1" w:styleId="TableHeadRight">
    <w:name w:val="Table Head Right"/>
    <w:basedOn w:val="TableHead"/>
    <w:rsid w:val="00900829"/>
    <w:pPr>
      <w:jc w:val="right"/>
    </w:pPr>
  </w:style>
  <w:style w:type="paragraph" w:customStyle="1" w:styleId="TableCellLeft">
    <w:name w:val="Table Cell Left"/>
    <w:basedOn w:val="TableCell"/>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cs="Times New Roman"/>
      <w:sz w:val="24"/>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rsid w:val="00900829"/>
    <w:pPr>
      <w:spacing w:before="120"/>
    </w:pPr>
  </w:style>
  <w:style w:type="character" w:styleId="FootnoteReference">
    <w:name w:val="footnote reference"/>
    <w:aliases w:val="Footnote symbol,Footnote,Voetnootverwijzing,Times 10 Point,Exposant 3 Point,Footnote reference number,Ref,de nota al pie,note TESI,SUPERS,EN Footnote Reference,Footnote Reference Number,Footnote sign,Foo,E, Exposant 3 Point"/>
    <w:basedOn w:val="DefaultParagraphFont"/>
    <w:rsid w:val="00900829"/>
    <w:rPr>
      <w:rFonts w:ascii="Gill Sans" w:hAnsi="Gill Sans" w:cs="Times New Roman"/>
      <w:sz w:val="26"/>
      <w:vertAlign w:val="superscript"/>
    </w:rPr>
  </w:style>
  <w:style w:type="character" w:customStyle="1" w:styleId="Abbreviation">
    <w:name w:val="Abbreviation"/>
    <w:rsid w:val="00900829"/>
    <w:rPr>
      <w:u w:val="dottedHeavy"/>
    </w:rPr>
  </w:style>
  <w:style w:type="character" w:customStyle="1" w:styleId="Acronym">
    <w:name w:val="Acronym"/>
    <w:rsid w:val="00900829"/>
    <w:rPr>
      <w:u w:val="dotted"/>
    </w:rPr>
  </w:style>
  <w:style w:type="character" w:customStyle="1" w:styleId="attribute-value">
    <w:name w:val="attribute-value"/>
    <w:basedOn w:val="DefaultParagraphFont"/>
    <w:uiPriority w:val="99"/>
    <w:rsid w:val="00900829"/>
    <w:rPr>
      <w:rFonts w:cs="Times New Roman"/>
    </w:rPr>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uiPriority w:val="99"/>
    <w:rsid w:val="00B87444"/>
    <w:rPr>
      <w:rFonts w:ascii="Arial Bold" w:hAnsi="Arial Bold"/>
      <w:b/>
      <w:sz w:val="28"/>
      <w:lang w:val="en-IE" w:eastAsia="en-US"/>
    </w:rPr>
  </w:style>
  <w:style w:type="character" w:styleId="PageNumber">
    <w:name w:val="page number"/>
    <w:basedOn w:val="DefaultParagraphFont"/>
    <w:rsid w:val="00B87444"/>
    <w:rPr>
      <w:rFonts w:cs="Times New Roman"/>
    </w:rPr>
  </w:style>
  <w:style w:type="character" w:customStyle="1" w:styleId="WW8Num4z0">
    <w:name w:val="WW8Num4z0"/>
    <w:rsid w:val="00B87444"/>
    <w:rPr>
      <w:rFonts w:ascii="Symbol" w:hAnsi="Symbol"/>
      <w:sz w:val="20"/>
    </w:rPr>
  </w:style>
  <w:style w:type="character" w:customStyle="1" w:styleId="WW8Num5z0">
    <w:name w:val="WW8Num5z0"/>
    <w:rsid w:val="00B87444"/>
    <w:rPr>
      <w:rFonts w:ascii="Symbol" w:hAnsi="Symbol"/>
    </w:rPr>
  </w:style>
  <w:style w:type="character" w:customStyle="1" w:styleId="WW8Num7z0">
    <w:name w:val="WW8Num7z0"/>
    <w:rsid w:val="00B87444"/>
    <w:rPr>
      <w:rFonts w:ascii="Symbol" w:hAnsi="Symbol"/>
      <w:sz w:val="20"/>
    </w:rPr>
  </w:style>
  <w:style w:type="character" w:customStyle="1" w:styleId="Absatz-Standardschriftart">
    <w:name w:val="Absatz-Standardschriftart"/>
    <w:rsid w:val="00B87444"/>
  </w:style>
  <w:style w:type="character" w:customStyle="1" w:styleId="WW-Absatz-Standardschriftart">
    <w:name w:val="WW-Absatz-Standardschriftart"/>
    <w:rsid w:val="00B87444"/>
  </w:style>
  <w:style w:type="character" w:customStyle="1" w:styleId="WW-Absatz-Standardschriftart1">
    <w:name w:val="WW-Absatz-Standardschriftart1"/>
    <w:rsid w:val="00B87444"/>
  </w:style>
  <w:style w:type="character" w:customStyle="1" w:styleId="WW-Absatz-Standardschriftart11">
    <w:name w:val="WW-Absatz-Standardschriftart11"/>
    <w:rsid w:val="00B87444"/>
  </w:style>
  <w:style w:type="character" w:customStyle="1" w:styleId="WW8Num6z0">
    <w:name w:val="WW8Num6z0"/>
    <w:rsid w:val="00B87444"/>
    <w:rPr>
      <w:rFonts w:ascii="Symbol" w:hAnsi="Symbol"/>
    </w:rPr>
  </w:style>
  <w:style w:type="character" w:customStyle="1" w:styleId="WW8Num8z0">
    <w:name w:val="WW8Num8z0"/>
    <w:rsid w:val="00B87444"/>
    <w:rPr>
      <w:rFonts w:ascii="Symbol" w:hAnsi="Symbol"/>
      <w:sz w:val="20"/>
    </w:rPr>
  </w:style>
  <w:style w:type="character" w:customStyle="1" w:styleId="WW8Num10z0">
    <w:name w:val="WW8Num10z0"/>
    <w:rsid w:val="00B87444"/>
    <w:rPr>
      <w:rFonts w:ascii="Symbol" w:hAnsi="Symbol"/>
      <w:sz w:val="20"/>
    </w:rPr>
  </w:style>
  <w:style w:type="character" w:customStyle="1" w:styleId="WW8Num11z0">
    <w:name w:val="WW8Num11z0"/>
    <w:rsid w:val="00B87444"/>
    <w:rPr>
      <w:rFonts w:ascii="Symbol" w:hAnsi="Symbol"/>
    </w:rPr>
  </w:style>
  <w:style w:type="character" w:customStyle="1" w:styleId="WW8Num11z1">
    <w:name w:val="WW8Num11z1"/>
    <w:rsid w:val="00B87444"/>
    <w:rPr>
      <w:rFonts w:ascii="Courier New" w:hAnsi="Courier New"/>
    </w:rPr>
  </w:style>
  <w:style w:type="character" w:customStyle="1" w:styleId="WW8Num11z2">
    <w:name w:val="WW8Num11z2"/>
    <w:rsid w:val="00B87444"/>
    <w:rPr>
      <w:rFonts w:ascii="Wingdings" w:hAnsi="Wingdings"/>
    </w:rPr>
  </w:style>
  <w:style w:type="character" w:customStyle="1" w:styleId="WW8Num12z0">
    <w:name w:val="WW8Num12z0"/>
    <w:rsid w:val="00B87444"/>
    <w:rPr>
      <w:rFonts w:ascii="Symbol" w:hAnsi="Symbol"/>
      <w:color w:val="auto"/>
    </w:rPr>
  </w:style>
  <w:style w:type="character" w:customStyle="1" w:styleId="WW8Num12z1">
    <w:name w:val="WW8Num12z1"/>
    <w:rsid w:val="00B87444"/>
    <w:rPr>
      <w:rFonts w:ascii="Wingdings" w:hAnsi="Wingdings"/>
      <w:color w:val="auto"/>
    </w:rPr>
  </w:style>
  <w:style w:type="character" w:customStyle="1" w:styleId="WW8Num12z2">
    <w:name w:val="WW8Num12z2"/>
    <w:rsid w:val="00B87444"/>
    <w:rPr>
      <w:rFonts w:ascii="Wingdings" w:hAnsi="Wingdings"/>
    </w:rPr>
  </w:style>
  <w:style w:type="character" w:customStyle="1" w:styleId="WW8Num12z3">
    <w:name w:val="WW8Num12z3"/>
    <w:rsid w:val="00B87444"/>
    <w:rPr>
      <w:rFonts w:ascii="Symbol" w:hAnsi="Symbol"/>
    </w:rPr>
  </w:style>
  <w:style w:type="character" w:customStyle="1" w:styleId="WW8Num12z4">
    <w:name w:val="WW8Num12z4"/>
    <w:rsid w:val="00B87444"/>
    <w:rPr>
      <w:rFonts w:ascii="Courier New" w:hAnsi="Courier New"/>
    </w:rPr>
  </w:style>
  <w:style w:type="character" w:customStyle="1" w:styleId="WW-DefaultParagraphFont">
    <w:name w:val="WW-Default Paragraph Font"/>
    <w:rsid w:val="00B87444"/>
  </w:style>
  <w:style w:type="character" w:styleId="Emphasis">
    <w:name w:val="Emphasis"/>
    <w:basedOn w:val="DefaultParagraphFont"/>
    <w:qFormat/>
    <w:rsid w:val="00B87444"/>
    <w:rPr>
      <w:rFonts w:cs="Times New Roman"/>
      <w:i/>
    </w:rPr>
  </w:style>
  <w:style w:type="character" w:customStyle="1" w:styleId="Quote1">
    <w:name w:val="Quote1"/>
    <w:rsid w:val="00B87444"/>
    <w:rPr>
      <w:i/>
    </w:rPr>
  </w:style>
  <w:style w:type="character" w:customStyle="1" w:styleId="CarachtairFhonta">
    <w:name w:val="Carachtair Fhonóta"/>
    <w:rsid w:val="00B87444"/>
    <w:rPr>
      <w:rFonts w:ascii="Gill Sans" w:hAnsi="Gill Sans"/>
      <w:sz w:val="26"/>
      <w:vertAlign w:val="superscript"/>
    </w:rPr>
  </w:style>
  <w:style w:type="character" w:customStyle="1" w:styleId="CarachtairIarnta">
    <w:name w:val="Carachtair Iarnóta"/>
    <w:rsid w:val="00B87444"/>
    <w:rPr>
      <w:vertAlign w:val="superscript"/>
    </w:rPr>
  </w:style>
  <w:style w:type="character" w:customStyle="1" w:styleId="WW-CarachtairIarnta">
    <w:name w:val="WW-Carachtair Iarnóta"/>
    <w:rsid w:val="00B87444"/>
  </w:style>
  <w:style w:type="character" w:styleId="EndnoteReference">
    <w:name w:val="endnote reference"/>
    <w:basedOn w:val="DefaultParagraphFont"/>
    <w:rsid w:val="00B87444"/>
    <w:rPr>
      <w:rFonts w:cs="Times New Roman"/>
      <w:vertAlign w:val="superscript"/>
    </w:rPr>
  </w:style>
  <w:style w:type="character" w:styleId="CommentReference">
    <w:name w:val="annotation reference"/>
    <w:basedOn w:val="DefaultParagraphFont"/>
    <w:rsid w:val="00B87444"/>
    <w:rPr>
      <w:rFonts w:cs="Times New Roman"/>
      <w:sz w:val="16"/>
    </w:rPr>
  </w:style>
  <w:style w:type="character" w:customStyle="1" w:styleId="CommentTextChar1">
    <w:name w:val="Comment Text Char1"/>
    <w:rsid w:val="00B87444"/>
    <w:rPr>
      <w:rFonts w:ascii="Arial" w:hAnsi="Arial"/>
      <w:sz w:val="24"/>
    </w:rPr>
  </w:style>
  <w:style w:type="character" w:customStyle="1" w:styleId="CommentSubjectChar">
    <w:name w:val="Comment Subject Char"/>
    <w:basedOn w:val="CommentTextChar1"/>
    <w:rsid w:val="00B87444"/>
    <w:rPr>
      <w:rFonts w:ascii="Arial" w:hAnsi="Arial" w:cs="Times New Roman"/>
      <w:sz w:val="24"/>
      <w:szCs w:val="24"/>
    </w:rPr>
  </w:style>
  <w:style w:type="paragraph" w:customStyle="1" w:styleId="Ceannteideal">
    <w:name w:val="Ceannteideal"/>
    <w:basedOn w:val="Normal"/>
    <w:next w:val="BodyText"/>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rsid w:val="00B87444"/>
    <w:pPr>
      <w:suppressAutoHyphens/>
    </w:pPr>
    <w:rPr>
      <w:rFonts w:ascii="Aboriginal Serif" w:eastAsia="Aboriginal Serif" w:hAnsi="Times New Roman" w:cs="Angsana New"/>
      <w:lang w:eastAsia="ar-SA"/>
    </w:rPr>
  </w:style>
  <w:style w:type="paragraph" w:customStyle="1" w:styleId="Foscrbhinn">
    <w:name w:val="Foscríbhinn"/>
    <w:basedOn w:val="Normal"/>
    <w:rsid w:val="00B87444"/>
    <w:pPr>
      <w:suppressLineNumbers/>
      <w:suppressAutoHyphens/>
      <w:spacing w:before="120" w:after="120"/>
    </w:pPr>
    <w:rPr>
      <w:rFonts w:ascii="Aboriginal Serif" w:eastAsia="Aboriginal Serif" w:hAnsi="Times New Roman" w:cs="Angsana New"/>
      <w:i/>
      <w:iCs/>
      <w:sz w:val="24"/>
      <w:lang w:eastAsia="ar-SA"/>
    </w:rPr>
  </w:style>
  <w:style w:type="paragraph" w:customStyle="1" w:styleId="Innacs">
    <w:name w:val="Innéacs"/>
    <w:basedOn w:val="Normal"/>
    <w:rsid w:val="00B87444"/>
    <w:pPr>
      <w:suppressLineNumbers/>
      <w:suppressAutoHyphens/>
    </w:pPr>
    <w:rPr>
      <w:rFonts w:ascii="Aboriginal Serif" w:eastAsia="Aboriginal Serif" w:hAnsi="Times New Roman" w:cs="Angsana New"/>
      <w:lang w:eastAsia="ar-SA"/>
    </w:rPr>
  </w:style>
  <w:style w:type="paragraph" w:styleId="Date">
    <w:name w:val="Date"/>
    <w:basedOn w:val="Normal"/>
    <w:next w:val="Normal"/>
    <w:link w:val="DateChar"/>
    <w:rsid w:val="00B87444"/>
    <w:pPr>
      <w:suppressAutoHyphens/>
    </w:pPr>
    <w:rPr>
      <w:i/>
      <w:lang w:eastAsia="ar-SA"/>
    </w:rPr>
  </w:style>
  <w:style w:type="character" w:customStyle="1" w:styleId="DateChar">
    <w:name w:val="Date Char"/>
    <w:basedOn w:val="DefaultParagraphFont"/>
    <w:link w:val="Date"/>
    <w:uiPriority w:val="99"/>
    <w:semiHidden/>
    <w:locked/>
    <w:rsid w:val="001E3B83"/>
    <w:rPr>
      <w:rFonts w:ascii="Gill Sans" w:hAnsi="Gill Sans" w:cs="Times New Roman"/>
      <w:sz w:val="24"/>
      <w:szCs w:val="24"/>
      <w:lang w:eastAsia="en-US"/>
    </w:rPr>
  </w:style>
  <w:style w:type="paragraph" w:customStyle="1" w:styleId="TestNormal">
    <w:name w:val="Test Normal"/>
    <w:basedOn w:val="Normal"/>
    <w:rsid w:val="00B87444"/>
    <w:pPr>
      <w:suppressAutoHyphens/>
      <w:spacing w:after="120"/>
    </w:pPr>
    <w:rPr>
      <w:rFonts w:eastAsia="BiauKai" w:cs="TimesNewRoman"/>
      <w:iCs/>
      <w:sz w:val="24"/>
      <w:lang w:eastAsia="ar-SA"/>
    </w:rPr>
  </w:style>
  <w:style w:type="paragraph" w:customStyle="1" w:styleId="bharanTbla">
    <w:name w:val="Ábhar an Tábla"/>
    <w:basedOn w:val="Normal"/>
    <w:rsid w:val="00B87444"/>
    <w:pPr>
      <w:suppressLineNumbers/>
      <w:suppressAutoHyphens/>
    </w:pPr>
    <w:rPr>
      <w:lang w:eastAsia="ar-SA"/>
    </w:rPr>
  </w:style>
  <w:style w:type="paragraph" w:customStyle="1" w:styleId="CeannteidealTbla">
    <w:name w:val="Ceannteideal Tábla"/>
    <w:basedOn w:val="bharanTbla"/>
    <w:rsid w:val="00B87444"/>
    <w:pPr>
      <w:jc w:val="center"/>
    </w:pPr>
    <w:rPr>
      <w:b/>
      <w:bCs/>
    </w:rPr>
  </w:style>
  <w:style w:type="paragraph" w:styleId="CommentSubject">
    <w:name w:val="annotation subject"/>
    <w:basedOn w:val="CommentText"/>
    <w:next w:val="CommentText"/>
    <w:link w:val="CommentSubjectChar1"/>
    <w:rsid w:val="00B87444"/>
    <w:pPr>
      <w:suppressAutoHyphens/>
    </w:pPr>
    <w:rPr>
      <w:rFonts w:ascii="Gill Sans" w:hAnsi="Gill Sans"/>
      <w:b/>
      <w:bCs/>
      <w:lang w:eastAsia="ar-SA"/>
    </w:rPr>
  </w:style>
  <w:style w:type="character" w:customStyle="1" w:styleId="CommentSubjectChar1">
    <w:name w:val="Comment Subject Char1"/>
    <w:basedOn w:val="CommentTextChar2"/>
    <w:link w:val="CommentSubject"/>
    <w:uiPriority w:val="99"/>
    <w:semiHidden/>
    <w:locked/>
    <w:rsid w:val="001E3B83"/>
    <w:rPr>
      <w:rFonts w:ascii="Gill Sans" w:hAnsi="Gill Sans" w:cs="Times New Roman"/>
      <w:b/>
      <w:bCs/>
      <w:sz w:val="20"/>
      <w:szCs w:val="20"/>
      <w:lang w:eastAsia="en-US"/>
    </w:rPr>
  </w:style>
  <w:style w:type="paragraph" w:customStyle="1" w:styleId="bhar10">
    <w:name w:val="Ábhar 10"/>
    <w:basedOn w:val="Innacs"/>
    <w:rsid w:val="00B87444"/>
    <w:pPr>
      <w:tabs>
        <w:tab w:val="right" w:leader="dot" w:pos="7091"/>
      </w:tabs>
      <w:ind w:left="2547"/>
    </w:pPr>
  </w:style>
  <w:style w:type="character" w:customStyle="1" w:styleId="CharChar6">
    <w:name w:val="Char Char6"/>
    <w:rsid w:val="00B87444"/>
    <w:rPr>
      <w:rFonts w:ascii="Gill Sans" w:hAnsi="Gill Sans"/>
      <w:b/>
      <w:kern w:val="1"/>
      <w:sz w:val="32"/>
      <w:lang w:val="en-IE" w:eastAsia="ar-SA" w:bidi="ar-SA"/>
    </w:rPr>
  </w:style>
  <w:style w:type="character" w:customStyle="1" w:styleId="CharChar5">
    <w:name w:val="Char Char5"/>
    <w:rsid w:val="00B87444"/>
    <w:rPr>
      <w:rFonts w:ascii="Gill Sans" w:hAnsi="Gill Sans"/>
      <w:b/>
      <w:sz w:val="28"/>
      <w:lang w:val="en-IE" w:eastAsia="ar-SA" w:bidi="ar-SA"/>
    </w:rPr>
  </w:style>
  <w:style w:type="character" w:customStyle="1" w:styleId="tw4winMark">
    <w:name w:val="tw4winMark"/>
    <w:rsid w:val="00B87444"/>
    <w:rPr>
      <w:rFonts w:ascii="Courier New" w:hAnsi="Courier New"/>
      <w:vanish/>
      <w:color w:val="800080"/>
      <w:vertAlign w:val="subscript"/>
    </w:rPr>
  </w:style>
  <w:style w:type="character" w:customStyle="1" w:styleId="Heading1CharChar">
    <w:name w:val="Heading 1 Char Char"/>
    <w:rsid w:val="00B87444"/>
    <w:rPr>
      <w:rFonts w:ascii="Gill Sans" w:hAnsi="Gill Sans"/>
      <w:b/>
      <w:kern w:val="32"/>
      <w:sz w:val="32"/>
      <w:lang w:val="en-IE" w:eastAsia="en-US"/>
    </w:rPr>
  </w:style>
  <w:style w:type="paragraph" w:styleId="EndnoteText">
    <w:name w:val="endnote text"/>
    <w:basedOn w:val="Normal"/>
    <w:link w:val="EndnoteTextChar"/>
    <w:uiPriority w:val="99"/>
    <w:rsid w:val="009B7368"/>
    <w:rPr>
      <w:sz w:val="20"/>
      <w:szCs w:val="20"/>
    </w:rPr>
  </w:style>
  <w:style w:type="character" w:customStyle="1" w:styleId="EndnoteTextChar">
    <w:name w:val="Endnote Text Char"/>
    <w:basedOn w:val="DefaultParagraphFont"/>
    <w:link w:val="EndnoteText"/>
    <w:uiPriority w:val="99"/>
    <w:locked/>
    <w:rsid w:val="009B7368"/>
    <w:rPr>
      <w:rFonts w:ascii="Gill Sans" w:hAnsi="Gill Sans" w:cs="Times New Roman"/>
      <w:lang w:eastAsia="en-US"/>
    </w:rPr>
  </w:style>
  <w:style w:type="paragraph" w:customStyle="1" w:styleId="StyleListBulletItalic">
    <w:name w:val="Style List Bullet + Italic"/>
    <w:basedOn w:val="Normal"/>
    <w:link w:val="StyleListBulletItalicChar"/>
    <w:uiPriority w:val="99"/>
    <w:rsid w:val="004B7CEB"/>
    <w:pPr>
      <w:tabs>
        <w:tab w:val="num" w:pos="720"/>
      </w:tabs>
      <w:spacing w:after="120"/>
      <w:ind w:left="720" w:hanging="360"/>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cs="Times New Roman"/>
      <w:iCs/>
      <w:sz w:val="24"/>
      <w:szCs w:val="24"/>
      <w:lang w:eastAsia="en-US"/>
    </w:rPr>
  </w:style>
  <w:style w:type="paragraph" w:customStyle="1" w:styleId="StyleBefore288pt">
    <w:name w:val="Style Before:  288pt"/>
    <w:basedOn w:val="Normal"/>
    <w:uiPriority w:val="99"/>
    <w:rsid w:val="00620EC8"/>
    <w:pPr>
      <w:spacing w:before="5760"/>
    </w:pPr>
    <w:rPr>
      <w:szCs w:val="20"/>
    </w:rPr>
  </w:style>
  <w:style w:type="paragraph" w:styleId="ListBullet">
    <w:name w:val="List Bullet"/>
    <w:aliases w:val="List Bullet Char,List Bullet Char Char Char Char Char"/>
    <w:basedOn w:val="Normal"/>
    <w:link w:val="ListBulletChar1"/>
    <w:unhideWhenUsed/>
    <w:locked/>
    <w:rsid w:val="00D8791A"/>
    <w:pPr>
      <w:numPr>
        <w:numId w:val="11"/>
      </w:numPr>
      <w:spacing w:after="120"/>
      <w:ind w:left="357" w:hanging="357"/>
    </w:pPr>
  </w:style>
  <w:style w:type="paragraph" w:customStyle="1" w:styleId="Default">
    <w:name w:val="Default"/>
    <w:rsid w:val="008E6A3C"/>
    <w:pPr>
      <w:autoSpaceDE w:val="0"/>
      <w:autoSpaceDN w:val="0"/>
      <w:adjustRightInd w:val="0"/>
    </w:pPr>
    <w:rPr>
      <w:rFonts w:ascii="Rockwell" w:hAnsi="Rockwell" w:cs="Rockwell"/>
      <w:color w:val="000000"/>
      <w:sz w:val="24"/>
      <w:szCs w:val="24"/>
    </w:rPr>
  </w:style>
  <w:style w:type="character" w:customStyle="1" w:styleId="ListBulletChar1">
    <w:name w:val="List Bullet Char1"/>
    <w:aliases w:val="List Bullet Char Char,List Bullet Char Char Char Char Char Char"/>
    <w:link w:val="ListBullet"/>
    <w:rsid w:val="00D8791A"/>
    <w:rPr>
      <w:rFonts w:ascii="Gill Sans" w:hAnsi="Gill Sans"/>
      <w:sz w:val="26"/>
      <w:szCs w:val="24"/>
      <w:lang w:eastAsia="en-US"/>
    </w:rPr>
  </w:style>
  <w:style w:type="paragraph" w:customStyle="1" w:styleId="CharCharCharChar">
    <w:name w:val="Char Char Char Char"/>
    <w:basedOn w:val="Normal"/>
    <w:rsid w:val="00433761"/>
    <w:pPr>
      <w:spacing w:after="160" w:line="240" w:lineRule="exact"/>
    </w:pPr>
    <w:rPr>
      <w:rFonts w:ascii="Tahoma" w:hAnsi="Tahoma"/>
      <w:sz w:val="20"/>
      <w:szCs w:val="20"/>
      <w:lang w:val="en-GB"/>
    </w:rPr>
  </w:style>
  <w:style w:type="table" w:styleId="TableGrid">
    <w:name w:val="Table Grid"/>
    <w:basedOn w:val="TableNormal"/>
    <w:locked/>
    <w:rsid w:val="00433761"/>
    <w:pPr>
      <w:spacing w:after="300" w:line="294"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33761"/>
    <w:pPr>
      <w:spacing w:after="300" w:line="294" w:lineRule="exact"/>
      <w:ind w:left="720"/>
      <w:contextualSpacing/>
    </w:pPr>
    <w:rPr>
      <w:rFonts w:ascii="Arial" w:hAnsi="Arial"/>
      <w:sz w:val="24"/>
    </w:rPr>
  </w:style>
  <w:style w:type="character" w:customStyle="1" w:styleId="ListParagraphChar">
    <w:name w:val="List Paragraph Char"/>
    <w:basedOn w:val="DefaultParagraphFont"/>
    <w:link w:val="ListParagraph"/>
    <w:locked/>
    <w:rsid w:val="00412A64"/>
    <w:rPr>
      <w:rFonts w:ascii="Arial" w:hAnsi="Arial"/>
      <w:sz w:val="24"/>
      <w:szCs w:val="24"/>
      <w:lang w:eastAsia="en-US"/>
    </w:rPr>
  </w:style>
  <w:style w:type="paragraph" w:customStyle="1" w:styleId="StyleTableCellCentered">
    <w:name w:val="Style Table Cell + Centered"/>
    <w:basedOn w:val="TableCell"/>
    <w:rsid w:val="00E731E7"/>
    <w:pPr>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36532">
      <w:marLeft w:val="0"/>
      <w:marRight w:val="0"/>
      <w:marTop w:val="0"/>
      <w:marBottom w:val="0"/>
      <w:divBdr>
        <w:top w:val="none" w:sz="0" w:space="0" w:color="auto"/>
        <w:left w:val="none" w:sz="0" w:space="0" w:color="auto"/>
        <w:bottom w:val="none" w:sz="0" w:space="0" w:color="auto"/>
        <w:right w:val="none" w:sz="0" w:space="0" w:color="auto"/>
      </w:divBdr>
      <w:divsChild>
        <w:div w:id="1548836630">
          <w:marLeft w:val="0"/>
          <w:marRight w:val="0"/>
          <w:marTop w:val="0"/>
          <w:marBottom w:val="0"/>
          <w:divBdr>
            <w:top w:val="none" w:sz="0" w:space="0" w:color="auto"/>
            <w:left w:val="none" w:sz="0" w:space="0" w:color="auto"/>
            <w:bottom w:val="none" w:sz="0" w:space="0" w:color="auto"/>
            <w:right w:val="none" w:sz="0" w:space="0" w:color="auto"/>
          </w:divBdr>
          <w:divsChild>
            <w:div w:id="1548836701">
              <w:marLeft w:val="0"/>
              <w:marRight w:val="0"/>
              <w:marTop w:val="0"/>
              <w:marBottom w:val="0"/>
              <w:divBdr>
                <w:top w:val="none" w:sz="0" w:space="0" w:color="auto"/>
                <w:left w:val="none" w:sz="0" w:space="0" w:color="auto"/>
                <w:bottom w:val="none" w:sz="0" w:space="0" w:color="auto"/>
                <w:right w:val="none" w:sz="0" w:space="0" w:color="auto"/>
              </w:divBdr>
              <w:divsChild>
                <w:div w:id="1548836583">
                  <w:marLeft w:val="0"/>
                  <w:marRight w:val="0"/>
                  <w:marTop w:val="0"/>
                  <w:marBottom w:val="0"/>
                  <w:divBdr>
                    <w:top w:val="none" w:sz="0" w:space="0" w:color="auto"/>
                    <w:left w:val="none" w:sz="0" w:space="0" w:color="auto"/>
                    <w:bottom w:val="none" w:sz="0" w:space="0" w:color="auto"/>
                    <w:right w:val="none" w:sz="0" w:space="0" w:color="auto"/>
                  </w:divBdr>
                  <w:divsChild>
                    <w:div w:id="1548836536">
                      <w:marLeft w:val="0"/>
                      <w:marRight w:val="0"/>
                      <w:marTop w:val="0"/>
                      <w:marBottom w:val="0"/>
                      <w:divBdr>
                        <w:top w:val="none" w:sz="0" w:space="0" w:color="auto"/>
                        <w:left w:val="none" w:sz="0" w:space="0" w:color="auto"/>
                        <w:bottom w:val="none" w:sz="0" w:space="0" w:color="auto"/>
                        <w:right w:val="none" w:sz="0" w:space="0" w:color="auto"/>
                      </w:divBdr>
                      <w:divsChild>
                        <w:div w:id="1548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44">
      <w:marLeft w:val="0"/>
      <w:marRight w:val="0"/>
      <w:marTop w:val="0"/>
      <w:marBottom w:val="0"/>
      <w:divBdr>
        <w:top w:val="none" w:sz="0" w:space="0" w:color="auto"/>
        <w:left w:val="none" w:sz="0" w:space="0" w:color="auto"/>
        <w:bottom w:val="none" w:sz="0" w:space="0" w:color="auto"/>
        <w:right w:val="none" w:sz="0" w:space="0" w:color="auto"/>
      </w:divBdr>
      <w:divsChild>
        <w:div w:id="1548836657">
          <w:marLeft w:val="0"/>
          <w:marRight w:val="0"/>
          <w:marTop w:val="0"/>
          <w:marBottom w:val="0"/>
          <w:divBdr>
            <w:top w:val="none" w:sz="0" w:space="0" w:color="auto"/>
            <w:left w:val="none" w:sz="0" w:space="0" w:color="auto"/>
            <w:bottom w:val="none" w:sz="0" w:space="0" w:color="auto"/>
            <w:right w:val="none" w:sz="0" w:space="0" w:color="auto"/>
          </w:divBdr>
          <w:divsChild>
            <w:div w:id="1548836588">
              <w:marLeft w:val="0"/>
              <w:marRight w:val="0"/>
              <w:marTop w:val="0"/>
              <w:marBottom w:val="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sChild>
                    <w:div w:id="1548836602">
                      <w:marLeft w:val="0"/>
                      <w:marRight w:val="0"/>
                      <w:marTop w:val="0"/>
                      <w:marBottom w:val="0"/>
                      <w:divBdr>
                        <w:top w:val="none" w:sz="0" w:space="0" w:color="auto"/>
                        <w:left w:val="none" w:sz="0" w:space="0" w:color="auto"/>
                        <w:bottom w:val="none" w:sz="0" w:space="0" w:color="auto"/>
                        <w:right w:val="none" w:sz="0" w:space="0" w:color="auto"/>
                      </w:divBdr>
                      <w:divsChild>
                        <w:div w:id="1548836692">
                          <w:marLeft w:val="0"/>
                          <w:marRight w:val="0"/>
                          <w:marTop w:val="0"/>
                          <w:marBottom w:val="0"/>
                          <w:divBdr>
                            <w:top w:val="none" w:sz="0" w:space="0" w:color="auto"/>
                            <w:left w:val="none" w:sz="0" w:space="0" w:color="auto"/>
                            <w:bottom w:val="none" w:sz="0" w:space="0" w:color="auto"/>
                            <w:right w:val="none" w:sz="0" w:space="0" w:color="auto"/>
                          </w:divBdr>
                          <w:divsChild>
                            <w:div w:id="1548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5">
      <w:marLeft w:val="0"/>
      <w:marRight w:val="0"/>
      <w:marTop w:val="0"/>
      <w:marBottom w:val="0"/>
      <w:divBdr>
        <w:top w:val="none" w:sz="0" w:space="0" w:color="auto"/>
        <w:left w:val="none" w:sz="0" w:space="0" w:color="auto"/>
        <w:bottom w:val="none" w:sz="0" w:space="0" w:color="auto"/>
        <w:right w:val="none" w:sz="0" w:space="0" w:color="auto"/>
      </w:divBdr>
      <w:divsChild>
        <w:div w:id="1548836550">
          <w:marLeft w:val="0"/>
          <w:marRight w:val="0"/>
          <w:marTop w:val="0"/>
          <w:marBottom w:val="0"/>
          <w:divBdr>
            <w:top w:val="none" w:sz="0" w:space="0" w:color="auto"/>
            <w:left w:val="none" w:sz="0" w:space="0" w:color="auto"/>
            <w:bottom w:val="none" w:sz="0" w:space="0" w:color="auto"/>
            <w:right w:val="none" w:sz="0" w:space="0" w:color="auto"/>
          </w:divBdr>
          <w:divsChild>
            <w:div w:id="1548836634">
              <w:marLeft w:val="0"/>
              <w:marRight w:val="0"/>
              <w:marTop w:val="0"/>
              <w:marBottom w:val="0"/>
              <w:divBdr>
                <w:top w:val="none" w:sz="0" w:space="0" w:color="auto"/>
                <w:left w:val="none" w:sz="0" w:space="0" w:color="auto"/>
                <w:bottom w:val="none" w:sz="0" w:space="0" w:color="auto"/>
                <w:right w:val="none" w:sz="0" w:space="0" w:color="auto"/>
              </w:divBdr>
              <w:divsChild>
                <w:div w:id="1548836589">
                  <w:marLeft w:val="0"/>
                  <w:marRight w:val="0"/>
                  <w:marTop w:val="0"/>
                  <w:marBottom w:val="0"/>
                  <w:divBdr>
                    <w:top w:val="none" w:sz="0" w:space="0" w:color="auto"/>
                    <w:left w:val="none" w:sz="0" w:space="0" w:color="auto"/>
                    <w:bottom w:val="none" w:sz="0" w:space="0" w:color="auto"/>
                    <w:right w:val="none" w:sz="0" w:space="0" w:color="auto"/>
                  </w:divBdr>
                  <w:divsChild>
                    <w:div w:id="1548836660">
                      <w:marLeft w:val="0"/>
                      <w:marRight w:val="0"/>
                      <w:marTop w:val="0"/>
                      <w:marBottom w:val="0"/>
                      <w:divBdr>
                        <w:top w:val="none" w:sz="0" w:space="0" w:color="auto"/>
                        <w:left w:val="none" w:sz="0" w:space="0" w:color="auto"/>
                        <w:bottom w:val="none" w:sz="0" w:space="0" w:color="auto"/>
                        <w:right w:val="none" w:sz="0" w:space="0" w:color="auto"/>
                      </w:divBdr>
                      <w:divsChild>
                        <w:div w:id="1548836730">
                          <w:marLeft w:val="0"/>
                          <w:marRight w:val="0"/>
                          <w:marTop w:val="0"/>
                          <w:marBottom w:val="0"/>
                          <w:divBdr>
                            <w:top w:val="none" w:sz="0" w:space="0" w:color="auto"/>
                            <w:left w:val="none" w:sz="0" w:space="0" w:color="auto"/>
                            <w:bottom w:val="none" w:sz="0" w:space="0" w:color="auto"/>
                            <w:right w:val="none" w:sz="0" w:space="0" w:color="auto"/>
                          </w:divBdr>
                          <w:divsChild>
                            <w:div w:id="1548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8">
      <w:marLeft w:val="0"/>
      <w:marRight w:val="0"/>
      <w:marTop w:val="0"/>
      <w:marBottom w:val="0"/>
      <w:divBdr>
        <w:top w:val="none" w:sz="0" w:space="0" w:color="auto"/>
        <w:left w:val="none" w:sz="0" w:space="0" w:color="auto"/>
        <w:bottom w:val="none" w:sz="0" w:space="0" w:color="auto"/>
        <w:right w:val="none" w:sz="0" w:space="0" w:color="auto"/>
      </w:divBdr>
      <w:divsChild>
        <w:div w:id="1548836676">
          <w:marLeft w:val="0"/>
          <w:marRight w:val="0"/>
          <w:marTop w:val="0"/>
          <w:marBottom w:val="0"/>
          <w:divBdr>
            <w:top w:val="none" w:sz="0" w:space="0" w:color="auto"/>
            <w:left w:val="none" w:sz="0" w:space="0" w:color="auto"/>
            <w:bottom w:val="none" w:sz="0" w:space="0" w:color="auto"/>
            <w:right w:val="none" w:sz="0" w:space="0" w:color="auto"/>
          </w:divBdr>
          <w:divsChild>
            <w:div w:id="1548836628">
              <w:marLeft w:val="0"/>
              <w:marRight w:val="0"/>
              <w:marTop w:val="0"/>
              <w:marBottom w:val="0"/>
              <w:divBdr>
                <w:top w:val="none" w:sz="0" w:space="0" w:color="auto"/>
                <w:left w:val="none" w:sz="0" w:space="0" w:color="auto"/>
                <w:bottom w:val="none" w:sz="0" w:space="0" w:color="auto"/>
                <w:right w:val="none" w:sz="0" w:space="0" w:color="auto"/>
              </w:divBdr>
              <w:divsChild>
                <w:div w:id="1548836609">
                  <w:marLeft w:val="0"/>
                  <w:marRight w:val="0"/>
                  <w:marTop w:val="0"/>
                  <w:marBottom w:val="0"/>
                  <w:divBdr>
                    <w:top w:val="none" w:sz="0" w:space="0" w:color="auto"/>
                    <w:left w:val="none" w:sz="0" w:space="0" w:color="auto"/>
                    <w:bottom w:val="none" w:sz="0" w:space="0" w:color="auto"/>
                    <w:right w:val="none" w:sz="0" w:space="0" w:color="auto"/>
                  </w:divBdr>
                  <w:divsChild>
                    <w:div w:id="1548836725">
                      <w:marLeft w:val="0"/>
                      <w:marRight w:val="0"/>
                      <w:marTop w:val="0"/>
                      <w:marBottom w:val="0"/>
                      <w:divBdr>
                        <w:top w:val="none" w:sz="0" w:space="0" w:color="auto"/>
                        <w:left w:val="none" w:sz="0" w:space="0" w:color="auto"/>
                        <w:bottom w:val="none" w:sz="0" w:space="0" w:color="auto"/>
                        <w:right w:val="none" w:sz="0" w:space="0" w:color="auto"/>
                      </w:divBdr>
                      <w:divsChild>
                        <w:div w:id="1548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69">
      <w:marLeft w:val="0"/>
      <w:marRight w:val="0"/>
      <w:marTop w:val="0"/>
      <w:marBottom w:val="0"/>
      <w:divBdr>
        <w:top w:val="none" w:sz="0" w:space="0" w:color="auto"/>
        <w:left w:val="none" w:sz="0" w:space="0" w:color="auto"/>
        <w:bottom w:val="none" w:sz="0" w:space="0" w:color="auto"/>
        <w:right w:val="none" w:sz="0" w:space="0" w:color="auto"/>
      </w:divBdr>
      <w:divsChild>
        <w:div w:id="1548836636">
          <w:marLeft w:val="0"/>
          <w:marRight w:val="0"/>
          <w:marTop w:val="0"/>
          <w:marBottom w:val="0"/>
          <w:divBdr>
            <w:top w:val="none" w:sz="0" w:space="0" w:color="auto"/>
            <w:left w:val="none" w:sz="0" w:space="0" w:color="auto"/>
            <w:bottom w:val="none" w:sz="0" w:space="0" w:color="auto"/>
            <w:right w:val="none" w:sz="0" w:space="0" w:color="auto"/>
          </w:divBdr>
          <w:divsChild>
            <w:div w:id="1548836635">
              <w:marLeft w:val="0"/>
              <w:marRight w:val="0"/>
              <w:marTop w:val="0"/>
              <w:marBottom w:val="0"/>
              <w:divBdr>
                <w:top w:val="none" w:sz="0" w:space="0" w:color="auto"/>
                <w:left w:val="none" w:sz="0" w:space="0" w:color="auto"/>
                <w:bottom w:val="none" w:sz="0" w:space="0" w:color="auto"/>
                <w:right w:val="none" w:sz="0" w:space="0" w:color="auto"/>
              </w:divBdr>
              <w:divsChild>
                <w:div w:id="1548836726">
                  <w:marLeft w:val="0"/>
                  <w:marRight w:val="0"/>
                  <w:marTop w:val="0"/>
                  <w:marBottom w:val="0"/>
                  <w:divBdr>
                    <w:top w:val="none" w:sz="0" w:space="0" w:color="auto"/>
                    <w:left w:val="none" w:sz="0" w:space="0" w:color="auto"/>
                    <w:bottom w:val="none" w:sz="0" w:space="0" w:color="auto"/>
                    <w:right w:val="none" w:sz="0" w:space="0" w:color="auto"/>
                  </w:divBdr>
                  <w:divsChild>
                    <w:div w:id="1548836566">
                      <w:marLeft w:val="0"/>
                      <w:marRight w:val="0"/>
                      <w:marTop w:val="0"/>
                      <w:marBottom w:val="0"/>
                      <w:divBdr>
                        <w:top w:val="none" w:sz="0" w:space="0" w:color="auto"/>
                        <w:left w:val="none" w:sz="0" w:space="0" w:color="auto"/>
                        <w:bottom w:val="none" w:sz="0" w:space="0" w:color="auto"/>
                        <w:right w:val="none" w:sz="0" w:space="0" w:color="auto"/>
                      </w:divBdr>
                      <w:divsChild>
                        <w:div w:id="1548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2">
      <w:marLeft w:val="0"/>
      <w:marRight w:val="0"/>
      <w:marTop w:val="0"/>
      <w:marBottom w:val="0"/>
      <w:divBdr>
        <w:top w:val="none" w:sz="0" w:space="0" w:color="auto"/>
        <w:left w:val="none" w:sz="0" w:space="0" w:color="auto"/>
        <w:bottom w:val="none" w:sz="0" w:space="0" w:color="auto"/>
        <w:right w:val="none" w:sz="0" w:space="0" w:color="auto"/>
      </w:divBdr>
      <w:divsChild>
        <w:div w:id="1548836724">
          <w:marLeft w:val="0"/>
          <w:marRight w:val="0"/>
          <w:marTop w:val="0"/>
          <w:marBottom w:val="0"/>
          <w:divBdr>
            <w:top w:val="none" w:sz="0" w:space="0" w:color="auto"/>
            <w:left w:val="none" w:sz="0" w:space="0" w:color="auto"/>
            <w:bottom w:val="none" w:sz="0" w:space="0" w:color="auto"/>
            <w:right w:val="none" w:sz="0" w:space="0" w:color="auto"/>
          </w:divBdr>
          <w:divsChild>
            <w:div w:id="1548836669">
              <w:marLeft w:val="0"/>
              <w:marRight w:val="0"/>
              <w:marTop w:val="0"/>
              <w:marBottom w:val="0"/>
              <w:divBdr>
                <w:top w:val="none" w:sz="0" w:space="0" w:color="auto"/>
                <w:left w:val="none" w:sz="0" w:space="0" w:color="auto"/>
                <w:bottom w:val="none" w:sz="0" w:space="0" w:color="auto"/>
                <w:right w:val="none" w:sz="0" w:space="0" w:color="auto"/>
              </w:divBdr>
              <w:divsChild>
                <w:div w:id="1548836601">
                  <w:marLeft w:val="0"/>
                  <w:marRight w:val="0"/>
                  <w:marTop w:val="0"/>
                  <w:marBottom w:val="0"/>
                  <w:divBdr>
                    <w:top w:val="none" w:sz="0" w:space="0" w:color="auto"/>
                    <w:left w:val="none" w:sz="0" w:space="0" w:color="auto"/>
                    <w:bottom w:val="none" w:sz="0" w:space="0" w:color="auto"/>
                    <w:right w:val="none" w:sz="0" w:space="0" w:color="auto"/>
                  </w:divBdr>
                  <w:divsChild>
                    <w:div w:id="1548836591">
                      <w:marLeft w:val="0"/>
                      <w:marRight w:val="0"/>
                      <w:marTop w:val="0"/>
                      <w:marBottom w:val="0"/>
                      <w:divBdr>
                        <w:top w:val="none" w:sz="0" w:space="0" w:color="auto"/>
                        <w:left w:val="none" w:sz="0" w:space="0" w:color="auto"/>
                        <w:bottom w:val="none" w:sz="0" w:space="0" w:color="auto"/>
                        <w:right w:val="none" w:sz="0" w:space="0" w:color="auto"/>
                      </w:divBdr>
                      <w:divsChild>
                        <w:div w:id="1548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4">
      <w:marLeft w:val="0"/>
      <w:marRight w:val="0"/>
      <w:marTop w:val="0"/>
      <w:marBottom w:val="0"/>
      <w:divBdr>
        <w:top w:val="none" w:sz="0" w:space="0" w:color="auto"/>
        <w:left w:val="none" w:sz="0" w:space="0" w:color="auto"/>
        <w:bottom w:val="none" w:sz="0" w:space="0" w:color="auto"/>
        <w:right w:val="none" w:sz="0" w:space="0" w:color="auto"/>
      </w:divBdr>
      <w:divsChild>
        <w:div w:id="1548836573">
          <w:marLeft w:val="0"/>
          <w:marRight w:val="0"/>
          <w:marTop w:val="0"/>
          <w:marBottom w:val="0"/>
          <w:divBdr>
            <w:top w:val="none" w:sz="0" w:space="0" w:color="auto"/>
            <w:left w:val="none" w:sz="0" w:space="0" w:color="auto"/>
            <w:bottom w:val="none" w:sz="0" w:space="0" w:color="auto"/>
            <w:right w:val="none" w:sz="0" w:space="0" w:color="auto"/>
          </w:divBdr>
          <w:divsChild>
            <w:div w:id="1548836672">
              <w:marLeft w:val="0"/>
              <w:marRight w:val="0"/>
              <w:marTop w:val="0"/>
              <w:marBottom w:val="0"/>
              <w:divBdr>
                <w:top w:val="none" w:sz="0" w:space="0" w:color="auto"/>
                <w:left w:val="none" w:sz="0" w:space="0" w:color="auto"/>
                <w:bottom w:val="none" w:sz="0" w:space="0" w:color="auto"/>
                <w:right w:val="none" w:sz="0" w:space="0" w:color="auto"/>
              </w:divBdr>
              <w:divsChild>
                <w:div w:id="1548836576">
                  <w:marLeft w:val="0"/>
                  <w:marRight w:val="0"/>
                  <w:marTop w:val="0"/>
                  <w:marBottom w:val="0"/>
                  <w:divBdr>
                    <w:top w:val="none" w:sz="0" w:space="0" w:color="auto"/>
                    <w:left w:val="none" w:sz="0" w:space="0" w:color="auto"/>
                    <w:bottom w:val="none" w:sz="0" w:space="0" w:color="auto"/>
                    <w:right w:val="none" w:sz="0" w:space="0" w:color="auto"/>
                  </w:divBdr>
                  <w:divsChild>
                    <w:div w:id="1548836600">
                      <w:marLeft w:val="0"/>
                      <w:marRight w:val="0"/>
                      <w:marTop w:val="0"/>
                      <w:marBottom w:val="0"/>
                      <w:divBdr>
                        <w:top w:val="none" w:sz="0" w:space="0" w:color="auto"/>
                        <w:left w:val="none" w:sz="0" w:space="0" w:color="auto"/>
                        <w:bottom w:val="none" w:sz="0" w:space="0" w:color="auto"/>
                        <w:right w:val="none" w:sz="0" w:space="0" w:color="auto"/>
                      </w:divBdr>
                      <w:divsChild>
                        <w:div w:id="1548836568">
                          <w:marLeft w:val="0"/>
                          <w:marRight w:val="0"/>
                          <w:marTop w:val="0"/>
                          <w:marBottom w:val="0"/>
                          <w:divBdr>
                            <w:top w:val="none" w:sz="0" w:space="0" w:color="auto"/>
                            <w:left w:val="none" w:sz="0" w:space="0" w:color="auto"/>
                            <w:bottom w:val="none" w:sz="0" w:space="0" w:color="auto"/>
                            <w:right w:val="none" w:sz="0" w:space="0" w:color="auto"/>
                          </w:divBdr>
                          <w:divsChild>
                            <w:div w:id="154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77">
      <w:marLeft w:val="0"/>
      <w:marRight w:val="0"/>
      <w:marTop w:val="0"/>
      <w:marBottom w:val="0"/>
      <w:divBdr>
        <w:top w:val="none" w:sz="0" w:space="0" w:color="auto"/>
        <w:left w:val="none" w:sz="0" w:space="0" w:color="auto"/>
        <w:bottom w:val="none" w:sz="0" w:space="0" w:color="auto"/>
        <w:right w:val="none" w:sz="0" w:space="0" w:color="auto"/>
      </w:divBdr>
      <w:divsChild>
        <w:div w:id="1548836538">
          <w:marLeft w:val="0"/>
          <w:marRight w:val="0"/>
          <w:marTop w:val="0"/>
          <w:marBottom w:val="0"/>
          <w:divBdr>
            <w:top w:val="none" w:sz="0" w:space="0" w:color="auto"/>
            <w:left w:val="none" w:sz="0" w:space="0" w:color="auto"/>
            <w:bottom w:val="none" w:sz="0" w:space="0" w:color="auto"/>
            <w:right w:val="none" w:sz="0" w:space="0" w:color="auto"/>
          </w:divBdr>
          <w:divsChild>
            <w:div w:id="1548836542">
              <w:marLeft w:val="0"/>
              <w:marRight w:val="0"/>
              <w:marTop w:val="0"/>
              <w:marBottom w:val="0"/>
              <w:divBdr>
                <w:top w:val="none" w:sz="0" w:space="0" w:color="auto"/>
                <w:left w:val="none" w:sz="0" w:space="0" w:color="auto"/>
                <w:bottom w:val="none" w:sz="0" w:space="0" w:color="auto"/>
                <w:right w:val="none" w:sz="0" w:space="0" w:color="auto"/>
              </w:divBdr>
              <w:divsChild>
                <w:div w:id="1548836632">
                  <w:marLeft w:val="0"/>
                  <w:marRight w:val="0"/>
                  <w:marTop w:val="0"/>
                  <w:marBottom w:val="0"/>
                  <w:divBdr>
                    <w:top w:val="none" w:sz="0" w:space="0" w:color="auto"/>
                    <w:left w:val="none" w:sz="0" w:space="0" w:color="auto"/>
                    <w:bottom w:val="none" w:sz="0" w:space="0" w:color="auto"/>
                    <w:right w:val="none" w:sz="0" w:space="0" w:color="auto"/>
                  </w:divBdr>
                  <w:divsChild>
                    <w:div w:id="1548836614">
                      <w:marLeft w:val="0"/>
                      <w:marRight w:val="0"/>
                      <w:marTop w:val="0"/>
                      <w:marBottom w:val="0"/>
                      <w:divBdr>
                        <w:top w:val="none" w:sz="0" w:space="0" w:color="auto"/>
                        <w:left w:val="none" w:sz="0" w:space="0" w:color="auto"/>
                        <w:bottom w:val="none" w:sz="0" w:space="0" w:color="auto"/>
                        <w:right w:val="none" w:sz="0" w:space="0" w:color="auto"/>
                      </w:divBdr>
                      <w:divsChild>
                        <w:div w:id="1548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85">
      <w:marLeft w:val="0"/>
      <w:marRight w:val="0"/>
      <w:marTop w:val="0"/>
      <w:marBottom w:val="0"/>
      <w:divBdr>
        <w:top w:val="none" w:sz="0" w:space="0" w:color="auto"/>
        <w:left w:val="none" w:sz="0" w:space="0" w:color="auto"/>
        <w:bottom w:val="none" w:sz="0" w:space="0" w:color="auto"/>
        <w:right w:val="none" w:sz="0" w:space="0" w:color="auto"/>
      </w:divBdr>
      <w:divsChild>
        <w:div w:id="1548836673">
          <w:marLeft w:val="0"/>
          <w:marRight w:val="0"/>
          <w:marTop w:val="300"/>
          <w:marBottom w:val="0"/>
          <w:divBdr>
            <w:top w:val="none" w:sz="0" w:space="0" w:color="auto"/>
            <w:left w:val="none" w:sz="0" w:space="0" w:color="auto"/>
            <w:bottom w:val="none" w:sz="0" w:space="0" w:color="auto"/>
            <w:right w:val="none" w:sz="0" w:space="0" w:color="auto"/>
          </w:divBdr>
          <w:divsChild>
            <w:div w:id="1548836653">
              <w:marLeft w:val="0"/>
              <w:marRight w:val="0"/>
              <w:marTop w:val="0"/>
              <w:marBottom w:val="0"/>
              <w:divBdr>
                <w:top w:val="none" w:sz="0" w:space="0" w:color="auto"/>
                <w:left w:val="none" w:sz="0" w:space="0" w:color="auto"/>
                <w:bottom w:val="none" w:sz="0" w:space="0" w:color="auto"/>
                <w:right w:val="none" w:sz="0" w:space="0" w:color="auto"/>
              </w:divBdr>
              <w:divsChild>
                <w:div w:id="1548836675">
                  <w:marLeft w:val="0"/>
                  <w:marRight w:val="-3600"/>
                  <w:marTop w:val="0"/>
                  <w:marBottom w:val="0"/>
                  <w:divBdr>
                    <w:top w:val="none" w:sz="0" w:space="0" w:color="auto"/>
                    <w:left w:val="none" w:sz="0" w:space="0" w:color="auto"/>
                    <w:bottom w:val="none" w:sz="0" w:space="0" w:color="auto"/>
                    <w:right w:val="none" w:sz="0" w:space="0" w:color="auto"/>
                  </w:divBdr>
                  <w:divsChild>
                    <w:div w:id="1548836706">
                      <w:marLeft w:val="300"/>
                      <w:marRight w:val="4200"/>
                      <w:marTop w:val="0"/>
                      <w:marBottom w:val="540"/>
                      <w:divBdr>
                        <w:top w:val="none" w:sz="0" w:space="0" w:color="auto"/>
                        <w:left w:val="none" w:sz="0" w:space="0" w:color="auto"/>
                        <w:bottom w:val="none" w:sz="0" w:space="0" w:color="auto"/>
                        <w:right w:val="none" w:sz="0" w:space="0" w:color="auto"/>
                      </w:divBdr>
                      <w:divsChild>
                        <w:div w:id="1548836543">
                          <w:marLeft w:val="0"/>
                          <w:marRight w:val="0"/>
                          <w:marTop w:val="0"/>
                          <w:marBottom w:val="0"/>
                          <w:divBdr>
                            <w:top w:val="none" w:sz="0" w:space="0" w:color="auto"/>
                            <w:left w:val="none" w:sz="0" w:space="0" w:color="auto"/>
                            <w:bottom w:val="none" w:sz="0" w:space="0" w:color="auto"/>
                            <w:right w:val="none" w:sz="0" w:space="0" w:color="auto"/>
                          </w:divBdr>
                          <w:divsChild>
                            <w:div w:id="1548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6">
      <w:marLeft w:val="0"/>
      <w:marRight w:val="0"/>
      <w:marTop w:val="0"/>
      <w:marBottom w:val="0"/>
      <w:divBdr>
        <w:top w:val="none" w:sz="0" w:space="0" w:color="auto"/>
        <w:left w:val="none" w:sz="0" w:space="0" w:color="auto"/>
        <w:bottom w:val="none" w:sz="0" w:space="0" w:color="auto"/>
        <w:right w:val="none" w:sz="0" w:space="0" w:color="auto"/>
      </w:divBdr>
      <w:divsChild>
        <w:div w:id="1548836646">
          <w:marLeft w:val="0"/>
          <w:marRight w:val="0"/>
          <w:marTop w:val="0"/>
          <w:marBottom w:val="0"/>
          <w:divBdr>
            <w:top w:val="none" w:sz="0" w:space="0" w:color="auto"/>
            <w:left w:val="none" w:sz="0" w:space="0" w:color="auto"/>
            <w:bottom w:val="none" w:sz="0" w:space="0" w:color="auto"/>
            <w:right w:val="none" w:sz="0" w:space="0" w:color="auto"/>
          </w:divBdr>
          <w:divsChild>
            <w:div w:id="1548836570">
              <w:marLeft w:val="0"/>
              <w:marRight w:val="0"/>
              <w:marTop w:val="0"/>
              <w:marBottom w:val="0"/>
              <w:divBdr>
                <w:top w:val="none" w:sz="0" w:space="0" w:color="auto"/>
                <w:left w:val="none" w:sz="0" w:space="0" w:color="auto"/>
                <w:bottom w:val="none" w:sz="0" w:space="0" w:color="auto"/>
                <w:right w:val="none" w:sz="0" w:space="0" w:color="auto"/>
              </w:divBdr>
              <w:divsChild>
                <w:div w:id="1548836699">
                  <w:marLeft w:val="0"/>
                  <w:marRight w:val="0"/>
                  <w:marTop w:val="0"/>
                  <w:marBottom w:val="0"/>
                  <w:divBdr>
                    <w:top w:val="none" w:sz="0" w:space="0" w:color="auto"/>
                    <w:left w:val="none" w:sz="0" w:space="0" w:color="auto"/>
                    <w:bottom w:val="none" w:sz="0" w:space="0" w:color="auto"/>
                    <w:right w:val="none" w:sz="0" w:space="0" w:color="auto"/>
                  </w:divBdr>
                  <w:divsChild>
                    <w:div w:id="1548836710">
                      <w:marLeft w:val="0"/>
                      <w:marRight w:val="0"/>
                      <w:marTop w:val="0"/>
                      <w:marBottom w:val="0"/>
                      <w:divBdr>
                        <w:top w:val="none" w:sz="0" w:space="0" w:color="auto"/>
                        <w:left w:val="none" w:sz="0" w:space="0" w:color="auto"/>
                        <w:bottom w:val="none" w:sz="0" w:space="0" w:color="auto"/>
                        <w:right w:val="none" w:sz="0" w:space="0" w:color="auto"/>
                      </w:divBdr>
                      <w:divsChild>
                        <w:div w:id="1548836592">
                          <w:marLeft w:val="0"/>
                          <w:marRight w:val="0"/>
                          <w:marTop w:val="0"/>
                          <w:marBottom w:val="0"/>
                          <w:divBdr>
                            <w:top w:val="none" w:sz="0" w:space="0" w:color="auto"/>
                            <w:left w:val="none" w:sz="0" w:space="0" w:color="auto"/>
                            <w:bottom w:val="none" w:sz="0" w:space="0" w:color="auto"/>
                            <w:right w:val="none" w:sz="0" w:space="0" w:color="auto"/>
                          </w:divBdr>
                          <w:divsChild>
                            <w:div w:id="154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8">
      <w:marLeft w:val="0"/>
      <w:marRight w:val="0"/>
      <w:marTop w:val="0"/>
      <w:marBottom w:val="0"/>
      <w:divBdr>
        <w:top w:val="none" w:sz="0" w:space="0" w:color="auto"/>
        <w:left w:val="none" w:sz="0" w:space="0" w:color="auto"/>
        <w:bottom w:val="none" w:sz="0" w:space="0" w:color="auto"/>
        <w:right w:val="none" w:sz="0" w:space="0" w:color="auto"/>
      </w:divBdr>
      <w:divsChild>
        <w:div w:id="1548836721">
          <w:marLeft w:val="0"/>
          <w:marRight w:val="0"/>
          <w:marTop w:val="0"/>
          <w:marBottom w:val="0"/>
          <w:divBdr>
            <w:top w:val="none" w:sz="0" w:space="0" w:color="auto"/>
            <w:left w:val="none" w:sz="0" w:space="0" w:color="auto"/>
            <w:bottom w:val="none" w:sz="0" w:space="0" w:color="auto"/>
            <w:right w:val="none" w:sz="0" w:space="0" w:color="auto"/>
          </w:divBdr>
          <w:divsChild>
            <w:div w:id="1548836679">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548836608">
                      <w:marLeft w:val="0"/>
                      <w:marRight w:val="0"/>
                      <w:marTop w:val="0"/>
                      <w:marBottom w:val="0"/>
                      <w:divBdr>
                        <w:top w:val="none" w:sz="0" w:space="0" w:color="auto"/>
                        <w:left w:val="none" w:sz="0" w:space="0" w:color="auto"/>
                        <w:bottom w:val="none" w:sz="0" w:space="0" w:color="auto"/>
                        <w:right w:val="none" w:sz="0" w:space="0" w:color="auto"/>
                      </w:divBdr>
                      <w:divsChild>
                        <w:div w:id="154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99">
      <w:marLeft w:val="0"/>
      <w:marRight w:val="0"/>
      <w:marTop w:val="0"/>
      <w:marBottom w:val="0"/>
      <w:divBdr>
        <w:top w:val="none" w:sz="0" w:space="0" w:color="auto"/>
        <w:left w:val="none" w:sz="0" w:space="0" w:color="auto"/>
        <w:bottom w:val="none" w:sz="0" w:space="0" w:color="auto"/>
        <w:right w:val="none" w:sz="0" w:space="0" w:color="auto"/>
      </w:divBdr>
      <w:divsChild>
        <w:div w:id="1548836693">
          <w:marLeft w:val="0"/>
          <w:marRight w:val="0"/>
          <w:marTop w:val="0"/>
          <w:marBottom w:val="0"/>
          <w:divBdr>
            <w:top w:val="none" w:sz="0" w:space="0" w:color="auto"/>
            <w:left w:val="none" w:sz="0" w:space="0" w:color="auto"/>
            <w:bottom w:val="none" w:sz="0" w:space="0" w:color="auto"/>
            <w:right w:val="none" w:sz="0" w:space="0" w:color="auto"/>
          </w:divBdr>
          <w:divsChild>
            <w:div w:id="1548836649">
              <w:marLeft w:val="0"/>
              <w:marRight w:val="0"/>
              <w:marTop w:val="0"/>
              <w:marBottom w:val="0"/>
              <w:divBdr>
                <w:top w:val="none" w:sz="0" w:space="0" w:color="auto"/>
                <w:left w:val="none" w:sz="0" w:space="0" w:color="auto"/>
                <w:bottom w:val="none" w:sz="0" w:space="0" w:color="auto"/>
                <w:right w:val="none" w:sz="0" w:space="0" w:color="auto"/>
              </w:divBdr>
              <w:divsChild>
                <w:div w:id="1548836723">
                  <w:marLeft w:val="0"/>
                  <w:marRight w:val="0"/>
                  <w:marTop w:val="0"/>
                  <w:marBottom w:val="0"/>
                  <w:divBdr>
                    <w:top w:val="none" w:sz="0" w:space="0" w:color="auto"/>
                    <w:left w:val="none" w:sz="0" w:space="0" w:color="auto"/>
                    <w:bottom w:val="none" w:sz="0" w:space="0" w:color="auto"/>
                    <w:right w:val="none" w:sz="0" w:space="0" w:color="auto"/>
                  </w:divBdr>
                  <w:divsChild>
                    <w:div w:id="1548836618">
                      <w:marLeft w:val="0"/>
                      <w:marRight w:val="0"/>
                      <w:marTop w:val="0"/>
                      <w:marBottom w:val="0"/>
                      <w:divBdr>
                        <w:top w:val="none" w:sz="0" w:space="0" w:color="auto"/>
                        <w:left w:val="none" w:sz="0" w:space="0" w:color="auto"/>
                        <w:bottom w:val="none" w:sz="0" w:space="0" w:color="auto"/>
                        <w:right w:val="none" w:sz="0" w:space="0" w:color="auto"/>
                      </w:divBdr>
                      <w:divsChild>
                        <w:div w:id="1548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03">
      <w:marLeft w:val="0"/>
      <w:marRight w:val="0"/>
      <w:marTop w:val="0"/>
      <w:marBottom w:val="0"/>
      <w:divBdr>
        <w:top w:val="none" w:sz="0" w:space="0" w:color="auto"/>
        <w:left w:val="none" w:sz="0" w:space="0" w:color="auto"/>
        <w:bottom w:val="none" w:sz="0" w:space="0" w:color="auto"/>
        <w:right w:val="none" w:sz="0" w:space="0" w:color="auto"/>
      </w:divBdr>
      <w:divsChild>
        <w:div w:id="1548836578">
          <w:marLeft w:val="0"/>
          <w:marRight w:val="0"/>
          <w:marTop w:val="0"/>
          <w:marBottom w:val="0"/>
          <w:divBdr>
            <w:top w:val="none" w:sz="0" w:space="0" w:color="auto"/>
            <w:left w:val="none" w:sz="0" w:space="0" w:color="auto"/>
            <w:bottom w:val="none" w:sz="0" w:space="0" w:color="auto"/>
            <w:right w:val="none" w:sz="0" w:space="0" w:color="auto"/>
          </w:divBdr>
          <w:divsChild>
            <w:div w:id="1548836593">
              <w:marLeft w:val="0"/>
              <w:marRight w:val="0"/>
              <w:marTop w:val="0"/>
              <w:marBottom w:val="0"/>
              <w:divBdr>
                <w:top w:val="none" w:sz="0" w:space="0" w:color="auto"/>
                <w:left w:val="none" w:sz="0" w:space="0" w:color="auto"/>
                <w:bottom w:val="none" w:sz="0" w:space="0" w:color="auto"/>
                <w:right w:val="none" w:sz="0" w:space="0" w:color="auto"/>
              </w:divBdr>
              <w:divsChild>
                <w:div w:id="1548836684">
                  <w:marLeft w:val="0"/>
                  <w:marRight w:val="0"/>
                  <w:marTop w:val="0"/>
                  <w:marBottom w:val="0"/>
                  <w:divBdr>
                    <w:top w:val="none" w:sz="0" w:space="0" w:color="auto"/>
                    <w:left w:val="none" w:sz="0" w:space="0" w:color="auto"/>
                    <w:bottom w:val="none" w:sz="0" w:space="0" w:color="auto"/>
                    <w:right w:val="none" w:sz="0" w:space="0" w:color="auto"/>
                  </w:divBdr>
                  <w:divsChild>
                    <w:div w:id="1548836571">
                      <w:marLeft w:val="0"/>
                      <w:marRight w:val="0"/>
                      <w:marTop w:val="0"/>
                      <w:marBottom w:val="0"/>
                      <w:divBdr>
                        <w:top w:val="none" w:sz="0" w:space="0" w:color="auto"/>
                        <w:left w:val="none" w:sz="0" w:space="0" w:color="auto"/>
                        <w:bottom w:val="none" w:sz="0" w:space="0" w:color="auto"/>
                        <w:right w:val="none" w:sz="0" w:space="0" w:color="auto"/>
                      </w:divBdr>
                      <w:divsChild>
                        <w:div w:id="1548836652">
                          <w:marLeft w:val="0"/>
                          <w:marRight w:val="0"/>
                          <w:marTop w:val="0"/>
                          <w:marBottom w:val="0"/>
                          <w:divBdr>
                            <w:top w:val="none" w:sz="0" w:space="0" w:color="auto"/>
                            <w:left w:val="none" w:sz="0" w:space="0" w:color="auto"/>
                            <w:bottom w:val="none" w:sz="0" w:space="0" w:color="auto"/>
                            <w:right w:val="none" w:sz="0" w:space="0" w:color="auto"/>
                          </w:divBdr>
                          <w:divsChild>
                            <w:div w:id="154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10">
      <w:marLeft w:val="0"/>
      <w:marRight w:val="0"/>
      <w:marTop w:val="0"/>
      <w:marBottom w:val="0"/>
      <w:divBdr>
        <w:top w:val="none" w:sz="0" w:space="0" w:color="auto"/>
        <w:left w:val="none" w:sz="0" w:space="0" w:color="auto"/>
        <w:bottom w:val="none" w:sz="0" w:space="0" w:color="auto"/>
        <w:right w:val="none" w:sz="0" w:space="0" w:color="auto"/>
      </w:divBdr>
      <w:divsChild>
        <w:div w:id="1548836678">
          <w:marLeft w:val="0"/>
          <w:marRight w:val="0"/>
          <w:marTop w:val="0"/>
          <w:marBottom w:val="0"/>
          <w:divBdr>
            <w:top w:val="none" w:sz="0" w:space="0" w:color="auto"/>
            <w:left w:val="none" w:sz="0" w:space="0" w:color="auto"/>
            <w:bottom w:val="none" w:sz="0" w:space="0" w:color="auto"/>
            <w:right w:val="none" w:sz="0" w:space="0" w:color="auto"/>
          </w:divBdr>
          <w:divsChild>
            <w:div w:id="1548836686">
              <w:marLeft w:val="0"/>
              <w:marRight w:val="0"/>
              <w:marTop w:val="0"/>
              <w:marBottom w:val="0"/>
              <w:divBdr>
                <w:top w:val="none" w:sz="0" w:space="0" w:color="auto"/>
                <w:left w:val="none" w:sz="0" w:space="0" w:color="auto"/>
                <w:bottom w:val="none" w:sz="0" w:space="0" w:color="auto"/>
                <w:right w:val="none" w:sz="0" w:space="0" w:color="auto"/>
              </w:divBdr>
              <w:divsChild>
                <w:div w:id="1548836563">
                  <w:marLeft w:val="0"/>
                  <w:marRight w:val="0"/>
                  <w:marTop w:val="0"/>
                  <w:marBottom w:val="0"/>
                  <w:divBdr>
                    <w:top w:val="none" w:sz="0" w:space="0" w:color="auto"/>
                    <w:left w:val="none" w:sz="0" w:space="0" w:color="auto"/>
                    <w:bottom w:val="none" w:sz="0" w:space="0" w:color="auto"/>
                    <w:right w:val="none" w:sz="0" w:space="0" w:color="auto"/>
                  </w:divBdr>
                  <w:divsChild>
                    <w:div w:id="1548836546">
                      <w:marLeft w:val="0"/>
                      <w:marRight w:val="0"/>
                      <w:marTop w:val="0"/>
                      <w:marBottom w:val="0"/>
                      <w:divBdr>
                        <w:top w:val="none" w:sz="0" w:space="0" w:color="auto"/>
                        <w:left w:val="none" w:sz="0" w:space="0" w:color="auto"/>
                        <w:bottom w:val="none" w:sz="0" w:space="0" w:color="auto"/>
                        <w:right w:val="none" w:sz="0" w:space="0" w:color="auto"/>
                      </w:divBdr>
                      <w:divsChild>
                        <w:div w:id="1548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1">
      <w:marLeft w:val="0"/>
      <w:marRight w:val="0"/>
      <w:marTop w:val="0"/>
      <w:marBottom w:val="0"/>
      <w:divBdr>
        <w:top w:val="none" w:sz="0" w:space="0" w:color="auto"/>
        <w:left w:val="none" w:sz="0" w:space="0" w:color="auto"/>
        <w:bottom w:val="none" w:sz="0" w:space="0" w:color="auto"/>
        <w:right w:val="none" w:sz="0" w:space="0" w:color="auto"/>
      </w:divBdr>
      <w:divsChild>
        <w:div w:id="1548836694">
          <w:marLeft w:val="0"/>
          <w:marRight w:val="0"/>
          <w:marTop w:val="0"/>
          <w:marBottom w:val="0"/>
          <w:divBdr>
            <w:top w:val="none" w:sz="0" w:space="0" w:color="auto"/>
            <w:left w:val="none" w:sz="0" w:space="0" w:color="auto"/>
            <w:bottom w:val="none" w:sz="0" w:space="0" w:color="auto"/>
            <w:right w:val="none" w:sz="0" w:space="0" w:color="auto"/>
          </w:divBdr>
          <w:divsChild>
            <w:div w:id="1548836663">
              <w:marLeft w:val="0"/>
              <w:marRight w:val="0"/>
              <w:marTop w:val="0"/>
              <w:marBottom w:val="0"/>
              <w:divBdr>
                <w:top w:val="none" w:sz="0" w:space="0" w:color="auto"/>
                <w:left w:val="none" w:sz="0" w:space="0" w:color="auto"/>
                <w:bottom w:val="none" w:sz="0" w:space="0" w:color="auto"/>
                <w:right w:val="none" w:sz="0" w:space="0" w:color="auto"/>
              </w:divBdr>
              <w:divsChild>
                <w:div w:id="1548836665">
                  <w:marLeft w:val="0"/>
                  <w:marRight w:val="0"/>
                  <w:marTop w:val="0"/>
                  <w:marBottom w:val="0"/>
                  <w:divBdr>
                    <w:top w:val="none" w:sz="0" w:space="0" w:color="auto"/>
                    <w:left w:val="none" w:sz="0" w:space="0" w:color="auto"/>
                    <w:bottom w:val="none" w:sz="0" w:space="0" w:color="auto"/>
                    <w:right w:val="none" w:sz="0" w:space="0" w:color="auto"/>
                  </w:divBdr>
                  <w:divsChild>
                    <w:div w:id="1548836668">
                      <w:marLeft w:val="0"/>
                      <w:marRight w:val="0"/>
                      <w:marTop w:val="0"/>
                      <w:marBottom w:val="0"/>
                      <w:divBdr>
                        <w:top w:val="none" w:sz="0" w:space="0" w:color="auto"/>
                        <w:left w:val="none" w:sz="0" w:space="0" w:color="auto"/>
                        <w:bottom w:val="none" w:sz="0" w:space="0" w:color="auto"/>
                        <w:right w:val="none" w:sz="0" w:space="0" w:color="auto"/>
                      </w:divBdr>
                      <w:divsChild>
                        <w:div w:id="1548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7">
      <w:marLeft w:val="0"/>
      <w:marRight w:val="0"/>
      <w:marTop w:val="0"/>
      <w:marBottom w:val="0"/>
      <w:divBdr>
        <w:top w:val="none" w:sz="0" w:space="0" w:color="auto"/>
        <w:left w:val="none" w:sz="0" w:space="0" w:color="auto"/>
        <w:bottom w:val="none" w:sz="0" w:space="0" w:color="auto"/>
        <w:right w:val="none" w:sz="0" w:space="0" w:color="auto"/>
      </w:divBdr>
      <w:divsChild>
        <w:div w:id="1548836561">
          <w:marLeft w:val="0"/>
          <w:marRight w:val="0"/>
          <w:marTop w:val="0"/>
          <w:marBottom w:val="0"/>
          <w:divBdr>
            <w:top w:val="none" w:sz="0" w:space="0" w:color="auto"/>
            <w:left w:val="none" w:sz="0" w:space="0" w:color="auto"/>
            <w:bottom w:val="none" w:sz="0" w:space="0" w:color="auto"/>
            <w:right w:val="none" w:sz="0" w:space="0" w:color="auto"/>
          </w:divBdr>
          <w:divsChild>
            <w:div w:id="1548836564">
              <w:marLeft w:val="0"/>
              <w:marRight w:val="0"/>
              <w:marTop w:val="0"/>
              <w:marBottom w:val="0"/>
              <w:divBdr>
                <w:top w:val="none" w:sz="0" w:space="0" w:color="auto"/>
                <w:left w:val="none" w:sz="0" w:space="0" w:color="auto"/>
                <w:bottom w:val="none" w:sz="0" w:space="0" w:color="auto"/>
                <w:right w:val="none" w:sz="0" w:space="0" w:color="auto"/>
              </w:divBdr>
              <w:divsChild>
                <w:div w:id="1548836547">
                  <w:marLeft w:val="0"/>
                  <w:marRight w:val="0"/>
                  <w:marTop w:val="0"/>
                  <w:marBottom w:val="0"/>
                  <w:divBdr>
                    <w:top w:val="none" w:sz="0" w:space="0" w:color="auto"/>
                    <w:left w:val="none" w:sz="0" w:space="0" w:color="auto"/>
                    <w:bottom w:val="none" w:sz="0" w:space="0" w:color="auto"/>
                    <w:right w:val="none" w:sz="0" w:space="0" w:color="auto"/>
                  </w:divBdr>
                  <w:divsChild>
                    <w:div w:id="1548836733">
                      <w:marLeft w:val="0"/>
                      <w:marRight w:val="0"/>
                      <w:marTop w:val="0"/>
                      <w:marBottom w:val="0"/>
                      <w:divBdr>
                        <w:top w:val="none" w:sz="0" w:space="0" w:color="auto"/>
                        <w:left w:val="none" w:sz="0" w:space="0" w:color="auto"/>
                        <w:bottom w:val="none" w:sz="0" w:space="0" w:color="auto"/>
                        <w:right w:val="none" w:sz="0" w:space="0" w:color="auto"/>
                      </w:divBdr>
                      <w:divsChild>
                        <w:div w:id="1548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1">
      <w:marLeft w:val="0"/>
      <w:marRight w:val="0"/>
      <w:marTop w:val="0"/>
      <w:marBottom w:val="0"/>
      <w:divBdr>
        <w:top w:val="none" w:sz="0" w:space="0" w:color="auto"/>
        <w:left w:val="none" w:sz="0" w:space="0" w:color="auto"/>
        <w:bottom w:val="none" w:sz="0" w:space="0" w:color="auto"/>
        <w:right w:val="none" w:sz="0" w:space="0" w:color="auto"/>
      </w:divBdr>
      <w:divsChild>
        <w:div w:id="1548836619">
          <w:marLeft w:val="0"/>
          <w:marRight w:val="0"/>
          <w:marTop w:val="0"/>
          <w:marBottom w:val="0"/>
          <w:divBdr>
            <w:top w:val="none" w:sz="0" w:space="0" w:color="auto"/>
            <w:left w:val="none" w:sz="0" w:space="0" w:color="auto"/>
            <w:bottom w:val="none" w:sz="0" w:space="0" w:color="auto"/>
            <w:right w:val="none" w:sz="0" w:space="0" w:color="auto"/>
          </w:divBdr>
          <w:divsChild>
            <w:div w:id="1548836696">
              <w:marLeft w:val="0"/>
              <w:marRight w:val="0"/>
              <w:marTop w:val="0"/>
              <w:marBottom w:val="0"/>
              <w:divBdr>
                <w:top w:val="none" w:sz="0" w:space="0" w:color="auto"/>
                <w:left w:val="none" w:sz="0" w:space="0" w:color="auto"/>
                <w:bottom w:val="none" w:sz="0" w:space="0" w:color="auto"/>
                <w:right w:val="none" w:sz="0" w:space="0" w:color="auto"/>
              </w:divBdr>
              <w:divsChild>
                <w:div w:id="1548836655">
                  <w:marLeft w:val="0"/>
                  <w:marRight w:val="0"/>
                  <w:marTop w:val="0"/>
                  <w:marBottom w:val="0"/>
                  <w:divBdr>
                    <w:top w:val="none" w:sz="0" w:space="0" w:color="auto"/>
                    <w:left w:val="none" w:sz="0" w:space="0" w:color="auto"/>
                    <w:bottom w:val="none" w:sz="0" w:space="0" w:color="auto"/>
                    <w:right w:val="none" w:sz="0" w:space="0" w:color="auto"/>
                  </w:divBdr>
                  <w:divsChild>
                    <w:div w:id="1548836549">
                      <w:marLeft w:val="0"/>
                      <w:marRight w:val="0"/>
                      <w:marTop w:val="0"/>
                      <w:marBottom w:val="0"/>
                      <w:divBdr>
                        <w:top w:val="none" w:sz="0" w:space="0" w:color="auto"/>
                        <w:left w:val="none" w:sz="0" w:space="0" w:color="auto"/>
                        <w:bottom w:val="none" w:sz="0" w:space="0" w:color="auto"/>
                        <w:right w:val="none" w:sz="0" w:space="0" w:color="auto"/>
                      </w:divBdr>
                      <w:divsChild>
                        <w:div w:id="1548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3">
      <w:marLeft w:val="0"/>
      <w:marRight w:val="0"/>
      <w:marTop w:val="0"/>
      <w:marBottom w:val="0"/>
      <w:divBdr>
        <w:top w:val="none" w:sz="0" w:space="0" w:color="auto"/>
        <w:left w:val="none" w:sz="0" w:space="0" w:color="auto"/>
        <w:bottom w:val="none" w:sz="0" w:space="0" w:color="auto"/>
        <w:right w:val="none" w:sz="0" w:space="0" w:color="auto"/>
      </w:divBdr>
      <w:divsChild>
        <w:div w:id="1548836736">
          <w:marLeft w:val="0"/>
          <w:marRight w:val="0"/>
          <w:marTop w:val="0"/>
          <w:marBottom w:val="0"/>
          <w:divBdr>
            <w:top w:val="none" w:sz="0" w:space="0" w:color="auto"/>
            <w:left w:val="none" w:sz="0" w:space="0" w:color="auto"/>
            <w:bottom w:val="none" w:sz="0" w:space="0" w:color="auto"/>
            <w:right w:val="none" w:sz="0" w:space="0" w:color="auto"/>
          </w:divBdr>
          <w:divsChild>
            <w:div w:id="1548836720">
              <w:marLeft w:val="0"/>
              <w:marRight w:val="0"/>
              <w:marTop w:val="0"/>
              <w:marBottom w:val="0"/>
              <w:divBdr>
                <w:top w:val="none" w:sz="0" w:space="0" w:color="auto"/>
                <w:left w:val="none" w:sz="0" w:space="0" w:color="auto"/>
                <w:bottom w:val="none" w:sz="0" w:space="0" w:color="auto"/>
                <w:right w:val="none" w:sz="0" w:space="0" w:color="auto"/>
              </w:divBdr>
              <w:divsChild>
                <w:div w:id="1548836666">
                  <w:marLeft w:val="0"/>
                  <w:marRight w:val="0"/>
                  <w:marTop w:val="0"/>
                  <w:marBottom w:val="0"/>
                  <w:divBdr>
                    <w:top w:val="none" w:sz="0" w:space="0" w:color="auto"/>
                    <w:left w:val="none" w:sz="0" w:space="0" w:color="auto"/>
                    <w:bottom w:val="none" w:sz="0" w:space="0" w:color="auto"/>
                    <w:right w:val="none" w:sz="0" w:space="0" w:color="auto"/>
                  </w:divBdr>
                  <w:divsChild>
                    <w:div w:id="1548836541">
                      <w:marLeft w:val="0"/>
                      <w:marRight w:val="0"/>
                      <w:marTop w:val="0"/>
                      <w:marBottom w:val="0"/>
                      <w:divBdr>
                        <w:top w:val="none" w:sz="0" w:space="0" w:color="auto"/>
                        <w:left w:val="none" w:sz="0" w:space="0" w:color="auto"/>
                        <w:bottom w:val="none" w:sz="0" w:space="0" w:color="auto"/>
                        <w:right w:val="none" w:sz="0" w:space="0" w:color="auto"/>
                      </w:divBdr>
                      <w:divsChild>
                        <w:div w:id="1548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1">
      <w:marLeft w:val="0"/>
      <w:marRight w:val="0"/>
      <w:marTop w:val="0"/>
      <w:marBottom w:val="0"/>
      <w:divBdr>
        <w:top w:val="none" w:sz="0" w:space="0" w:color="auto"/>
        <w:left w:val="none" w:sz="0" w:space="0" w:color="auto"/>
        <w:bottom w:val="none" w:sz="0" w:space="0" w:color="auto"/>
        <w:right w:val="none" w:sz="0" w:space="0" w:color="auto"/>
      </w:divBdr>
      <w:divsChild>
        <w:div w:id="1548836617">
          <w:marLeft w:val="0"/>
          <w:marRight w:val="0"/>
          <w:marTop w:val="0"/>
          <w:marBottom w:val="0"/>
          <w:divBdr>
            <w:top w:val="none" w:sz="0" w:space="0" w:color="auto"/>
            <w:left w:val="none" w:sz="0" w:space="0" w:color="auto"/>
            <w:bottom w:val="none" w:sz="0" w:space="0" w:color="auto"/>
            <w:right w:val="none" w:sz="0" w:space="0" w:color="auto"/>
          </w:divBdr>
          <w:divsChild>
            <w:div w:id="1548836582">
              <w:marLeft w:val="0"/>
              <w:marRight w:val="0"/>
              <w:marTop w:val="0"/>
              <w:marBottom w:val="0"/>
              <w:divBdr>
                <w:top w:val="none" w:sz="0" w:space="0" w:color="auto"/>
                <w:left w:val="none" w:sz="0" w:space="0" w:color="auto"/>
                <w:bottom w:val="none" w:sz="0" w:space="0" w:color="auto"/>
                <w:right w:val="none" w:sz="0" w:space="0" w:color="auto"/>
              </w:divBdr>
              <w:divsChild>
                <w:div w:id="1548836688">
                  <w:marLeft w:val="0"/>
                  <w:marRight w:val="0"/>
                  <w:marTop w:val="0"/>
                  <w:marBottom w:val="0"/>
                  <w:divBdr>
                    <w:top w:val="none" w:sz="0" w:space="0" w:color="auto"/>
                    <w:left w:val="none" w:sz="0" w:space="0" w:color="auto"/>
                    <w:bottom w:val="none" w:sz="0" w:space="0" w:color="auto"/>
                    <w:right w:val="none" w:sz="0" w:space="0" w:color="auto"/>
                  </w:divBdr>
                  <w:divsChild>
                    <w:div w:id="1548836615">
                      <w:marLeft w:val="0"/>
                      <w:marRight w:val="0"/>
                      <w:marTop w:val="0"/>
                      <w:marBottom w:val="0"/>
                      <w:divBdr>
                        <w:top w:val="none" w:sz="0" w:space="0" w:color="auto"/>
                        <w:left w:val="none" w:sz="0" w:space="0" w:color="auto"/>
                        <w:bottom w:val="none" w:sz="0" w:space="0" w:color="auto"/>
                        <w:right w:val="none" w:sz="0" w:space="0" w:color="auto"/>
                      </w:divBdr>
                      <w:divsChild>
                        <w:div w:id="1548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7">
      <w:marLeft w:val="0"/>
      <w:marRight w:val="0"/>
      <w:marTop w:val="0"/>
      <w:marBottom w:val="0"/>
      <w:divBdr>
        <w:top w:val="none" w:sz="0" w:space="0" w:color="auto"/>
        <w:left w:val="none" w:sz="0" w:space="0" w:color="auto"/>
        <w:bottom w:val="none" w:sz="0" w:space="0" w:color="auto"/>
        <w:right w:val="none" w:sz="0" w:space="0" w:color="auto"/>
      </w:divBdr>
      <w:divsChild>
        <w:div w:id="1548836584">
          <w:marLeft w:val="0"/>
          <w:marRight w:val="0"/>
          <w:marTop w:val="0"/>
          <w:marBottom w:val="0"/>
          <w:divBdr>
            <w:top w:val="none" w:sz="0" w:space="0" w:color="auto"/>
            <w:left w:val="none" w:sz="0" w:space="0" w:color="auto"/>
            <w:bottom w:val="none" w:sz="0" w:space="0" w:color="auto"/>
            <w:right w:val="none" w:sz="0" w:space="0" w:color="auto"/>
          </w:divBdr>
          <w:divsChild>
            <w:div w:id="1548836623">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548836689">
                      <w:marLeft w:val="0"/>
                      <w:marRight w:val="0"/>
                      <w:marTop w:val="0"/>
                      <w:marBottom w:val="0"/>
                      <w:divBdr>
                        <w:top w:val="none" w:sz="0" w:space="0" w:color="auto"/>
                        <w:left w:val="none" w:sz="0" w:space="0" w:color="auto"/>
                        <w:bottom w:val="none" w:sz="0" w:space="0" w:color="auto"/>
                        <w:right w:val="none" w:sz="0" w:space="0" w:color="auto"/>
                      </w:divBdr>
                      <w:divsChild>
                        <w:div w:id="1548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51">
      <w:marLeft w:val="0"/>
      <w:marRight w:val="0"/>
      <w:marTop w:val="0"/>
      <w:marBottom w:val="0"/>
      <w:divBdr>
        <w:top w:val="none" w:sz="0" w:space="0" w:color="auto"/>
        <w:left w:val="none" w:sz="0" w:space="0" w:color="auto"/>
        <w:bottom w:val="none" w:sz="0" w:space="0" w:color="auto"/>
        <w:right w:val="none" w:sz="0" w:space="0" w:color="auto"/>
      </w:divBdr>
    </w:div>
    <w:div w:id="1548836677">
      <w:marLeft w:val="0"/>
      <w:marRight w:val="0"/>
      <w:marTop w:val="0"/>
      <w:marBottom w:val="0"/>
      <w:divBdr>
        <w:top w:val="none" w:sz="0" w:space="0" w:color="auto"/>
        <w:left w:val="none" w:sz="0" w:space="0" w:color="auto"/>
        <w:bottom w:val="none" w:sz="0" w:space="0" w:color="auto"/>
        <w:right w:val="none" w:sz="0" w:space="0" w:color="auto"/>
      </w:divBdr>
      <w:divsChild>
        <w:div w:id="1548836664">
          <w:marLeft w:val="0"/>
          <w:marRight w:val="0"/>
          <w:marTop w:val="0"/>
          <w:marBottom w:val="0"/>
          <w:divBdr>
            <w:top w:val="none" w:sz="0" w:space="0" w:color="auto"/>
            <w:left w:val="none" w:sz="0" w:space="0" w:color="auto"/>
            <w:bottom w:val="none" w:sz="0" w:space="0" w:color="auto"/>
            <w:right w:val="none" w:sz="0" w:space="0" w:color="auto"/>
          </w:divBdr>
          <w:divsChild>
            <w:div w:id="1548836607">
              <w:marLeft w:val="0"/>
              <w:marRight w:val="0"/>
              <w:marTop w:val="0"/>
              <w:marBottom w:val="0"/>
              <w:divBdr>
                <w:top w:val="none" w:sz="0" w:space="0" w:color="auto"/>
                <w:left w:val="none" w:sz="0" w:space="0" w:color="auto"/>
                <w:bottom w:val="none" w:sz="0" w:space="0" w:color="auto"/>
                <w:right w:val="none" w:sz="0" w:space="0" w:color="auto"/>
              </w:divBdr>
              <w:divsChild>
                <w:div w:id="1548836586">
                  <w:marLeft w:val="0"/>
                  <w:marRight w:val="0"/>
                  <w:marTop w:val="0"/>
                  <w:marBottom w:val="0"/>
                  <w:divBdr>
                    <w:top w:val="none" w:sz="0" w:space="0" w:color="auto"/>
                    <w:left w:val="none" w:sz="0" w:space="0" w:color="auto"/>
                    <w:bottom w:val="none" w:sz="0" w:space="0" w:color="auto"/>
                    <w:right w:val="none" w:sz="0" w:space="0" w:color="auto"/>
                  </w:divBdr>
                  <w:divsChild>
                    <w:div w:id="1548836611">
                      <w:marLeft w:val="0"/>
                      <w:marRight w:val="0"/>
                      <w:marTop w:val="0"/>
                      <w:marBottom w:val="0"/>
                      <w:divBdr>
                        <w:top w:val="none" w:sz="0" w:space="0" w:color="auto"/>
                        <w:left w:val="none" w:sz="0" w:space="0" w:color="auto"/>
                        <w:bottom w:val="none" w:sz="0" w:space="0" w:color="auto"/>
                        <w:right w:val="none" w:sz="0" w:space="0" w:color="auto"/>
                      </w:divBdr>
                      <w:divsChild>
                        <w:div w:id="1548836552">
                          <w:marLeft w:val="0"/>
                          <w:marRight w:val="0"/>
                          <w:marTop w:val="0"/>
                          <w:marBottom w:val="0"/>
                          <w:divBdr>
                            <w:top w:val="none" w:sz="0" w:space="0" w:color="auto"/>
                            <w:left w:val="none" w:sz="0" w:space="0" w:color="auto"/>
                            <w:bottom w:val="none" w:sz="0" w:space="0" w:color="auto"/>
                            <w:right w:val="none" w:sz="0" w:space="0" w:color="auto"/>
                          </w:divBdr>
                          <w:divsChild>
                            <w:div w:id="1548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80">
      <w:marLeft w:val="0"/>
      <w:marRight w:val="0"/>
      <w:marTop w:val="0"/>
      <w:marBottom w:val="0"/>
      <w:divBdr>
        <w:top w:val="none" w:sz="0" w:space="0" w:color="auto"/>
        <w:left w:val="none" w:sz="0" w:space="0" w:color="auto"/>
        <w:bottom w:val="none" w:sz="0" w:space="0" w:color="auto"/>
        <w:right w:val="none" w:sz="0" w:space="0" w:color="auto"/>
      </w:divBdr>
      <w:divsChild>
        <w:div w:id="1548836705">
          <w:marLeft w:val="0"/>
          <w:marRight w:val="0"/>
          <w:marTop w:val="0"/>
          <w:marBottom w:val="0"/>
          <w:divBdr>
            <w:top w:val="none" w:sz="0" w:space="0" w:color="auto"/>
            <w:left w:val="none" w:sz="0" w:space="0" w:color="auto"/>
            <w:bottom w:val="none" w:sz="0" w:space="0" w:color="auto"/>
            <w:right w:val="none" w:sz="0" w:space="0" w:color="auto"/>
          </w:divBdr>
          <w:divsChild>
            <w:div w:id="1548836712">
              <w:marLeft w:val="0"/>
              <w:marRight w:val="0"/>
              <w:marTop w:val="0"/>
              <w:marBottom w:val="0"/>
              <w:divBdr>
                <w:top w:val="none" w:sz="0" w:space="0" w:color="auto"/>
                <w:left w:val="none" w:sz="0" w:space="0" w:color="auto"/>
                <w:bottom w:val="none" w:sz="0" w:space="0" w:color="auto"/>
                <w:right w:val="none" w:sz="0" w:space="0" w:color="auto"/>
              </w:divBdr>
              <w:divsChild>
                <w:div w:id="1548836718">
                  <w:marLeft w:val="0"/>
                  <w:marRight w:val="0"/>
                  <w:marTop w:val="0"/>
                  <w:marBottom w:val="0"/>
                  <w:divBdr>
                    <w:top w:val="none" w:sz="0" w:space="0" w:color="auto"/>
                    <w:left w:val="none" w:sz="0" w:space="0" w:color="auto"/>
                    <w:bottom w:val="none" w:sz="0" w:space="0" w:color="auto"/>
                    <w:right w:val="none" w:sz="0" w:space="0" w:color="auto"/>
                  </w:divBdr>
                  <w:divsChild>
                    <w:div w:id="1548836613">
                      <w:marLeft w:val="0"/>
                      <w:marRight w:val="0"/>
                      <w:marTop w:val="0"/>
                      <w:marBottom w:val="0"/>
                      <w:divBdr>
                        <w:top w:val="none" w:sz="0" w:space="0" w:color="auto"/>
                        <w:left w:val="none" w:sz="0" w:space="0" w:color="auto"/>
                        <w:bottom w:val="none" w:sz="0" w:space="0" w:color="auto"/>
                        <w:right w:val="none" w:sz="0" w:space="0" w:color="auto"/>
                      </w:divBdr>
                      <w:divsChild>
                        <w:div w:id="1548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81">
      <w:marLeft w:val="0"/>
      <w:marRight w:val="0"/>
      <w:marTop w:val="0"/>
      <w:marBottom w:val="0"/>
      <w:divBdr>
        <w:top w:val="none" w:sz="0" w:space="0" w:color="auto"/>
        <w:left w:val="none" w:sz="0" w:space="0" w:color="auto"/>
        <w:bottom w:val="none" w:sz="0" w:space="0" w:color="auto"/>
        <w:right w:val="none" w:sz="0" w:space="0" w:color="auto"/>
      </w:divBdr>
      <w:divsChild>
        <w:div w:id="1548836565">
          <w:marLeft w:val="0"/>
          <w:marRight w:val="0"/>
          <w:marTop w:val="0"/>
          <w:marBottom w:val="0"/>
          <w:divBdr>
            <w:top w:val="none" w:sz="0" w:space="0" w:color="auto"/>
            <w:left w:val="none" w:sz="0" w:space="0" w:color="auto"/>
            <w:bottom w:val="none" w:sz="0" w:space="0" w:color="auto"/>
            <w:right w:val="none" w:sz="0" w:space="0" w:color="auto"/>
          </w:divBdr>
          <w:divsChild>
            <w:div w:id="1548836656">
              <w:marLeft w:val="0"/>
              <w:marRight w:val="0"/>
              <w:marTop w:val="0"/>
              <w:marBottom w:val="0"/>
              <w:divBdr>
                <w:top w:val="none" w:sz="0" w:space="0" w:color="auto"/>
                <w:left w:val="none" w:sz="0" w:space="0" w:color="auto"/>
                <w:bottom w:val="none" w:sz="0" w:space="0" w:color="auto"/>
                <w:right w:val="none" w:sz="0" w:space="0" w:color="auto"/>
              </w:divBdr>
              <w:divsChild>
                <w:div w:id="1548836708">
                  <w:marLeft w:val="0"/>
                  <w:marRight w:val="0"/>
                  <w:marTop w:val="0"/>
                  <w:marBottom w:val="0"/>
                  <w:divBdr>
                    <w:top w:val="none" w:sz="0" w:space="0" w:color="auto"/>
                    <w:left w:val="none" w:sz="0" w:space="0" w:color="auto"/>
                    <w:bottom w:val="none" w:sz="0" w:space="0" w:color="auto"/>
                    <w:right w:val="none" w:sz="0" w:space="0" w:color="auto"/>
                  </w:divBdr>
                  <w:divsChild>
                    <w:div w:id="1548836644">
                      <w:marLeft w:val="0"/>
                      <w:marRight w:val="0"/>
                      <w:marTop w:val="0"/>
                      <w:marBottom w:val="0"/>
                      <w:divBdr>
                        <w:top w:val="none" w:sz="0" w:space="0" w:color="auto"/>
                        <w:left w:val="none" w:sz="0" w:space="0" w:color="auto"/>
                        <w:bottom w:val="none" w:sz="0" w:space="0" w:color="auto"/>
                        <w:right w:val="none" w:sz="0" w:space="0" w:color="auto"/>
                      </w:divBdr>
                      <w:divsChild>
                        <w:div w:id="154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0">
      <w:marLeft w:val="0"/>
      <w:marRight w:val="0"/>
      <w:marTop w:val="0"/>
      <w:marBottom w:val="0"/>
      <w:divBdr>
        <w:top w:val="none" w:sz="0" w:space="0" w:color="auto"/>
        <w:left w:val="none" w:sz="0" w:space="0" w:color="auto"/>
        <w:bottom w:val="none" w:sz="0" w:space="0" w:color="auto"/>
        <w:right w:val="none" w:sz="0" w:space="0" w:color="auto"/>
      </w:divBdr>
      <w:divsChild>
        <w:div w:id="1548836662">
          <w:marLeft w:val="0"/>
          <w:marRight w:val="0"/>
          <w:marTop w:val="0"/>
          <w:marBottom w:val="0"/>
          <w:divBdr>
            <w:top w:val="none" w:sz="0" w:space="0" w:color="auto"/>
            <w:left w:val="none" w:sz="0" w:space="0" w:color="auto"/>
            <w:bottom w:val="none" w:sz="0" w:space="0" w:color="auto"/>
            <w:right w:val="none" w:sz="0" w:space="0" w:color="auto"/>
          </w:divBdr>
          <w:divsChild>
            <w:div w:id="1548836659">
              <w:marLeft w:val="0"/>
              <w:marRight w:val="0"/>
              <w:marTop w:val="0"/>
              <w:marBottom w:val="0"/>
              <w:divBdr>
                <w:top w:val="none" w:sz="0" w:space="0" w:color="auto"/>
                <w:left w:val="none" w:sz="0" w:space="0" w:color="auto"/>
                <w:bottom w:val="none" w:sz="0" w:space="0" w:color="auto"/>
                <w:right w:val="none" w:sz="0" w:space="0" w:color="auto"/>
              </w:divBdr>
              <w:divsChild>
                <w:div w:id="1548836625">
                  <w:marLeft w:val="0"/>
                  <w:marRight w:val="0"/>
                  <w:marTop w:val="0"/>
                  <w:marBottom w:val="0"/>
                  <w:divBdr>
                    <w:top w:val="none" w:sz="0" w:space="0" w:color="auto"/>
                    <w:left w:val="none" w:sz="0" w:space="0" w:color="auto"/>
                    <w:bottom w:val="none" w:sz="0" w:space="0" w:color="auto"/>
                    <w:right w:val="none" w:sz="0" w:space="0" w:color="auto"/>
                  </w:divBdr>
                  <w:divsChild>
                    <w:div w:id="1548836645">
                      <w:marLeft w:val="0"/>
                      <w:marRight w:val="0"/>
                      <w:marTop w:val="0"/>
                      <w:marBottom w:val="0"/>
                      <w:divBdr>
                        <w:top w:val="none" w:sz="0" w:space="0" w:color="auto"/>
                        <w:left w:val="none" w:sz="0" w:space="0" w:color="auto"/>
                        <w:bottom w:val="none" w:sz="0" w:space="0" w:color="auto"/>
                        <w:right w:val="none" w:sz="0" w:space="0" w:color="auto"/>
                      </w:divBdr>
                      <w:divsChild>
                        <w:div w:id="154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3">
      <w:marLeft w:val="0"/>
      <w:marRight w:val="0"/>
      <w:marTop w:val="0"/>
      <w:marBottom w:val="0"/>
      <w:divBdr>
        <w:top w:val="none" w:sz="0" w:space="0" w:color="auto"/>
        <w:left w:val="none" w:sz="0" w:space="0" w:color="auto"/>
        <w:bottom w:val="none" w:sz="0" w:space="0" w:color="auto"/>
        <w:right w:val="none" w:sz="0" w:space="0" w:color="auto"/>
      </w:divBdr>
      <w:divsChild>
        <w:div w:id="1548836704">
          <w:marLeft w:val="0"/>
          <w:marRight w:val="0"/>
          <w:marTop w:val="0"/>
          <w:marBottom w:val="0"/>
          <w:divBdr>
            <w:top w:val="none" w:sz="0" w:space="0" w:color="auto"/>
            <w:left w:val="none" w:sz="0" w:space="0" w:color="auto"/>
            <w:bottom w:val="none" w:sz="0" w:space="0" w:color="auto"/>
            <w:right w:val="none" w:sz="0" w:space="0" w:color="auto"/>
          </w:divBdr>
          <w:divsChild>
            <w:div w:id="1548836670">
              <w:marLeft w:val="0"/>
              <w:marRight w:val="0"/>
              <w:marTop w:val="0"/>
              <w:marBottom w:val="0"/>
              <w:divBdr>
                <w:top w:val="none" w:sz="0" w:space="0" w:color="auto"/>
                <w:left w:val="none" w:sz="0" w:space="0" w:color="auto"/>
                <w:bottom w:val="none" w:sz="0" w:space="0" w:color="auto"/>
                <w:right w:val="none" w:sz="0" w:space="0" w:color="auto"/>
              </w:divBdr>
              <w:divsChild>
                <w:div w:id="1548836697">
                  <w:marLeft w:val="0"/>
                  <w:marRight w:val="0"/>
                  <w:marTop w:val="0"/>
                  <w:marBottom w:val="0"/>
                  <w:divBdr>
                    <w:top w:val="none" w:sz="0" w:space="0" w:color="auto"/>
                    <w:left w:val="none" w:sz="0" w:space="0" w:color="auto"/>
                    <w:bottom w:val="none" w:sz="0" w:space="0" w:color="auto"/>
                    <w:right w:val="none" w:sz="0" w:space="0" w:color="auto"/>
                  </w:divBdr>
                  <w:divsChild>
                    <w:div w:id="1548836727">
                      <w:marLeft w:val="0"/>
                      <w:marRight w:val="0"/>
                      <w:marTop w:val="0"/>
                      <w:marBottom w:val="0"/>
                      <w:divBdr>
                        <w:top w:val="none" w:sz="0" w:space="0" w:color="auto"/>
                        <w:left w:val="none" w:sz="0" w:space="0" w:color="auto"/>
                        <w:bottom w:val="none" w:sz="0" w:space="0" w:color="auto"/>
                        <w:right w:val="none" w:sz="0" w:space="0" w:color="auto"/>
                      </w:divBdr>
                      <w:divsChild>
                        <w:div w:id="1548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3">
      <w:marLeft w:val="0"/>
      <w:marRight w:val="0"/>
      <w:marTop w:val="0"/>
      <w:marBottom w:val="0"/>
      <w:divBdr>
        <w:top w:val="none" w:sz="0" w:space="0" w:color="auto"/>
        <w:left w:val="none" w:sz="0" w:space="0" w:color="auto"/>
        <w:bottom w:val="none" w:sz="0" w:space="0" w:color="auto"/>
        <w:right w:val="none" w:sz="0" w:space="0" w:color="auto"/>
      </w:divBdr>
      <w:divsChild>
        <w:div w:id="1548836587">
          <w:marLeft w:val="0"/>
          <w:marRight w:val="0"/>
          <w:marTop w:val="0"/>
          <w:marBottom w:val="0"/>
          <w:divBdr>
            <w:top w:val="none" w:sz="0" w:space="0" w:color="auto"/>
            <w:left w:val="none" w:sz="0" w:space="0" w:color="auto"/>
            <w:bottom w:val="none" w:sz="0" w:space="0" w:color="auto"/>
            <w:right w:val="none" w:sz="0" w:space="0" w:color="auto"/>
          </w:divBdr>
          <w:divsChild>
            <w:div w:id="1548836639">
              <w:marLeft w:val="0"/>
              <w:marRight w:val="0"/>
              <w:marTop w:val="0"/>
              <w:marBottom w:val="0"/>
              <w:divBdr>
                <w:top w:val="none" w:sz="0" w:space="0" w:color="auto"/>
                <w:left w:val="none" w:sz="0" w:space="0" w:color="auto"/>
                <w:bottom w:val="none" w:sz="0" w:space="0" w:color="auto"/>
                <w:right w:val="none" w:sz="0" w:space="0" w:color="auto"/>
              </w:divBdr>
              <w:divsChild>
                <w:div w:id="1548836642">
                  <w:marLeft w:val="0"/>
                  <w:marRight w:val="0"/>
                  <w:marTop w:val="0"/>
                  <w:marBottom w:val="0"/>
                  <w:divBdr>
                    <w:top w:val="none" w:sz="0" w:space="0" w:color="auto"/>
                    <w:left w:val="none" w:sz="0" w:space="0" w:color="auto"/>
                    <w:bottom w:val="none" w:sz="0" w:space="0" w:color="auto"/>
                    <w:right w:val="none" w:sz="0" w:space="0" w:color="auto"/>
                  </w:divBdr>
                  <w:divsChild>
                    <w:div w:id="1548836604">
                      <w:marLeft w:val="0"/>
                      <w:marRight w:val="0"/>
                      <w:marTop w:val="0"/>
                      <w:marBottom w:val="0"/>
                      <w:divBdr>
                        <w:top w:val="none" w:sz="0" w:space="0" w:color="auto"/>
                        <w:left w:val="none" w:sz="0" w:space="0" w:color="auto"/>
                        <w:bottom w:val="none" w:sz="0" w:space="0" w:color="auto"/>
                        <w:right w:val="none" w:sz="0" w:space="0" w:color="auto"/>
                      </w:divBdr>
                      <w:divsChild>
                        <w:div w:id="1548836616">
                          <w:marLeft w:val="0"/>
                          <w:marRight w:val="0"/>
                          <w:marTop w:val="0"/>
                          <w:marBottom w:val="0"/>
                          <w:divBdr>
                            <w:top w:val="none" w:sz="0" w:space="0" w:color="auto"/>
                            <w:left w:val="none" w:sz="0" w:space="0" w:color="auto"/>
                            <w:bottom w:val="none" w:sz="0" w:space="0" w:color="auto"/>
                            <w:right w:val="none" w:sz="0" w:space="0" w:color="auto"/>
                          </w:divBdr>
                          <w:divsChild>
                            <w:div w:id="1548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4">
      <w:marLeft w:val="0"/>
      <w:marRight w:val="0"/>
      <w:marTop w:val="0"/>
      <w:marBottom w:val="0"/>
      <w:divBdr>
        <w:top w:val="none" w:sz="0" w:space="0" w:color="auto"/>
        <w:left w:val="none" w:sz="0" w:space="0" w:color="auto"/>
        <w:bottom w:val="none" w:sz="0" w:space="0" w:color="auto"/>
        <w:right w:val="none" w:sz="0" w:space="0" w:color="auto"/>
      </w:divBdr>
      <w:divsChild>
        <w:div w:id="1548836734">
          <w:marLeft w:val="0"/>
          <w:marRight w:val="0"/>
          <w:marTop w:val="0"/>
          <w:marBottom w:val="0"/>
          <w:divBdr>
            <w:top w:val="none" w:sz="0" w:space="0" w:color="auto"/>
            <w:left w:val="none" w:sz="0" w:space="0" w:color="auto"/>
            <w:bottom w:val="none" w:sz="0" w:space="0" w:color="auto"/>
            <w:right w:val="none" w:sz="0" w:space="0" w:color="auto"/>
          </w:divBdr>
          <w:divsChild>
            <w:div w:id="1548836643">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sChild>
                    <w:div w:id="1548836537">
                      <w:marLeft w:val="0"/>
                      <w:marRight w:val="0"/>
                      <w:marTop w:val="0"/>
                      <w:marBottom w:val="0"/>
                      <w:divBdr>
                        <w:top w:val="none" w:sz="0" w:space="0" w:color="auto"/>
                        <w:left w:val="none" w:sz="0" w:space="0" w:color="auto"/>
                        <w:bottom w:val="none" w:sz="0" w:space="0" w:color="auto"/>
                        <w:right w:val="none" w:sz="0" w:space="0" w:color="auto"/>
                      </w:divBdr>
                      <w:divsChild>
                        <w:div w:id="154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6">
      <w:marLeft w:val="0"/>
      <w:marRight w:val="0"/>
      <w:marTop w:val="0"/>
      <w:marBottom w:val="0"/>
      <w:divBdr>
        <w:top w:val="none" w:sz="0" w:space="0" w:color="auto"/>
        <w:left w:val="none" w:sz="0" w:space="0" w:color="auto"/>
        <w:bottom w:val="none" w:sz="0" w:space="0" w:color="auto"/>
        <w:right w:val="none" w:sz="0" w:space="0" w:color="auto"/>
      </w:divBdr>
      <w:divsChild>
        <w:div w:id="1548836731">
          <w:marLeft w:val="0"/>
          <w:marRight w:val="0"/>
          <w:marTop w:val="0"/>
          <w:marBottom w:val="0"/>
          <w:divBdr>
            <w:top w:val="none" w:sz="0" w:space="0" w:color="auto"/>
            <w:left w:val="none" w:sz="0" w:space="0" w:color="auto"/>
            <w:bottom w:val="none" w:sz="0" w:space="0" w:color="auto"/>
            <w:right w:val="none" w:sz="0" w:space="0" w:color="auto"/>
          </w:divBdr>
          <w:divsChild>
            <w:div w:id="1548836674">
              <w:marLeft w:val="0"/>
              <w:marRight w:val="0"/>
              <w:marTop w:val="0"/>
              <w:marBottom w:val="0"/>
              <w:divBdr>
                <w:top w:val="none" w:sz="0" w:space="0" w:color="auto"/>
                <w:left w:val="none" w:sz="0" w:space="0" w:color="auto"/>
                <w:bottom w:val="none" w:sz="0" w:space="0" w:color="auto"/>
                <w:right w:val="none" w:sz="0" w:space="0" w:color="auto"/>
              </w:divBdr>
              <w:divsChild>
                <w:div w:id="1548836629">
                  <w:marLeft w:val="0"/>
                  <w:marRight w:val="0"/>
                  <w:marTop w:val="0"/>
                  <w:marBottom w:val="0"/>
                  <w:divBdr>
                    <w:top w:val="none" w:sz="0" w:space="0" w:color="auto"/>
                    <w:left w:val="none" w:sz="0" w:space="0" w:color="auto"/>
                    <w:bottom w:val="none" w:sz="0" w:space="0" w:color="auto"/>
                    <w:right w:val="none" w:sz="0" w:space="0" w:color="auto"/>
                  </w:divBdr>
                  <w:divsChild>
                    <w:div w:id="1548836533">
                      <w:marLeft w:val="0"/>
                      <w:marRight w:val="0"/>
                      <w:marTop w:val="0"/>
                      <w:marBottom w:val="0"/>
                      <w:divBdr>
                        <w:top w:val="none" w:sz="0" w:space="0" w:color="auto"/>
                        <w:left w:val="none" w:sz="0" w:space="0" w:color="auto"/>
                        <w:bottom w:val="none" w:sz="0" w:space="0" w:color="auto"/>
                        <w:right w:val="none" w:sz="0" w:space="0" w:color="auto"/>
                      </w:divBdr>
                      <w:divsChild>
                        <w:div w:id="1548836594">
                          <w:marLeft w:val="0"/>
                          <w:marRight w:val="0"/>
                          <w:marTop w:val="0"/>
                          <w:marBottom w:val="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
                            <w:div w:id="15488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7">
      <w:marLeft w:val="0"/>
      <w:marRight w:val="0"/>
      <w:marTop w:val="0"/>
      <w:marBottom w:val="0"/>
      <w:divBdr>
        <w:top w:val="none" w:sz="0" w:space="0" w:color="auto"/>
        <w:left w:val="none" w:sz="0" w:space="0" w:color="auto"/>
        <w:bottom w:val="none" w:sz="0" w:space="0" w:color="auto"/>
        <w:right w:val="none" w:sz="0" w:space="0" w:color="auto"/>
      </w:divBdr>
      <w:divsChild>
        <w:div w:id="1548836691">
          <w:marLeft w:val="0"/>
          <w:marRight w:val="0"/>
          <w:marTop w:val="0"/>
          <w:marBottom w:val="0"/>
          <w:divBdr>
            <w:top w:val="none" w:sz="0" w:space="0" w:color="auto"/>
            <w:left w:val="none" w:sz="0" w:space="0" w:color="auto"/>
            <w:bottom w:val="none" w:sz="0" w:space="0" w:color="auto"/>
            <w:right w:val="none" w:sz="0" w:space="0" w:color="auto"/>
          </w:divBdr>
          <w:divsChild>
            <w:div w:id="1548836715">
              <w:marLeft w:val="0"/>
              <w:marRight w:val="0"/>
              <w:marTop w:val="0"/>
              <w:marBottom w:val="0"/>
              <w:divBdr>
                <w:top w:val="none" w:sz="0" w:space="0" w:color="auto"/>
                <w:left w:val="none" w:sz="0" w:space="0" w:color="auto"/>
                <w:bottom w:val="none" w:sz="0" w:space="0" w:color="auto"/>
                <w:right w:val="none" w:sz="0" w:space="0" w:color="auto"/>
              </w:divBdr>
              <w:divsChild>
                <w:div w:id="1548836624">
                  <w:marLeft w:val="0"/>
                  <w:marRight w:val="0"/>
                  <w:marTop w:val="0"/>
                  <w:marBottom w:val="0"/>
                  <w:divBdr>
                    <w:top w:val="none" w:sz="0" w:space="0" w:color="auto"/>
                    <w:left w:val="none" w:sz="0" w:space="0" w:color="auto"/>
                    <w:bottom w:val="none" w:sz="0" w:space="0" w:color="auto"/>
                    <w:right w:val="none" w:sz="0" w:space="0" w:color="auto"/>
                  </w:divBdr>
                  <w:divsChild>
                    <w:div w:id="1548836728">
                      <w:marLeft w:val="0"/>
                      <w:marRight w:val="0"/>
                      <w:marTop w:val="0"/>
                      <w:marBottom w:val="0"/>
                      <w:divBdr>
                        <w:top w:val="none" w:sz="0" w:space="0" w:color="auto"/>
                        <w:left w:val="none" w:sz="0" w:space="0" w:color="auto"/>
                        <w:bottom w:val="none" w:sz="0" w:space="0" w:color="auto"/>
                        <w:right w:val="none" w:sz="0" w:space="0" w:color="auto"/>
                      </w:divBdr>
                      <w:divsChild>
                        <w:div w:id="1548836556">
                          <w:marLeft w:val="0"/>
                          <w:marRight w:val="0"/>
                          <w:marTop w:val="0"/>
                          <w:marBottom w:val="0"/>
                          <w:divBdr>
                            <w:top w:val="none" w:sz="0" w:space="0" w:color="auto"/>
                            <w:left w:val="none" w:sz="0" w:space="0" w:color="auto"/>
                            <w:bottom w:val="none" w:sz="0" w:space="0" w:color="auto"/>
                            <w:right w:val="none" w:sz="0" w:space="0" w:color="auto"/>
                          </w:divBdr>
                          <w:divsChild>
                            <w:div w:id="1548836553">
                              <w:marLeft w:val="0"/>
                              <w:marRight w:val="0"/>
                              <w:marTop w:val="0"/>
                              <w:marBottom w:val="0"/>
                              <w:divBdr>
                                <w:top w:val="none" w:sz="0" w:space="0" w:color="auto"/>
                                <w:left w:val="none" w:sz="0" w:space="0" w:color="auto"/>
                                <w:bottom w:val="none" w:sz="0" w:space="0" w:color="auto"/>
                                <w:right w:val="none" w:sz="0" w:space="0" w:color="auto"/>
                              </w:divBdr>
                            </w:div>
                            <w:div w:id="1548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9">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sChild>
            <w:div w:id="1548836612">
              <w:marLeft w:val="0"/>
              <w:marRight w:val="0"/>
              <w:marTop w:val="0"/>
              <w:marBottom w:val="0"/>
              <w:divBdr>
                <w:top w:val="none" w:sz="0" w:space="0" w:color="auto"/>
                <w:left w:val="none" w:sz="0" w:space="0" w:color="auto"/>
                <w:bottom w:val="none" w:sz="0" w:space="0" w:color="auto"/>
                <w:right w:val="none" w:sz="0" w:space="0" w:color="auto"/>
              </w:divBdr>
              <w:divsChild>
                <w:div w:id="1548836535">
                  <w:marLeft w:val="0"/>
                  <w:marRight w:val="0"/>
                  <w:marTop w:val="0"/>
                  <w:marBottom w:val="0"/>
                  <w:divBdr>
                    <w:top w:val="none" w:sz="0" w:space="0" w:color="auto"/>
                    <w:left w:val="none" w:sz="0" w:space="0" w:color="auto"/>
                    <w:bottom w:val="none" w:sz="0" w:space="0" w:color="auto"/>
                    <w:right w:val="none" w:sz="0" w:space="0" w:color="auto"/>
                  </w:divBdr>
                  <w:divsChild>
                    <w:div w:id="1548836620">
                      <w:marLeft w:val="0"/>
                      <w:marRight w:val="0"/>
                      <w:marTop w:val="0"/>
                      <w:marBottom w:val="0"/>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2">
      <w:marLeft w:val="0"/>
      <w:marRight w:val="0"/>
      <w:marTop w:val="0"/>
      <w:marBottom w:val="0"/>
      <w:divBdr>
        <w:top w:val="none" w:sz="0" w:space="0" w:color="auto"/>
        <w:left w:val="none" w:sz="0" w:space="0" w:color="auto"/>
        <w:bottom w:val="none" w:sz="0" w:space="0" w:color="auto"/>
        <w:right w:val="none" w:sz="0" w:space="0" w:color="auto"/>
      </w:divBdr>
      <w:divsChild>
        <w:div w:id="1548836638">
          <w:marLeft w:val="0"/>
          <w:marRight w:val="0"/>
          <w:marTop w:val="0"/>
          <w:marBottom w:val="0"/>
          <w:divBdr>
            <w:top w:val="none" w:sz="0" w:space="0" w:color="auto"/>
            <w:left w:val="none" w:sz="0" w:space="0" w:color="auto"/>
            <w:bottom w:val="none" w:sz="0" w:space="0" w:color="auto"/>
            <w:right w:val="none" w:sz="0" w:space="0" w:color="auto"/>
          </w:divBdr>
          <w:divsChild>
            <w:div w:id="1548836709">
              <w:marLeft w:val="0"/>
              <w:marRight w:val="0"/>
              <w:marTop w:val="0"/>
              <w:marBottom w:val="0"/>
              <w:divBdr>
                <w:top w:val="none" w:sz="0" w:space="0" w:color="auto"/>
                <w:left w:val="none" w:sz="0" w:space="0" w:color="auto"/>
                <w:bottom w:val="none" w:sz="0" w:space="0" w:color="auto"/>
                <w:right w:val="none" w:sz="0" w:space="0" w:color="auto"/>
              </w:divBdr>
              <w:divsChild>
                <w:div w:id="1548836683">
                  <w:marLeft w:val="0"/>
                  <w:marRight w:val="0"/>
                  <w:marTop w:val="0"/>
                  <w:marBottom w:val="0"/>
                  <w:divBdr>
                    <w:top w:val="none" w:sz="0" w:space="0" w:color="auto"/>
                    <w:left w:val="none" w:sz="0" w:space="0" w:color="auto"/>
                    <w:bottom w:val="none" w:sz="0" w:space="0" w:color="auto"/>
                    <w:right w:val="none" w:sz="0" w:space="0" w:color="auto"/>
                  </w:divBdr>
                  <w:divsChild>
                    <w:div w:id="1548836702">
                      <w:marLeft w:val="0"/>
                      <w:marRight w:val="0"/>
                      <w:marTop w:val="0"/>
                      <w:marBottom w:val="0"/>
                      <w:divBdr>
                        <w:top w:val="none" w:sz="0" w:space="0" w:color="auto"/>
                        <w:left w:val="none" w:sz="0" w:space="0" w:color="auto"/>
                        <w:bottom w:val="none" w:sz="0" w:space="0" w:color="auto"/>
                        <w:right w:val="none" w:sz="0" w:space="0" w:color="auto"/>
                      </w:divBdr>
                      <w:divsChild>
                        <w:div w:id="1548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5">
      <w:marLeft w:val="0"/>
      <w:marRight w:val="0"/>
      <w:marTop w:val="0"/>
      <w:marBottom w:val="0"/>
      <w:divBdr>
        <w:top w:val="none" w:sz="0" w:space="0" w:color="auto"/>
        <w:left w:val="none" w:sz="0" w:space="0" w:color="auto"/>
        <w:bottom w:val="none" w:sz="0" w:space="0" w:color="auto"/>
        <w:right w:val="none" w:sz="0" w:space="0" w:color="auto"/>
      </w:divBdr>
      <w:divsChild>
        <w:div w:id="1548836667">
          <w:marLeft w:val="0"/>
          <w:marRight w:val="0"/>
          <w:marTop w:val="0"/>
          <w:marBottom w:val="0"/>
          <w:divBdr>
            <w:top w:val="none" w:sz="0" w:space="0" w:color="auto"/>
            <w:left w:val="none" w:sz="0" w:space="0" w:color="auto"/>
            <w:bottom w:val="none" w:sz="0" w:space="0" w:color="auto"/>
            <w:right w:val="none" w:sz="0" w:space="0" w:color="auto"/>
          </w:divBdr>
          <w:divsChild>
            <w:div w:id="1548836579">
              <w:marLeft w:val="0"/>
              <w:marRight w:val="0"/>
              <w:marTop w:val="0"/>
              <w:marBottom w:val="0"/>
              <w:divBdr>
                <w:top w:val="none" w:sz="0" w:space="0" w:color="auto"/>
                <w:left w:val="none" w:sz="0" w:space="0" w:color="auto"/>
                <w:bottom w:val="none" w:sz="0" w:space="0" w:color="auto"/>
                <w:right w:val="none" w:sz="0" w:space="0" w:color="auto"/>
              </w:divBdr>
              <w:divsChild>
                <w:div w:id="1548836695">
                  <w:marLeft w:val="0"/>
                  <w:marRight w:val="0"/>
                  <w:marTop w:val="0"/>
                  <w:marBottom w:val="0"/>
                  <w:divBdr>
                    <w:top w:val="none" w:sz="0" w:space="0" w:color="auto"/>
                    <w:left w:val="none" w:sz="0" w:space="0" w:color="auto"/>
                    <w:bottom w:val="none" w:sz="0" w:space="0" w:color="auto"/>
                    <w:right w:val="none" w:sz="0" w:space="0" w:color="auto"/>
                  </w:divBdr>
                  <w:divsChild>
                    <w:div w:id="1548836698">
                      <w:marLeft w:val="0"/>
                      <w:marRight w:val="0"/>
                      <w:marTop w:val="0"/>
                      <w:marBottom w:val="0"/>
                      <w:divBdr>
                        <w:top w:val="none" w:sz="0" w:space="0" w:color="auto"/>
                        <w:left w:val="none" w:sz="0" w:space="0" w:color="auto"/>
                        <w:bottom w:val="none" w:sz="0" w:space="0" w:color="auto"/>
                        <w:right w:val="none" w:sz="0" w:space="0" w:color="auto"/>
                      </w:divBdr>
                      <w:divsChild>
                        <w:div w:id="154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iversalDesign.ie" TargetMode="External"/><Relationship Id="rId23" Type="http://schemas.openxmlformats.org/officeDocument/2006/relationships/fontTable" Target="fontTable.xml"/><Relationship Id="rId10" Type="http://schemas.openxmlformats.org/officeDocument/2006/relationships/hyperlink" Target="http://UniversalDesign.i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NDA.ie" TargetMode="External"/><Relationship Id="rId14" Type="http://schemas.openxmlformats.org/officeDocument/2006/relationships/hyperlink" Target="http://NDA.ie"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D0FBB-EC52-4707-BA84-F20863E6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133</Pages>
  <Words>30207</Words>
  <Characters>173500</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Annual Report 2014</vt:lpstr>
    </vt:vector>
  </TitlesOfParts>
  <Company>DOJLR</Company>
  <LinksUpToDate>false</LinksUpToDate>
  <CharactersWithSpaces>203301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dc:title>
  <dc:creator>National Disability Authority</dc:creator>
  <cp:lastModifiedBy>Heather O'Leary (NDA)</cp:lastModifiedBy>
  <cp:revision>2</cp:revision>
  <cp:lastPrinted>2015-05-13T10:54:00Z</cp:lastPrinted>
  <dcterms:created xsi:type="dcterms:W3CDTF">2023-07-18T14:39:00Z</dcterms:created>
  <dcterms:modified xsi:type="dcterms:W3CDTF">2023-07-18T14:39:00Z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